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1B1" w:rsidRPr="00B420D2" w:rsidRDefault="001641B1" w:rsidP="001641B1">
      <w:pPr>
        <w:pStyle w:val="naisf"/>
        <w:spacing w:before="0" w:after="0"/>
        <w:jc w:val="center"/>
        <w:rPr>
          <w:szCs w:val="28"/>
        </w:rPr>
      </w:pPr>
      <w:bookmarkStart w:id="0" w:name="OLE_LINK3"/>
      <w:bookmarkStart w:id="1" w:name="OLE_LINK4"/>
      <w:r w:rsidRPr="00B420D2">
        <w:rPr>
          <w:b/>
          <w:szCs w:val="28"/>
        </w:rPr>
        <w:t xml:space="preserve">Ministru kabineta </w:t>
      </w:r>
      <w:r>
        <w:rPr>
          <w:b/>
          <w:szCs w:val="28"/>
        </w:rPr>
        <w:t>rīkojuma</w:t>
      </w:r>
      <w:r w:rsidRPr="00B420D2">
        <w:rPr>
          <w:b/>
          <w:szCs w:val="28"/>
        </w:rPr>
        <w:t xml:space="preserve"> projekta</w:t>
      </w:r>
      <w:r w:rsidRPr="00B420D2">
        <w:rPr>
          <w:szCs w:val="28"/>
        </w:rPr>
        <w:t xml:space="preserve"> </w:t>
      </w:r>
    </w:p>
    <w:p w:rsidR="001641B1" w:rsidRDefault="001641B1" w:rsidP="001641B1">
      <w:pPr>
        <w:jc w:val="center"/>
        <w:rPr>
          <w:b/>
          <w:sz w:val="28"/>
          <w:szCs w:val="28"/>
        </w:rPr>
      </w:pPr>
      <w:r w:rsidRPr="001641B1">
        <w:rPr>
          <w:b/>
          <w:szCs w:val="28"/>
        </w:rPr>
        <w:t>„Grozījumi Ministru kabineta 2011.gada 7.septembra rīkojumā Nr.436 „Par Veselības norēķinu centra un Veselības ekonomikas centra reorganizāciju””</w:t>
      </w:r>
      <w:r>
        <w:rPr>
          <w:b/>
          <w:sz w:val="28"/>
          <w:szCs w:val="28"/>
        </w:rPr>
        <w:t xml:space="preserve"> </w:t>
      </w:r>
    </w:p>
    <w:p w:rsidR="001641B1" w:rsidRDefault="001641B1" w:rsidP="001641B1">
      <w:pPr>
        <w:jc w:val="center"/>
        <w:rPr>
          <w:b/>
          <w:szCs w:val="28"/>
        </w:rPr>
      </w:pPr>
      <w:r w:rsidRPr="00B420D2">
        <w:rPr>
          <w:b/>
          <w:szCs w:val="28"/>
        </w:rPr>
        <w:t>sākotnējās ietekmes novērtējuma ziņojums (anotācija)</w:t>
      </w:r>
      <w:bookmarkEnd w:id="0"/>
      <w:bookmarkEnd w:id="1"/>
    </w:p>
    <w:p w:rsidR="001641B1" w:rsidRPr="00D42719" w:rsidRDefault="001641B1" w:rsidP="001641B1">
      <w:pPr>
        <w:jc w:val="center"/>
        <w:rPr>
          <w:b/>
          <w:bCs/>
          <w:sz w:val="28"/>
          <w:szCs w:val="28"/>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0"/>
        <w:gridCol w:w="2739"/>
        <w:gridCol w:w="6436"/>
      </w:tblGrid>
      <w:tr w:rsidR="001641B1" w:rsidRPr="007C0F2C" w:rsidTr="00806EBD">
        <w:tc>
          <w:tcPr>
            <w:tcW w:w="9725" w:type="dxa"/>
            <w:gridSpan w:val="3"/>
            <w:vAlign w:val="center"/>
          </w:tcPr>
          <w:p w:rsidR="001641B1" w:rsidRPr="007C0F2C" w:rsidRDefault="001641B1" w:rsidP="00806EBD">
            <w:pPr>
              <w:pStyle w:val="naisnod"/>
              <w:spacing w:before="0" w:after="0"/>
            </w:pPr>
            <w:r w:rsidRPr="007C0F2C">
              <w:t>I. Tiesību akta projekta izstrādes nepieciešamība</w:t>
            </w:r>
          </w:p>
        </w:tc>
      </w:tr>
      <w:tr w:rsidR="001641B1" w:rsidRPr="00F12A1B" w:rsidTr="00806EBD">
        <w:trPr>
          <w:trHeight w:val="630"/>
        </w:trPr>
        <w:tc>
          <w:tcPr>
            <w:tcW w:w="550" w:type="dxa"/>
          </w:tcPr>
          <w:p w:rsidR="001641B1" w:rsidRPr="007C0F2C" w:rsidRDefault="001641B1" w:rsidP="00806EBD">
            <w:pPr>
              <w:pStyle w:val="naiskr"/>
              <w:spacing w:before="0" w:after="0"/>
              <w:rPr>
                <w:sz w:val="22"/>
                <w:szCs w:val="22"/>
              </w:rPr>
            </w:pPr>
            <w:r w:rsidRPr="007C0F2C">
              <w:rPr>
                <w:sz w:val="22"/>
                <w:szCs w:val="22"/>
              </w:rPr>
              <w:t>1.</w:t>
            </w:r>
          </w:p>
        </w:tc>
        <w:tc>
          <w:tcPr>
            <w:tcW w:w="2739" w:type="dxa"/>
          </w:tcPr>
          <w:p w:rsidR="001641B1" w:rsidRPr="00A21389" w:rsidRDefault="001641B1" w:rsidP="00806EBD">
            <w:pPr>
              <w:pStyle w:val="naiskr"/>
              <w:spacing w:before="0" w:after="0"/>
              <w:ind w:hanging="10"/>
            </w:pPr>
            <w:r w:rsidRPr="00A21389">
              <w:t>Pamatojums</w:t>
            </w:r>
          </w:p>
          <w:p w:rsidR="001641B1" w:rsidRPr="00A21389" w:rsidRDefault="001641B1" w:rsidP="00806EBD">
            <w:pPr>
              <w:pStyle w:val="naiskr"/>
              <w:spacing w:before="0" w:after="0"/>
              <w:ind w:hanging="10"/>
              <w:rPr>
                <w:color w:val="FF0000"/>
              </w:rPr>
            </w:pPr>
          </w:p>
          <w:p w:rsidR="001641B1" w:rsidRPr="00A21389" w:rsidRDefault="001641B1" w:rsidP="00806EBD">
            <w:pPr>
              <w:pStyle w:val="NoSpacing"/>
              <w:jc w:val="both"/>
              <w:rPr>
                <w:color w:val="FF0000"/>
              </w:rPr>
            </w:pPr>
          </w:p>
        </w:tc>
        <w:tc>
          <w:tcPr>
            <w:tcW w:w="6436" w:type="dxa"/>
          </w:tcPr>
          <w:p w:rsidR="001641B1" w:rsidRPr="00806EBD" w:rsidRDefault="00806EBD" w:rsidP="0045562B">
            <w:pPr>
              <w:pStyle w:val="tvhtml"/>
              <w:jc w:val="both"/>
              <w:rPr>
                <w:rFonts w:ascii="Times New Roman" w:hAnsi="Times New Roman"/>
                <w:sz w:val="24"/>
                <w:szCs w:val="24"/>
                <w:lang w:val="lv-LV"/>
              </w:rPr>
            </w:pPr>
            <w:r>
              <w:rPr>
                <w:rFonts w:ascii="Times New Roman" w:hAnsi="Times New Roman"/>
                <w:color w:val="000000" w:themeColor="text1"/>
                <w:sz w:val="24"/>
                <w:szCs w:val="24"/>
                <w:lang w:val="lv-LV"/>
              </w:rPr>
              <w:t>Ar Ministru kabineta (turpmāk – MK) 2011.gada 30</w:t>
            </w:r>
            <w:r w:rsidR="00340BE8">
              <w:rPr>
                <w:rFonts w:ascii="Times New Roman" w:hAnsi="Times New Roman"/>
                <w:color w:val="000000" w:themeColor="text1"/>
                <w:sz w:val="24"/>
                <w:szCs w:val="24"/>
                <w:lang w:val="lv-LV"/>
              </w:rPr>
              <w:t>.</w:t>
            </w:r>
            <w:r>
              <w:rPr>
                <w:rFonts w:ascii="Times New Roman" w:hAnsi="Times New Roman"/>
                <w:color w:val="000000" w:themeColor="text1"/>
                <w:sz w:val="24"/>
                <w:szCs w:val="24"/>
                <w:lang w:val="lv-LV"/>
              </w:rPr>
              <w:t xml:space="preserve">augusta sēdes </w:t>
            </w:r>
            <w:proofErr w:type="spellStart"/>
            <w:r>
              <w:rPr>
                <w:rFonts w:ascii="Times New Roman" w:hAnsi="Times New Roman"/>
                <w:color w:val="000000" w:themeColor="text1"/>
                <w:sz w:val="24"/>
                <w:szCs w:val="24"/>
                <w:lang w:val="lv-LV"/>
              </w:rPr>
              <w:t>protokollēmum</w:t>
            </w:r>
            <w:r w:rsidR="00340BE8">
              <w:rPr>
                <w:rFonts w:ascii="Times New Roman" w:hAnsi="Times New Roman"/>
                <w:color w:val="000000" w:themeColor="text1"/>
                <w:sz w:val="24"/>
                <w:szCs w:val="24"/>
                <w:lang w:val="lv-LV"/>
              </w:rPr>
              <w:t>a</w:t>
            </w:r>
            <w:proofErr w:type="spellEnd"/>
            <w:r>
              <w:rPr>
                <w:rFonts w:ascii="Times New Roman" w:hAnsi="Times New Roman"/>
                <w:color w:val="000000" w:themeColor="text1"/>
                <w:sz w:val="24"/>
                <w:szCs w:val="24"/>
                <w:lang w:val="lv-LV"/>
              </w:rPr>
              <w:t xml:space="preserve"> (</w:t>
            </w:r>
            <w:proofErr w:type="spellStart"/>
            <w:r>
              <w:rPr>
                <w:rFonts w:ascii="Times New Roman" w:hAnsi="Times New Roman"/>
                <w:color w:val="000000" w:themeColor="text1"/>
                <w:sz w:val="24"/>
                <w:szCs w:val="24"/>
                <w:lang w:val="lv-LV"/>
              </w:rPr>
              <w:t>prot</w:t>
            </w:r>
            <w:proofErr w:type="spellEnd"/>
            <w:r>
              <w:rPr>
                <w:rFonts w:ascii="Times New Roman" w:hAnsi="Times New Roman"/>
                <w:color w:val="000000" w:themeColor="text1"/>
                <w:sz w:val="24"/>
                <w:szCs w:val="24"/>
                <w:lang w:val="lv-LV"/>
              </w:rPr>
              <w:t xml:space="preserve">. Nr.50 53.§) </w:t>
            </w:r>
            <w:r w:rsidR="00A7640A">
              <w:rPr>
                <w:rFonts w:ascii="Times New Roman" w:hAnsi="Times New Roman"/>
                <w:color w:val="000000" w:themeColor="text1"/>
                <w:sz w:val="24"/>
                <w:szCs w:val="24"/>
                <w:lang w:val="lv-LV"/>
              </w:rPr>
              <w:t xml:space="preserve">2. un </w:t>
            </w:r>
            <w:r>
              <w:rPr>
                <w:rFonts w:ascii="Times New Roman" w:hAnsi="Times New Roman"/>
                <w:color w:val="000000" w:themeColor="text1"/>
                <w:sz w:val="24"/>
                <w:szCs w:val="24"/>
                <w:lang w:val="lv-LV"/>
              </w:rPr>
              <w:t xml:space="preserve">4.punktu </w:t>
            </w:r>
            <w:r w:rsidR="00340BE8">
              <w:rPr>
                <w:rFonts w:ascii="Times New Roman" w:hAnsi="Times New Roman"/>
                <w:color w:val="000000" w:themeColor="text1"/>
                <w:sz w:val="24"/>
                <w:szCs w:val="24"/>
                <w:lang w:val="lv-LV"/>
              </w:rPr>
              <w:t xml:space="preserve">un </w:t>
            </w:r>
            <w:r w:rsidR="00340BE8" w:rsidRPr="00340BE8">
              <w:rPr>
                <w:lang w:val="lv-LV"/>
              </w:rPr>
              <w:t xml:space="preserve"> </w:t>
            </w:r>
            <w:r w:rsidR="00340BE8" w:rsidRPr="00340BE8">
              <w:rPr>
                <w:rFonts w:ascii="Times New Roman" w:hAnsi="Times New Roman"/>
                <w:sz w:val="24"/>
                <w:lang w:val="lv-LV"/>
              </w:rPr>
              <w:t>MK 2011.gada 7.septembra rīkojum</w:t>
            </w:r>
            <w:r w:rsidR="00340BE8">
              <w:rPr>
                <w:rFonts w:ascii="Times New Roman" w:hAnsi="Times New Roman"/>
                <w:sz w:val="24"/>
                <w:lang w:val="lv-LV"/>
              </w:rPr>
              <w:t>a</w:t>
            </w:r>
            <w:r w:rsidR="00340BE8" w:rsidRPr="00340BE8">
              <w:rPr>
                <w:rFonts w:ascii="Times New Roman" w:hAnsi="Times New Roman"/>
                <w:sz w:val="24"/>
                <w:lang w:val="lv-LV"/>
              </w:rPr>
              <w:t xml:space="preserve"> Nr.436 „Par Veselības norēķinu centra un Veselības ekonomikas centra reorganizāciju” (turpmāk – MK rīkojums Nr.436) </w:t>
            </w:r>
            <w:r w:rsidR="00340BE8">
              <w:rPr>
                <w:rFonts w:ascii="Times New Roman" w:hAnsi="Times New Roman"/>
                <w:sz w:val="24"/>
                <w:lang w:val="lv-LV"/>
              </w:rPr>
              <w:t xml:space="preserve">7.punktu </w:t>
            </w:r>
            <w:r w:rsidRPr="00806EBD">
              <w:rPr>
                <w:rFonts w:ascii="Times New Roman" w:hAnsi="Times New Roman"/>
                <w:sz w:val="24"/>
                <w:lang w:val="lv-LV"/>
              </w:rPr>
              <w:t xml:space="preserve">Veselības ministrijai </w:t>
            </w:r>
            <w:r>
              <w:rPr>
                <w:rFonts w:ascii="Times New Roman" w:hAnsi="Times New Roman"/>
                <w:sz w:val="24"/>
                <w:lang w:val="lv-LV"/>
              </w:rPr>
              <w:t xml:space="preserve">tika uzdots </w:t>
            </w:r>
            <w:r w:rsidRPr="00806EBD">
              <w:rPr>
                <w:rFonts w:ascii="Times New Roman" w:hAnsi="Times New Roman"/>
                <w:sz w:val="24"/>
                <w:lang w:val="lv-LV"/>
              </w:rPr>
              <w:t>sadarbībā ar Finanšu ministriju (</w:t>
            </w:r>
            <w:r w:rsidR="0045562B">
              <w:rPr>
                <w:rFonts w:ascii="Times New Roman" w:hAnsi="Times New Roman"/>
                <w:sz w:val="24"/>
                <w:lang w:val="lv-LV"/>
              </w:rPr>
              <w:t>valsts aģentūru „</w:t>
            </w:r>
            <w:r w:rsidRPr="00806EBD">
              <w:rPr>
                <w:rFonts w:ascii="Times New Roman" w:hAnsi="Times New Roman"/>
                <w:sz w:val="24"/>
                <w:lang w:val="lv-LV"/>
              </w:rPr>
              <w:t>Centrālo finanšu un līgumu aģentūr</w:t>
            </w:r>
            <w:r w:rsidR="0045562B">
              <w:rPr>
                <w:rFonts w:ascii="Times New Roman" w:hAnsi="Times New Roman"/>
                <w:sz w:val="24"/>
                <w:lang w:val="lv-LV"/>
              </w:rPr>
              <w:t>a” (turpmāk – CFLA)</w:t>
            </w:r>
            <w:r w:rsidRPr="00806EBD">
              <w:rPr>
                <w:rFonts w:ascii="Times New Roman" w:hAnsi="Times New Roman"/>
                <w:sz w:val="24"/>
                <w:lang w:val="lv-LV"/>
              </w:rPr>
              <w:t>) normatīvajos aktos noteiktajā kārtībā sagatavot un līdz 2011.gada 25.oktobrim iesniegt izskatīšanai Ministru kabinetā rīkojuma projektu par funkcijas optimizāciju un finanšu resursu pārdali starp Veselības ministriju un Finanšu ministriju saistībā ar Eiropas Savienības fondu sadarbības iestādes funkcijas nodošanu Centrālajai finanšu un līgumu aģentūrai</w:t>
            </w:r>
            <w:r>
              <w:rPr>
                <w:rFonts w:ascii="Times New Roman" w:hAnsi="Times New Roman"/>
                <w:sz w:val="24"/>
                <w:lang w:val="lv-LV"/>
              </w:rPr>
              <w:t xml:space="preserve"> </w:t>
            </w:r>
            <w:r w:rsidRPr="00806EBD">
              <w:rPr>
                <w:rFonts w:ascii="Times New Roman" w:hAnsi="Times New Roman"/>
                <w:sz w:val="24"/>
                <w:lang w:val="lv-LV"/>
              </w:rPr>
              <w:t>ar 2012.gada 1.janvāri.</w:t>
            </w:r>
            <w:r>
              <w:rPr>
                <w:rFonts w:ascii="Times New Roman" w:hAnsi="Times New Roman"/>
                <w:sz w:val="24"/>
                <w:lang w:val="lv-LV"/>
              </w:rPr>
              <w:t xml:space="preserve"> </w:t>
            </w:r>
            <w:r w:rsidR="00A7640A">
              <w:rPr>
                <w:rFonts w:ascii="Times New Roman" w:hAnsi="Times New Roman"/>
                <w:sz w:val="24"/>
                <w:lang w:val="lv-LV"/>
              </w:rPr>
              <w:t xml:space="preserve">Uzraugot minētā MK </w:t>
            </w:r>
            <w:proofErr w:type="spellStart"/>
            <w:r w:rsidR="00A7640A">
              <w:rPr>
                <w:rFonts w:ascii="Times New Roman" w:hAnsi="Times New Roman"/>
                <w:sz w:val="24"/>
                <w:lang w:val="lv-LV"/>
              </w:rPr>
              <w:t>protok</w:t>
            </w:r>
            <w:r w:rsidR="001664BD">
              <w:rPr>
                <w:rFonts w:ascii="Times New Roman" w:hAnsi="Times New Roman"/>
                <w:sz w:val="24"/>
                <w:lang w:val="lv-LV"/>
              </w:rPr>
              <w:t>o</w:t>
            </w:r>
            <w:r w:rsidR="00A7640A">
              <w:rPr>
                <w:rFonts w:ascii="Times New Roman" w:hAnsi="Times New Roman"/>
                <w:sz w:val="24"/>
                <w:lang w:val="lv-LV"/>
              </w:rPr>
              <w:t>llēmuma</w:t>
            </w:r>
            <w:proofErr w:type="spellEnd"/>
            <w:r w:rsidR="00A7640A">
              <w:rPr>
                <w:rFonts w:ascii="Times New Roman" w:hAnsi="Times New Roman"/>
                <w:sz w:val="24"/>
                <w:lang w:val="lv-LV"/>
              </w:rPr>
              <w:t xml:space="preserve"> izpildi</w:t>
            </w:r>
            <w:r>
              <w:rPr>
                <w:rFonts w:ascii="Times New Roman" w:hAnsi="Times New Roman"/>
                <w:sz w:val="24"/>
                <w:lang w:val="lv-LV"/>
              </w:rPr>
              <w:t xml:space="preserve">, Finanšu ministrija ir secinājusi, ka lietderīgāk būtu sadarbības iestādes funkcijas nodot CFLA jau ar 2011.gada 1.novembri, kad tiek apvienots Veselības ekonomikas centrs </w:t>
            </w:r>
            <w:r w:rsidR="0001170C">
              <w:rPr>
                <w:rFonts w:ascii="Times New Roman" w:hAnsi="Times New Roman"/>
                <w:sz w:val="24"/>
                <w:lang w:val="lv-LV"/>
              </w:rPr>
              <w:t xml:space="preserve">(turpmāk – VEC) </w:t>
            </w:r>
            <w:r>
              <w:rPr>
                <w:rFonts w:ascii="Times New Roman" w:hAnsi="Times New Roman"/>
                <w:sz w:val="24"/>
                <w:lang w:val="lv-LV"/>
              </w:rPr>
              <w:t>un Veselības norēķinu centrs, izveidojot Nacionālo veselības dienestu.</w:t>
            </w:r>
          </w:p>
        </w:tc>
      </w:tr>
      <w:tr w:rsidR="001641B1" w:rsidRPr="00BA3141" w:rsidTr="00806EBD">
        <w:trPr>
          <w:trHeight w:val="472"/>
        </w:trPr>
        <w:tc>
          <w:tcPr>
            <w:tcW w:w="550" w:type="dxa"/>
          </w:tcPr>
          <w:p w:rsidR="001641B1" w:rsidRPr="007C0F2C" w:rsidRDefault="001641B1" w:rsidP="00806EBD">
            <w:pPr>
              <w:pStyle w:val="naiskr"/>
              <w:spacing w:before="0" w:after="0"/>
              <w:rPr>
                <w:sz w:val="22"/>
                <w:szCs w:val="22"/>
              </w:rPr>
            </w:pPr>
            <w:r w:rsidRPr="007C0F2C">
              <w:rPr>
                <w:sz w:val="22"/>
                <w:szCs w:val="22"/>
              </w:rPr>
              <w:t>2.</w:t>
            </w:r>
          </w:p>
        </w:tc>
        <w:tc>
          <w:tcPr>
            <w:tcW w:w="2739" w:type="dxa"/>
          </w:tcPr>
          <w:p w:rsidR="001641B1" w:rsidRPr="007C0F2C" w:rsidRDefault="001641B1" w:rsidP="00806EBD">
            <w:pPr>
              <w:pStyle w:val="naiskr"/>
              <w:tabs>
                <w:tab w:val="left" w:pos="170"/>
              </w:tabs>
              <w:spacing w:before="0" w:after="0"/>
              <w:rPr>
                <w:sz w:val="22"/>
                <w:szCs w:val="22"/>
              </w:rPr>
            </w:pPr>
            <w:r w:rsidRPr="007C0F2C">
              <w:rPr>
                <w:sz w:val="22"/>
                <w:szCs w:val="22"/>
              </w:rPr>
              <w:t>Pašreizējā situācija un problēmas</w:t>
            </w:r>
          </w:p>
        </w:tc>
        <w:tc>
          <w:tcPr>
            <w:tcW w:w="6436" w:type="dxa"/>
            <w:shd w:val="clear" w:color="auto" w:fill="auto"/>
          </w:tcPr>
          <w:p w:rsidR="001641B1" w:rsidRDefault="00344EFB" w:rsidP="00806EBD">
            <w:pPr>
              <w:jc w:val="both"/>
            </w:pPr>
            <w:r>
              <w:t>Atbilstoši MK rīkojum</w:t>
            </w:r>
            <w:r w:rsidR="00340BE8">
              <w:t>a</w:t>
            </w:r>
            <w:r>
              <w:t xml:space="preserve"> Nr.436 </w:t>
            </w:r>
            <w:r w:rsidR="00340BE8">
              <w:t xml:space="preserve">1. un 2.punktam </w:t>
            </w:r>
            <w:r>
              <w:t xml:space="preserve">paredzēts reorganizēt Veselības norēķinu centru un </w:t>
            </w:r>
            <w:r w:rsidR="0001170C">
              <w:t>VEC</w:t>
            </w:r>
            <w:r>
              <w:t>, tās apvienojot un ar 2011.gada 1.novembri izveidojot Nacionālo veselības dienestu, kurš būtu minēto iestāžu funkciju, pārvaldes uzdevumu, tiesību, saistību, finanšu līdzekļu, mantas un lietvedības pārņēmējs. Atbilstoši šā rīkojuma 3.23.apakšpunktam Nacionālais veselības dienests pārņemtu arī Eiropas Savienības fondu sadarbības iestādes funkcijas. Savukārt a</w:t>
            </w:r>
            <w:r w:rsidR="00D12F97">
              <w:t xml:space="preserve">tbilstoši MK rīkojuma Nr.436 7.punktam Veselības ministrijai ir uzdots sadarbībā ar </w:t>
            </w:r>
            <w:r w:rsidR="00D12F97" w:rsidRPr="00806EBD">
              <w:t>Finanšu ministriju (Centrālo finanšu un līgumu aģentūru) normatīvajos aktos noteiktajā kārtībā sagatavot un</w:t>
            </w:r>
            <w:r w:rsidR="00D12F97">
              <w:t xml:space="preserve"> veselības ministram</w:t>
            </w:r>
            <w:r w:rsidR="00D12F97" w:rsidRPr="00806EBD">
              <w:t xml:space="preserve"> līdz 2011.gada 25.oktobrim iesniegt izskatīšanai Ministru kabinetā rīkojuma projektu par </w:t>
            </w:r>
            <w:r w:rsidR="00D12F97">
              <w:t xml:space="preserve">Eiropas Savienības fondu sadarbības iestādes </w:t>
            </w:r>
            <w:r w:rsidR="00D12F97" w:rsidRPr="00806EBD">
              <w:t>funkcij</w:t>
            </w:r>
            <w:r w:rsidR="00D12F97">
              <w:t xml:space="preserve">u nodošanu CFLA ar </w:t>
            </w:r>
            <w:r w:rsidR="00D12F97" w:rsidRPr="00806EBD">
              <w:t>2012.gada 1.janvāri</w:t>
            </w:r>
            <w:r w:rsidR="00D12F97">
              <w:t xml:space="preserve"> un ar to saistīto finanšu resursu pārdali starp Veselības ministriju un Finanšu ministriju.</w:t>
            </w:r>
          </w:p>
          <w:p w:rsidR="00D12F97" w:rsidRDefault="00A7640A" w:rsidP="00806EBD">
            <w:pPr>
              <w:jc w:val="both"/>
            </w:pPr>
            <w:r>
              <w:t>Uzraugot</w:t>
            </w:r>
            <w:r w:rsidR="00340BE8">
              <w:t xml:space="preserve"> </w:t>
            </w:r>
            <w:r w:rsidR="00340BE8">
              <w:rPr>
                <w:color w:val="000000" w:themeColor="text1"/>
              </w:rPr>
              <w:t xml:space="preserve"> MK 2011.gada 30.augusta sēdes </w:t>
            </w:r>
            <w:proofErr w:type="spellStart"/>
            <w:r w:rsidR="00340BE8">
              <w:rPr>
                <w:color w:val="000000" w:themeColor="text1"/>
              </w:rPr>
              <w:t>protokollēmuma</w:t>
            </w:r>
            <w:proofErr w:type="spellEnd"/>
            <w:r w:rsidR="00340BE8">
              <w:rPr>
                <w:color w:val="000000" w:themeColor="text1"/>
              </w:rPr>
              <w:t xml:space="preserve"> (</w:t>
            </w:r>
            <w:proofErr w:type="spellStart"/>
            <w:r w:rsidR="00340BE8">
              <w:rPr>
                <w:color w:val="000000" w:themeColor="text1"/>
              </w:rPr>
              <w:t>prot</w:t>
            </w:r>
            <w:proofErr w:type="spellEnd"/>
            <w:r w:rsidR="00340BE8">
              <w:rPr>
                <w:color w:val="000000" w:themeColor="text1"/>
              </w:rPr>
              <w:t xml:space="preserve">. Nr.50 53.§) </w:t>
            </w:r>
            <w:r w:rsidR="003C0B8B">
              <w:rPr>
                <w:color w:val="000000" w:themeColor="text1"/>
              </w:rPr>
              <w:t xml:space="preserve">2. un </w:t>
            </w:r>
            <w:r w:rsidR="00340BE8">
              <w:rPr>
                <w:color w:val="000000" w:themeColor="text1"/>
              </w:rPr>
              <w:t>4.punkt</w:t>
            </w:r>
            <w:r w:rsidR="003C0B8B">
              <w:rPr>
                <w:color w:val="000000" w:themeColor="text1"/>
              </w:rPr>
              <w:t>a un</w:t>
            </w:r>
            <w:r w:rsidR="00340BE8">
              <w:rPr>
                <w:color w:val="000000" w:themeColor="text1"/>
              </w:rPr>
              <w:t xml:space="preserve"> </w:t>
            </w:r>
            <w:r>
              <w:t>MK rīkojuma Nr.436 7.punkta izpildi</w:t>
            </w:r>
            <w:r w:rsidR="00340BE8">
              <w:t xml:space="preserve">, Finanšu ministrija </w:t>
            </w:r>
            <w:r w:rsidR="003C0B8B">
              <w:t xml:space="preserve"> </w:t>
            </w:r>
            <w:proofErr w:type="spellStart"/>
            <w:r w:rsidR="003C0B8B">
              <w:t>š.g</w:t>
            </w:r>
            <w:proofErr w:type="spellEnd"/>
            <w:r w:rsidR="003C0B8B">
              <w:t xml:space="preserve">. 5.septembrī </w:t>
            </w:r>
            <w:r w:rsidR="00340BE8">
              <w:t>ir tikusies ar Veselības ministrijas, CFLA</w:t>
            </w:r>
            <w:r w:rsidR="003C0B8B">
              <w:t xml:space="preserve"> un VEC pārstāvjiem</w:t>
            </w:r>
            <w:r w:rsidR="00340BE8">
              <w:t xml:space="preserve">, kā arī pārrunājusi dažādus reorganizācijas aspektus saistībā ar Eiropas Savienības fondu vadības un kontroles sistēmu ar revīzijas iestādi. Revīzijas iestāde norāda, ka </w:t>
            </w:r>
            <w:r w:rsidR="00340BE8">
              <w:rPr>
                <w:sz w:val="28"/>
              </w:rPr>
              <w:t xml:space="preserve"> </w:t>
            </w:r>
            <w:r w:rsidR="00340BE8" w:rsidRPr="00340BE8">
              <w:t xml:space="preserve">lai arī atkārtota akreditācija par Eiropas Savienības fondu vadības un kontroles sistēmas atbilstību nav jāveic, šādas izmaiņas uzskatāmas par būtiskām un par tām ir jāinformē Eiropas Komisija, iesniedzot tajā Gada kontroles </w:t>
            </w:r>
            <w:r w:rsidR="00340BE8" w:rsidRPr="00340BE8">
              <w:lastRenderedPageBreak/>
              <w:t xml:space="preserve">ziņojumu, tai skaitā ietverot tajā apliecinājumu tam, ka Eiropas Savienības fondu vadības un kontroles sistēma pēc veiktajām izmaiņām joprojām atbilst visām tai Eiropas Savienības normatīvajos aktos izvirzītajām prasībām. Lai sniegtu šādu apliecinājumu, revīzijas iestāde veic auditu par izveidotās iekšējās kontroles sistēmas atbilstību normatīvajos aktos paredzētajām izmaiņām un citām izmaiņām. Attiecīgi, šāds audits būtu jāveic gan </w:t>
            </w:r>
            <w:r w:rsidR="00340BE8">
              <w:t>Nacionālajā veselības dienestā</w:t>
            </w:r>
            <w:r w:rsidR="00340BE8" w:rsidRPr="00340BE8">
              <w:t xml:space="preserve">, ja </w:t>
            </w:r>
            <w:r w:rsidR="00340BE8">
              <w:t>tas</w:t>
            </w:r>
            <w:r w:rsidR="00340BE8" w:rsidRPr="00340BE8">
              <w:t xml:space="preserve"> pārņem </w:t>
            </w:r>
            <w:r w:rsidR="0001170C">
              <w:t>VEC</w:t>
            </w:r>
            <w:r w:rsidR="00340BE8" w:rsidRPr="00340BE8">
              <w:t xml:space="preserve"> funkcijas no </w:t>
            </w:r>
            <w:proofErr w:type="spellStart"/>
            <w:r w:rsidR="00340BE8" w:rsidRPr="00340BE8">
              <w:t>š.g</w:t>
            </w:r>
            <w:proofErr w:type="spellEnd"/>
            <w:r w:rsidR="00340BE8" w:rsidRPr="00340BE8">
              <w:t xml:space="preserve">. 1.novembra līdz </w:t>
            </w:r>
            <w:proofErr w:type="spellStart"/>
            <w:r w:rsidR="00340BE8" w:rsidRPr="00340BE8">
              <w:t>š.g</w:t>
            </w:r>
            <w:proofErr w:type="spellEnd"/>
            <w:r w:rsidR="00340BE8" w:rsidRPr="00340BE8">
              <w:t>. 31.decembrim, kā arī – nākamajā gadā –</w:t>
            </w:r>
            <w:r w:rsidR="0001170C">
              <w:t xml:space="preserve"> </w:t>
            </w:r>
            <w:r w:rsidR="00340BE8" w:rsidRPr="00340BE8">
              <w:t xml:space="preserve">CFLA, kas no 2012.gada 1.janvāra pārņemtu sadarbības iestādes funkcijas no </w:t>
            </w:r>
            <w:r w:rsidR="00340BE8">
              <w:t>Nacionālā veselības dienesta</w:t>
            </w:r>
            <w:r w:rsidR="00340BE8" w:rsidRPr="00340BE8">
              <w:t xml:space="preserve">. </w:t>
            </w:r>
          </w:p>
          <w:p w:rsidR="003C0B8B" w:rsidRDefault="001664BD" w:rsidP="00806EBD">
            <w:pPr>
              <w:jc w:val="both"/>
            </w:pPr>
            <w:r>
              <w:t xml:space="preserve">Turklāt paredzams, ka Nacionālais veselības dienests kā sadarbības iestāde </w:t>
            </w:r>
            <w:proofErr w:type="spellStart"/>
            <w:r>
              <w:t>š.g</w:t>
            </w:r>
            <w:proofErr w:type="spellEnd"/>
            <w:r>
              <w:t xml:space="preserve">. novembrī un decembrī veiks maksājumus finansējuma saņēmējiem. Minēto maksājumu deklarēšana Eiropas Komisijā nebūs iespējama līdz revīzijas iestādes veiktā </w:t>
            </w:r>
            <w:r w:rsidRPr="00AC7CBE">
              <w:rPr>
                <w:i/>
              </w:rPr>
              <w:t xml:space="preserve">Izveidotās iekšējās kontroles sistēmas atbilstības normatīvo aktu prasībām </w:t>
            </w:r>
            <w:r>
              <w:t>audita rezultātiem. Saskaņā ar revīzijas iestādes audita plānu, minētais audits varētu tikt uzsākts ne ātrāk kā 2012.gada otrajā pusgadā. Tādējādi sertifikācijas iestāde varēs deklarēt veiktos izdevumus tikai pēc tam, kad Nacionālajā veselības dienestā būs pabeigts audits un saņemts pozitīvs atzinums par Nacionālā veselības dienesta izveidotās iekšējās kontroles sistēmas atbilstību Eiropas Savienības tiesību aktos izvirzītajām prasībām, proti, ne ātrāk kā 2012.gada beigās, tādējādi aizkavējot Eiropas Savienības fondu apguvi</w:t>
            </w:r>
            <w:r w:rsidR="002E081C">
              <w:t xml:space="preserve">. </w:t>
            </w:r>
            <w:r w:rsidR="00D13F5D" w:rsidRPr="00340BE8">
              <w:t xml:space="preserve">Lai nodrošinātu efektīvu, caurredzamu un drošas finanšu vadības principiem atbilstošu Eiropas Savienības fondu ieviešanu, </w:t>
            </w:r>
            <w:r w:rsidR="00D13F5D">
              <w:t>lietderīgāk būtu VEC</w:t>
            </w:r>
            <w:r w:rsidR="00D13F5D" w:rsidRPr="00340BE8">
              <w:t xml:space="preserve"> sadarbības iestādes funkcijas </w:t>
            </w:r>
            <w:r w:rsidR="00D13F5D">
              <w:t xml:space="preserve">nodot CFLA </w:t>
            </w:r>
            <w:r w:rsidR="00D13F5D" w:rsidRPr="00340BE8">
              <w:t xml:space="preserve">jau no </w:t>
            </w:r>
            <w:proofErr w:type="spellStart"/>
            <w:r w:rsidR="00D13F5D" w:rsidRPr="00340BE8">
              <w:t>š.g</w:t>
            </w:r>
            <w:proofErr w:type="spellEnd"/>
            <w:r w:rsidR="00D13F5D" w:rsidRPr="00340BE8">
              <w:t>. 1.novembra.</w:t>
            </w:r>
          </w:p>
          <w:p w:rsidR="00905BA9" w:rsidRDefault="00905BA9" w:rsidP="00806EBD">
            <w:pPr>
              <w:jc w:val="both"/>
            </w:pPr>
            <w:r>
              <w:t>Bez tam nepieciešams regulējums attiecībā uz to darbinieku darbavietām un valsts civildienesta ierēdņu amata vietām, kuri nodrošina sadarbības iestādes funkcijas VEC. Savukārt CFLA ir nepieciešami papildu cilvēkresursi, lai nodrošinātu pārņemtās sadarbības iestādes funkcijas.</w:t>
            </w:r>
          </w:p>
          <w:p w:rsidR="001641B1" w:rsidRPr="00897636" w:rsidRDefault="004B2F98" w:rsidP="000376A6">
            <w:pPr>
              <w:jc w:val="both"/>
              <w:rPr>
                <w:rFonts w:asciiTheme="minorHAnsi" w:hAnsiTheme="minorHAnsi" w:cstheme="minorBidi"/>
              </w:rPr>
            </w:pPr>
            <w:r>
              <w:t>Ņemot vērā minēto</w:t>
            </w:r>
            <w:r w:rsidR="0045562B">
              <w:t>,</w:t>
            </w:r>
            <w:r>
              <w:t xml:space="preserve"> nepieciešams izdarīt grozījumus MK rīkojumā Nr.436 </w:t>
            </w:r>
            <w:r w:rsidR="0045562B">
              <w:t xml:space="preserve">un </w:t>
            </w:r>
            <w:r w:rsidR="000376A6">
              <w:t xml:space="preserve">atzīt par aktualitāti zaudējušu </w:t>
            </w:r>
            <w:r>
              <w:rPr>
                <w:color w:val="000000" w:themeColor="text1"/>
              </w:rPr>
              <w:t xml:space="preserve">MK 2011.gada 30.augusta sēdes </w:t>
            </w:r>
            <w:proofErr w:type="spellStart"/>
            <w:r>
              <w:rPr>
                <w:color w:val="000000" w:themeColor="text1"/>
              </w:rPr>
              <w:t>protokollēmum</w:t>
            </w:r>
            <w:r w:rsidR="000376A6">
              <w:rPr>
                <w:color w:val="000000" w:themeColor="text1"/>
              </w:rPr>
              <w:t>a</w:t>
            </w:r>
            <w:proofErr w:type="spellEnd"/>
            <w:r>
              <w:rPr>
                <w:color w:val="000000" w:themeColor="text1"/>
              </w:rPr>
              <w:t xml:space="preserve"> (</w:t>
            </w:r>
            <w:proofErr w:type="spellStart"/>
            <w:r>
              <w:rPr>
                <w:color w:val="000000" w:themeColor="text1"/>
              </w:rPr>
              <w:t>prot</w:t>
            </w:r>
            <w:proofErr w:type="spellEnd"/>
            <w:r>
              <w:rPr>
                <w:color w:val="000000" w:themeColor="text1"/>
              </w:rPr>
              <w:t>. Nr.50 53.§)</w:t>
            </w:r>
            <w:r w:rsidR="000376A6">
              <w:rPr>
                <w:color w:val="000000" w:themeColor="text1"/>
              </w:rPr>
              <w:t xml:space="preserve"> 2. un 4.punktu</w:t>
            </w:r>
            <w:r>
              <w:rPr>
                <w:color w:val="000000" w:themeColor="text1"/>
              </w:rPr>
              <w:t>.</w:t>
            </w:r>
          </w:p>
        </w:tc>
      </w:tr>
      <w:tr w:rsidR="001641B1" w:rsidRPr="007C0F2C" w:rsidTr="00806EBD">
        <w:trPr>
          <w:trHeight w:val="648"/>
        </w:trPr>
        <w:tc>
          <w:tcPr>
            <w:tcW w:w="550" w:type="dxa"/>
          </w:tcPr>
          <w:p w:rsidR="001641B1" w:rsidRPr="007C0F2C" w:rsidRDefault="001641B1" w:rsidP="00806EBD">
            <w:pPr>
              <w:pStyle w:val="naiskr"/>
              <w:spacing w:before="0" w:after="0"/>
              <w:rPr>
                <w:sz w:val="22"/>
                <w:szCs w:val="22"/>
              </w:rPr>
            </w:pPr>
            <w:r w:rsidRPr="007C0F2C">
              <w:rPr>
                <w:sz w:val="22"/>
                <w:szCs w:val="22"/>
              </w:rPr>
              <w:lastRenderedPageBreak/>
              <w:t>3.</w:t>
            </w:r>
          </w:p>
        </w:tc>
        <w:tc>
          <w:tcPr>
            <w:tcW w:w="2739" w:type="dxa"/>
          </w:tcPr>
          <w:p w:rsidR="001641B1" w:rsidRPr="007C0F2C" w:rsidRDefault="001641B1" w:rsidP="00806EBD">
            <w:pPr>
              <w:pStyle w:val="naiskr"/>
              <w:spacing w:before="0" w:after="0"/>
              <w:rPr>
                <w:sz w:val="22"/>
                <w:szCs w:val="22"/>
              </w:rPr>
            </w:pPr>
            <w:r w:rsidRPr="007C0F2C">
              <w:rPr>
                <w:sz w:val="22"/>
                <w:szCs w:val="22"/>
              </w:rPr>
              <w:t>Saistītie politikas ietekmes novērtējumi un pētījumi</w:t>
            </w:r>
          </w:p>
        </w:tc>
        <w:tc>
          <w:tcPr>
            <w:tcW w:w="6436" w:type="dxa"/>
            <w:vAlign w:val="center"/>
          </w:tcPr>
          <w:p w:rsidR="001641B1" w:rsidRPr="007C0F2C" w:rsidRDefault="0028016C" w:rsidP="00806EBD">
            <w:pPr>
              <w:pStyle w:val="FootnoteText"/>
              <w:rPr>
                <w:sz w:val="22"/>
                <w:szCs w:val="22"/>
              </w:rPr>
            </w:pPr>
            <w:r>
              <w:rPr>
                <w:sz w:val="24"/>
                <w:szCs w:val="22"/>
              </w:rPr>
              <w:t>Projekts šo jomu neskar</w:t>
            </w:r>
          </w:p>
        </w:tc>
      </w:tr>
      <w:tr w:rsidR="001641B1" w:rsidRPr="009B3577" w:rsidTr="00806EBD">
        <w:trPr>
          <w:trHeight w:val="384"/>
        </w:trPr>
        <w:tc>
          <w:tcPr>
            <w:tcW w:w="550" w:type="dxa"/>
          </w:tcPr>
          <w:p w:rsidR="001641B1" w:rsidRPr="007C0F2C" w:rsidRDefault="001641B1" w:rsidP="00806EBD">
            <w:pPr>
              <w:pStyle w:val="naiskr"/>
              <w:spacing w:before="0" w:after="0"/>
              <w:rPr>
                <w:sz w:val="22"/>
                <w:szCs w:val="22"/>
              </w:rPr>
            </w:pPr>
            <w:r w:rsidRPr="007C0F2C">
              <w:rPr>
                <w:sz w:val="22"/>
                <w:szCs w:val="22"/>
              </w:rPr>
              <w:t>4.</w:t>
            </w:r>
          </w:p>
        </w:tc>
        <w:tc>
          <w:tcPr>
            <w:tcW w:w="2739" w:type="dxa"/>
          </w:tcPr>
          <w:p w:rsidR="001641B1" w:rsidRPr="00D8710A" w:rsidRDefault="001641B1" w:rsidP="00806EBD">
            <w:pPr>
              <w:pStyle w:val="naiskr"/>
              <w:spacing w:before="0" w:after="0"/>
            </w:pPr>
            <w:r w:rsidRPr="00D8710A">
              <w:t>Tiesiskā regulējuma mērķis un būtība</w:t>
            </w:r>
          </w:p>
        </w:tc>
        <w:tc>
          <w:tcPr>
            <w:tcW w:w="6436" w:type="dxa"/>
          </w:tcPr>
          <w:p w:rsidR="002704D7" w:rsidRDefault="002704D7" w:rsidP="004B2F98">
            <w:pPr>
              <w:pStyle w:val="naiskr"/>
              <w:spacing w:before="0" w:after="0"/>
              <w:jc w:val="both"/>
            </w:pPr>
            <w:r>
              <w:t xml:space="preserve">MK rīkojuma projekta mērķis ir </w:t>
            </w:r>
            <w:r w:rsidRPr="00340BE8">
              <w:t xml:space="preserve"> nodrošināt efektīvu, caurredzamu un drošas finanšu vadības principiem atbilstošu Eiropas Savienības fondu ieviešanu, </w:t>
            </w:r>
            <w:r>
              <w:t xml:space="preserve">paredzot  </w:t>
            </w:r>
            <w:r w:rsidR="0001170C">
              <w:t>VEC</w:t>
            </w:r>
            <w:r w:rsidRPr="00340BE8">
              <w:t xml:space="preserve"> sadarbības iestādes funkcijas </w:t>
            </w:r>
            <w:r>
              <w:t xml:space="preserve">nodot CFLA </w:t>
            </w:r>
            <w:r w:rsidRPr="00340BE8">
              <w:t xml:space="preserve">jau no </w:t>
            </w:r>
            <w:proofErr w:type="spellStart"/>
            <w:r w:rsidRPr="00340BE8">
              <w:t>š.g</w:t>
            </w:r>
            <w:proofErr w:type="spellEnd"/>
            <w:r w:rsidRPr="00340BE8">
              <w:t>. 1.novembra.</w:t>
            </w:r>
            <w:r>
              <w:t xml:space="preserve"> Bez tam rīkojuma projektā paredzēti grozījumi, nosakot MK rīkojuma Nr.436 2.punktā izņēmumu saistībā ar sadarbības iestādes </w:t>
            </w:r>
            <w:r w:rsidR="00E57C8B">
              <w:t xml:space="preserve">funkciju nodošanu CFLA, kā arī svītrots 3.23.apakšpunkts. </w:t>
            </w:r>
          </w:p>
          <w:p w:rsidR="004F0BAD" w:rsidRDefault="00E57C8B" w:rsidP="004B2F98">
            <w:pPr>
              <w:pStyle w:val="naiskr"/>
              <w:spacing w:before="0" w:after="0"/>
              <w:jc w:val="both"/>
            </w:pPr>
            <w:r>
              <w:t xml:space="preserve">MK rīkojums Nr.436 papildināts ar jaunu punktu, kas paredz </w:t>
            </w:r>
            <w:r w:rsidR="00905BA9">
              <w:t xml:space="preserve"> </w:t>
            </w:r>
            <w:r w:rsidR="000C3868">
              <w:t xml:space="preserve">viena </w:t>
            </w:r>
            <w:r w:rsidR="00905BA9">
              <w:t xml:space="preserve">darbinieka darbavietas </w:t>
            </w:r>
            <w:r>
              <w:t xml:space="preserve"> </w:t>
            </w:r>
            <w:r w:rsidR="00905BA9">
              <w:t xml:space="preserve">un valsts </w:t>
            </w:r>
            <w:r w:rsidR="000C3868">
              <w:t xml:space="preserve">20 </w:t>
            </w:r>
            <w:r w:rsidR="009904B6">
              <w:t xml:space="preserve">civildienesta </w:t>
            </w:r>
            <w:r w:rsidR="00D13F5D">
              <w:t>ierēdņ</w:t>
            </w:r>
            <w:r w:rsidR="00905BA9">
              <w:t>u</w:t>
            </w:r>
            <w:r w:rsidR="00D13F5D">
              <w:t xml:space="preserve"> </w:t>
            </w:r>
            <w:r>
              <w:t xml:space="preserve">amata vietu, kas bija nepieciešamas sadarbības iestādes funkciju nodrošināšanai, likvidēšanu </w:t>
            </w:r>
            <w:r w:rsidR="0001170C">
              <w:t>VEC</w:t>
            </w:r>
            <w:r>
              <w:t xml:space="preserve"> un</w:t>
            </w:r>
            <w:r w:rsidR="00905BA9">
              <w:t xml:space="preserve"> vienas jaunas darbinieka darbavietas un 20</w:t>
            </w:r>
            <w:r>
              <w:t xml:space="preserve"> </w:t>
            </w:r>
            <w:r w:rsidR="00D13F5D">
              <w:t>jaunu</w:t>
            </w:r>
            <w:r w:rsidR="009904B6">
              <w:t xml:space="preserve"> </w:t>
            </w:r>
            <w:r w:rsidR="00905BA9">
              <w:t xml:space="preserve">valsts </w:t>
            </w:r>
            <w:r w:rsidR="009904B6">
              <w:t>civildienesta</w:t>
            </w:r>
            <w:r w:rsidR="00D13F5D">
              <w:t xml:space="preserve"> ierēdņa amata vietu </w:t>
            </w:r>
            <w:r w:rsidR="00D13F5D">
              <w:lastRenderedPageBreak/>
              <w:t xml:space="preserve">izveidošanu </w:t>
            </w:r>
            <w:r>
              <w:t>CFLA, lai tā varētu sekmīgi turpināt sadarbības iestādes funkciju īstenošanu attiecībā uz Veselības ekonomikas centra pārziņā esošajām aktivitātēm.</w:t>
            </w:r>
            <w:r w:rsidR="009904B6">
              <w:t xml:space="preserve"> Civildienesta ierēdņa amata vietu likvidācija VEC un jaunu civildienesta ierēdņa amata vietu izveidošana CFLA nepieciešama, ņemot vērā CFLA izveidoto Eiropas Savienības fondu vadības un kontroles sistēmu, tai skaitā sadarbības iestādes struktūrvienības un amatus.</w:t>
            </w:r>
            <w:r w:rsidR="00905BA9">
              <w:t xml:space="preserve"> </w:t>
            </w:r>
            <w:r w:rsidR="004F0BAD" w:rsidRPr="00E00DC5">
              <w:t>Pamatojoties uz</w:t>
            </w:r>
            <w:r w:rsidR="004F0BAD">
              <w:t xml:space="preserve">, </w:t>
            </w:r>
            <w:r w:rsidR="004F0BAD" w:rsidRPr="00E00DC5">
              <w:t>to, ka ES fondu sadarbības iestādes funkciju no 2011.gada 1.novembra veiks CFLA</w:t>
            </w:r>
            <w:r w:rsidR="004F0BAD">
              <w:t xml:space="preserve"> un  Valsts civildienesta 37.panta pirmo daļu</w:t>
            </w:r>
            <w:r w:rsidR="004F0BAD" w:rsidRPr="00E00DC5">
              <w:t>, tā plāno piedāvāt attiecīgajiem VEC ierēdņiem un darbiniekiem darba vietas CFLA, nodrošinot projektu uzraudzību atbilstoši CFLA izveidotajai ES fondu vadības un kontroles sistēmai, struktūrai un izveidotajām amatu pozīcijām.</w:t>
            </w:r>
          </w:p>
          <w:p w:rsidR="002704D7" w:rsidRDefault="00041033" w:rsidP="00041033">
            <w:pPr>
              <w:pStyle w:val="naiskr"/>
              <w:spacing w:before="0" w:after="0"/>
              <w:jc w:val="both"/>
            </w:pPr>
            <w:r>
              <w:t xml:space="preserve">Ņemot vērā, ka sadarbības iestādes funkcijas plānots nodot CFLA, sākot jau ar </w:t>
            </w:r>
            <w:proofErr w:type="spellStart"/>
            <w:r>
              <w:t>š.g</w:t>
            </w:r>
            <w:proofErr w:type="spellEnd"/>
            <w:r>
              <w:t xml:space="preserve">. 1.novembri, nevis 2012.gada 1.janvāri, </w:t>
            </w:r>
            <w:r w:rsidR="00E57C8B">
              <w:t xml:space="preserve">tiek noteikts </w:t>
            </w:r>
            <w:r>
              <w:t xml:space="preserve">arī agrāks termiņš – </w:t>
            </w:r>
            <w:proofErr w:type="spellStart"/>
            <w:r>
              <w:t>š.g</w:t>
            </w:r>
            <w:proofErr w:type="spellEnd"/>
            <w:r>
              <w:t xml:space="preserve">. 10.oktobris – rīkojuma projekta par finanšu resursu pārdali starp Veselības ministriju un Finanšu ministriju saistībā ar sadarbības iestādes funkciju nodošanu (šobrīd spēkā esošajā redakcijā – </w:t>
            </w:r>
            <w:proofErr w:type="spellStart"/>
            <w:r>
              <w:t>š.g</w:t>
            </w:r>
            <w:proofErr w:type="spellEnd"/>
            <w:r>
              <w:t>. 25.oktobris).</w:t>
            </w:r>
          </w:p>
          <w:p w:rsidR="00041033" w:rsidRDefault="00041033" w:rsidP="000376A6">
            <w:pPr>
              <w:pStyle w:val="naiskr"/>
              <w:spacing w:before="0" w:after="0"/>
              <w:jc w:val="both"/>
              <w:rPr>
                <w:color w:val="000000" w:themeColor="text1"/>
              </w:rPr>
            </w:pPr>
            <w:r>
              <w:t xml:space="preserve">MK rīkojuma projektam tiek pievienots arī MK </w:t>
            </w:r>
            <w:proofErr w:type="spellStart"/>
            <w:r>
              <w:t>protokollēmum</w:t>
            </w:r>
            <w:r w:rsidR="000376A6">
              <w:t>a</w:t>
            </w:r>
            <w:proofErr w:type="spellEnd"/>
            <w:r>
              <w:t xml:space="preserve"> projekts, kurā paredzēts </w:t>
            </w:r>
            <w:r w:rsidR="000376A6">
              <w:t>atzīt par aktualitāti zaudējušu</w:t>
            </w:r>
            <w:r>
              <w:t xml:space="preserve"> </w:t>
            </w:r>
            <w:r>
              <w:rPr>
                <w:color w:val="000000" w:themeColor="text1"/>
              </w:rPr>
              <w:t xml:space="preserve"> MK 2011.gada 30.augusta sēdes </w:t>
            </w:r>
            <w:proofErr w:type="spellStart"/>
            <w:r>
              <w:rPr>
                <w:color w:val="000000" w:themeColor="text1"/>
              </w:rPr>
              <w:t>protokollēmum</w:t>
            </w:r>
            <w:r w:rsidR="000376A6">
              <w:rPr>
                <w:color w:val="000000" w:themeColor="text1"/>
              </w:rPr>
              <w:t>a</w:t>
            </w:r>
            <w:proofErr w:type="spellEnd"/>
            <w:r>
              <w:rPr>
                <w:color w:val="000000" w:themeColor="text1"/>
              </w:rPr>
              <w:t xml:space="preserve"> (</w:t>
            </w:r>
            <w:proofErr w:type="spellStart"/>
            <w:r>
              <w:rPr>
                <w:color w:val="000000" w:themeColor="text1"/>
              </w:rPr>
              <w:t>prot</w:t>
            </w:r>
            <w:proofErr w:type="spellEnd"/>
            <w:r>
              <w:rPr>
                <w:color w:val="000000" w:themeColor="text1"/>
              </w:rPr>
              <w:t>. Nr.50 53.§) 2. un 4.punktu. Šajos punktos minētie uzdevumi attiecībā uz sadarbības iestādes funkciju nodošanu CFLA un minētā rīkojuma par finanšu resursu pārdali ir iekļauti MK rīkojuma projektā par grozījumiem MK rīkojumā Nr.436, līdz ar to uzskatāmi par aktualitāti zaudējušiem</w:t>
            </w:r>
            <w:r w:rsidR="0001170C">
              <w:rPr>
                <w:color w:val="000000" w:themeColor="text1"/>
              </w:rPr>
              <w:t>.</w:t>
            </w:r>
          </w:p>
          <w:p w:rsidR="0028016C" w:rsidRPr="002C68B1" w:rsidRDefault="0028016C" w:rsidP="0028016C">
            <w:pPr>
              <w:pStyle w:val="naiskr"/>
              <w:spacing w:before="0" w:after="0"/>
              <w:jc w:val="both"/>
            </w:pPr>
            <w:r>
              <w:rPr>
                <w:color w:val="000000" w:themeColor="text1"/>
              </w:rPr>
              <w:t>Šāda veidā anotācijas (</w:t>
            </w:r>
            <w:r w:rsidR="00BA1530">
              <w:rPr>
                <w:color w:val="000000" w:themeColor="text1"/>
              </w:rPr>
              <w:t>I</w:t>
            </w:r>
            <w:r>
              <w:rPr>
                <w:color w:val="000000" w:themeColor="text1"/>
              </w:rPr>
              <w:t xml:space="preserve"> sadaļas 2.punktā minētās problēmas tiks atrisinās pilnībā.</w:t>
            </w:r>
          </w:p>
        </w:tc>
      </w:tr>
      <w:tr w:rsidR="001641B1" w:rsidRPr="007C0F2C" w:rsidTr="00806EBD">
        <w:trPr>
          <w:trHeight w:val="476"/>
        </w:trPr>
        <w:tc>
          <w:tcPr>
            <w:tcW w:w="550" w:type="dxa"/>
          </w:tcPr>
          <w:p w:rsidR="001641B1" w:rsidRPr="007C0F2C" w:rsidRDefault="001641B1" w:rsidP="00806EBD">
            <w:pPr>
              <w:pStyle w:val="naiskr"/>
              <w:spacing w:before="0" w:after="0"/>
              <w:rPr>
                <w:sz w:val="22"/>
                <w:szCs w:val="22"/>
              </w:rPr>
            </w:pPr>
            <w:r w:rsidRPr="007C0F2C">
              <w:rPr>
                <w:sz w:val="22"/>
                <w:szCs w:val="22"/>
              </w:rPr>
              <w:lastRenderedPageBreak/>
              <w:t>5.</w:t>
            </w:r>
          </w:p>
        </w:tc>
        <w:tc>
          <w:tcPr>
            <w:tcW w:w="2739" w:type="dxa"/>
          </w:tcPr>
          <w:p w:rsidR="001641B1" w:rsidRPr="007C0F2C" w:rsidRDefault="001641B1" w:rsidP="00806EBD">
            <w:pPr>
              <w:pStyle w:val="naiskr"/>
              <w:spacing w:before="0" w:after="0"/>
              <w:rPr>
                <w:sz w:val="22"/>
                <w:szCs w:val="22"/>
              </w:rPr>
            </w:pPr>
            <w:r w:rsidRPr="007C0F2C">
              <w:rPr>
                <w:sz w:val="22"/>
                <w:szCs w:val="22"/>
              </w:rPr>
              <w:t>Projekta izstrādē iesaistītās institūcijas</w:t>
            </w:r>
          </w:p>
        </w:tc>
        <w:tc>
          <w:tcPr>
            <w:tcW w:w="6436" w:type="dxa"/>
          </w:tcPr>
          <w:p w:rsidR="001641B1" w:rsidRPr="007C0F2C" w:rsidRDefault="00C92CBA" w:rsidP="00806EBD">
            <w:pPr>
              <w:pStyle w:val="naiskr"/>
              <w:spacing w:before="0" w:after="0"/>
              <w:rPr>
                <w:sz w:val="22"/>
                <w:szCs w:val="22"/>
              </w:rPr>
            </w:pPr>
            <w:r w:rsidRPr="004B2F98">
              <w:rPr>
                <w:szCs w:val="22"/>
              </w:rPr>
              <w:t>CFLA</w:t>
            </w:r>
          </w:p>
        </w:tc>
      </w:tr>
      <w:tr w:rsidR="001641B1" w:rsidRPr="00B10DF4" w:rsidTr="00806EBD">
        <w:trPr>
          <w:trHeight w:val="719"/>
        </w:trPr>
        <w:tc>
          <w:tcPr>
            <w:tcW w:w="550" w:type="dxa"/>
          </w:tcPr>
          <w:p w:rsidR="001641B1" w:rsidRPr="007C0F2C" w:rsidRDefault="001641B1" w:rsidP="00806EBD">
            <w:pPr>
              <w:pStyle w:val="naiskr"/>
              <w:spacing w:before="0" w:after="0"/>
              <w:rPr>
                <w:sz w:val="22"/>
                <w:szCs w:val="22"/>
              </w:rPr>
            </w:pPr>
            <w:r w:rsidRPr="007C0F2C">
              <w:rPr>
                <w:sz w:val="22"/>
                <w:szCs w:val="22"/>
              </w:rPr>
              <w:t>6.</w:t>
            </w:r>
          </w:p>
        </w:tc>
        <w:tc>
          <w:tcPr>
            <w:tcW w:w="2739" w:type="dxa"/>
          </w:tcPr>
          <w:p w:rsidR="001641B1" w:rsidRPr="007C0F2C" w:rsidRDefault="001641B1" w:rsidP="00806EBD">
            <w:pPr>
              <w:pStyle w:val="naiskr"/>
              <w:spacing w:before="0" w:after="0"/>
              <w:rPr>
                <w:i/>
                <w:sz w:val="22"/>
                <w:szCs w:val="22"/>
                <w:highlight w:val="yellow"/>
              </w:rPr>
            </w:pPr>
            <w:r w:rsidRPr="007C0F2C">
              <w:rPr>
                <w:sz w:val="22"/>
                <w:szCs w:val="22"/>
              </w:rPr>
              <w:t>Iemesli, kādēļ netika nodrošināta sabiedrības līdzdalība</w:t>
            </w:r>
          </w:p>
        </w:tc>
        <w:tc>
          <w:tcPr>
            <w:tcW w:w="6436" w:type="dxa"/>
          </w:tcPr>
          <w:p w:rsidR="001641B1" w:rsidRPr="004B2F98" w:rsidRDefault="004B2F98" w:rsidP="00806EBD">
            <w:pPr>
              <w:pStyle w:val="FootnoteText"/>
              <w:rPr>
                <w:color w:val="FF0000"/>
                <w:sz w:val="24"/>
              </w:rPr>
            </w:pPr>
            <w:r>
              <w:rPr>
                <w:sz w:val="24"/>
                <w:szCs w:val="22"/>
              </w:rPr>
              <w:t>Sabiedrības līdzdalība netika nodrošināta, jo MK rīkojuma projekts skar tikai tiešās valsts pārvaldes iestāžu reorganizāciju.</w:t>
            </w:r>
          </w:p>
        </w:tc>
      </w:tr>
      <w:tr w:rsidR="001641B1" w:rsidRPr="007C0F2C" w:rsidTr="00806EBD">
        <w:tc>
          <w:tcPr>
            <w:tcW w:w="550" w:type="dxa"/>
          </w:tcPr>
          <w:p w:rsidR="001641B1" w:rsidRPr="007C0F2C" w:rsidRDefault="001641B1" w:rsidP="00806EBD">
            <w:pPr>
              <w:pStyle w:val="naiskr"/>
              <w:spacing w:before="0" w:after="0"/>
              <w:rPr>
                <w:sz w:val="22"/>
                <w:szCs w:val="22"/>
              </w:rPr>
            </w:pPr>
            <w:r w:rsidRPr="007C0F2C">
              <w:rPr>
                <w:sz w:val="22"/>
                <w:szCs w:val="22"/>
              </w:rPr>
              <w:t>7.</w:t>
            </w:r>
          </w:p>
        </w:tc>
        <w:tc>
          <w:tcPr>
            <w:tcW w:w="2739" w:type="dxa"/>
          </w:tcPr>
          <w:p w:rsidR="001641B1" w:rsidRPr="007C0F2C" w:rsidRDefault="001641B1" w:rsidP="00806EBD">
            <w:pPr>
              <w:pStyle w:val="naiskr"/>
              <w:spacing w:before="0" w:after="0"/>
              <w:rPr>
                <w:sz w:val="22"/>
                <w:szCs w:val="22"/>
              </w:rPr>
            </w:pPr>
            <w:r w:rsidRPr="007C0F2C">
              <w:rPr>
                <w:sz w:val="22"/>
                <w:szCs w:val="22"/>
              </w:rPr>
              <w:t>Cita informācija</w:t>
            </w:r>
          </w:p>
        </w:tc>
        <w:tc>
          <w:tcPr>
            <w:tcW w:w="6436" w:type="dxa"/>
          </w:tcPr>
          <w:p w:rsidR="001641B1" w:rsidRPr="007C0F2C" w:rsidRDefault="001641B1" w:rsidP="00806EBD">
            <w:pPr>
              <w:pStyle w:val="naiskr"/>
              <w:spacing w:before="0" w:after="0"/>
              <w:rPr>
                <w:sz w:val="22"/>
                <w:szCs w:val="22"/>
              </w:rPr>
            </w:pPr>
            <w:r w:rsidRPr="007C0F2C">
              <w:rPr>
                <w:sz w:val="22"/>
                <w:szCs w:val="22"/>
              </w:rPr>
              <w:t>Nav</w:t>
            </w:r>
          </w:p>
        </w:tc>
      </w:tr>
    </w:tbl>
    <w:p w:rsidR="004B2F98" w:rsidRDefault="004B2F98" w:rsidP="001641B1">
      <w:pPr>
        <w:pStyle w:val="naisf"/>
        <w:spacing w:before="0" w:after="0"/>
        <w:ind w:firstLine="0"/>
        <w:jc w:val="center"/>
        <w:rPr>
          <w:sz w:val="28"/>
          <w:szCs w:val="28"/>
        </w:rPr>
      </w:pPr>
    </w:p>
    <w:p w:rsidR="00361798" w:rsidRDefault="00361798" w:rsidP="001641B1">
      <w:pPr>
        <w:pStyle w:val="naisf"/>
        <w:spacing w:before="0" w:after="0"/>
        <w:ind w:firstLine="0"/>
        <w:jc w:val="center"/>
        <w:rPr>
          <w:sz w:val="28"/>
          <w:szCs w:val="28"/>
        </w:rPr>
      </w:pPr>
    </w:p>
    <w:p w:rsidR="001641B1" w:rsidRDefault="001641B1" w:rsidP="001641B1">
      <w:pPr>
        <w:pStyle w:val="naisf"/>
        <w:spacing w:before="0" w:after="0"/>
        <w:ind w:firstLine="0"/>
        <w:jc w:val="center"/>
        <w:rPr>
          <w:i/>
          <w:sz w:val="28"/>
          <w:szCs w:val="28"/>
        </w:rPr>
      </w:pPr>
      <w:r>
        <w:rPr>
          <w:sz w:val="28"/>
          <w:szCs w:val="28"/>
        </w:rPr>
        <w:t>Anotācijas II</w:t>
      </w:r>
      <w:r w:rsidR="00120A11">
        <w:rPr>
          <w:sz w:val="28"/>
          <w:szCs w:val="28"/>
        </w:rPr>
        <w:t xml:space="preserve"> un</w:t>
      </w:r>
      <w:r w:rsidR="00361798">
        <w:rPr>
          <w:sz w:val="28"/>
          <w:szCs w:val="28"/>
        </w:rPr>
        <w:t xml:space="preserve"> III </w:t>
      </w:r>
      <w:r w:rsidRPr="009008AC">
        <w:rPr>
          <w:sz w:val="28"/>
          <w:szCs w:val="28"/>
        </w:rPr>
        <w:t>sadaļa –</w:t>
      </w:r>
      <w:r>
        <w:rPr>
          <w:i/>
          <w:sz w:val="28"/>
          <w:szCs w:val="28"/>
        </w:rPr>
        <w:t xml:space="preserve"> </w:t>
      </w:r>
      <w:r w:rsidR="0028016C">
        <w:rPr>
          <w:i/>
          <w:sz w:val="28"/>
          <w:szCs w:val="28"/>
        </w:rPr>
        <w:t>projekts šīs jomas neskar</w:t>
      </w:r>
    </w:p>
    <w:p w:rsidR="001641B1" w:rsidRDefault="001641B1" w:rsidP="001641B1">
      <w:pPr>
        <w:pStyle w:val="naisf"/>
        <w:spacing w:before="0" w:after="0"/>
        <w:ind w:firstLine="0"/>
        <w:jc w:val="center"/>
        <w:rPr>
          <w:i/>
          <w:sz w:val="28"/>
          <w:szCs w:val="28"/>
        </w:rPr>
      </w:pPr>
    </w:p>
    <w:p w:rsidR="00C446FB" w:rsidRDefault="00C446FB" w:rsidP="001641B1">
      <w:pPr>
        <w:pStyle w:val="naisf"/>
        <w:spacing w:before="0" w:after="0"/>
        <w:ind w:firstLine="0"/>
        <w:jc w:val="center"/>
        <w:rPr>
          <w:i/>
          <w:sz w:val="28"/>
          <w:szCs w:val="28"/>
        </w:rPr>
      </w:pPr>
    </w:p>
    <w:tbl>
      <w:tblPr>
        <w:tblW w:w="9447" w:type="dxa"/>
        <w:jc w:val="center"/>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37"/>
        <w:gridCol w:w="6014"/>
      </w:tblGrid>
      <w:tr w:rsidR="00120A11" w:rsidRPr="00711F59" w:rsidTr="00120A11">
        <w:trPr>
          <w:jc w:val="center"/>
        </w:trPr>
        <w:tc>
          <w:tcPr>
            <w:tcW w:w="9447" w:type="dxa"/>
            <w:gridSpan w:val="3"/>
          </w:tcPr>
          <w:p w:rsidR="00120A11" w:rsidRPr="007C0F2C" w:rsidRDefault="00120A11" w:rsidP="00120A11">
            <w:pPr>
              <w:pStyle w:val="naisnod"/>
              <w:spacing w:before="0" w:after="0"/>
            </w:pPr>
            <w:r w:rsidRPr="007C0F2C">
              <w:t>IV. Tiesību akta projekta ietekme uz spēkā esošo tiesību normu sistēmu</w:t>
            </w:r>
          </w:p>
        </w:tc>
      </w:tr>
      <w:tr w:rsidR="00120A11" w:rsidRPr="00711F59" w:rsidTr="00120A11">
        <w:trPr>
          <w:jc w:val="center"/>
        </w:trPr>
        <w:tc>
          <w:tcPr>
            <w:tcW w:w="396" w:type="dxa"/>
          </w:tcPr>
          <w:p w:rsidR="00120A11" w:rsidRPr="00711F59" w:rsidRDefault="00120A11" w:rsidP="00120A11">
            <w:pPr>
              <w:pStyle w:val="naiskr"/>
              <w:tabs>
                <w:tab w:val="left" w:pos="2628"/>
              </w:tabs>
              <w:spacing w:before="0" w:after="0"/>
              <w:jc w:val="both"/>
              <w:rPr>
                <w:iCs/>
              </w:rPr>
            </w:pPr>
            <w:r w:rsidRPr="00711F59">
              <w:rPr>
                <w:iCs/>
              </w:rPr>
              <w:t>1.</w:t>
            </w:r>
          </w:p>
        </w:tc>
        <w:tc>
          <w:tcPr>
            <w:tcW w:w="3037" w:type="dxa"/>
          </w:tcPr>
          <w:p w:rsidR="00120A11" w:rsidRPr="00711F59" w:rsidRDefault="00120A11" w:rsidP="00120A11">
            <w:pPr>
              <w:pStyle w:val="naiskr"/>
              <w:tabs>
                <w:tab w:val="left" w:pos="2628"/>
              </w:tabs>
              <w:spacing w:before="0" w:after="0"/>
              <w:jc w:val="both"/>
              <w:rPr>
                <w:iCs/>
              </w:rPr>
            </w:pPr>
            <w:r w:rsidRPr="00711F59">
              <w:rPr>
                <w:sz w:val="22"/>
                <w:szCs w:val="22"/>
              </w:rPr>
              <w:t>Nepieciešamie saistītie tiesību aktu projekti</w:t>
            </w:r>
          </w:p>
        </w:tc>
        <w:tc>
          <w:tcPr>
            <w:tcW w:w="6014" w:type="dxa"/>
          </w:tcPr>
          <w:p w:rsidR="002C2B10" w:rsidRDefault="002C2B10" w:rsidP="00120A11">
            <w:pPr>
              <w:pStyle w:val="naiskr"/>
              <w:tabs>
                <w:tab w:val="left" w:pos="2628"/>
              </w:tabs>
              <w:spacing w:before="0" w:after="0"/>
              <w:jc w:val="both"/>
            </w:pPr>
            <w:r>
              <w:t>Saistībā ar VEC veikto sadarbības iestādes funkciju nodošanu CFLA nepieciešams izdarīt grozījumus šādos normatīvajos aktos:</w:t>
            </w:r>
          </w:p>
          <w:p w:rsidR="00120A11" w:rsidRDefault="00120A11" w:rsidP="002C2B10">
            <w:pPr>
              <w:pStyle w:val="naiskr"/>
              <w:numPr>
                <w:ilvl w:val="0"/>
                <w:numId w:val="21"/>
              </w:numPr>
              <w:tabs>
                <w:tab w:val="left" w:pos="2628"/>
              </w:tabs>
              <w:spacing w:before="0" w:after="0"/>
              <w:ind w:left="333" w:hanging="284"/>
              <w:jc w:val="both"/>
            </w:pPr>
            <w:r>
              <w:t xml:space="preserve"> </w:t>
            </w:r>
            <w:r w:rsidR="002C2B10">
              <w:t>Ministru kabineta 2007.gada 26.jūnija noteikumos Nr.419 „Kārtība, kādā Eiropas Savienības struktūrfondu un Kohēzijas fonda vadībā iesaistītās institūcijas nodrošina plānošanas dokumentu sagatavošanu un šo fondu ieviešanu”;</w:t>
            </w:r>
          </w:p>
          <w:p w:rsidR="002C2B10" w:rsidRPr="002C2B10" w:rsidRDefault="002C2B10" w:rsidP="002C2B10">
            <w:pPr>
              <w:pStyle w:val="naiskr"/>
              <w:numPr>
                <w:ilvl w:val="0"/>
                <w:numId w:val="21"/>
              </w:numPr>
              <w:tabs>
                <w:tab w:val="left" w:pos="2628"/>
              </w:tabs>
              <w:spacing w:before="0" w:after="0"/>
              <w:ind w:left="333" w:hanging="284"/>
              <w:jc w:val="both"/>
            </w:pPr>
            <w:r>
              <w:t>Ministru kabineta 2007.gada 18.decembra noteikumos Nr.918 „</w:t>
            </w:r>
            <w:r w:rsidRPr="006F1801">
              <w:rPr>
                <w:bCs/>
              </w:rPr>
              <w:t xml:space="preserve">Noteikumi par darbības programmas </w:t>
            </w:r>
            <w:r w:rsidRPr="006F1801">
              <w:rPr>
                <w:bCs/>
              </w:rPr>
              <w:lastRenderedPageBreak/>
              <w:t>"Cilvēkresursi un nodarbinātība" papildinājuma 1.6.1.1.aktivitāti "Programmas vadības un atbalsta funkciju nodrošināšana", darbības programmas "Uzņēmējdarbība un inovācijas" papildinājuma 2.4.1.1.aktivitāt</w:t>
            </w:r>
            <w:r w:rsidRPr="0045562B">
              <w:rPr>
                <w:bCs/>
              </w:rPr>
              <w:t>i "Programmas vadības un atbalsta funkciju nodrošināšana", darbības programmas "Infrastruktūra un pakalpojumi" papildinājuma 3.7.1.1.aktivitāti "Programmas vadības un atbalsta funkciju nodrošināšana" un 3.8.1.1.aktivitāti "Programmas vadības un atbalsta fu</w:t>
            </w:r>
            <w:r w:rsidRPr="004F0BAD">
              <w:rPr>
                <w:bCs/>
              </w:rPr>
              <w:t xml:space="preserve">nkciju </w:t>
            </w:r>
            <w:r w:rsidRPr="006F1801">
              <w:rPr>
                <w:bCs/>
              </w:rPr>
              <w:t>nodrošināšana"</w:t>
            </w:r>
            <w:r w:rsidR="006F1801">
              <w:rPr>
                <w:bCs/>
              </w:rPr>
              <w:t>”;</w:t>
            </w:r>
          </w:p>
          <w:p w:rsidR="002C2B10" w:rsidRDefault="002C2B10" w:rsidP="002C2B10">
            <w:pPr>
              <w:pStyle w:val="naiskr"/>
              <w:numPr>
                <w:ilvl w:val="0"/>
                <w:numId w:val="21"/>
              </w:numPr>
              <w:tabs>
                <w:tab w:val="left" w:pos="2628"/>
              </w:tabs>
              <w:spacing w:before="0" w:after="0"/>
              <w:ind w:left="333" w:hanging="284"/>
              <w:jc w:val="both"/>
            </w:pPr>
            <w:r w:rsidRPr="006049EA">
              <w:t>Ministru kabineta 2008.gada 26.februāra noteikum</w:t>
            </w:r>
            <w:r>
              <w:t>i</w:t>
            </w:r>
            <w:r w:rsidRPr="006049EA">
              <w:t xml:space="preserve"> Nr.131 „</w:t>
            </w:r>
            <w:r w:rsidRPr="006049EA">
              <w:rPr>
                <w:bCs/>
              </w:rPr>
              <w:t>Noteikumi par darb</w:t>
            </w:r>
            <w:r w:rsidRPr="006049EA">
              <w:rPr>
                <w:rFonts w:eastAsia="TimesNewRoman"/>
              </w:rPr>
              <w:t>ī</w:t>
            </w:r>
            <w:r w:rsidRPr="006049EA">
              <w:rPr>
                <w:bCs/>
              </w:rPr>
              <w:t>bas programmas „Infrastrukt</w:t>
            </w:r>
            <w:r w:rsidRPr="006049EA">
              <w:rPr>
                <w:rFonts w:eastAsia="TimesNewRoman"/>
              </w:rPr>
              <w:t>ū</w:t>
            </w:r>
            <w:r w:rsidRPr="006049EA">
              <w:rPr>
                <w:bCs/>
              </w:rPr>
              <w:t>ra un pakalpojumi” papildin</w:t>
            </w:r>
            <w:r w:rsidRPr="006049EA">
              <w:rPr>
                <w:rFonts w:eastAsia="TimesNewRoman"/>
              </w:rPr>
              <w:t>ā</w:t>
            </w:r>
            <w:r w:rsidRPr="006049EA">
              <w:rPr>
                <w:bCs/>
              </w:rPr>
              <w:t>juma 3.1.5.3.2.apakšaktivit</w:t>
            </w:r>
            <w:r w:rsidRPr="006049EA">
              <w:rPr>
                <w:rFonts w:eastAsia="TimesNewRoman"/>
              </w:rPr>
              <w:t>ā</w:t>
            </w:r>
            <w:r w:rsidRPr="006049EA">
              <w:rPr>
                <w:bCs/>
              </w:rPr>
              <w:t>ti „Onkolo</w:t>
            </w:r>
            <w:r w:rsidRPr="006049EA">
              <w:rPr>
                <w:rFonts w:eastAsia="TimesNewRoman"/>
              </w:rPr>
              <w:t>ģ</w:t>
            </w:r>
            <w:r w:rsidRPr="006049EA">
              <w:rPr>
                <w:bCs/>
              </w:rPr>
              <w:t xml:space="preserve">ijas slimnieku radioterapijas </w:t>
            </w:r>
            <w:r w:rsidRPr="006049EA">
              <w:rPr>
                <w:rFonts w:eastAsia="TimesNewRoman"/>
              </w:rPr>
              <w:t>ā</w:t>
            </w:r>
            <w:r w:rsidRPr="006049EA">
              <w:rPr>
                <w:bCs/>
              </w:rPr>
              <w:t>rst</w:t>
            </w:r>
            <w:r w:rsidRPr="006049EA">
              <w:rPr>
                <w:rFonts w:eastAsia="TimesNewRoman"/>
              </w:rPr>
              <w:t>ē</w:t>
            </w:r>
            <w:r w:rsidRPr="006049EA">
              <w:rPr>
                <w:bCs/>
              </w:rPr>
              <w:t>šanas att</w:t>
            </w:r>
            <w:r w:rsidRPr="006049EA">
              <w:rPr>
                <w:rFonts w:eastAsia="TimesNewRoman"/>
              </w:rPr>
              <w:t>ī</w:t>
            </w:r>
            <w:r w:rsidRPr="006049EA">
              <w:rPr>
                <w:bCs/>
              </w:rPr>
              <w:t>st</w:t>
            </w:r>
            <w:r w:rsidRPr="006049EA">
              <w:rPr>
                <w:rFonts w:eastAsia="TimesNewRoman"/>
              </w:rPr>
              <w:t>ī</w:t>
            </w:r>
            <w:r w:rsidRPr="006049EA">
              <w:rPr>
                <w:bCs/>
              </w:rPr>
              <w:t>ba””</w:t>
            </w:r>
          </w:p>
          <w:p w:rsidR="002C2B10" w:rsidRPr="002C2B10" w:rsidRDefault="002C2B10" w:rsidP="002C2B10">
            <w:pPr>
              <w:pStyle w:val="naiskr"/>
              <w:numPr>
                <w:ilvl w:val="0"/>
                <w:numId w:val="21"/>
              </w:numPr>
              <w:tabs>
                <w:tab w:val="left" w:pos="616"/>
              </w:tabs>
              <w:spacing w:before="0" w:after="0"/>
              <w:ind w:left="333" w:hanging="284"/>
              <w:jc w:val="both"/>
            </w:pPr>
            <w:r>
              <w:t>Ministru kabineta 2008.gada 19.maija noteikumos Nr.353 „</w:t>
            </w:r>
            <w:r w:rsidRPr="002C2B10">
              <w:rPr>
                <w:bCs/>
              </w:rPr>
              <w:t>Noteikumi par darbības programmas “Cilvēkresursi un nodarbinātība” papildinājuma 1.3.2.3.aktivitāti “Veselības aprūpes un veicināšanas procesā iesaistīto institūciju personāla kompetences, prasmju un iemaņu līmeņa paaugstināšana”</w:t>
            </w:r>
            <w:r>
              <w:rPr>
                <w:bCs/>
              </w:rPr>
              <w:t>;</w:t>
            </w:r>
          </w:p>
          <w:p w:rsidR="002C2B10" w:rsidRPr="002C2B10" w:rsidRDefault="002C2B10" w:rsidP="002C2B10">
            <w:pPr>
              <w:pStyle w:val="naiskr"/>
              <w:numPr>
                <w:ilvl w:val="0"/>
                <w:numId w:val="21"/>
              </w:numPr>
              <w:tabs>
                <w:tab w:val="left" w:pos="616"/>
              </w:tabs>
              <w:spacing w:before="0" w:after="0"/>
              <w:ind w:left="333" w:hanging="284"/>
              <w:jc w:val="both"/>
            </w:pPr>
            <w:r w:rsidRPr="006049EA">
              <w:rPr>
                <w:bCs/>
                <w:lang w:bidi="lo-LA"/>
              </w:rPr>
              <w:t>Ministru kabineta 2008.gada 4.augusta noteikumi Nr.642 „</w:t>
            </w:r>
            <w:r w:rsidRPr="006049EA">
              <w:rPr>
                <w:bCs/>
              </w:rPr>
              <w:t>Noteikumi par darb</w:t>
            </w:r>
            <w:r w:rsidRPr="006049EA">
              <w:rPr>
                <w:rFonts w:eastAsia="TimesNewRoman"/>
              </w:rPr>
              <w:t>ī</w:t>
            </w:r>
            <w:r w:rsidRPr="006049EA">
              <w:rPr>
                <w:bCs/>
              </w:rPr>
              <w:t>bas programmas „Infrastrukt</w:t>
            </w:r>
            <w:r w:rsidRPr="006049EA">
              <w:rPr>
                <w:rFonts w:eastAsia="TimesNewRoman"/>
              </w:rPr>
              <w:t>ū</w:t>
            </w:r>
            <w:r w:rsidRPr="006049EA">
              <w:rPr>
                <w:bCs/>
              </w:rPr>
              <w:t>ra un pakalpojumi” papildin</w:t>
            </w:r>
            <w:r w:rsidRPr="006049EA">
              <w:rPr>
                <w:rFonts w:eastAsia="TimesNewRoman"/>
              </w:rPr>
              <w:t>ā</w:t>
            </w:r>
            <w:r w:rsidRPr="006049EA">
              <w:rPr>
                <w:bCs/>
              </w:rPr>
              <w:t>juma 3.1.5.2.aktivit</w:t>
            </w:r>
            <w:r w:rsidRPr="006049EA">
              <w:rPr>
                <w:rFonts w:eastAsia="TimesNewRoman"/>
              </w:rPr>
              <w:t>ā</w:t>
            </w:r>
            <w:r w:rsidRPr="006049EA">
              <w:rPr>
                <w:bCs/>
              </w:rPr>
              <w:t>ti „Neatliekam</w:t>
            </w:r>
            <w:r w:rsidRPr="006049EA">
              <w:rPr>
                <w:rFonts w:eastAsia="TimesNewRoman"/>
              </w:rPr>
              <w:t>ā</w:t>
            </w:r>
            <w:r w:rsidRPr="006049EA">
              <w:rPr>
                <w:bCs/>
              </w:rPr>
              <w:t>s medic</w:t>
            </w:r>
            <w:r w:rsidRPr="006049EA">
              <w:rPr>
                <w:rFonts w:eastAsia="TimesNewRoman"/>
              </w:rPr>
              <w:t>ī</w:t>
            </w:r>
            <w:r w:rsidRPr="006049EA">
              <w:rPr>
                <w:bCs/>
              </w:rPr>
              <w:t>nisk</w:t>
            </w:r>
            <w:r w:rsidRPr="006049EA">
              <w:rPr>
                <w:rFonts w:eastAsia="TimesNewRoman"/>
              </w:rPr>
              <w:t>ā</w:t>
            </w:r>
            <w:r w:rsidRPr="006049EA">
              <w:rPr>
                <w:bCs/>
              </w:rPr>
              <w:t>s pal</w:t>
            </w:r>
            <w:r w:rsidRPr="006049EA">
              <w:rPr>
                <w:rFonts w:eastAsia="TimesNewRoman"/>
              </w:rPr>
              <w:t>ī</w:t>
            </w:r>
            <w:r w:rsidRPr="006049EA">
              <w:rPr>
                <w:bCs/>
              </w:rPr>
              <w:t>dz</w:t>
            </w:r>
            <w:r w:rsidRPr="006049EA">
              <w:rPr>
                <w:rFonts w:eastAsia="TimesNewRoman"/>
              </w:rPr>
              <w:t>ī</w:t>
            </w:r>
            <w:r w:rsidRPr="006049EA">
              <w:rPr>
                <w:bCs/>
              </w:rPr>
              <w:t>bas att</w:t>
            </w:r>
            <w:r w:rsidRPr="006049EA">
              <w:rPr>
                <w:rFonts w:eastAsia="TimesNewRoman"/>
              </w:rPr>
              <w:t>ī</w:t>
            </w:r>
            <w:r w:rsidRPr="006049EA">
              <w:rPr>
                <w:bCs/>
              </w:rPr>
              <w:t>st</w:t>
            </w:r>
            <w:r w:rsidRPr="006049EA">
              <w:rPr>
                <w:rFonts w:eastAsia="TimesNewRoman"/>
              </w:rPr>
              <w:t>ī</w:t>
            </w:r>
            <w:r w:rsidRPr="006049EA">
              <w:rPr>
                <w:bCs/>
              </w:rPr>
              <w:t>ba””</w:t>
            </w:r>
            <w:r>
              <w:rPr>
                <w:bCs/>
              </w:rPr>
              <w:t>;</w:t>
            </w:r>
          </w:p>
          <w:p w:rsidR="002C2B10" w:rsidRPr="002C2B10" w:rsidRDefault="002C2B10" w:rsidP="002C2B10">
            <w:pPr>
              <w:pStyle w:val="naiskr"/>
              <w:numPr>
                <w:ilvl w:val="0"/>
                <w:numId w:val="21"/>
              </w:numPr>
              <w:tabs>
                <w:tab w:val="left" w:pos="616"/>
              </w:tabs>
              <w:spacing w:before="0" w:after="0"/>
              <w:ind w:left="333" w:hanging="284"/>
              <w:jc w:val="both"/>
            </w:pPr>
            <w:r w:rsidRPr="006049EA">
              <w:rPr>
                <w:bCs/>
              </w:rPr>
              <w:t>Ministru kabineta 2009.gada 13.janvāra noteikum</w:t>
            </w:r>
            <w:r>
              <w:rPr>
                <w:bCs/>
              </w:rPr>
              <w:t>i</w:t>
            </w:r>
            <w:r w:rsidRPr="006049EA">
              <w:rPr>
                <w:bCs/>
              </w:rPr>
              <w:t xml:space="preserve"> Nr.44 „Noteikumi par darbības programmas „Infrastruktūra un pakalpojumi” papildinājuma 3.1.5.3.1.apakšaktivitāti “Stacionārās veselības aprūpes attīstība””</w:t>
            </w:r>
            <w:r>
              <w:rPr>
                <w:bCs/>
              </w:rPr>
              <w:t>;</w:t>
            </w:r>
          </w:p>
          <w:p w:rsidR="002C2B10" w:rsidRPr="002C2B10" w:rsidRDefault="002C2B10" w:rsidP="002C2B10">
            <w:pPr>
              <w:pStyle w:val="naiskr"/>
              <w:numPr>
                <w:ilvl w:val="0"/>
                <w:numId w:val="21"/>
              </w:numPr>
              <w:tabs>
                <w:tab w:val="left" w:pos="616"/>
              </w:tabs>
              <w:spacing w:before="0" w:after="0"/>
              <w:ind w:left="333" w:hanging="284"/>
              <w:jc w:val="both"/>
            </w:pPr>
            <w:r w:rsidRPr="006049EA">
              <w:rPr>
                <w:bCs/>
              </w:rPr>
              <w:t xml:space="preserve">Ministru kabineta 2010.gada </w:t>
            </w:r>
            <w:r>
              <w:rPr>
                <w:bCs/>
              </w:rPr>
              <w:t>12</w:t>
            </w:r>
            <w:r w:rsidRPr="006049EA">
              <w:rPr>
                <w:bCs/>
              </w:rPr>
              <w:t>.janvāra noteikumi Nr.33 „</w:t>
            </w:r>
            <w:r w:rsidRPr="006049EA">
              <w:rPr>
                <w:bCs/>
                <w:lang w:bidi="lo-LA"/>
              </w:rPr>
              <w:t>Noteikumi par darbības programmas „Infrastruktūra un pakalpojumi” papildinājuma 3.1.5.1.2.apakšaktivitāti „Veselības aprūpes centru attīstība””</w:t>
            </w:r>
            <w:r>
              <w:rPr>
                <w:bCs/>
                <w:lang w:bidi="lo-LA"/>
              </w:rPr>
              <w:t>;</w:t>
            </w:r>
          </w:p>
          <w:p w:rsidR="002C2B10" w:rsidRPr="006F1801" w:rsidRDefault="002C2B10" w:rsidP="002C2B10">
            <w:pPr>
              <w:pStyle w:val="naiskr"/>
              <w:numPr>
                <w:ilvl w:val="0"/>
                <w:numId w:val="21"/>
              </w:numPr>
              <w:tabs>
                <w:tab w:val="left" w:pos="616"/>
              </w:tabs>
              <w:spacing w:before="0" w:after="0"/>
              <w:ind w:left="333" w:hanging="284"/>
              <w:jc w:val="both"/>
            </w:pPr>
            <w:r w:rsidRPr="006049EA">
              <w:t xml:space="preserve">Ministru kabineta 2010.gada </w:t>
            </w:r>
            <w:r>
              <w:t>3</w:t>
            </w:r>
            <w:r w:rsidRPr="006049EA">
              <w:t xml:space="preserve">.augusta noteikumi </w:t>
            </w:r>
            <w:r w:rsidRPr="006049EA">
              <w:rPr>
                <w:bCs/>
              </w:rPr>
              <w:t>Nr.726 „Noteikumi par darbības programmas „Infrastruktūra un pakalpojumi” papildinājuma 3.1.5.1.1.apakšaktivitāti „Ģimenes ārstu tīkla attīstība””</w:t>
            </w:r>
            <w:r>
              <w:rPr>
                <w:bCs/>
              </w:rPr>
              <w:t>.</w:t>
            </w:r>
          </w:p>
          <w:p w:rsidR="006F1801" w:rsidRPr="00320667" w:rsidRDefault="006F1801" w:rsidP="00EB6167">
            <w:pPr>
              <w:pStyle w:val="naiskr"/>
              <w:tabs>
                <w:tab w:val="left" w:pos="616"/>
              </w:tabs>
              <w:spacing w:before="0" w:after="0"/>
              <w:jc w:val="both"/>
            </w:pPr>
            <w:r>
              <w:t xml:space="preserve">Par minēto normatīvo aktu projektu izstrādi ir atbildīga Veselības ministrija. Normatīvo aktu projekti tiks izstrādāti līdz </w:t>
            </w:r>
            <w:proofErr w:type="spellStart"/>
            <w:r>
              <w:t>š.g</w:t>
            </w:r>
            <w:proofErr w:type="spellEnd"/>
            <w:r>
              <w:t xml:space="preserve">. </w:t>
            </w:r>
            <w:r w:rsidR="00EB6167">
              <w:t>1.novembrim</w:t>
            </w:r>
            <w:r>
              <w:t>.</w:t>
            </w:r>
          </w:p>
        </w:tc>
      </w:tr>
      <w:tr w:rsidR="00120A11" w:rsidRPr="00711F59" w:rsidTr="00120A11">
        <w:trPr>
          <w:jc w:val="center"/>
        </w:trPr>
        <w:tc>
          <w:tcPr>
            <w:tcW w:w="396" w:type="dxa"/>
          </w:tcPr>
          <w:p w:rsidR="00120A11" w:rsidRPr="00711F59" w:rsidRDefault="00120A11" w:rsidP="00120A11">
            <w:pPr>
              <w:pStyle w:val="naiskr"/>
              <w:tabs>
                <w:tab w:val="left" w:pos="2628"/>
              </w:tabs>
              <w:spacing w:before="0" w:after="0"/>
              <w:jc w:val="both"/>
              <w:rPr>
                <w:iCs/>
              </w:rPr>
            </w:pPr>
            <w:r w:rsidRPr="00711F59">
              <w:rPr>
                <w:iCs/>
              </w:rPr>
              <w:lastRenderedPageBreak/>
              <w:t>2.</w:t>
            </w:r>
          </w:p>
        </w:tc>
        <w:tc>
          <w:tcPr>
            <w:tcW w:w="3037" w:type="dxa"/>
          </w:tcPr>
          <w:p w:rsidR="00120A11" w:rsidRPr="00711F59" w:rsidRDefault="00120A11" w:rsidP="00120A11">
            <w:pPr>
              <w:pStyle w:val="naiskr"/>
              <w:tabs>
                <w:tab w:val="left" w:pos="2628"/>
              </w:tabs>
              <w:spacing w:before="0" w:after="0"/>
              <w:jc w:val="both"/>
              <w:rPr>
                <w:iCs/>
              </w:rPr>
            </w:pPr>
            <w:r w:rsidRPr="00711F59">
              <w:rPr>
                <w:sz w:val="22"/>
                <w:szCs w:val="22"/>
              </w:rPr>
              <w:t>Cita informācija</w:t>
            </w:r>
          </w:p>
        </w:tc>
        <w:tc>
          <w:tcPr>
            <w:tcW w:w="6014" w:type="dxa"/>
          </w:tcPr>
          <w:p w:rsidR="00120A11" w:rsidRPr="00711F59" w:rsidRDefault="00EB6167" w:rsidP="00120A11">
            <w:pPr>
              <w:pStyle w:val="naiskr"/>
              <w:tabs>
                <w:tab w:val="left" w:pos="2628"/>
              </w:tabs>
              <w:spacing w:before="0" w:after="0"/>
              <w:jc w:val="both"/>
              <w:rPr>
                <w:iCs/>
              </w:rPr>
            </w:pPr>
            <w:r>
              <w:t xml:space="preserve">Nav. </w:t>
            </w:r>
          </w:p>
        </w:tc>
      </w:tr>
    </w:tbl>
    <w:p w:rsidR="00722200" w:rsidRDefault="00722200" w:rsidP="001641B1">
      <w:pPr>
        <w:pStyle w:val="naisf"/>
        <w:spacing w:before="0" w:after="0"/>
        <w:ind w:firstLine="0"/>
        <w:jc w:val="center"/>
        <w:rPr>
          <w:i/>
          <w:sz w:val="28"/>
          <w:szCs w:val="28"/>
        </w:rPr>
      </w:pPr>
    </w:p>
    <w:p w:rsidR="00120A11" w:rsidRPr="009A6346" w:rsidRDefault="00120A11" w:rsidP="001641B1">
      <w:pPr>
        <w:pStyle w:val="naisf"/>
        <w:spacing w:before="0" w:after="0"/>
        <w:ind w:firstLine="0"/>
        <w:jc w:val="center"/>
        <w:rPr>
          <w:i/>
          <w:sz w:val="28"/>
          <w:szCs w:val="28"/>
        </w:rPr>
      </w:pPr>
      <w:r>
        <w:rPr>
          <w:sz w:val="28"/>
          <w:szCs w:val="28"/>
        </w:rPr>
        <w:t xml:space="preserve">Anotācijas V un VI </w:t>
      </w:r>
      <w:r w:rsidRPr="009008AC">
        <w:rPr>
          <w:sz w:val="28"/>
          <w:szCs w:val="28"/>
        </w:rPr>
        <w:t>sadaļa –</w:t>
      </w:r>
      <w:r>
        <w:rPr>
          <w:i/>
          <w:sz w:val="28"/>
          <w:szCs w:val="28"/>
        </w:rPr>
        <w:t xml:space="preserve"> </w:t>
      </w:r>
      <w:r w:rsidR="0028016C">
        <w:rPr>
          <w:i/>
          <w:sz w:val="28"/>
          <w:szCs w:val="28"/>
        </w:rPr>
        <w:t>projekts šīs jomas neskar</w:t>
      </w:r>
    </w:p>
    <w:p w:rsidR="001641B1" w:rsidRDefault="001641B1" w:rsidP="001641B1">
      <w:pPr>
        <w:rPr>
          <w:sz w:val="28"/>
          <w:szCs w:val="28"/>
        </w:rPr>
      </w:pPr>
    </w:p>
    <w:p w:rsidR="00C446FB" w:rsidRDefault="00C446FB" w:rsidP="001641B1">
      <w:pPr>
        <w:rPr>
          <w:sz w:val="28"/>
          <w:szCs w:val="28"/>
        </w:rPr>
      </w:pPr>
    </w:p>
    <w:p w:rsidR="00C446FB" w:rsidRDefault="00C446FB" w:rsidP="001641B1">
      <w:pPr>
        <w:rPr>
          <w:sz w:val="28"/>
          <w:szCs w:val="2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1"/>
        <w:gridCol w:w="3449"/>
      </w:tblGrid>
      <w:tr w:rsidR="001641B1" w:rsidRPr="00AA0F8F" w:rsidTr="00806EBD">
        <w:tc>
          <w:tcPr>
            <w:tcW w:w="9000" w:type="dxa"/>
            <w:gridSpan w:val="2"/>
          </w:tcPr>
          <w:p w:rsidR="001641B1" w:rsidRPr="00B420D2" w:rsidRDefault="001641B1" w:rsidP="00806EBD">
            <w:pPr>
              <w:pStyle w:val="naisc"/>
              <w:spacing w:before="0" w:after="0"/>
              <w:rPr>
                <w:b/>
                <w:bCs/>
              </w:rPr>
            </w:pPr>
            <w:r w:rsidRPr="00B420D2">
              <w:rPr>
                <w:b/>
                <w:bCs/>
              </w:rPr>
              <w:lastRenderedPageBreak/>
              <w:t>VII. Tiesību akta projekta izpildes nodrošināšana un tās ietekme uz institūcijām</w:t>
            </w:r>
          </w:p>
          <w:p w:rsidR="001641B1" w:rsidRPr="00B420D2" w:rsidRDefault="001641B1" w:rsidP="00806EBD">
            <w:pPr>
              <w:pStyle w:val="naisc"/>
              <w:spacing w:before="0" w:after="0"/>
              <w:rPr>
                <w:b/>
                <w:bCs/>
              </w:rPr>
            </w:pPr>
          </w:p>
        </w:tc>
      </w:tr>
      <w:tr w:rsidR="001641B1" w:rsidRPr="00AA0F8F" w:rsidTr="00806EBD">
        <w:tc>
          <w:tcPr>
            <w:tcW w:w="5551" w:type="dxa"/>
          </w:tcPr>
          <w:p w:rsidR="001641B1" w:rsidRPr="00B420D2" w:rsidRDefault="001641B1" w:rsidP="00806EBD">
            <w:pPr>
              <w:pStyle w:val="NormalWeb"/>
              <w:spacing w:before="0" w:beforeAutospacing="0" w:after="0"/>
              <w:jc w:val="both"/>
            </w:pPr>
            <w:r w:rsidRPr="00B420D2">
              <w:t>1. Projekta izpildē iesaistītās institūcijas</w:t>
            </w:r>
          </w:p>
        </w:tc>
        <w:tc>
          <w:tcPr>
            <w:tcW w:w="3449" w:type="dxa"/>
          </w:tcPr>
          <w:p w:rsidR="001641B1" w:rsidRPr="00B420D2" w:rsidRDefault="0001170C" w:rsidP="00806EBD">
            <w:pPr>
              <w:pStyle w:val="Footer"/>
              <w:tabs>
                <w:tab w:val="clear" w:pos="4153"/>
                <w:tab w:val="clear" w:pos="8306"/>
              </w:tabs>
              <w:ind w:right="-108"/>
              <w:jc w:val="both"/>
            </w:pPr>
            <w:r>
              <w:t>VEC, CFLA</w:t>
            </w:r>
          </w:p>
        </w:tc>
      </w:tr>
      <w:tr w:rsidR="001641B1" w:rsidRPr="00AA0F8F" w:rsidTr="00806EBD">
        <w:trPr>
          <w:trHeight w:val="918"/>
        </w:trPr>
        <w:tc>
          <w:tcPr>
            <w:tcW w:w="5551" w:type="dxa"/>
          </w:tcPr>
          <w:p w:rsidR="001641B1" w:rsidRPr="00B420D2" w:rsidRDefault="001641B1" w:rsidP="00806EBD">
            <w:pPr>
              <w:pStyle w:val="NormalWeb"/>
              <w:spacing w:before="0" w:beforeAutospacing="0" w:after="0"/>
              <w:jc w:val="both"/>
            </w:pPr>
            <w:r w:rsidRPr="00B420D2">
              <w:t>2. Projekta izpildes ietekme uz pārvaldes funkcijām</w:t>
            </w:r>
          </w:p>
        </w:tc>
        <w:tc>
          <w:tcPr>
            <w:tcW w:w="3449" w:type="dxa"/>
          </w:tcPr>
          <w:p w:rsidR="001641B1" w:rsidRPr="0001170C" w:rsidRDefault="0001170C" w:rsidP="000C558E">
            <w:pPr>
              <w:jc w:val="both"/>
              <w:rPr>
                <w:szCs w:val="16"/>
              </w:rPr>
            </w:pPr>
            <w:r>
              <w:rPr>
                <w:szCs w:val="16"/>
              </w:rPr>
              <w:t xml:space="preserve">Rīkojuma projekts paredz, ka CFLA jau no </w:t>
            </w:r>
            <w:proofErr w:type="spellStart"/>
            <w:r>
              <w:rPr>
                <w:szCs w:val="16"/>
              </w:rPr>
              <w:t>š.g</w:t>
            </w:r>
            <w:proofErr w:type="spellEnd"/>
            <w:r>
              <w:rPr>
                <w:szCs w:val="16"/>
              </w:rPr>
              <w:t xml:space="preserve">. 1.novembra īstenos sadarbības iestādes funkcijas attiecībā uz tām Eiropas Savienības fondu aktivitātēm, kas šobrīd ir VEC pārziņā. Lai nodrošinātu efektīvu izpildi, VEC tiks likvidētas šai funkcijai nepieciešamās </w:t>
            </w:r>
            <w:r w:rsidR="000C558E">
              <w:rPr>
                <w:szCs w:val="16"/>
              </w:rPr>
              <w:t xml:space="preserve">darbinieka un civildienesta </w:t>
            </w:r>
            <w:r w:rsidR="00361798">
              <w:rPr>
                <w:szCs w:val="16"/>
              </w:rPr>
              <w:t>ierēdņ</w:t>
            </w:r>
            <w:r w:rsidR="000C558E">
              <w:rPr>
                <w:szCs w:val="16"/>
              </w:rPr>
              <w:t>u</w:t>
            </w:r>
            <w:r w:rsidR="00361798">
              <w:rPr>
                <w:szCs w:val="16"/>
              </w:rPr>
              <w:t xml:space="preserve"> </w:t>
            </w:r>
            <w:r>
              <w:rPr>
                <w:szCs w:val="16"/>
              </w:rPr>
              <w:t>amata vietas</w:t>
            </w:r>
            <w:r w:rsidR="00361798">
              <w:rPr>
                <w:szCs w:val="16"/>
              </w:rPr>
              <w:t>, savukārt</w:t>
            </w:r>
            <w:r>
              <w:rPr>
                <w:szCs w:val="16"/>
              </w:rPr>
              <w:t xml:space="preserve"> CFLA</w:t>
            </w:r>
            <w:r w:rsidR="00361798">
              <w:rPr>
                <w:szCs w:val="16"/>
              </w:rPr>
              <w:t xml:space="preserve"> tiks izveidotas jaunas </w:t>
            </w:r>
            <w:r w:rsidR="000C558E">
              <w:rPr>
                <w:szCs w:val="16"/>
              </w:rPr>
              <w:t xml:space="preserve">darbinieka un </w:t>
            </w:r>
            <w:proofErr w:type="spellStart"/>
            <w:r w:rsidR="000C558E">
              <w:rPr>
                <w:szCs w:val="16"/>
              </w:rPr>
              <w:t>civilsienesta</w:t>
            </w:r>
            <w:proofErr w:type="spellEnd"/>
            <w:r w:rsidR="000C558E">
              <w:rPr>
                <w:szCs w:val="16"/>
              </w:rPr>
              <w:t xml:space="preserve"> </w:t>
            </w:r>
            <w:r w:rsidR="00361798">
              <w:rPr>
                <w:szCs w:val="16"/>
              </w:rPr>
              <w:t>ierēdņa amata vietas</w:t>
            </w:r>
            <w:r>
              <w:rPr>
                <w:szCs w:val="16"/>
              </w:rPr>
              <w:t>.</w:t>
            </w:r>
          </w:p>
        </w:tc>
      </w:tr>
      <w:tr w:rsidR="001641B1" w:rsidRPr="00AA0F8F" w:rsidTr="00806EBD">
        <w:tc>
          <w:tcPr>
            <w:tcW w:w="5551" w:type="dxa"/>
          </w:tcPr>
          <w:p w:rsidR="001641B1" w:rsidRPr="00B420D2" w:rsidRDefault="001641B1" w:rsidP="00806EBD">
            <w:pPr>
              <w:pStyle w:val="NormalWeb"/>
              <w:spacing w:before="0" w:beforeAutospacing="0" w:after="0"/>
              <w:jc w:val="both"/>
            </w:pPr>
            <w:r w:rsidRPr="00B420D2">
              <w:t>3. Projekta izpildes ietekme uz pārvaldes institucionālo struktūru</w:t>
            </w:r>
          </w:p>
          <w:p w:rsidR="001641B1" w:rsidRPr="00B420D2" w:rsidRDefault="001641B1" w:rsidP="00806EBD">
            <w:pPr>
              <w:pStyle w:val="NormalWeb"/>
              <w:spacing w:before="0" w:beforeAutospacing="0" w:after="0"/>
              <w:jc w:val="both"/>
            </w:pPr>
            <w:r w:rsidRPr="00B420D2">
              <w:t>Jaunu institūciju izveide</w:t>
            </w:r>
          </w:p>
        </w:tc>
        <w:tc>
          <w:tcPr>
            <w:tcW w:w="3449" w:type="dxa"/>
          </w:tcPr>
          <w:p w:rsidR="001641B1" w:rsidRPr="00B420D2" w:rsidRDefault="0028016C" w:rsidP="0028016C">
            <w:pPr>
              <w:pStyle w:val="Footer"/>
              <w:tabs>
                <w:tab w:val="clear" w:pos="4153"/>
                <w:tab w:val="clear" w:pos="8306"/>
              </w:tabs>
              <w:ind w:right="-108"/>
              <w:jc w:val="both"/>
            </w:pPr>
            <w:r>
              <w:t>Projekts šo jomu neskar</w:t>
            </w:r>
          </w:p>
        </w:tc>
      </w:tr>
      <w:tr w:rsidR="001641B1" w:rsidRPr="00AA0F8F" w:rsidTr="00806EBD">
        <w:tc>
          <w:tcPr>
            <w:tcW w:w="5551" w:type="dxa"/>
          </w:tcPr>
          <w:p w:rsidR="001641B1" w:rsidRPr="00B420D2" w:rsidRDefault="001641B1" w:rsidP="00806EBD">
            <w:pPr>
              <w:pStyle w:val="NormalWeb"/>
              <w:spacing w:before="0" w:beforeAutospacing="0" w:after="0"/>
              <w:jc w:val="both"/>
            </w:pPr>
            <w:r w:rsidRPr="00B420D2">
              <w:t>4. Projekta izpildes ietekme uz pārvaldes institucionālo struktūru</w:t>
            </w:r>
          </w:p>
          <w:p w:rsidR="001641B1" w:rsidRPr="00B420D2" w:rsidRDefault="001641B1" w:rsidP="00806EBD">
            <w:pPr>
              <w:pStyle w:val="NormalWeb"/>
              <w:spacing w:before="0" w:beforeAutospacing="0" w:after="0"/>
              <w:jc w:val="both"/>
            </w:pPr>
            <w:r w:rsidRPr="00B420D2">
              <w:t>Esošu institūciju likvidācija</w:t>
            </w:r>
          </w:p>
        </w:tc>
        <w:tc>
          <w:tcPr>
            <w:tcW w:w="3449" w:type="dxa"/>
          </w:tcPr>
          <w:p w:rsidR="001641B1" w:rsidRPr="00B420D2" w:rsidRDefault="0028016C" w:rsidP="00806EBD">
            <w:pPr>
              <w:pStyle w:val="Footer"/>
              <w:tabs>
                <w:tab w:val="clear" w:pos="4153"/>
                <w:tab w:val="clear" w:pos="8306"/>
              </w:tabs>
              <w:jc w:val="both"/>
              <w:rPr>
                <w:rFonts w:eastAsia="Arial Unicode MS"/>
              </w:rPr>
            </w:pPr>
            <w:r>
              <w:rPr>
                <w:rFonts w:eastAsia="Arial Unicode MS"/>
              </w:rPr>
              <w:t>Projekts šo jomu nesakar</w:t>
            </w:r>
          </w:p>
        </w:tc>
      </w:tr>
      <w:tr w:rsidR="001641B1" w:rsidRPr="00AA0F8F" w:rsidTr="00806EBD">
        <w:trPr>
          <w:trHeight w:val="554"/>
        </w:trPr>
        <w:tc>
          <w:tcPr>
            <w:tcW w:w="5551" w:type="dxa"/>
          </w:tcPr>
          <w:p w:rsidR="001641B1" w:rsidRPr="00B420D2" w:rsidRDefault="001641B1" w:rsidP="00806EBD">
            <w:pPr>
              <w:pStyle w:val="NormalWeb"/>
              <w:spacing w:before="0" w:beforeAutospacing="0" w:after="0"/>
              <w:jc w:val="both"/>
            </w:pPr>
            <w:r w:rsidRPr="00B420D2">
              <w:t>5. Projekta izpildes ietekme uz pārvaldes institucionālo struktūru</w:t>
            </w:r>
          </w:p>
          <w:p w:rsidR="001641B1" w:rsidRPr="00B420D2" w:rsidRDefault="001641B1" w:rsidP="00806EBD">
            <w:pPr>
              <w:pStyle w:val="NormalWeb"/>
              <w:spacing w:before="0" w:beforeAutospacing="0" w:after="0"/>
              <w:jc w:val="both"/>
            </w:pPr>
            <w:r w:rsidRPr="00B420D2">
              <w:t>Esošu institūciju reorganizācija</w:t>
            </w:r>
          </w:p>
        </w:tc>
        <w:tc>
          <w:tcPr>
            <w:tcW w:w="3449" w:type="dxa"/>
          </w:tcPr>
          <w:p w:rsidR="001641B1" w:rsidRDefault="0001170C" w:rsidP="000C558E">
            <w:pPr>
              <w:jc w:val="both"/>
              <w:rPr>
                <w:szCs w:val="16"/>
              </w:rPr>
            </w:pPr>
            <w:r>
              <w:t>Saskaņā ar MK rīkojumu Nr.436 tiks reorganizēts Veselības norēķinu centrs un VEC, tos apvienojot un izveidojot Nacionālo veselības dienestu</w:t>
            </w:r>
            <w:r w:rsidR="000C558E">
              <w:t xml:space="preserve">, kas būs minēto iestāžu </w:t>
            </w:r>
            <w:r w:rsidR="000C558E" w:rsidRPr="000C558E">
              <w:rPr>
                <w:color w:val="000000"/>
                <w:szCs w:val="28"/>
              </w:rPr>
              <w:t xml:space="preserve">funkciju, pārvaldes uzdevumu, tiesību, saistību, finanšu līdzekļu, mantas un lietvedības </w:t>
            </w:r>
            <w:r w:rsidR="000C558E">
              <w:t xml:space="preserve">pārņēmējs. </w:t>
            </w:r>
            <w:r>
              <w:t xml:space="preserve">Taču VEC </w:t>
            </w:r>
            <w:r w:rsidR="000C558E">
              <w:t xml:space="preserve">veiktās  </w:t>
            </w:r>
            <w:r>
              <w:t xml:space="preserve">sadarbības iestādes funkcijas tiks nodotas CFLA </w:t>
            </w:r>
            <w:r>
              <w:rPr>
                <w:szCs w:val="16"/>
              </w:rPr>
              <w:t xml:space="preserve">ar </w:t>
            </w:r>
            <w:proofErr w:type="spellStart"/>
            <w:r>
              <w:rPr>
                <w:szCs w:val="16"/>
              </w:rPr>
              <w:t>š.g</w:t>
            </w:r>
            <w:proofErr w:type="spellEnd"/>
            <w:r>
              <w:rPr>
                <w:szCs w:val="16"/>
              </w:rPr>
              <w:t>. 1.novembri.</w:t>
            </w:r>
            <w:r w:rsidR="000C558E">
              <w:rPr>
                <w:szCs w:val="16"/>
              </w:rPr>
              <w:t xml:space="preserve"> Līdz ar to turpmāk Veselības ministrijas pārziņā esošajās ES fondu aktivitātēs atbildīgā iestāde joprojām būs Veselības ministrija, bet sadarbības iestāde visās tās aktivitātes CFLA. </w:t>
            </w:r>
          </w:p>
          <w:p w:rsidR="0028016C" w:rsidRPr="00B420D2" w:rsidRDefault="000C558E" w:rsidP="0028016C">
            <w:pPr>
              <w:jc w:val="both"/>
              <w:rPr>
                <w:rFonts w:eastAsia="Arial Unicode MS"/>
              </w:rPr>
            </w:pPr>
            <w:r>
              <w:rPr>
                <w:szCs w:val="16"/>
              </w:rPr>
              <w:t xml:space="preserve">Reģionālā un </w:t>
            </w:r>
            <w:r w:rsidR="0028016C">
              <w:rPr>
                <w:szCs w:val="16"/>
              </w:rPr>
              <w:t xml:space="preserve">vietējā pārvalde nevar veikt minētās funkcijas, jo tās ir saistītas ar ES fondu un valsts budžeta līdzekļu piešķiršanu un izlietojuma uzraudzību, ko var veikt tikai valsts pārvaldes līmenī. Līdz ar to minētās funkcijas un uzdevumus nevar deleģēt arī nevalstiskajām un sociālo </w:t>
            </w:r>
            <w:r w:rsidR="0028016C">
              <w:rPr>
                <w:szCs w:val="16"/>
              </w:rPr>
              <w:lastRenderedPageBreak/>
              <w:t>partneru organizācijām un privātpersonām.</w:t>
            </w:r>
          </w:p>
        </w:tc>
      </w:tr>
      <w:tr w:rsidR="001641B1" w:rsidRPr="00B420D2" w:rsidTr="00806EBD">
        <w:trPr>
          <w:trHeight w:val="70"/>
        </w:trPr>
        <w:tc>
          <w:tcPr>
            <w:tcW w:w="5551" w:type="dxa"/>
          </w:tcPr>
          <w:p w:rsidR="001641B1" w:rsidRPr="00B420D2" w:rsidRDefault="001641B1" w:rsidP="00806EBD">
            <w:pPr>
              <w:pStyle w:val="NormalWeb"/>
              <w:spacing w:before="0" w:beforeAutospacing="0" w:after="0"/>
              <w:jc w:val="both"/>
            </w:pPr>
            <w:r w:rsidRPr="00B420D2">
              <w:lastRenderedPageBreak/>
              <w:t>6. Cita informācija</w:t>
            </w:r>
          </w:p>
        </w:tc>
        <w:tc>
          <w:tcPr>
            <w:tcW w:w="3449" w:type="dxa"/>
          </w:tcPr>
          <w:p w:rsidR="001641B1" w:rsidRPr="00B420D2" w:rsidRDefault="001641B1" w:rsidP="00806EBD">
            <w:pPr>
              <w:rPr>
                <w:rFonts w:eastAsia="Arial Unicode MS"/>
              </w:rPr>
            </w:pPr>
            <w:r w:rsidRPr="00B420D2">
              <w:t>Nav</w:t>
            </w:r>
          </w:p>
        </w:tc>
      </w:tr>
    </w:tbl>
    <w:p w:rsidR="001641B1" w:rsidRDefault="001641B1" w:rsidP="001641B1">
      <w:pPr>
        <w:rPr>
          <w:sz w:val="28"/>
          <w:szCs w:val="28"/>
        </w:rPr>
      </w:pPr>
    </w:p>
    <w:p w:rsidR="001641B1" w:rsidRDefault="001641B1" w:rsidP="001641B1">
      <w:pPr>
        <w:rPr>
          <w:sz w:val="28"/>
          <w:szCs w:val="28"/>
        </w:rPr>
      </w:pPr>
    </w:p>
    <w:p w:rsidR="00722200" w:rsidRDefault="00722200" w:rsidP="001641B1">
      <w:pPr>
        <w:rPr>
          <w:sz w:val="28"/>
          <w:szCs w:val="28"/>
        </w:rPr>
      </w:pPr>
    </w:p>
    <w:p w:rsidR="00722200" w:rsidRDefault="00722200" w:rsidP="001641B1">
      <w:pPr>
        <w:rPr>
          <w:sz w:val="28"/>
          <w:szCs w:val="28"/>
        </w:rPr>
      </w:pPr>
    </w:p>
    <w:p w:rsidR="00B320FA" w:rsidRDefault="0001170C" w:rsidP="0001170C">
      <w:pPr>
        <w:pStyle w:val="naisf"/>
        <w:tabs>
          <w:tab w:val="left" w:pos="6804"/>
        </w:tabs>
        <w:spacing w:before="0" w:after="0"/>
        <w:ind w:firstLine="0"/>
        <w:rPr>
          <w:sz w:val="28"/>
          <w:szCs w:val="28"/>
        </w:rPr>
      </w:pPr>
      <w:r>
        <w:rPr>
          <w:sz w:val="28"/>
          <w:szCs w:val="28"/>
        </w:rPr>
        <w:t>Finanšu</w:t>
      </w:r>
      <w:r w:rsidR="001641B1" w:rsidRPr="007C0F2C">
        <w:rPr>
          <w:sz w:val="28"/>
          <w:szCs w:val="28"/>
        </w:rPr>
        <w:t xml:space="preserve"> ministr</w:t>
      </w:r>
      <w:r w:rsidR="00B320FA">
        <w:rPr>
          <w:sz w:val="28"/>
          <w:szCs w:val="28"/>
        </w:rPr>
        <w:t>a vietā –</w:t>
      </w:r>
    </w:p>
    <w:p w:rsidR="001641B1" w:rsidRPr="00711B97" w:rsidRDefault="00B320FA" w:rsidP="0001170C">
      <w:pPr>
        <w:pStyle w:val="naisf"/>
        <w:tabs>
          <w:tab w:val="left" w:pos="6804"/>
        </w:tabs>
        <w:spacing w:before="0" w:after="0"/>
        <w:ind w:firstLine="0"/>
        <w:rPr>
          <w:sz w:val="28"/>
          <w:szCs w:val="28"/>
        </w:rPr>
      </w:pPr>
      <w:r>
        <w:rPr>
          <w:sz w:val="28"/>
          <w:szCs w:val="28"/>
        </w:rPr>
        <w:t>ekonomikas ministrs</w:t>
      </w:r>
      <w:r w:rsidR="001641B1" w:rsidRPr="007C0F2C">
        <w:rPr>
          <w:sz w:val="28"/>
          <w:szCs w:val="28"/>
        </w:rPr>
        <w:tab/>
      </w:r>
      <w:r w:rsidR="0001170C">
        <w:rPr>
          <w:sz w:val="28"/>
          <w:szCs w:val="28"/>
        </w:rPr>
        <w:t>A.</w:t>
      </w:r>
      <w:r>
        <w:rPr>
          <w:sz w:val="28"/>
          <w:szCs w:val="28"/>
        </w:rPr>
        <w:t>Kampars</w:t>
      </w:r>
    </w:p>
    <w:p w:rsidR="001641B1" w:rsidRDefault="001641B1" w:rsidP="001641B1">
      <w:pPr>
        <w:pStyle w:val="naisf"/>
        <w:tabs>
          <w:tab w:val="left" w:pos="720"/>
        </w:tabs>
        <w:spacing w:before="0" w:after="0"/>
        <w:ind w:firstLine="0"/>
        <w:rPr>
          <w:sz w:val="22"/>
          <w:szCs w:val="22"/>
        </w:rPr>
      </w:pPr>
    </w:p>
    <w:p w:rsidR="00722200" w:rsidRDefault="00722200" w:rsidP="001641B1">
      <w:pPr>
        <w:pStyle w:val="Header"/>
        <w:rPr>
          <w:sz w:val="20"/>
          <w:szCs w:val="20"/>
        </w:rPr>
      </w:pPr>
    </w:p>
    <w:p w:rsidR="00722200" w:rsidRDefault="00722200" w:rsidP="001641B1">
      <w:pPr>
        <w:pStyle w:val="Header"/>
        <w:rPr>
          <w:sz w:val="20"/>
          <w:szCs w:val="20"/>
        </w:rPr>
      </w:pPr>
    </w:p>
    <w:p w:rsidR="00722200" w:rsidRDefault="00722200" w:rsidP="001641B1">
      <w:pPr>
        <w:pStyle w:val="Header"/>
        <w:rPr>
          <w:sz w:val="20"/>
          <w:szCs w:val="20"/>
        </w:rPr>
      </w:pPr>
    </w:p>
    <w:p w:rsidR="00722200" w:rsidRDefault="00722200" w:rsidP="001641B1">
      <w:pPr>
        <w:pStyle w:val="Header"/>
        <w:rPr>
          <w:sz w:val="20"/>
          <w:szCs w:val="20"/>
        </w:rPr>
      </w:pPr>
    </w:p>
    <w:p w:rsidR="00722200" w:rsidRDefault="00722200" w:rsidP="001641B1">
      <w:pPr>
        <w:pStyle w:val="Header"/>
        <w:rPr>
          <w:sz w:val="20"/>
          <w:szCs w:val="20"/>
        </w:rPr>
      </w:pPr>
    </w:p>
    <w:p w:rsidR="00722200" w:rsidRDefault="00722200" w:rsidP="001641B1">
      <w:pPr>
        <w:pStyle w:val="Header"/>
        <w:rPr>
          <w:sz w:val="20"/>
          <w:szCs w:val="20"/>
        </w:rPr>
      </w:pPr>
    </w:p>
    <w:p w:rsidR="00722200" w:rsidRDefault="00722200" w:rsidP="001641B1">
      <w:pPr>
        <w:pStyle w:val="Header"/>
        <w:rPr>
          <w:sz w:val="20"/>
          <w:szCs w:val="20"/>
        </w:rPr>
      </w:pPr>
    </w:p>
    <w:p w:rsidR="00722200" w:rsidRDefault="00722200" w:rsidP="001641B1">
      <w:pPr>
        <w:pStyle w:val="Header"/>
        <w:rPr>
          <w:sz w:val="20"/>
          <w:szCs w:val="20"/>
        </w:rPr>
      </w:pPr>
    </w:p>
    <w:p w:rsidR="00722200" w:rsidRDefault="00722200" w:rsidP="001641B1">
      <w:pPr>
        <w:pStyle w:val="Header"/>
        <w:rPr>
          <w:sz w:val="20"/>
          <w:szCs w:val="20"/>
        </w:rPr>
      </w:pPr>
    </w:p>
    <w:p w:rsidR="00722200" w:rsidRDefault="00722200" w:rsidP="001641B1">
      <w:pPr>
        <w:pStyle w:val="Header"/>
        <w:rPr>
          <w:sz w:val="20"/>
          <w:szCs w:val="20"/>
        </w:rPr>
      </w:pPr>
    </w:p>
    <w:p w:rsidR="00722200" w:rsidRDefault="00722200" w:rsidP="001641B1">
      <w:pPr>
        <w:pStyle w:val="Header"/>
        <w:rPr>
          <w:sz w:val="20"/>
          <w:szCs w:val="20"/>
        </w:rPr>
      </w:pPr>
    </w:p>
    <w:p w:rsidR="00722200" w:rsidRDefault="00722200" w:rsidP="001641B1">
      <w:pPr>
        <w:pStyle w:val="Header"/>
        <w:rPr>
          <w:sz w:val="20"/>
          <w:szCs w:val="20"/>
        </w:rPr>
      </w:pPr>
    </w:p>
    <w:p w:rsidR="00722200" w:rsidRDefault="00722200" w:rsidP="001641B1">
      <w:pPr>
        <w:pStyle w:val="Header"/>
        <w:rPr>
          <w:sz w:val="20"/>
          <w:szCs w:val="20"/>
        </w:rPr>
      </w:pPr>
    </w:p>
    <w:p w:rsidR="00722200" w:rsidRDefault="00722200" w:rsidP="001641B1">
      <w:pPr>
        <w:pStyle w:val="Header"/>
        <w:rPr>
          <w:sz w:val="20"/>
          <w:szCs w:val="20"/>
        </w:rPr>
      </w:pPr>
    </w:p>
    <w:p w:rsidR="00722200" w:rsidRDefault="00722200" w:rsidP="001641B1">
      <w:pPr>
        <w:pStyle w:val="Header"/>
        <w:rPr>
          <w:sz w:val="20"/>
          <w:szCs w:val="20"/>
        </w:rPr>
      </w:pPr>
    </w:p>
    <w:p w:rsidR="00722200" w:rsidRDefault="00722200" w:rsidP="001641B1">
      <w:pPr>
        <w:pStyle w:val="Header"/>
        <w:rPr>
          <w:sz w:val="20"/>
          <w:szCs w:val="20"/>
        </w:rPr>
      </w:pPr>
    </w:p>
    <w:p w:rsidR="001641B1" w:rsidRPr="00B420D2" w:rsidRDefault="00BA1530" w:rsidP="001641B1">
      <w:pPr>
        <w:pStyle w:val="Header"/>
        <w:rPr>
          <w:sz w:val="20"/>
          <w:szCs w:val="20"/>
        </w:rPr>
      </w:pPr>
      <w:r>
        <w:rPr>
          <w:sz w:val="20"/>
          <w:szCs w:val="20"/>
        </w:rPr>
        <w:t>23</w:t>
      </w:r>
      <w:r w:rsidR="001641B1">
        <w:rPr>
          <w:sz w:val="20"/>
          <w:szCs w:val="20"/>
        </w:rPr>
        <w:t>.09</w:t>
      </w:r>
      <w:r w:rsidR="001641B1" w:rsidRPr="00B420D2">
        <w:rPr>
          <w:sz w:val="20"/>
          <w:szCs w:val="20"/>
        </w:rPr>
        <w:t xml:space="preserve">.2011. </w:t>
      </w:r>
      <w:r>
        <w:rPr>
          <w:sz w:val="20"/>
          <w:szCs w:val="20"/>
        </w:rPr>
        <w:t>14:14</w:t>
      </w:r>
    </w:p>
    <w:p w:rsidR="001641B1" w:rsidRPr="00B420D2" w:rsidRDefault="00BA1530" w:rsidP="001641B1">
      <w:pPr>
        <w:pStyle w:val="Header"/>
        <w:tabs>
          <w:tab w:val="left" w:pos="5610"/>
        </w:tabs>
        <w:rPr>
          <w:sz w:val="20"/>
          <w:szCs w:val="20"/>
        </w:rPr>
      </w:pPr>
      <w:r>
        <w:rPr>
          <w:sz w:val="20"/>
          <w:szCs w:val="20"/>
        </w:rPr>
        <w:t>1</w:t>
      </w:r>
      <w:r w:rsidR="00C446FB">
        <w:rPr>
          <w:sz w:val="20"/>
          <w:szCs w:val="20"/>
        </w:rPr>
        <w:t>542</w:t>
      </w:r>
      <w:bookmarkStart w:id="2" w:name="_GoBack"/>
      <w:bookmarkEnd w:id="2"/>
    </w:p>
    <w:p w:rsidR="001641B1" w:rsidRPr="00B420D2" w:rsidRDefault="001641B1" w:rsidP="001641B1">
      <w:pPr>
        <w:pStyle w:val="Header"/>
        <w:rPr>
          <w:sz w:val="20"/>
          <w:szCs w:val="20"/>
        </w:rPr>
      </w:pPr>
      <w:r>
        <w:rPr>
          <w:sz w:val="20"/>
          <w:szCs w:val="20"/>
        </w:rPr>
        <w:t>L.</w:t>
      </w:r>
      <w:r w:rsidRPr="00B420D2">
        <w:rPr>
          <w:sz w:val="20"/>
          <w:szCs w:val="20"/>
        </w:rPr>
        <w:t>Barbara</w:t>
      </w:r>
    </w:p>
    <w:p w:rsidR="001641B1" w:rsidRDefault="001641B1" w:rsidP="001641B1">
      <w:pPr>
        <w:pStyle w:val="Header"/>
        <w:rPr>
          <w:sz w:val="20"/>
          <w:szCs w:val="20"/>
        </w:rPr>
      </w:pPr>
      <w:r w:rsidRPr="00B420D2">
        <w:rPr>
          <w:sz w:val="20"/>
          <w:szCs w:val="20"/>
        </w:rPr>
        <w:t xml:space="preserve">67083861, </w:t>
      </w:r>
      <w:hyperlink r:id="rId8" w:history="1">
        <w:r w:rsidRPr="002735A9">
          <w:rPr>
            <w:rStyle w:val="Hyperlink"/>
          </w:rPr>
          <w:t>Linda.Barbara@fm.gov.lv</w:t>
        </w:r>
      </w:hyperlink>
    </w:p>
    <w:p w:rsidR="003B6CD0" w:rsidRDefault="003B6CD0"/>
    <w:sectPr w:rsidR="003B6CD0" w:rsidSect="00806EBD">
      <w:headerReference w:type="default" r:id="rId9"/>
      <w:footerReference w:type="default" r:id="rId10"/>
      <w:footerReference w:type="first" r:id="rId11"/>
      <w:pgSz w:w="11906" w:h="16838" w:code="9"/>
      <w:pgMar w:top="1418" w:right="1134" w:bottom="1134" w:left="1701" w:header="709" w:footer="4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BA9" w:rsidRDefault="00905BA9" w:rsidP="001641B1">
      <w:r>
        <w:separator/>
      </w:r>
    </w:p>
  </w:endnote>
  <w:endnote w:type="continuationSeparator" w:id="0">
    <w:p w:rsidR="00905BA9" w:rsidRDefault="00905BA9" w:rsidP="0016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BA9" w:rsidRPr="001641B1" w:rsidRDefault="00905BA9" w:rsidP="001641B1">
    <w:pPr>
      <w:pStyle w:val="naisf"/>
      <w:spacing w:before="0" w:after="0"/>
      <w:ind w:firstLine="0"/>
    </w:pPr>
    <w:r w:rsidRPr="00D27AF0">
      <w:rPr>
        <w:sz w:val="20"/>
      </w:rPr>
      <w:t>FMAnot_</w:t>
    </w:r>
    <w:r>
      <w:rPr>
        <w:sz w:val="20"/>
      </w:rPr>
      <w:t>23</w:t>
    </w:r>
    <w:r w:rsidRPr="00D27AF0">
      <w:rPr>
        <w:sz w:val="20"/>
      </w:rPr>
      <w:t xml:space="preserve">0911_VEC; </w:t>
    </w:r>
    <w:r w:rsidRPr="00D27AF0">
      <w:rPr>
        <w:sz w:val="20"/>
        <w:szCs w:val="28"/>
      </w:rPr>
      <w:t>Ministru kabineta rīkojuma projekta „Grozījumi Ministru kabineta 2011.gada 7.septembra rīkojumā Nr.436 „Par Veselības norēķinu centra un Veselības ekonomikas centra reorganizāciju””</w:t>
    </w:r>
    <w:r w:rsidRPr="00D27AF0">
      <w:rPr>
        <w:sz w:val="22"/>
        <w:szCs w:val="28"/>
      </w:rPr>
      <w:t xml:space="preserve"> </w:t>
    </w:r>
    <w:r w:rsidRPr="00D27AF0">
      <w:rPr>
        <w:sz w:val="20"/>
        <w:szCs w:val="28"/>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BA9" w:rsidRDefault="00905BA9" w:rsidP="00806EBD">
    <w:pPr>
      <w:pStyle w:val="naisc"/>
      <w:spacing w:before="0" w:after="0"/>
      <w:jc w:val="both"/>
    </w:pPr>
    <w:r w:rsidRPr="00D27AF0">
      <w:rPr>
        <w:sz w:val="20"/>
      </w:rPr>
      <w:t>FMAnot_</w:t>
    </w:r>
    <w:r>
      <w:rPr>
        <w:sz w:val="20"/>
      </w:rPr>
      <w:t>23</w:t>
    </w:r>
    <w:r w:rsidRPr="00D27AF0">
      <w:rPr>
        <w:sz w:val="20"/>
      </w:rPr>
      <w:t xml:space="preserve">0911_VEC; </w:t>
    </w:r>
    <w:r w:rsidRPr="00D27AF0">
      <w:rPr>
        <w:sz w:val="20"/>
        <w:szCs w:val="28"/>
      </w:rPr>
      <w:t>Ministru kabineta rīkojuma projekta „Grozījumi Ministru kabineta 2011.gada 7.septembra rīkojumā Nr.436 „Par Veselības norēķinu centra un Veselības ekonomikas centra reorganizāciju””</w:t>
    </w:r>
    <w:r w:rsidRPr="00D27AF0">
      <w:rPr>
        <w:sz w:val="22"/>
        <w:szCs w:val="28"/>
      </w:rPr>
      <w:t xml:space="preserve"> </w:t>
    </w:r>
    <w:r w:rsidRPr="00D27AF0">
      <w:rPr>
        <w:sz w:val="20"/>
        <w:szCs w:val="28"/>
      </w:rPr>
      <w:t>sākotnējās ietekmes novērtējuma ziņojums (anotācija)</w:t>
    </w:r>
  </w:p>
  <w:p w:rsidR="00905BA9" w:rsidRPr="00D42719" w:rsidRDefault="00905BA9" w:rsidP="00806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BA9" w:rsidRDefault="00905BA9" w:rsidP="001641B1">
      <w:r>
        <w:separator/>
      </w:r>
    </w:p>
  </w:footnote>
  <w:footnote w:type="continuationSeparator" w:id="0">
    <w:p w:rsidR="00905BA9" w:rsidRDefault="00905BA9" w:rsidP="00164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BA9" w:rsidRDefault="00905BA9" w:rsidP="00806EBD">
    <w:pPr>
      <w:pStyle w:val="Header"/>
      <w:jc w:val="center"/>
    </w:pPr>
    <w:r>
      <w:rPr>
        <w:rStyle w:val="PageNumber"/>
      </w:rPr>
      <w:fldChar w:fldCharType="begin"/>
    </w:r>
    <w:r>
      <w:rPr>
        <w:rStyle w:val="PageNumber"/>
      </w:rPr>
      <w:instrText xml:space="preserve"> PAGE </w:instrText>
    </w:r>
    <w:r>
      <w:rPr>
        <w:rStyle w:val="PageNumber"/>
      </w:rPr>
      <w:fldChar w:fldCharType="separate"/>
    </w:r>
    <w:r w:rsidR="00C446FB">
      <w:rPr>
        <w:rStyle w:val="PageNumber"/>
        <w:noProof/>
      </w:rPr>
      <w:t>6</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E4115"/>
    <w:multiLevelType w:val="hybridMultilevel"/>
    <w:tmpl w:val="50461516"/>
    <w:lvl w:ilvl="0" w:tplc="0426000F">
      <w:start w:val="1"/>
      <w:numFmt w:val="decimal"/>
      <w:lvlText w:val="%1."/>
      <w:lvlJc w:val="left"/>
      <w:pPr>
        <w:ind w:left="360" w:hanging="360"/>
      </w:pPr>
    </w:lvl>
    <w:lvl w:ilvl="1" w:tplc="52D8AB2C">
      <w:start w:val="1"/>
      <w:numFmt w:val="decimal"/>
      <w:lvlText w:val="%2)"/>
      <w:lvlJc w:val="left"/>
      <w:pPr>
        <w:ind w:left="1080" w:hanging="360"/>
      </w:pPr>
      <w:rPr>
        <w:rFonts w:ascii="Times New Roman" w:eastAsia="Times New Roman" w:hAnsi="Times New Roman" w:cs="Times New Roman"/>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16821EE8"/>
    <w:multiLevelType w:val="hybridMultilevel"/>
    <w:tmpl w:val="2F927892"/>
    <w:lvl w:ilvl="0" w:tplc="01A6BC5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36AB1"/>
    <w:multiLevelType w:val="hybridMultilevel"/>
    <w:tmpl w:val="9326B458"/>
    <w:lvl w:ilvl="0" w:tplc="6D16685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E6BF2"/>
    <w:multiLevelType w:val="hybridMultilevel"/>
    <w:tmpl w:val="519AD168"/>
    <w:lvl w:ilvl="0" w:tplc="0409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33629AA6">
      <w:start w:val="1"/>
      <w:numFmt w:val="decimal"/>
      <w:lvlText w:val="%3)"/>
      <w:lvlJc w:val="left"/>
      <w:pPr>
        <w:ind w:left="2160" w:hanging="360"/>
      </w:pPr>
      <w:rPr>
        <w:rFont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21D7AD4"/>
    <w:multiLevelType w:val="hybridMultilevel"/>
    <w:tmpl w:val="1FB84918"/>
    <w:lvl w:ilvl="0" w:tplc="612C3F26">
      <w:start w:val="6"/>
      <w:numFmt w:val="bullet"/>
      <w:lvlText w:val="-"/>
      <w:lvlJc w:val="left"/>
      <w:pPr>
        <w:ind w:left="735" w:hanging="360"/>
      </w:pPr>
      <w:rPr>
        <w:rFonts w:ascii="Times New Roman" w:eastAsia="Times New Roman" w:hAnsi="Times New Roman" w:cs="Times New Roman" w:hint="default"/>
        <w:color w:val="FF0000"/>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32396D97"/>
    <w:multiLevelType w:val="hybridMultilevel"/>
    <w:tmpl w:val="6F1CE3AE"/>
    <w:lvl w:ilvl="0" w:tplc="C674E17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643A31"/>
    <w:multiLevelType w:val="multilevel"/>
    <w:tmpl w:val="DAC8D04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BF308F0"/>
    <w:multiLevelType w:val="hybridMultilevel"/>
    <w:tmpl w:val="43A2F854"/>
    <w:lvl w:ilvl="0" w:tplc="A8CE8A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854B72"/>
    <w:multiLevelType w:val="hybridMultilevel"/>
    <w:tmpl w:val="00669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FF129E"/>
    <w:multiLevelType w:val="hybridMultilevel"/>
    <w:tmpl w:val="3C7CDC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3D5CF7"/>
    <w:multiLevelType w:val="hybridMultilevel"/>
    <w:tmpl w:val="D6AAED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9D41DA"/>
    <w:multiLevelType w:val="hybridMultilevel"/>
    <w:tmpl w:val="793A2740"/>
    <w:lvl w:ilvl="0" w:tplc="8424E9E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535D4ED5"/>
    <w:multiLevelType w:val="hybridMultilevel"/>
    <w:tmpl w:val="6486F570"/>
    <w:lvl w:ilvl="0" w:tplc="C304EDF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33571F"/>
    <w:multiLevelType w:val="hybridMultilevel"/>
    <w:tmpl w:val="6486F570"/>
    <w:lvl w:ilvl="0" w:tplc="C304EDF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9F0221"/>
    <w:multiLevelType w:val="hybridMultilevel"/>
    <w:tmpl w:val="FE4A2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D54DA1"/>
    <w:multiLevelType w:val="hybridMultilevel"/>
    <w:tmpl w:val="409C08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9E43862"/>
    <w:multiLevelType w:val="hybridMultilevel"/>
    <w:tmpl w:val="6FE41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8C52EB"/>
    <w:multiLevelType w:val="hybridMultilevel"/>
    <w:tmpl w:val="C218AD6C"/>
    <w:lvl w:ilvl="0" w:tplc="88CA352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A95550"/>
    <w:multiLevelType w:val="hybridMultilevel"/>
    <w:tmpl w:val="00669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DA4FEE"/>
    <w:multiLevelType w:val="hybridMultilevel"/>
    <w:tmpl w:val="6486F570"/>
    <w:lvl w:ilvl="0" w:tplc="C304EDF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827F15"/>
    <w:multiLevelType w:val="hybridMultilevel"/>
    <w:tmpl w:val="EB6E8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6"/>
  </w:num>
  <w:num w:numId="5">
    <w:abstractNumId w:val="4"/>
  </w:num>
  <w:num w:numId="6">
    <w:abstractNumId w:val="11"/>
  </w:num>
  <w:num w:numId="7">
    <w:abstractNumId w:val="17"/>
  </w:num>
  <w:num w:numId="8">
    <w:abstractNumId w:val="5"/>
  </w:num>
  <w:num w:numId="9">
    <w:abstractNumId w:val="14"/>
  </w:num>
  <w:num w:numId="10">
    <w:abstractNumId w:val="16"/>
  </w:num>
  <w:num w:numId="11">
    <w:abstractNumId w:val="1"/>
  </w:num>
  <w:num w:numId="12">
    <w:abstractNumId w:val="20"/>
  </w:num>
  <w:num w:numId="13">
    <w:abstractNumId w:val="2"/>
  </w:num>
  <w:num w:numId="14">
    <w:abstractNumId w:val="10"/>
  </w:num>
  <w:num w:numId="15">
    <w:abstractNumId w:val="9"/>
  </w:num>
  <w:num w:numId="16">
    <w:abstractNumId w:val="8"/>
  </w:num>
  <w:num w:numId="17">
    <w:abstractNumId w:val="19"/>
  </w:num>
  <w:num w:numId="18">
    <w:abstractNumId w:val="13"/>
  </w:num>
  <w:num w:numId="19">
    <w:abstractNumId w:val="18"/>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1B1"/>
    <w:rsid w:val="0001170C"/>
    <w:rsid w:val="000123B6"/>
    <w:rsid w:val="000376A6"/>
    <w:rsid w:val="00041033"/>
    <w:rsid w:val="000C3868"/>
    <w:rsid w:val="000C558E"/>
    <w:rsid w:val="000E7968"/>
    <w:rsid w:val="00120A11"/>
    <w:rsid w:val="001641B1"/>
    <w:rsid w:val="001664BD"/>
    <w:rsid w:val="002704D7"/>
    <w:rsid w:val="0028016C"/>
    <w:rsid w:val="002C0825"/>
    <w:rsid w:val="002C2B10"/>
    <w:rsid w:val="002E081C"/>
    <w:rsid w:val="00340BE8"/>
    <w:rsid w:val="00344EFB"/>
    <w:rsid w:val="00361798"/>
    <w:rsid w:val="003B6CD0"/>
    <w:rsid w:val="003C0B8B"/>
    <w:rsid w:val="0045562B"/>
    <w:rsid w:val="004A45AA"/>
    <w:rsid w:val="004B2F98"/>
    <w:rsid w:val="004F0BAD"/>
    <w:rsid w:val="00564FC9"/>
    <w:rsid w:val="0060091F"/>
    <w:rsid w:val="006F1801"/>
    <w:rsid w:val="00722200"/>
    <w:rsid w:val="007D148A"/>
    <w:rsid w:val="00806EBD"/>
    <w:rsid w:val="00905BA9"/>
    <w:rsid w:val="009904B6"/>
    <w:rsid w:val="00A7640A"/>
    <w:rsid w:val="00A76CA8"/>
    <w:rsid w:val="00B320FA"/>
    <w:rsid w:val="00BA1530"/>
    <w:rsid w:val="00C446FB"/>
    <w:rsid w:val="00C92CBA"/>
    <w:rsid w:val="00D12F97"/>
    <w:rsid w:val="00D13F5D"/>
    <w:rsid w:val="00D27AF0"/>
    <w:rsid w:val="00E57C8B"/>
    <w:rsid w:val="00EB6167"/>
    <w:rsid w:val="00F221AF"/>
    <w:rsid w:val="00F523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1B1"/>
    <w:pPr>
      <w:spacing w:after="0" w:line="240" w:lineRule="auto"/>
    </w:pPr>
    <w:rPr>
      <w:rFonts w:eastAsia="Times New Roman" w:cs="Times New Roman"/>
      <w:sz w:val="24"/>
      <w:szCs w:val="24"/>
      <w:lang w:eastAsia="lv-LV"/>
    </w:rPr>
  </w:style>
  <w:style w:type="paragraph" w:styleId="Heading1">
    <w:name w:val="heading 1"/>
    <w:basedOn w:val="Normal"/>
    <w:next w:val="Normal"/>
    <w:link w:val="Heading1Char"/>
    <w:qFormat/>
    <w:rsid w:val="001641B1"/>
    <w:pPr>
      <w:keepNext/>
      <w:jc w:val="center"/>
      <w:outlineLvl w:val="0"/>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41B1"/>
    <w:pPr>
      <w:tabs>
        <w:tab w:val="center" w:pos="4153"/>
        <w:tab w:val="right" w:pos="8306"/>
      </w:tabs>
    </w:pPr>
  </w:style>
  <w:style w:type="character" w:customStyle="1" w:styleId="HeaderChar">
    <w:name w:val="Header Char"/>
    <w:basedOn w:val="DefaultParagraphFont"/>
    <w:link w:val="Header"/>
    <w:uiPriority w:val="99"/>
    <w:rsid w:val="001641B1"/>
    <w:rPr>
      <w:rFonts w:eastAsia="Times New Roman" w:cs="Times New Roman"/>
      <w:sz w:val="24"/>
      <w:szCs w:val="24"/>
      <w:lang w:eastAsia="lv-LV"/>
    </w:rPr>
  </w:style>
  <w:style w:type="paragraph" w:styleId="Footer">
    <w:name w:val="footer"/>
    <w:basedOn w:val="Normal"/>
    <w:link w:val="FooterChar"/>
    <w:rsid w:val="001641B1"/>
    <w:pPr>
      <w:tabs>
        <w:tab w:val="center" w:pos="4153"/>
        <w:tab w:val="right" w:pos="8306"/>
      </w:tabs>
    </w:pPr>
  </w:style>
  <w:style w:type="character" w:customStyle="1" w:styleId="FooterChar">
    <w:name w:val="Footer Char"/>
    <w:basedOn w:val="DefaultParagraphFont"/>
    <w:link w:val="Footer"/>
    <w:rsid w:val="001641B1"/>
    <w:rPr>
      <w:rFonts w:eastAsia="Times New Roman" w:cs="Times New Roman"/>
      <w:sz w:val="24"/>
      <w:szCs w:val="24"/>
      <w:lang w:eastAsia="lv-LV"/>
    </w:rPr>
  </w:style>
  <w:style w:type="character" w:styleId="PageNumber">
    <w:name w:val="page number"/>
    <w:basedOn w:val="DefaultParagraphFont"/>
    <w:rsid w:val="001641B1"/>
  </w:style>
  <w:style w:type="paragraph" w:customStyle="1" w:styleId="naisf">
    <w:name w:val="naisf"/>
    <w:basedOn w:val="Normal"/>
    <w:link w:val="naisfChar"/>
    <w:rsid w:val="001641B1"/>
    <w:pPr>
      <w:spacing w:before="75" w:after="75"/>
      <w:ind w:firstLine="375"/>
      <w:jc w:val="both"/>
    </w:pPr>
  </w:style>
  <w:style w:type="paragraph" w:customStyle="1" w:styleId="naisnod">
    <w:name w:val="naisnod"/>
    <w:basedOn w:val="Normal"/>
    <w:rsid w:val="001641B1"/>
    <w:pPr>
      <w:spacing w:before="150" w:after="150"/>
      <w:jc w:val="center"/>
    </w:pPr>
    <w:rPr>
      <w:rFonts w:eastAsia="Calibri"/>
      <w:b/>
      <w:bCs/>
    </w:rPr>
  </w:style>
  <w:style w:type="paragraph" w:customStyle="1" w:styleId="naiskr">
    <w:name w:val="naiskr"/>
    <w:basedOn w:val="Normal"/>
    <w:uiPriority w:val="99"/>
    <w:rsid w:val="001641B1"/>
    <w:pPr>
      <w:spacing w:before="75" w:after="75"/>
    </w:pPr>
    <w:rPr>
      <w:rFonts w:eastAsia="Calibri"/>
    </w:rPr>
  </w:style>
  <w:style w:type="paragraph" w:styleId="BodyTextIndent2">
    <w:name w:val="Body Text Indent 2"/>
    <w:basedOn w:val="Normal"/>
    <w:link w:val="BodyTextIndent2Char"/>
    <w:rsid w:val="001641B1"/>
    <w:pPr>
      <w:spacing w:after="120" w:line="480" w:lineRule="auto"/>
      <w:ind w:left="283"/>
    </w:pPr>
    <w:rPr>
      <w:rFonts w:eastAsia="Calibri"/>
    </w:rPr>
  </w:style>
  <w:style w:type="character" w:customStyle="1" w:styleId="BodyTextIndent2Char">
    <w:name w:val="Body Text Indent 2 Char"/>
    <w:basedOn w:val="DefaultParagraphFont"/>
    <w:link w:val="BodyTextIndent2"/>
    <w:rsid w:val="001641B1"/>
    <w:rPr>
      <w:rFonts w:eastAsia="Calibri" w:cs="Times New Roman"/>
      <w:sz w:val="24"/>
      <w:szCs w:val="24"/>
      <w:lang w:eastAsia="lv-LV"/>
    </w:rPr>
  </w:style>
  <w:style w:type="paragraph" w:styleId="ListParagraph">
    <w:name w:val="List Paragraph"/>
    <w:basedOn w:val="Normal"/>
    <w:uiPriority w:val="34"/>
    <w:qFormat/>
    <w:rsid w:val="001641B1"/>
    <w:pPr>
      <w:spacing w:after="200" w:line="276" w:lineRule="auto"/>
      <w:ind w:left="720"/>
      <w:contextualSpacing/>
    </w:pPr>
    <w:rPr>
      <w:rFonts w:ascii="Calibri" w:eastAsia="Calibri" w:hAnsi="Calibri"/>
      <w:sz w:val="22"/>
      <w:szCs w:val="22"/>
      <w:lang w:val="en-US" w:eastAsia="en-US"/>
    </w:rPr>
  </w:style>
  <w:style w:type="paragraph" w:styleId="NormalWeb">
    <w:name w:val="Normal (Web)"/>
    <w:basedOn w:val="Normal"/>
    <w:rsid w:val="001641B1"/>
    <w:pPr>
      <w:spacing w:before="100" w:beforeAutospacing="1" w:after="119"/>
    </w:pPr>
  </w:style>
  <w:style w:type="paragraph" w:styleId="BalloonText">
    <w:name w:val="Balloon Text"/>
    <w:basedOn w:val="Normal"/>
    <w:link w:val="BalloonTextChar"/>
    <w:rsid w:val="001641B1"/>
    <w:rPr>
      <w:rFonts w:ascii="Tahoma" w:hAnsi="Tahoma" w:cs="Tahoma"/>
      <w:sz w:val="16"/>
      <w:szCs w:val="16"/>
    </w:rPr>
  </w:style>
  <w:style w:type="character" w:customStyle="1" w:styleId="BalloonTextChar">
    <w:name w:val="Balloon Text Char"/>
    <w:basedOn w:val="DefaultParagraphFont"/>
    <w:link w:val="BalloonText"/>
    <w:rsid w:val="001641B1"/>
    <w:rPr>
      <w:rFonts w:ascii="Tahoma" w:eastAsia="Times New Roman" w:hAnsi="Tahoma" w:cs="Tahoma"/>
      <w:sz w:val="16"/>
      <w:szCs w:val="16"/>
      <w:lang w:eastAsia="lv-LV"/>
    </w:rPr>
  </w:style>
  <w:style w:type="character" w:styleId="Hyperlink">
    <w:name w:val="Hyperlink"/>
    <w:basedOn w:val="DefaultParagraphFont"/>
    <w:rsid w:val="001641B1"/>
    <w:rPr>
      <w:color w:val="0000FF" w:themeColor="hyperlink"/>
      <w:u w:val="single"/>
    </w:rPr>
  </w:style>
  <w:style w:type="paragraph" w:styleId="FootnoteText">
    <w:name w:val="footnote text"/>
    <w:basedOn w:val="Normal"/>
    <w:link w:val="FootnoteTextChar"/>
    <w:rsid w:val="001641B1"/>
    <w:rPr>
      <w:sz w:val="20"/>
      <w:szCs w:val="20"/>
    </w:rPr>
  </w:style>
  <w:style w:type="character" w:customStyle="1" w:styleId="FootnoteTextChar">
    <w:name w:val="Footnote Text Char"/>
    <w:basedOn w:val="DefaultParagraphFont"/>
    <w:link w:val="FootnoteText"/>
    <w:rsid w:val="001641B1"/>
    <w:rPr>
      <w:rFonts w:eastAsia="Times New Roman" w:cs="Times New Roman"/>
      <w:sz w:val="20"/>
      <w:szCs w:val="20"/>
      <w:lang w:eastAsia="lv-LV"/>
    </w:rPr>
  </w:style>
  <w:style w:type="character" w:customStyle="1" w:styleId="spelle">
    <w:name w:val="spelle"/>
    <w:basedOn w:val="DefaultParagraphFont"/>
    <w:rsid w:val="001641B1"/>
  </w:style>
  <w:style w:type="paragraph" w:styleId="NoSpacing">
    <w:name w:val="No Spacing"/>
    <w:uiPriority w:val="1"/>
    <w:qFormat/>
    <w:rsid w:val="001641B1"/>
    <w:pPr>
      <w:spacing w:after="0" w:line="240" w:lineRule="auto"/>
    </w:pPr>
    <w:rPr>
      <w:rFonts w:eastAsia="Times New Roman" w:cs="Times New Roman"/>
      <w:sz w:val="24"/>
      <w:szCs w:val="24"/>
      <w:lang w:eastAsia="lv-LV"/>
    </w:rPr>
  </w:style>
  <w:style w:type="paragraph" w:customStyle="1" w:styleId="tvhtml">
    <w:name w:val="tv_html"/>
    <w:basedOn w:val="Normal"/>
    <w:rsid w:val="001641B1"/>
    <w:pPr>
      <w:spacing w:before="100" w:beforeAutospacing="1" w:after="100" w:afterAutospacing="1"/>
    </w:pPr>
    <w:rPr>
      <w:rFonts w:ascii="Verdana" w:hAnsi="Verdana"/>
      <w:sz w:val="18"/>
      <w:szCs w:val="18"/>
      <w:lang w:val="en-US" w:eastAsia="en-US" w:bidi="lo-LA"/>
    </w:rPr>
  </w:style>
  <w:style w:type="paragraph" w:customStyle="1" w:styleId="naisc">
    <w:name w:val="naisc"/>
    <w:basedOn w:val="Normal"/>
    <w:rsid w:val="001641B1"/>
    <w:pPr>
      <w:spacing w:before="75" w:after="75"/>
      <w:jc w:val="center"/>
    </w:pPr>
  </w:style>
  <w:style w:type="paragraph" w:customStyle="1" w:styleId="Default">
    <w:name w:val="Default"/>
    <w:rsid w:val="001641B1"/>
    <w:pPr>
      <w:autoSpaceDE w:val="0"/>
      <w:autoSpaceDN w:val="0"/>
      <w:adjustRightInd w:val="0"/>
      <w:spacing w:after="0" w:line="240" w:lineRule="auto"/>
    </w:pPr>
    <w:rPr>
      <w:rFonts w:ascii="EUAlbertina" w:eastAsia="Times New Roman" w:hAnsi="EUAlbertina" w:cs="EUAlbertina"/>
      <w:color w:val="000000"/>
      <w:sz w:val="24"/>
      <w:szCs w:val="24"/>
      <w:lang w:val="en-US" w:bidi="lo-LA"/>
    </w:rPr>
  </w:style>
  <w:style w:type="paragraph" w:customStyle="1" w:styleId="CM4">
    <w:name w:val="CM4"/>
    <w:basedOn w:val="Default"/>
    <w:next w:val="Default"/>
    <w:uiPriority w:val="99"/>
    <w:rsid w:val="001641B1"/>
    <w:rPr>
      <w:rFonts w:cs="Arial Unicode MS"/>
      <w:color w:val="auto"/>
    </w:rPr>
  </w:style>
  <w:style w:type="character" w:customStyle="1" w:styleId="apple-style-span">
    <w:name w:val="apple-style-span"/>
    <w:basedOn w:val="DefaultParagraphFont"/>
    <w:rsid w:val="001641B1"/>
  </w:style>
  <w:style w:type="character" w:customStyle="1" w:styleId="Heading1Char">
    <w:name w:val="Heading 1 Char"/>
    <w:basedOn w:val="DefaultParagraphFont"/>
    <w:link w:val="Heading1"/>
    <w:rsid w:val="001641B1"/>
    <w:rPr>
      <w:rFonts w:eastAsia="Times New Roman" w:cs="Times New Roman"/>
      <w:b/>
      <w:bCs/>
      <w:szCs w:val="24"/>
    </w:rPr>
  </w:style>
  <w:style w:type="character" w:customStyle="1" w:styleId="naisfChar">
    <w:name w:val="naisf Char"/>
    <w:basedOn w:val="DefaultParagraphFont"/>
    <w:link w:val="naisf"/>
    <w:rsid w:val="001641B1"/>
    <w:rPr>
      <w:rFonts w:eastAsia="Times New Roman" w:cs="Times New Roman"/>
      <w:sz w:val="24"/>
      <w:szCs w:val="24"/>
      <w:lang w:eastAsia="lv-LV"/>
    </w:rPr>
  </w:style>
  <w:style w:type="paragraph" w:styleId="CommentText">
    <w:name w:val="annotation text"/>
    <w:basedOn w:val="Normal"/>
    <w:link w:val="CommentTextChar"/>
    <w:uiPriority w:val="99"/>
    <w:semiHidden/>
    <w:unhideWhenUsed/>
    <w:rsid w:val="003C0B8B"/>
    <w:rPr>
      <w:sz w:val="20"/>
      <w:szCs w:val="20"/>
    </w:rPr>
  </w:style>
  <w:style w:type="character" w:customStyle="1" w:styleId="CommentTextChar">
    <w:name w:val="Comment Text Char"/>
    <w:basedOn w:val="DefaultParagraphFont"/>
    <w:link w:val="CommentText"/>
    <w:uiPriority w:val="99"/>
    <w:semiHidden/>
    <w:rsid w:val="003C0B8B"/>
    <w:rPr>
      <w:rFonts w:eastAsia="Times New Roman" w:cs="Times New Roman"/>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1B1"/>
    <w:pPr>
      <w:spacing w:after="0" w:line="240" w:lineRule="auto"/>
    </w:pPr>
    <w:rPr>
      <w:rFonts w:eastAsia="Times New Roman" w:cs="Times New Roman"/>
      <w:sz w:val="24"/>
      <w:szCs w:val="24"/>
      <w:lang w:eastAsia="lv-LV"/>
    </w:rPr>
  </w:style>
  <w:style w:type="paragraph" w:styleId="Heading1">
    <w:name w:val="heading 1"/>
    <w:basedOn w:val="Normal"/>
    <w:next w:val="Normal"/>
    <w:link w:val="Heading1Char"/>
    <w:qFormat/>
    <w:rsid w:val="001641B1"/>
    <w:pPr>
      <w:keepNext/>
      <w:jc w:val="center"/>
      <w:outlineLvl w:val="0"/>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41B1"/>
    <w:pPr>
      <w:tabs>
        <w:tab w:val="center" w:pos="4153"/>
        <w:tab w:val="right" w:pos="8306"/>
      </w:tabs>
    </w:pPr>
  </w:style>
  <w:style w:type="character" w:customStyle="1" w:styleId="HeaderChar">
    <w:name w:val="Header Char"/>
    <w:basedOn w:val="DefaultParagraphFont"/>
    <w:link w:val="Header"/>
    <w:uiPriority w:val="99"/>
    <w:rsid w:val="001641B1"/>
    <w:rPr>
      <w:rFonts w:eastAsia="Times New Roman" w:cs="Times New Roman"/>
      <w:sz w:val="24"/>
      <w:szCs w:val="24"/>
      <w:lang w:eastAsia="lv-LV"/>
    </w:rPr>
  </w:style>
  <w:style w:type="paragraph" w:styleId="Footer">
    <w:name w:val="footer"/>
    <w:basedOn w:val="Normal"/>
    <w:link w:val="FooterChar"/>
    <w:rsid w:val="001641B1"/>
    <w:pPr>
      <w:tabs>
        <w:tab w:val="center" w:pos="4153"/>
        <w:tab w:val="right" w:pos="8306"/>
      </w:tabs>
    </w:pPr>
  </w:style>
  <w:style w:type="character" w:customStyle="1" w:styleId="FooterChar">
    <w:name w:val="Footer Char"/>
    <w:basedOn w:val="DefaultParagraphFont"/>
    <w:link w:val="Footer"/>
    <w:rsid w:val="001641B1"/>
    <w:rPr>
      <w:rFonts w:eastAsia="Times New Roman" w:cs="Times New Roman"/>
      <w:sz w:val="24"/>
      <w:szCs w:val="24"/>
      <w:lang w:eastAsia="lv-LV"/>
    </w:rPr>
  </w:style>
  <w:style w:type="character" w:styleId="PageNumber">
    <w:name w:val="page number"/>
    <w:basedOn w:val="DefaultParagraphFont"/>
    <w:rsid w:val="001641B1"/>
  </w:style>
  <w:style w:type="paragraph" w:customStyle="1" w:styleId="naisf">
    <w:name w:val="naisf"/>
    <w:basedOn w:val="Normal"/>
    <w:link w:val="naisfChar"/>
    <w:rsid w:val="001641B1"/>
    <w:pPr>
      <w:spacing w:before="75" w:after="75"/>
      <w:ind w:firstLine="375"/>
      <w:jc w:val="both"/>
    </w:pPr>
  </w:style>
  <w:style w:type="paragraph" w:customStyle="1" w:styleId="naisnod">
    <w:name w:val="naisnod"/>
    <w:basedOn w:val="Normal"/>
    <w:rsid w:val="001641B1"/>
    <w:pPr>
      <w:spacing w:before="150" w:after="150"/>
      <w:jc w:val="center"/>
    </w:pPr>
    <w:rPr>
      <w:rFonts w:eastAsia="Calibri"/>
      <w:b/>
      <w:bCs/>
    </w:rPr>
  </w:style>
  <w:style w:type="paragraph" w:customStyle="1" w:styleId="naiskr">
    <w:name w:val="naiskr"/>
    <w:basedOn w:val="Normal"/>
    <w:uiPriority w:val="99"/>
    <w:rsid w:val="001641B1"/>
    <w:pPr>
      <w:spacing w:before="75" w:after="75"/>
    </w:pPr>
    <w:rPr>
      <w:rFonts w:eastAsia="Calibri"/>
    </w:rPr>
  </w:style>
  <w:style w:type="paragraph" w:styleId="BodyTextIndent2">
    <w:name w:val="Body Text Indent 2"/>
    <w:basedOn w:val="Normal"/>
    <w:link w:val="BodyTextIndent2Char"/>
    <w:rsid w:val="001641B1"/>
    <w:pPr>
      <w:spacing w:after="120" w:line="480" w:lineRule="auto"/>
      <w:ind w:left="283"/>
    </w:pPr>
    <w:rPr>
      <w:rFonts w:eastAsia="Calibri"/>
    </w:rPr>
  </w:style>
  <w:style w:type="character" w:customStyle="1" w:styleId="BodyTextIndent2Char">
    <w:name w:val="Body Text Indent 2 Char"/>
    <w:basedOn w:val="DefaultParagraphFont"/>
    <w:link w:val="BodyTextIndent2"/>
    <w:rsid w:val="001641B1"/>
    <w:rPr>
      <w:rFonts w:eastAsia="Calibri" w:cs="Times New Roman"/>
      <w:sz w:val="24"/>
      <w:szCs w:val="24"/>
      <w:lang w:eastAsia="lv-LV"/>
    </w:rPr>
  </w:style>
  <w:style w:type="paragraph" w:styleId="ListParagraph">
    <w:name w:val="List Paragraph"/>
    <w:basedOn w:val="Normal"/>
    <w:uiPriority w:val="34"/>
    <w:qFormat/>
    <w:rsid w:val="001641B1"/>
    <w:pPr>
      <w:spacing w:after="200" w:line="276" w:lineRule="auto"/>
      <w:ind w:left="720"/>
      <w:contextualSpacing/>
    </w:pPr>
    <w:rPr>
      <w:rFonts w:ascii="Calibri" w:eastAsia="Calibri" w:hAnsi="Calibri"/>
      <w:sz w:val="22"/>
      <w:szCs w:val="22"/>
      <w:lang w:val="en-US" w:eastAsia="en-US"/>
    </w:rPr>
  </w:style>
  <w:style w:type="paragraph" w:styleId="NormalWeb">
    <w:name w:val="Normal (Web)"/>
    <w:basedOn w:val="Normal"/>
    <w:rsid w:val="001641B1"/>
    <w:pPr>
      <w:spacing w:before="100" w:beforeAutospacing="1" w:after="119"/>
    </w:pPr>
  </w:style>
  <w:style w:type="paragraph" w:styleId="BalloonText">
    <w:name w:val="Balloon Text"/>
    <w:basedOn w:val="Normal"/>
    <w:link w:val="BalloonTextChar"/>
    <w:rsid w:val="001641B1"/>
    <w:rPr>
      <w:rFonts w:ascii="Tahoma" w:hAnsi="Tahoma" w:cs="Tahoma"/>
      <w:sz w:val="16"/>
      <w:szCs w:val="16"/>
    </w:rPr>
  </w:style>
  <w:style w:type="character" w:customStyle="1" w:styleId="BalloonTextChar">
    <w:name w:val="Balloon Text Char"/>
    <w:basedOn w:val="DefaultParagraphFont"/>
    <w:link w:val="BalloonText"/>
    <w:rsid w:val="001641B1"/>
    <w:rPr>
      <w:rFonts w:ascii="Tahoma" w:eastAsia="Times New Roman" w:hAnsi="Tahoma" w:cs="Tahoma"/>
      <w:sz w:val="16"/>
      <w:szCs w:val="16"/>
      <w:lang w:eastAsia="lv-LV"/>
    </w:rPr>
  </w:style>
  <w:style w:type="character" w:styleId="Hyperlink">
    <w:name w:val="Hyperlink"/>
    <w:basedOn w:val="DefaultParagraphFont"/>
    <w:rsid w:val="001641B1"/>
    <w:rPr>
      <w:color w:val="0000FF" w:themeColor="hyperlink"/>
      <w:u w:val="single"/>
    </w:rPr>
  </w:style>
  <w:style w:type="paragraph" w:styleId="FootnoteText">
    <w:name w:val="footnote text"/>
    <w:basedOn w:val="Normal"/>
    <w:link w:val="FootnoteTextChar"/>
    <w:rsid w:val="001641B1"/>
    <w:rPr>
      <w:sz w:val="20"/>
      <w:szCs w:val="20"/>
    </w:rPr>
  </w:style>
  <w:style w:type="character" w:customStyle="1" w:styleId="FootnoteTextChar">
    <w:name w:val="Footnote Text Char"/>
    <w:basedOn w:val="DefaultParagraphFont"/>
    <w:link w:val="FootnoteText"/>
    <w:rsid w:val="001641B1"/>
    <w:rPr>
      <w:rFonts w:eastAsia="Times New Roman" w:cs="Times New Roman"/>
      <w:sz w:val="20"/>
      <w:szCs w:val="20"/>
      <w:lang w:eastAsia="lv-LV"/>
    </w:rPr>
  </w:style>
  <w:style w:type="character" w:customStyle="1" w:styleId="spelle">
    <w:name w:val="spelle"/>
    <w:basedOn w:val="DefaultParagraphFont"/>
    <w:rsid w:val="001641B1"/>
  </w:style>
  <w:style w:type="paragraph" w:styleId="NoSpacing">
    <w:name w:val="No Spacing"/>
    <w:uiPriority w:val="1"/>
    <w:qFormat/>
    <w:rsid w:val="001641B1"/>
    <w:pPr>
      <w:spacing w:after="0" w:line="240" w:lineRule="auto"/>
    </w:pPr>
    <w:rPr>
      <w:rFonts w:eastAsia="Times New Roman" w:cs="Times New Roman"/>
      <w:sz w:val="24"/>
      <w:szCs w:val="24"/>
      <w:lang w:eastAsia="lv-LV"/>
    </w:rPr>
  </w:style>
  <w:style w:type="paragraph" w:customStyle="1" w:styleId="tvhtml">
    <w:name w:val="tv_html"/>
    <w:basedOn w:val="Normal"/>
    <w:rsid w:val="001641B1"/>
    <w:pPr>
      <w:spacing w:before="100" w:beforeAutospacing="1" w:after="100" w:afterAutospacing="1"/>
    </w:pPr>
    <w:rPr>
      <w:rFonts w:ascii="Verdana" w:hAnsi="Verdana"/>
      <w:sz w:val="18"/>
      <w:szCs w:val="18"/>
      <w:lang w:val="en-US" w:eastAsia="en-US" w:bidi="lo-LA"/>
    </w:rPr>
  </w:style>
  <w:style w:type="paragraph" w:customStyle="1" w:styleId="naisc">
    <w:name w:val="naisc"/>
    <w:basedOn w:val="Normal"/>
    <w:rsid w:val="001641B1"/>
    <w:pPr>
      <w:spacing w:before="75" w:after="75"/>
      <w:jc w:val="center"/>
    </w:pPr>
  </w:style>
  <w:style w:type="paragraph" w:customStyle="1" w:styleId="Default">
    <w:name w:val="Default"/>
    <w:rsid w:val="001641B1"/>
    <w:pPr>
      <w:autoSpaceDE w:val="0"/>
      <w:autoSpaceDN w:val="0"/>
      <w:adjustRightInd w:val="0"/>
      <w:spacing w:after="0" w:line="240" w:lineRule="auto"/>
    </w:pPr>
    <w:rPr>
      <w:rFonts w:ascii="EUAlbertina" w:eastAsia="Times New Roman" w:hAnsi="EUAlbertina" w:cs="EUAlbertina"/>
      <w:color w:val="000000"/>
      <w:sz w:val="24"/>
      <w:szCs w:val="24"/>
      <w:lang w:val="en-US" w:bidi="lo-LA"/>
    </w:rPr>
  </w:style>
  <w:style w:type="paragraph" w:customStyle="1" w:styleId="CM4">
    <w:name w:val="CM4"/>
    <w:basedOn w:val="Default"/>
    <w:next w:val="Default"/>
    <w:uiPriority w:val="99"/>
    <w:rsid w:val="001641B1"/>
    <w:rPr>
      <w:rFonts w:cs="Arial Unicode MS"/>
      <w:color w:val="auto"/>
    </w:rPr>
  </w:style>
  <w:style w:type="character" w:customStyle="1" w:styleId="apple-style-span">
    <w:name w:val="apple-style-span"/>
    <w:basedOn w:val="DefaultParagraphFont"/>
    <w:rsid w:val="001641B1"/>
  </w:style>
  <w:style w:type="character" w:customStyle="1" w:styleId="Heading1Char">
    <w:name w:val="Heading 1 Char"/>
    <w:basedOn w:val="DefaultParagraphFont"/>
    <w:link w:val="Heading1"/>
    <w:rsid w:val="001641B1"/>
    <w:rPr>
      <w:rFonts w:eastAsia="Times New Roman" w:cs="Times New Roman"/>
      <w:b/>
      <w:bCs/>
      <w:szCs w:val="24"/>
    </w:rPr>
  </w:style>
  <w:style w:type="character" w:customStyle="1" w:styleId="naisfChar">
    <w:name w:val="naisf Char"/>
    <w:basedOn w:val="DefaultParagraphFont"/>
    <w:link w:val="naisf"/>
    <w:rsid w:val="001641B1"/>
    <w:rPr>
      <w:rFonts w:eastAsia="Times New Roman" w:cs="Times New Roman"/>
      <w:sz w:val="24"/>
      <w:szCs w:val="24"/>
      <w:lang w:eastAsia="lv-LV"/>
    </w:rPr>
  </w:style>
  <w:style w:type="paragraph" w:styleId="CommentText">
    <w:name w:val="annotation text"/>
    <w:basedOn w:val="Normal"/>
    <w:link w:val="CommentTextChar"/>
    <w:uiPriority w:val="99"/>
    <w:semiHidden/>
    <w:unhideWhenUsed/>
    <w:rsid w:val="003C0B8B"/>
    <w:rPr>
      <w:sz w:val="20"/>
      <w:szCs w:val="20"/>
    </w:rPr>
  </w:style>
  <w:style w:type="character" w:customStyle="1" w:styleId="CommentTextChar">
    <w:name w:val="Comment Text Char"/>
    <w:basedOn w:val="DefaultParagraphFont"/>
    <w:link w:val="CommentText"/>
    <w:uiPriority w:val="99"/>
    <w:semiHidden/>
    <w:rsid w:val="003C0B8B"/>
    <w:rPr>
      <w:rFonts w:eastAsia="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Barbara@f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6</Pages>
  <Words>8069</Words>
  <Characters>4600</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2011.gada 7.septembra rīkojumā Nr.436 „Par Veselības norēķinu centra un Veselības ekonomikas centra reorganizāciju”” sākotnējās ietekmes novērtējuma ziņojums (anotācija)</vt:lpstr>
    </vt:vector>
  </TitlesOfParts>
  <Company>Finanšu ministrija</Company>
  <LinksUpToDate>false</LinksUpToDate>
  <CharactersWithSpaces>12644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2011.gada 7.septembra rīkojumā Nr.436 „Par Veselības norēķinu centra un Veselības ekonomikas centra reorganizāciju”” sākotnējās ietekmes novērtējuma ziņojums (anotācija)</dc:title>
  <dc:subject>Anotācija</dc:subject>
  <dc:creator>Linda Barbara</dc:creator>
  <cp:keywords/>
  <dc:description>Linda.Barbara@fm.gov.lv
tālr. 6083861</dc:description>
  <cp:lastModifiedBy>Linda Barbara</cp:lastModifiedBy>
  <cp:revision>22</cp:revision>
  <dcterms:created xsi:type="dcterms:W3CDTF">2011-09-19T07:28:00Z</dcterms:created>
  <dcterms:modified xsi:type="dcterms:W3CDTF">2011-09-23T11:43:00Z</dcterms:modified>
</cp:coreProperties>
</file>