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1F1" w:rsidRPr="00090E25" w:rsidRDefault="00FF20FD" w:rsidP="00090C78">
      <w:pPr>
        <w:tabs>
          <w:tab w:val="left" w:pos="142"/>
          <w:tab w:val="left" w:pos="709"/>
        </w:tabs>
        <w:spacing w:before="100" w:beforeAutospacing="1" w:after="100" w:afterAutospacing="1" w:line="292" w:lineRule="auto"/>
        <w:jc w:val="center"/>
        <w:outlineLvl w:val="3"/>
        <w:rPr>
          <w:b/>
          <w:bCs/>
        </w:rPr>
      </w:pPr>
      <w:r w:rsidRPr="00090E25">
        <w:rPr>
          <w:b/>
        </w:rPr>
        <w:t>Grozījumi Ministru kabineta 2010.gada 26.oktobra instrukcijā Nr.</w:t>
      </w:r>
      <w:r w:rsidR="00110AD5" w:rsidRPr="00090E25" w:rsidDel="00110AD5">
        <w:rPr>
          <w:b/>
        </w:rPr>
        <w:t xml:space="preserve"> </w:t>
      </w:r>
      <w:r w:rsidRPr="00090E25">
        <w:rPr>
          <w:b/>
        </w:rPr>
        <w:t>17 „</w:t>
      </w:r>
      <w:r w:rsidRPr="00090E25">
        <w:rPr>
          <w:b/>
          <w:bCs/>
        </w:rPr>
        <w:t xml:space="preserve">Kārtība, kādā valsts budžeta iestādes, no valsts budžeta daļēji finansētas atvasinātas publiskas personas un budžeta nefinansētas iestādes sagatavo budžeta izpildes pārskatu, naudas plūsmas pārskatu un pārskatu par darbības finansiālajiem rezultātiem” </w:t>
      </w:r>
      <w:r w:rsidR="000F41F1" w:rsidRPr="00090E25">
        <w:rPr>
          <w:b/>
        </w:rPr>
        <w:t>sākotnējās ietekmes novērtējuma ziņojums (anotācija)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2592"/>
        <w:gridCol w:w="6300"/>
      </w:tblGrid>
      <w:tr w:rsidR="006C4EB7" w:rsidTr="00A83BDB">
        <w:tc>
          <w:tcPr>
            <w:tcW w:w="9288" w:type="dxa"/>
            <w:gridSpan w:val="3"/>
            <w:shd w:val="clear" w:color="auto" w:fill="auto"/>
          </w:tcPr>
          <w:p w:rsidR="006C4EB7" w:rsidRDefault="006C4EB7" w:rsidP="001F20CA">
            <w:pPr>
              <w:pStyle w:val="NormalWeb"/>
            </w:pPr>
            <w:r w:rsidRPr="00A83BDB">
              <w:rPr>
                <w:b/>
                <w:bCs/>
              </w:rPr>
              <w:t>I. Tiesību akta projekta izstrādes nepieciešamība</w:t>
            </w:r>
          </w:p>
        </w:tc>
      </w:tr>
      <w:tr w:rsidR="0049512E" w:rsidTr="00A83BDB">
        <w:tc>
          <w:tcPr>
            <w:tcW w:w="396" w:type="dxa"/>
            <w:shd w:val="clear" w:color="auto" w:fill="auto"/>
          </w:tcPr>
          <w:p w:rsidR="0049512E" w:rsidRDefault="0049512E" w:rsidP="001F20CA">
            <w:pPr>
              <w:pStyle w:val="NormalWeb"/>
            </w:pPr>
            <w:r>
              <w:t>1.</w:t>
            </w:r>
          </w:p>
        </w:tc>
        <w:tc>
          <w:tcPr>
            <w:tcW w:w="2592" w:type="dxa"/>
            <w:shd w:val="clear" w:color="auto" w:fill="auto"/>
          </w:tcPr>
          <w:p w:rsidR="0049512E" w:rsidRDefault="0049512E" w:rsidP="001F20CA">
            <w:pPr>
              <w:pStyle w:val="NormalWeb"/>
            </w:pPr>
            <w:r>
              <w:t>Pamatojums</w:t>
            </w:r>
          </w:p>
        </w:tc>
        <w:tc>
          <w:tcPr>
            <w:tcW w:w="6300" w:type="dxa"/>
            <w:shd w:val="clear" w:color="auto" w:fill="auto"/>
          </w:tcPr>
          <w:p w:rsidR="006B579A" w:rsidRPr="00D23B2A" w:rsidRDefault="00D23B2A" w:rsidP="00D23B2A">
            <w:pPr>
              <w:tabs>
                <w:tab w:val="left" w:pos="556"/>
              </w:tabs>
              <w:spacing w:before="100" w:beforeAutospacing="1" w:after="100" w:afterAutospacing="1"/>
              <w:jc w:val="both"/>
              <w:outlineLvl w:val="3"/>
              <w:rPr>
                <w:b/>
                <w:bCs/>
                <w:noProof/>
              </w:rPr>
            </w:pPr>
            <w:r w:rsidRPr="005F5FBC">
              <w:rPr>
                <w:b/>
              </w:rPr>
              <w:t xml:space="preserve">Grozījumi Ministru kabineta 2010.gada 26.oktobra instrukcijā </w:t>
            </w:r>
            <w:proofErr w:type="spellStart"/>
            <w:r w:rsidRPr="005F5FBC">
              <w:rPr>
                <w:b/>
              </w:rPr>
              <w:t>Nr</w:t>
            </w:r>
            <w:proofErr w:type="spellEnd"/>
            <w:r w:rsidRPr="005F5FBC">
              <w:rPr>
                <w:b/>
              </w:rPr>
              <w:t xml:space="preserve">. 17 „Kārtība, kādā valsts budžeta iestādes, no valsts budžeta daļēji finansētas atvasinātas publiskas personas un budžeta nefinansētas iestādes sagatavo budžeta izpildes pārskatu, naudas plūsmas pārskatu un pārskatu par darbības finansiālajiem rezultātiem” </w:t>
            </w:r>
            <w:r w:rsidRPr="005F5FBC">
              <w:rPr>
                <w:b/>
                <w:iCs/>
                <w:lang w:eastAsia="x-none"/>
              </w:rPr>
              <w:t>(turpmāk – instrukcijas projekts) nepieciešam</w:t>
            </w:r>
            <w:r w:rsidRPr="00D23B2A">
              <w:rPr>
                <w:b/>
                <w:iCs/>
                <w:lang w:eastAsia="x-none"/>
              </w:rPr>
              <w:t xml:space="preserve">i, jo </w:t>
            </w:r>
            <w:r w:rsidRPr="005F5FBC">
              <w:rPr>
                <w:b/>
              </w:rPr>
              <w:t>2012.gada 1.janvārī</w:t>
            </w:r>
            <w:r w:rsidRPr="005F5FBC">
              <w:rPr>
                <w:b/>
                <w:noProof/>
              </w:rPr>
              <w:t xml:space="preserve">. stājās spēkā </w:t>
            </w:r>
            <w:r w:rsidRPr="005F5FBC">
              <w:rPr>
                <w:b/>
                <w:bCs/>
                <w:noProof/>
              </w:rPr>
              <w:t>grozījumi Ministru kabineta 2005.gada 27.decembra noteikumos Nr.1031 "</w:t>
            </w:r>
            <w:hyperlink r:id="rId9" w:tgtFrame="_blank" w:tooltip="Noteikumi par budžetu izdevumu klasifikāciju atbilstoši ekonomiskajām kategorijām /Spēkā esošs/" w:history="1">
              <w:r w:rsidRPr="00D23B2A">
                <w:rPr>
                  <w:b/>
                  <w:bCs/>
                  <w:noProof/>
                  <w:u w:val="single"/>
                </w:rPr>
                <w:t>Noteikumi par budžetu izdevumu klasifikāciju atbilstoši ekonomiskajām kategorijām</w:t>
              </w:r>
            </w:hyperlink>
            <w:r w:rsidRPr="005F5FBC">
              <w:rPr>
                <w:b/>
                <w:bCs/>
                <w:noProof/>
              </w:rPr>
              <w:t>” (turpmāk – MK noteikumi Nr.1031) un grozījumi Ministru kabineta 2005.gada 27.decembra noteikumos Nr.1032 "</w:t>
            </w:r>
            <w:hyperlink r:id="rId10" w:tgtFrame="_blank" w:tooltip="Noteikumi par budžetu ieņēmumu klasifikāciju /Spēkā esošs/" w:history="1">
              <w:r w:rsidRPr="00D23B2A">
                <w:rPr>
                  <w:b/>
                  <w:bCs/>
                  <w:noProof/>
                  <w:u w:val="single"/>
                </w:rPr>
                <w:t>Noteikumi par budžetu ieņēmumu klasifikāciju</w:t>
              </w:r>
            </w:hyperlink>
            <w:r w:rsidRPr="005F5FBC">
              <w:rPr>
                <w:b/>
                <w:bCs/>
                <w:noProof/>
              </w:rPr>
              <w:t>" turpmāk – MK Nr.1032)</w:t>
            </w:r>
            <w:r w:rsidRPr="005F5FBC">
              <w:rPr>
                <w:b/>
              </w:rPr>
              <w:t>, kas ietekmē pārskatos sniedzamās informācijas grupēšanu pa k</w:t>
            </w:r>
            <w:r w:rsidRPr="00D23B2A">
              <w:rPr>
                <w:b/>
              </w:rPr>
              <w:t>odiem un vienotu pielietojamību.</w:t>
            </w:r>
          </w:p>
        </w:tc>
      </w:tr>
      <w:tr w:rsidR="0049512E" w:rsidTr="00A83BDB">
        <w:tc>
          <w:tcPr>
            <w:tcW w:w="396" w:type="dxa"/>
            <w:shd w:val="clear" w:color="auto" w:fill="auto"/>
          </w:tcPr>
          <w:p w:rsidR="0049512E" w:rsidRDefault="0049512E" w:rsidP="001F20CA">
            <w:pPr>
              <w:pStyle w:val="NormalWeb"/>
            </w:pPr>
            <w:r>
              <w:t>2.</w:t>
            </w:r>
          </w:p>
        </w:tc>
        <w:tc>
          <w:tcPr>
            <w:tcW w:w="2592" w:type="dxa"/>
            <w:shd w:val="clear" w:color="auto" w:fill="auto"/>
          </w:tcPr>
          <w:p w:rsidR="0049512E" w:rsidRDefault="0049512E" w:rsidP="001F20CA">
            <w:pPr>
              <w:pStyle w:val="NormalWeb"/>
            </w:pPr>
            <w:r>
              <w:t>Pašreizējā situācija un problēmas</w:t>
            </w:r>
          </w:p>
        </w:tc>
        <w:tc>
          <w:tcPr>
            <w:tcW w:w="6300" w:type="dxa"/>
            <w:shd w:val="clear" w:color="auto" w:fill="auto"/>
          </w:tcPr>
          <w:p w:rsidR="001454EA" w:rsidRPr="00090E25" w:rsidRDefault="001454EA" w:rsidP="00D926A6">
            <w:pPr>
              <w:pStyle w:val="NormalWeb"/>
              <w:numPr>
                <w:ilvl w:val="0"/>
                <w:numId w:val="10"/>
              </w:numPr>
              <w:tabs>
                <w:tab w:val="left" w:pos="698"/>
              </w:tabs>
              <w:spacing w:before="0" w:beforeAutospacing="0" w:after="0" w:afterAutospacing="0"/>
              <w:ind w:left="0" w:firstLine="273"/>
              <w:jc w:val="both"/>
            </w:pPr>
            <w:r w:rsidRPr="00090E25">
              <w:t xml:space="preserve">Saskaņā ar grozījumiem MK noteikumos Nr. </w:t>
            </w:r>
            <w:r w:rsidR="00CF153F" w:rsidRPr="00090E25">
              <w:t>1031 un MK noteikumos Nr.1032</w:t>
            </w:r>
            <w:r w:rsidRPr="00090E25">
              <w:t xml:space="preserve"> nepieciešams precizēt </w:t>
            </w:r>
            <w:r w:rsidR="00D926A6" w:rsidRPr="00090E25">
              <w:t xml:space="preserve">ekonomiskās klasifikācijas </w:t>
            </w:r>
            <w:r w:rsidRPr="00090E25">
              <w:t>kodus, kā arī pārskatos uzrādāmās informācijas klasificēšanu atbilstoši tās ekonomiskajai būtībai.</w:t>
            </w:r>
          </w:p>
          <w:p w:rsidR="00D926A6" w:rsidRPr="00090E25" w:rsidRDefault="00110AD5" w:rsidP="00D926A6">
            <w:pPr>
              <w:pStyle w:val="NormalWeb"/>
              <w:numPr>
                <w:ilvl w:val="0"/>
                <w:numId w:val="10"/>
              </w:numPr>
              <w:tabs>
                <w:tab w:val="left" w:pos="698"/>
              </w:tabs>
              <w:spacing w:before="0" w:beforeAutospacing="0" w:after="0" w:afterAutospacing="0"/>
              <w:ind w:left="0" w:firstLine="273"/>
              <w:jc w:val="both"/>
            </w:pPr>
            <w:r w:rsidRPr="00090E25">
              <w:t xml:space="preserve">Nepieciešams noteikt vienotus budžeta ieņēmumu un izdevumu klasifikāciju kodu pielietojuma principus, lai </w:t>
            </w:r>
            <w:r w:rsidR="003F548A" w:rsidRPr="00090E25">
              <w:t>pārskatu „</w:t>
            </w:r>
            <w:r w:rsidR="003F548A" w:rsidRPr="00090E25">
              <w:rPr>
                <w:iCs/>
              </w:rPr>
              <w:t xml:space="preserve">Budžeta izpilde”, „Naudas plūsmas pārskats” un „Pārskats par darbības finansiālajiem rezultātiem” </w:t>
            </w:r>
            <w:r w:rsidR="003F548A" w:rsidRPr="00090E25">
              <w:t xml:space="preserve">sagatavošanas un informācijas analīzes procesos </w:t>
            </w:r>
            <w:r w:rsidRPr="00090E25">
              <w:t xml:space="preserve">nodrošinātu </w:t>
            </w:r>
            <w:r w:rsidR="003F548A" w:rsidRPr="00090E25">
              <w:t>vienādu to pielietojumu un informācijas grupēšanu</w:t>
            </w:r>
            <w:r w:rsidRPr="00090E25">
              <w:t xml:space="preserve">, </w:t>
            </w:r>
            <w:r w:rsidR="003F548A" w:rsidRPr="00090E25">
              <w:t xml:space="preserve">tādējādi uzlabojot pārskatu kvalitāti un informācijas izmantošanas iespējas pārskatu lietotājiem. </w:t>
            </w:r>
            <w:r w:rsidR="00D926A6" w:rsidRPr="00090E25">
              <w:t>Instrukcijas projektā norādītā informācija pārskatos sagrupēta atbilstoši izmaiņām normatīvajos aktos un iepriekšējo gadu  pārskatu sagatavošanas prakse</w:t>
            </w:r>
            <w:r w:rsidR="002E7778" w:rsidRPr="00090E25">
              <w:t>i</w:t>
            </w:r>
            <w:r w:rsidR="00D926A6" w:rsidRPr="00090E25">
              <w:t>.</w:t>
            </w:r>
          </w:p>
          <w:p w:rsidR="009F686C" w:rsidRPr="00090E25" w:rsidRDefault="00A30504" w:rsidP="00CF153F">
            <w:pPr>
              <w:pStyle w:val="NormalWeb"/>
              <w:numPr>
                <w:ilvl w:val="0"/>
                <w:numId w:val="10"/>
              </w:numPr>
              <w:tabs>
                <w:tab w:val="left" w:pos="698"/>
              </w:tabs>
              <w:spacing w:before="0" w:beforeAutospacing="0" w:after="0" w:afterAutospacing="0"/>
              <w:ind w:left="0" w:firstLine="273"/>
              <w:jc w:val="both"/>
            </w:pPr>
            <w:r w:rsidRPr="00090E25">
              <w:t xml:space="preserve">Nepieciešami precizējumi MK </w:t>
            </w:r>
            <w:r w:rsidR="00CF153F" w:rsidRPr="00090E25">
              <w:t>instrukcijas</w:t>
            </w:r>
            <w:r w:rsidRPr="00090E25">
              <w:t xml:space="preserve"> tekstā</w:t>
            </w:r>
            <w:r w:rsidRPr="00090E25">
              <w:rPr>
                <w:b/>
              </w:rPr>
              <w:t>,</w:t>
            </w:r>
            <w:r w:rsidRPr="00090E25">
              <w:t xml:space="preserve"> lai nodrošinātu </w:t>
            </w:r>
            <w:r w:rsidR="002E7778" w:rsidRPr="00090E25">
              <w:t xml:space="preserve">viennozīmīgu </w:t>
            </w:r>
            <w:r w:rsidRPr="00090E25">
              <w:t xml:space="preserve">normatīvā akta piemērošanas izpratni un uzlabotu sniedzamās informācijas apjomu un kvalitāti. </w:t>
            </w:r>
          </w:p>
          <w:p w:rsidR="001A7F5F" w:rsidRPr="00842811" w:rsidRDefault="00842811" w:rsidP="002E7778">
            <w:pPr>
              <w:pStyle w:val="NormalWeb"/>
              <w:numPr>
                <w:ilvl w:val="0"/>
                <w:numId w:val="10"/>
              </w:numPr>
              <w:tabs>
                <w:tab w:val="left" w:pos="698"/>
              </w:tabs>
              <w:spacing w:before="0" w:beforeAutospacing="0" w:after="0" w:afterAutospacing="0"/>
              <w:ind w:left="0" w:firstLine="273"/>
              <w:jc w:val="both"/>
              <w:rPr>
                <w:b/>
              </w:rPr>
            </w:pPr>
            <w:r w:rsidRPr="00842811">
              <w:rPr>
                <w:b/>
                <w:sz w:val="22"/>
              </w:rPr>
              <w:t xml:space="preserve">Atsevišķi punkti </w:t>
            </w:r>
            <w:r w:rsidRPr="005F5FBC">
              <w:rPr>
                <w:b/>
                <w:sz w:val="22"/>
                <w:szCs w:val="22"/>
              </w:rPr>
              <w:t xml:space="preserve">Ministru kabineta 2010.gada 26.oktobra instrukcijā </w:t>
            </w:r>
            <w:proofErr w:type="spellStart"/>
            <w:r w:rsidRPr="005F5FBC">
              <w:rPr>
                <w:b/>
                <w:sz w:val="22"/>
                <w:szCs w:val="22"/>
              </w:rPr>
              <w:t>Nr</w:t>
            </w:r>
            <w:proofErr w:type="spellEnd"/>
            <w:r w:rsidRPr="005F5FBC">
              <w:rPr>
                <w:b/>
                <w:sz w:val="22"/>
                <w:szCs w:val="22"/>
              </w:rPr>
              <w:t xml:space="preserve">. 17 „Kārtība, kādā valsts budžeta iestādes, no </w:t>
            </w:r>
            <w:r w:rsidRPr="005F5FBC">
              <w:rPr>
                <w:b/>
                <w:sz w:val="22"/>
                <w:szCs w:val="22"/>
              </w:rPr>
              <w:lastRenderedPageBreak/>
              <w:t>valsts budžeta daļēji finansētas atvasinātas publiskas personas un budžeta nefinansētas iestādes sagatavo budžeta izpildes pārskatu, naudas plūsmas pārskatu un pārskatu par darbības finansiālajiem rezultātiem</w:t>
            </w:r>
            <w:r w:rsidRPr="00842811">
              <w:rPr>
                <w:b/>
                <w:sz w:val="22"/>
              </w:rPr>
              <w:t xml:space="preserve"> nav saistoši pēc grozījumiem MK noteikumos Nr.1031 un MK noteikumos Nr.1032.</w:t>
            </w:r>
          </w:p>
        </w:tc>
      </w:tr>
      <w:tr w:rsidR="0049512E" w:rsidTr="00A83BDB">
        <w:tc>
          <w:tcPr>
            <w:tcW w:w="396" w:type="dxa"/>
            <w:shd w:val="clear" w:color="auto" w:fill="auto"/>
          </w:tcPr>
          <w:p w:rsidR="0049512E" w:rsidRDefault="0049512E" w:rsidP="001F20CA">
            <w:pPr>
              <w:pStyle w:val="NormalWeb"/>
            </w:pPr>
            <w:r>
              <w:lastRenderedPageBreak/>
              <w:t>3.</w:t>
            </w:r>
          </w:p>
        </w:tc>
        <w:tc>
          <w:tcPr>
            <w:tcW w:w="2592" w:type="dxa"/>
            <w:shd w:val="clear" w:color="auto" w:fill="auto"/>
          </w:tcPr>
          <w:p w:rsidR="0049512E" w:rsidRDefault="0049512E" w:rsidP="001F20CA">
            <w:pPr>
              <w:pStyle w:val="NormalWeb"/>
            </w:pPr>
            <w:r>
              <w:t>Saistītie politikas ietekmes novērtējumi un pētījumi</w:t>
            </w:r>
          </w:p>
        </w:tc>
        <w:tc>
          <w:tcPr>
            <w:tcW w:w="6300" w:type="dxa"/>
            <w:shd w:val="clear" w:color="auto" w:fill="auto"/>
          </w:tcPr>
          <w:p w:rsidR="0049512E" w:rsidRDefault="0049512E" w:rsidP="001F20CA">
            <w:pPr>
              <w:pStyle w:val="NormalWeb"/>
            </w:pPr>
            <w:r>
              <w:t>Projekts šo jomu neskar</w:t>
            </w:r>
          </w:p>
        </w:tc>
      </w:tr>
      <w:tr w:rsidR="0049512E" w:rsidTr="00A83BDB">
        <w:tc>
          <w:tcPr>
            <w:tcW w:w="396" w:type="dxa"/>
            <w:shd w:val="clear" w:color="auto" w:fill="auto"/>
          </w:tcPr>
          <w:p w:rsidR="0049512E" w:rsidRDefault="0049512E" w:rsidP="001F20CA">
            <w:pPr>
              <w:pStyle w:val="NormalWeb"/>
            </w:pPr>
            <w:r>
              <w:t>4.</w:t>
            </w:r>
          </w:p>
        </w:tc>
        <w:tc>
          <w:tcPr>
            <w:tcW w:w="2592" w:type="dxa"/>
            <w:shd w:val="clear" w:color="auto" w:fill="auto"/>
          </w:tcPr>
          <w:p w:rsidR="0049512E" w:rsidRDefault="0049512E" w:rsidP="001F20CA">
            <w:pPr>
              <w:pStyle w:val="NormalWeb"/>
            </w:pPr>
            <w:r>
              <w:t>Tiesiskā regulējuma mērķis un būtība</w:t>
            </w:r>
          </w:p>
        </w:tc>
        <w:tc>
          <w:tcPr>
            <w:tcW w:w="6300" w:type="dxa"/>
            <w:shd w:val="clear" w:color="auto" w:fill="auto"/>
          </w:tcPr>
          <w:p w:rsidR="00251597" w:rsidRDefault="0049512E" w:rsidP="00251597">
            <w:pPr>
              <w:pStyle w:val="BodyTextIndent"/>
              <w:spacing w:after="120"/>
              <w:ind w:firstLine="0"/>
              <w:jc w:val="both"/>
              <w:rPr>
                <w:sz w:val="24"/>
              </w:rPr>
            </w:pPr>
            <w:r w:rsidRPr="00A83BDB">
              <w:rPr>
                <w:sz w:val="24"/>
              </w:rPr>
              <w:t xml:space="preserve">Izdodot </w:t>
            </w:r>
            <w:r w:rsidR="0090645D">
              <w:rPr>
                <w:sz w:val="24"/>
              </w:rPr>
              <w:t>instrukcijas</w:t>
            </w:r>
            <w:r w:rsidRPr="00A83BDB">
              <w:rPr>
                <w:sz w:val="24"/>
              </w:rPr>
              <w:t xml:space="preserve"> projektu</w:t>
            </w:r>
            <w:r w:rsidR="00251597">
              <w:rPr>
                <w:sz w:val="24"/>
              </w:rPr>
              <w:t>:</w:t>
            </w:r>
          </w:p>
          <w:p w:rsidR="005375C1" w:rsidRPr="00090E25" w:rsidRDefault="005375C1" w:rsidP="00295614">
            <w:pPr>
              <w:pStyle w:val="BodyText"/>
              <w:numPr>
                <w:ilvl w:val="0"/>
                <w:numId w:val="8"/>
              </w:numPr>
              <w:tabs>
                <w:tab w:val="left" w:pos="556"/>
              </w:tabs>
              <w:ind w:left="34" w:firstLine="131"/>
              <w:rPr>
                <w:lang w:eastAsia="en-US"/>
              </w:rPr>
            </w:pPr>
            <w:r w:rsidRPr="00090E25">
              <w:rPr>
                <w:lang w:val="lv-LV" w:eastAsia="en-US"/>
              </w:rPr>
              <w:t>precizē</w:t>
            </w:r>
            <w:r w:rsidR="00F64D99" w:rsidRPr="00090E25">
              <w:rPr>
                <w:lang w:val="lv-LV" w:eastAsia="en-US"/>
              </w:rPr>
              <w:t>ti</w:t>
            </w:r>
            <w:r w:rsidRPr="00090E25">
              <w:rPr>
                <w:lang w:val="lv-LV" w:eastAsia="en-US"/>
              </w:rPr>
              <w:t xml:space="preserve"> pārskat</w:t>
            </w:r>
            <w:r w:rsidR="0090645D" w:rsidRPr="00090E25">
              <w:rPr>
                <w:lang w:val="lv-LV" w:eastAsia="en-US"/>
              </w:rPr>
              <w:t>os</w:t>
            </w:r>
            <w:r w:rsidRPr="00090E25">
              <w:rPr>
                <w:lang w:val="lv-LV" w:eastAsia="en-US"/>
              </w:rPr>
              <w:t xml:space="preserve"> </w:t>
            </w:r>
            <w:r w:rsidR="00F64D99" w:rsidRPr="00090E25">
              <w:rPr>
                <w:lang w:val="lv-LV" w:eastAsia="en-US"/>
              </w:rPr>
              <w:t xml:space="preserve">budžeta ieņēmumu un izdevumu </w:t>
            </w:r>
            <w:r w:rsidR="0090645D" w:rsidRPr="00090E25">
              <w:rPr>
                <w:lang w:val="lv-LV" w:eastAsia="en-US"/>
              </w:rPr>
              <w:t>klasifikācij</w:t>
            </w:r>
            <w:r w:rsidR="00F64D99" w:rsidRPr="00090E25">
              <w:rPr>
                <w:lang w:val="lv-LV" w:eastAsia="en-US"/>
              </w:rPr>
              <w:t>u</w:t>
            </w:r>
            <w:r w:rsidR="0090645D" w:rsidRPr="00090E25">
              <w:rPr>
                <w:lang w:val="lv-LV" w:eastAsia="en-US"/>
              </w:rPr>
              <w:t xml:space="preserve"> kod</w:t>
            </w:r>
            <w:r w:rsidR="00F64D99" w:rsidRPr="00090E25">
              <w:rPr>
                <w:lang w:val="lv-LV" w:eastAsia="en-US"/>
              </w:rPr>
              <w:t>i</w:t>
            </w:r>
            <w:r w:rsidR="0090645D" w:rsidRPr="00090E25">
              <w:rPr>
                <w:lang w:val="lv-LV" w:eastAsia="en-US"/>
              </w:rPr>
              <w:t xml:space="preserve"> un darījumu uzrādīšan</w:t>
            </w:r>
            <w:r w:rsidR="00F64D99" w:rsidRPr="00090E25">
              <w:rPr>
                <w:lang w:val="lv-LV" w:eastAsia="en-US"/>
              </w:rPr>
              <w:t>a</w:t>
            </w:r>
            <w:r w:rsidR="0090645D" w:rsidRPr="00090E25">
              <w:rPr>
                <w:lang w:val="lv-LV" w:eastAsia="en-US"/>
              </w:rPr>
              <w:t xml:space="preserve"> saskaņā ar grozījumiem </w:t>
            </w:r>
            <w:r w:rsidR="0090645D" w:rsidRPr="00090E25">
              <w:t>MK noteikumos Nr. 1031 un MK noteikumos Nr.1032</w:t>
            </w:r>
            <w:r w:rsidR="0090645D" w:rsidRPr="00090E25">
              <w:rPr>
                <w:lang w:val="lv-LV"/>
              </w:rPr>
              <w:t>;</w:t>
            </w:r>
          </w:p>
          <w:p w:rsidR="00B07FA9" w:rsidRPr="00090E25" w:rsidRDefault="00B07FA9" w:rsidP="00295614">
            <w:pPr>
              <w:pStyle w:val="BodyText"/>
              <w:numPr>
                <w:ilvl w:val="0"/>
                <w:numId w:val="8"/>
              </w:numPr>
              <w:tabs>
                <w:tab w:val="left" w:pos="556"/>
              </w:tabs>
              <w:ind w:left="34" w:firstLine="131"/>
              <w:rPr>
                <w:lang w:eastAsia="en-US"/>
              </w:rPr>
            </w:pPr>
            <w:r w:rsidRPr="00090E25">
              <w:rPr>
                <w:lang w:val="lv-LV"/>
              </w:rPr>
              <w:t>precizēt</w:t>
            </w:r>
            <w:r w:rsidR="00F64D99" w:rsidRPr="00090E25">
              <w:rPr>
                <w:lang w:val="lv-LV"/>
              </w:rPr>
              <w:t>s</w:t>
            </w:r>
            <w:r w:rsidRPr="00090E25">
              <w:rPr>
                <w:lang w:val="lv-LV"/>
              </w:rPr>
              <w:t xml:space="preserve"> pārskata „Pārskats par budžeta izpildi” ailes </w:t>
            </w:r>
            <w:r w:rsidRPr="00090E25">
              <w:rPr>
                <w:lang w:eastAsia="lv-LV"/>
              </w:rPr>
              <w:t>"Plāns tāmē gadam</w:t>
            </w:r>
            <w:r w:rsidRPr="00090E25">
              <w:rPr>
                <w:lang w:val="lv-LV" w:eastAsia="lv-LV"/>
              </w:rPr>
              <w:t>” uzrādītās informācijas apjoms;</w:t>
            </w:r>
          </w:p>
          <w:p w:rsidR="00B07FA9" w:rsidRPr="00090E25" w:rsidRDefault="00B07FA9" w:rsidP="00295614">
            <w:pPr>
              <w:pStyle w:val="BodyText"/>
              <w:numPr>
                <w:ilvl w:val="0"/>
                <w:numId w:val="8"/>
              </w:numPr>
              <w:tabs>
                <w:tab w:val="left" w:pos="556"/>
              </w:tabs>
              <w:ind w:left="34" w:firstLine="131"/>
              <w:rPr>
                <w:lang w:eastAsia="en-US"/>
              </w:rPr>
            </w:pPr>
            <w:r w:rsidRPr="00090E25">
              <w:rPr>
                <w:lang w:val="lv-LV" w:eastAsia="en-US"/>
              </w:rPr>
              <w:t>precizēt</w:t>
            </w:r>
            <w:r w:rsidR="00F64D99" w:rsidRPr="00090E25">
              <w:rPr>
                <w:lang w:val="lv-LV" w:eastAsia="en-US"/>
              </w:rPr>
              <w:t>i</w:t>
            </w:r>
            <w:r w:rsidRPr="00090E25">
              <w:rPr>
                <w:lang w:val="lv-LV" w:eastAsia="en-US"/>
              </w:rPr>
              <w:t xml:space="preserve"> no</w:t>
            </w:r>
            <w:r w:rsidR="00F64D99" w:rsidRPr="00090E25">
              <w:rPr>
                <w:lang w:val="lv-LV" w:eastAsia="en-US"/>
              </w:rPr>
              <w:t>sacījumi</w:t>
            </w:r>
            <w:r w:rsidRPr="00090E25">
              <w:rPr>
                <w:lang w:val="lv-LV" w:eastAsia="en-US"/>
              </w:rPr>
              <w:t xml:space="preserve"> un ekonomiskās klasifikācijas kodi naudas līdzekļu atlikumu uzrādīšana</w:t>
            </w:r>
            <w:r w:rsidR="00BB45E1" w:rsidRPr="00090E25">
              <w:rPr>
                <w:lang w:val="lv-LV" w:eastAsia="en-US"/>
              </w:rPr>
              <w:t>i</w:t>
            </w:r>
            <w:r w:rsidRPr="00090E25">
              <w:rPr>
                <w:lang w:val="lv-LV" w:eastAsia="en-US"/>
              </w:rPr>
              <w:t xml:space="preserve"> pārskatos, k</w:t>
            </w:r>
            <w:r w:rsidR="00BB45E1" w:rsidRPr="00090E25">
              <w:rPr>
                <w:lang w:val="lv-LV" w:eastAsia="en-US"/>
              </w:rPr>
              <w:t>urus</w:t>
            </w:r>
            <w:r w:rsidRPr="00090E25">
              <w:rPr>
                <w:lang w:val="lv-LV" w:eastAsia="en-US"/>
              </w:rPr>
              <w:t xml:space="preserve"> iestāde saņem ar finansēšanas klasifikācijas kodu;</w:t>
            </w:r>
          </w:p>
          <w:p w:rsidR="005375C1" w:rsidRPr="00C12901" w:rsidRDefault="005375C1" w:rsidP="00E96EA4">
            <w:pPr>
              <w:pStyle w:val="BodyText"/>
              <w:numPr>
                <w:ilvl w:val="0"/>
                <w:numId w:val="8"/>
              </w:numPr>
              <w:tabs>
                <w:tab w:val="left" w:pos="556"/>
              </w:tabs>
              <w:ind w:left="0" w:firstLine="131"/>
              <w:rPr>
                <w:lang w:eastAsia="en-US"/>
              </w:rPr>
            </w:pPr>
            <w:r w:rsidRPr="00090E25">
              <w:rPr>
                <w:lang w:val="lv-LV" w:eastAsia="en-US"/>
              </w:rPr>
              <w:t>izslēg</w:t>
            </w:r>
            <w:r w:rsidR="00BB45E1" w:rsidRPr="00090E25">
              <w:rPr>
                <w:lang w:val="lv-LV" w:eastAsia="en-US"/>
              </w:rPr>
              <w:t>ti</w:t>
            </w:r>
            <w:r w:rsidRPr="00090E25">
              <w:rPr>
                <w:lang w:val="lv-LV" w:eastAsia="en-US"/>
              </w:rPr>
              <w:t xml:space="preserve"> MK </w:t>
            </w:r>
            <w:r w:rsidR="0090645D" w:rsidRPr="00090E25">
              <w:rPr>
                <w:lang w:val="lv-LV" w:eastAsia="en-US"/>
              </w:rPr>
              <w:t>instrukcijā punkt</w:t>
            </w:r>
            <w:r w:rsidR="00BB45E1" w:rsidRPr="00090E25">
              <w:rPr>
                <w:lang w:val="lv-LV" w:eastAsia="en-US"/>
              </w:rPr>
              <w:t>i</w:t>
            </w:r>
            <w:r w:rsidR="0090645D" w:rsidRPr="00090E25">
              <w:rPr>
                <w:lang w:val="lv-LV" w:eastAsia="en-US"/>
              </w:rPr>
              <w:t>, kas noteica kā uzrādami citu budžetu līdzekļi, kas saņemti ar finansēšanas plānu</w:t>
            </w:r>
            <w:r w:rsidR="00D63AB4">
              <w:rPr>
                <w:lang w:val="lv-LV" w:eastAsia="en-US"/>
              </w:rPr>
              <w:t>, jo zaudējuši savu aktualitāti pēc grozījumiem MK noteikumos Nr.1031 un MK noteikumos Nr1032;</w:t>
            </w:r>
          </w:p>
          <w:p w:rsidR="00C12901" w:rsidRPr="009D12F8" w:rsidRDefault="00C12901" w:rsidP="00E96EA4">
            <w:pPr>
              <w:pStyle w:val="BodyText"/>
              <w:numPr>
                <w:ilvl w:val="0"/>
                <w:numId w:val="8"/>
              </w:numPr>
              <w:tabs>
                <w:tab w:val="left" w:pos="556"/>
              </w:tabs>
              <w:ind w:left="0" w:firstLine="131"/>
              <w:rPr>
                <w:lang w:eastAsia="en-US"/>
              </w:rPr>
            </w:pPr>
            <w:r>
              <w:rPr>
                <w:lang w:val="lv-LV" w:eastAsia="en-US"/>
              </w:rPr>
              <w:t>precizēti pārskatā „Naudas plūsmas pārskats” un pārskatā „Pārskats par darbības finansiālajiem rezultātiem” rind</w:t>
            </w:r>
            <w:r w:rsidR="009D12F8">
              <w:rPr>
                <w:lang w:val="lv-LV" w:eastAsia="en-US"/>
              </w:rPr>
              <w:t>a</w:t>
            </w:r>
            <w:r>
              <w:rPr>
                <w:lang w:val="lv-LV" w:eastAsia="en-US"/>
              </w:rPr>
              <w:t xml:space="preserve">s „transferts starp valsts struktūrām, izņemot komersantus”, </w:t>
            </w:r>
            <w:r w:rsidR="009D12F8">
              <w:rPr>
                <w:lang w:val="lv-LV" w:eastAsia="en-US"/>
              </w:rPr>
              <w:t xml:space="preserve">rindas </w:t>
            </w:r>
            <w:r>
              <w:rPr>
                <w:lang w:val="lv-LV" w:eastAsia="en-US"/>
              </w:rPr>
              <w:t xml:space="preserve">„transferts starp vispārējās valdības struktūrām , izņemot komersantus”, </w:t>
            </w:r>
            <w:r w:rsidR="009D12F8">
              <w:rPr>
                <w:lang w:val="lv-LV" w:eastAsia="en-US"/>
              </w:rPr>
              <w:t xml:space="preserve">rindas </w:t>
            </w:r>
            <w:r>
              <w:rPr>
                <w:lang w:val="lv-LV" w:eastAsia="en-US"/>
              </w:rPr>
              <w:t>„transferts starp padotības iestādēm” uzrādāmie budžeta ieņēmumu un izdevumu klasifikācijas kodi;</w:t>
            </w:r>
          </w:p>
          <w:p w:rsidR="009D12F8" w:rsidRPr="00090E25" w:rsidRDefault="009D12F8" w:rsidP="00E96EA4">
            <w:pPr>
              <w:pStyle w:val="BodyText"/>
              <w:numPr>
                <w:ilvl w:val="0"/>
                <w:numId w:val="8"/>
              </w:numPr>
              <w:tabs>
                <w:tab w:val="left" w:pos="556"/>
              </w:tabs>
              <w:ind w:left="0" w:firstLine="131"/>
              <w:rPr>
                <w:lang w:eastAsia="en-US"/>
              </w:rPr>
            </w:pPr>
            <w:r>
              <w:rPr>
                <w:lang w:val="lv-LV" w:eastAsia="en-US"/>
              </w:rPr>
              <w:t>precizēta informācijas uzrādīšana un budžeta ieņēmumu un izdevumu klasifikācijas kodi par citiem ieņēmumiem un izdevumiem no pamatdarbības pārskatā „Pārskats par darbības finansiālajiem rezultātiem”</w:t>
            </w:r>
            <w:r w:rsidR="00040AB2">
              <w:rPr>
                <w:lang w:val="lv-LV" w:eastAsia="en-US"/>
              </w:rPr>
              <w:t>;</w:t>
            </w:r>
          </w:p>
          <w:p w:rsidR="00251597" w:rsidRPr="00090E25" w:rsidRDefault="0090645D" w:rsidP="00295614">
            <w:pPr>
              <w:pStyle w:val="BodyTextIndent"/>
              <w:numPr>
                <w:ilvl w:val="0"/>
                <w:numId w:val="8"/>
              </w:numPr>
              <w:tabs>
                <w:tab w:val="left" w:pos="522"/>
              </w:tabs>
              <w:spacing w:after="120"/>
              <w:ind w:left="-11" w:firstLine="142"/>
              <w:jc w:val="both"/>
              <w:rPr>
                <w:sz w:val="24"/>
              </w:rPr>
            </w:pPr>
            <w:r w:rsidRPr="00090E25">
              <w:rPr>
                <w:sz w:val="24"/>
              </w:rPr>
              <w:t>Instrukcijas</w:t>
            </w:r>
            <w:r w:rsidR="00251597" w:rsidRPr="00090E25">
              <w:rPr>
                <w:sz w:val="24"/>
              </w:rPr>
              <w:t xml:space="preserve"> projekts papildus paredz šādas izmaiņas, salīdzinot ar </w:t>
            </w:r>
            <w:r w:rsidR="00BB45E1" w:rsidRPr="00090E25">
              <w:rPr>
                <w:sz w:val="24"/>
              </w:rPr>
              <w:t xml:space="preserve">esošo </w:t>
            </w:r>
            <w:r w:rsidR="00251597" w:rsidRPr="00090E25">
              <w:rPr>
                <w:sz w:val="24"/>
              </w:rPr>
              <w:t xml:space="preserve">MK </w:t>
            </w:r>
            <w:r w:rsidRPr="00090E25">
              <w:rPr>
                <w:sz w:val="24"/>
              </w:rPr>
              <w:t>instrukciju</w:t>
            </w:r>
            <w:r w:rsidR="00251597" w:rsidRPr="00090E25">
              <w:rPr>
                <w:sz w:val="24"/>
              </w:rPr>
              <w:t xml:space="preserve">: </w:t>
            </w:r>
          </w:p>
          <w:p w:rsidR="005375C1" w:rsidRPr="00090E25" w:rsidRDefault="005375C1" w:rsidP="00295614">
            <w:pPr>
              <w:pStyle w:val="BodyTextIndent"/>
              <w:numPr>
                <w:ilvl w:val="1"/>
                <w:numId w:val="8"/>
              </w:numPr>
              <w:tabs>
                <w:tab w:val="left" w:pos="556"/>
              </w:tabs>
              <w:spacing w:after="120"/>
              <w:ind w:left="0" w:firstLine="131"/>
              <w:jc w:val="both"/>
              <w:rPr>
                <w:sz w:val="24"/>
              </w:rPr>
            </w:pPr>
            <w:r w:rsidRPr="00090E25">
              <w:rPr>
                <w:sz w:val="24"/>
              </w:rPr>
              <w:t>papildinā</w:t>
            </w:r>
            <w:r w:rsidR="0090645D" w:rsidRPr="00090E25">
              <w:rPr>
                <w:sz w:val="24"/>
              </w:rPr>
              <w:t>t</w:t>
            </w:r>
            <w:r w:rsidR="00B07FA9" w:rsidRPr="00090E25">
              <w:rPr>
                <w:sz w:val="24"/>
              </w:rPr>
              <w:t>s</w:t>
            </w:r>
            <w:r w:rsidRPr="00090E25">
              <w:rPr>
                <w:sz w:val="24"/>
              </w:rPr>
              <w:t xml:space="preserve"> sniedzamās informācijas apjom</w:t>
            </w:r>
            <w:r w:rsidR="00B07FA9" w:rsidRPr="00090E25">
              <w:rPr>
                <w:sz w:val="24"/>
              </w:rPr>
              <w:t>s</w:t>
            </w:r>
            <w:r w:rsidRPr="00090E25">
              <w:rPr>
                <w:sz w:val="24"/>
              </w:rPr>
              <w:t xml:space="preserve">, lai uzlabotu  </w:t>
            </w:r>
            <w:r w:rsidR="00BB45E1" w:rsidRPr="00090E25">
              <w:rPr>
                <w:sz w:val="24"/>
              </w:rPr>
              <w:t xml:space="preserve">pārskatu </w:t>
            </w:r>
            <w:r w:rsidR="0015231A" w:rsidRPr="00090E25">
              <w:rPr>
                <w:sz w:val="24"/>
              </w:rPr>
              <w:t>kvalitāti un datu precizitāti;</w:t>
            </w:r>
          </w:p>
          <w:p w:rsidR="009F686C" w:rsidRPr="002B1465" w:rsidRDefault="002B1465" w:rsidP="002B1465">
            <w:pPr>
              <w:pStyle w:val="BodyTextIndent"/>
              <w:numPr>
                <w:ilvl w:val="1"/>
                <w:numId w:val="8"/>
              </w:numPr>
              <w:tabs>
                <w:tab w:val="left" w:pos="556"/>
              </w:tabs>
              <w:spacing w:after="120"/>
              <w:ind w:left="0" w:firstLine="131"/>
              <w:jc w:val="both"/>
              <w:rPr>
                <w:sz w:val="24"/>
              </w:rPr>
            </w:pPr>
            <w:r w:rsidRPr="00090E25">
              <w:rPr>
                <w:sz w:val="24"/>
              </w:rPr>
              <w:t>informācija pārskatos sagrupēta atbilstoši izmaiņām normatīvajos aktos un iepriekšējo gadu pārskatu sagatavošanas praks</w:t>
            </w:r>
            <w:r w:rsidR="00BB45E1" w:rsidRPr="00090E25">
              <w:rPr>
                <w:sz w:val="24"/>
              </w:rPr>
              <w:t>e</w:t>
            </w:r>
            <w:r w:rsidRPr="00090E25">
              <w:rPr>
                <w:sz w:val="24"/>
              </w:rPr>
              <w:t>i.</w:t>
            </w:r>
            <w:r w:rsidR="0015231A" w:rsidRPr="00B07FA9">
              <w:rPr>
                <w:sz w:val="24"/>
              </w:rPr>
              <w:t xml:space="preserve"> </w:t>
            </w:r>
          </w:p>
        </w:tc>
      </w:tr>
      <w:tr w:rsidR="0049512E" w:rsidRPr="00A83BDB" w:rsidTr="00A83BDB">
        <w:tc>
          <w:tcPr>
            <w:tcW w:w="396" w:type="dxa"/>
            <w:shd w:val="clear" w:color="auto" w:fill="auto"/>
          </w:tcPr>
          <w:p w:rsidR="0049512E" w:rsidRDefault="0049512E" w:rsidP="001F20CA">
            <w:pPr>
              <w:pStyle w:val="NormalWeb"/>
            </w:pPr>
            <w:r>
              <w:t>5.</w:t>
            </w:r>
          </w:p>
        </w:tc>
        <w:tc>
          <w:tcPr>
            <w:tcW w:w="2592" w:type="dxa"/>
            <w:shd w:val="clear" w:color="auto" w:fill="auto"/>
          </w:tcPr>
          <w:p w:rsidR="0049512E" w:rsidRDefault="0049512E" w:rsidP="001F20CA">
            <w:pPr>
              <w:pStyle w:val="NormalWeb"/>
            </w:pPr>
            <w:r>
              <w:t>Projekta izstrādē iesaistītās institūcijas</w:t>
            </w:r>
          </w:p>
        </w:tc>
        <w:tc>
          <w:tcPr>
            <w:tcW w:w="6300" w:type="dxa"/>
            <w:shd w:val="clear" w:color="auto" w:fill="auto"/>
          </w:tcPr>
          <w:p w:rsidR="0049512E" w:rsidRDefault="002F258C" w:rsidP="007001A8">
            <w:pPr>
              <w:pStyle w:val="NormalWeb"/>
              <w:spacing w:before="0" w:beforeAutospacing="0" w:after="0" w:afterAutospacing="0"/>
              <w:jc w:val="both"/>
            </w:pPr>
            <w:r w:rsidRPr="005D3CB5">
              <w:t>Projekts šo jomu neskar</w:t>
            </w:r>
          </w:p>
        </w:tc>
      </w:tr>
      <w:tr w:rsidR="0049512E" w:rsidTr="00A83BDB">
        <w:tc>
          <w:tcPr>
            <w:tcW w:w="396" w:type="dxa"/>
            <w:shd w:val="clear" w:color="auto" w:fill="auto"/>
          </w:tcPr>
          <w:p w:rsidR="0049512E" w:rsidRDefault="0049512E" w:rsidP="001F20CA">
            <w:pPr>
              <w:pStyle w:val="NormalWeb"/>
            </w:pPr>
            <w:r>
              <w:t>6.</w:t>
            </w:r>
          </w:p>
        </w:tc>
        <w:tc>
          <w:tcPr>
            <w:tcW w:w="2592" w:type="dxa"/>
            <w:shd w:val="clear" w:color="auto" w:fill="auto"/>
          </w:tcPr>
          <w:p w:rsidR="0049512E" w:rsidRDefault="0049512E" w:rsidP="002372C0">
            <w:pPr>
              <w:pStyle w:val="NormalWeb"/>
              <w:jc w:val="both"/>
            </w:pPr>
            <w:r>
              <w:t xml:space="preserve">Iemesli, kādēļ netika nodrošināta sabiedrības </w:t>
            </w:r>
            <w:r>
              <w:lastRenderedPageBreak/>
              <w:t>līdzdalība</w:t>
            </w:r>
          </w:p>
        </w:tc>
        <w:tc>
          <w:tcPr>
            <w:tcW w:w="6300" w:type="dxa"/>
            <w:shd w:val="clear" w:color="auto" w:fill="auto"/>
          </w:tcPr>
          <w:p w:rsidR="0049512E" w:rsidRDefault="002F258C" w:rsidP="00090E25">
            <w:pPr>
              <w:pStyle w:val="NormalWeb"/>
              <w:jc w:val="both"/>
            </w:pPr>
            <w:r w:rsidRPr="002F258C">
              <w:lastRenderedPageBreak/>
              <w:t>Instrukcijas</w:t>
            </w:r>
            <w:r w:rsidR="00E557DB" w:rsidRPr="002F258C">
              <w:t xml:space="preserve"> p</w:t>
            </w:r>
            <w:r w:rsidR="0049512E" w:rsidRPr="002F258C">
              <w:t>rojekts</w:t>
            </w:r>
            <w:r w:rsidR="0049512E">
              <w:t xml:space="preserve"> attiecināms uz institūcijām – budžeta iestādēm, ministrijām un centrālajām valsts iestādēm, no valsts </w:t>
            </w:r>
            <w:r w:rsidR="0049512E">
              <w:lastRenderedPageBreak/>
              <w:t>budžeta daļēji finansētām atvasinātām publiskām personām, tādēļ sabiedrības līdzdalība nebija nepieciešama</w:t>
            </w:r>
            <w:r w:rsidR="00090E25">
              <w:t>.</w:t>
            </w:r>
          </w:p>
        </w:tc>
      </w:tr>
      <w:tr w:rsidR="0049512E" w:rsidRPr="00A83BDB" w:rsidTr="00A83BDB">
        <w:tc>
          <w:tcPr>
            <w:tcW w:w="396" w:type="dxa"/>
            <w:shd w:val="clear" w:color="auto" w:fill="auto"/>
          </w:tcPr>
          <w:p w:rsidR="0049512E" w:rsidRDefault="0049512E" w:rsidP="001F20CA">
            <w:pPr>
              <w:pStyle w:val="NormalWeb"/>
            </w:pPr>
            <w:r>
              <w:lastRenderedPageBreak/>
              <w:t>7.</w:t>
            </w:r>
          </w:p>
        </w:tc>
        <w:tc>
          <w:tcPr>
            <w:tcW w:w="2592" w:type="dxa"/>
            <w:shd w:val="clear" w:color="auto" w:fill="auto"/>
          </w:tcPr>
          <w:p w:rsidR="0049512E" w:rsidRDefault="0049512E" w:rsidP="001F20CA">
            <w:pPr>
              <w:pStyle w:val="NormalWeb"/>
            </w:pPr>
            <w:r>
              <w:t>Cita informācija</w:t>
            </w:r>
          </w:p>
        </w:tc>
        <w:tc>
          <w:tcPr>
            <w:tcW w:w="6300" w:type="dxa"/>
            <w:shd w:val="clear" w:color="auto" w:fill="auto"/>
          </w:tcPr>
          <w:p w:rsidR="0049512E" w:rsidRPr="00782263" w:rsidRDefault="002F258C" w:rsidP="00B83AAC">
            <w:pPr>
              <w:ind w:left="34"/>
              <w:jc w:val="both"/>
              <w:rPr>
                <w:b/>
              </w:rPr>
            </w:pPr>
            <w:r>
              <w:t>Nav</w:t>
            </w:r>
          </w:p>
        </w:tc>
      </w:tr>
    </w:tbl>
    <w:p w:rsidR="000F41F1" w:rsidRDefault="000F41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475"/>
        <w:gridCol w:w="6344"/>
      </w:tblGrid>
      <w:tr w:rsidR="006C4EB7" w:rsidTr="00975158">
        <w:tc>
          <w:tcPr>
            <w:tcW w:w="9287" w:type="dxa"/>
            <w:gridSpan w:val="3"/>
            <w:shd w:val="clear" w:color="auto" w:fill="auto"/>
          </w:tcPr>
          <w:p w:rsidR="006C4EB7" w:rsidRDefault="006C4EB7" w:rsidP="00A83BDB">
            <w:pPr>
              <w:pStyle w:val="NormalWeb"/>
              <w:jc w:val="center"/>
            </w:pPr>
            <w:r w:rsidRPr="00A83BDB">
              <w:rPr>
                <w:b/>
                <w:bCs/>
              </w:rPr>
              <w:t>II. Tiesību akta projekta ietekme uz sabiedrību</w:t>
            </w:r>
          </w:p>
        </w:tc>
      </w:tr>
      <w:tr w:rsidR="006C4EB7" w:rsidTr="00975158">
        <w:tc>
          <w:tcPr>
            <w:tcW w:w="468" w:type="dxa"/>
            <w:shd w:val="clear" w:color="auto" w:fill="auto"/>
          </w:tcPr>
          <w:p w:rsidR="006C4EB7" w:rsidRDefault="006C4EB7" w:rsidP="001F20CA">
            <w:pPr>
              <w:pStyle w:val="NormalWeb"/>
            </w:pPr>
            <w:r>
              <w:t>1.</w:t>
            </w:r>
          </w:p>
        </w:tc>
        <w:tc>
          <w:tcPr>
            <w:tcW w:w="2475" w:type="dxa"/>
            <w:shd w:val="clear" w:color="auto" w:fill="auto"/>
          </w:tcPr>
          <w:p w:rsidR="006C4EB7" w:rsidRDefault="006C4EB7" w:rsidP="001F20CA">
            <w:pPr>
              <w:pStyle w:val="NormalWeb"/>
            </w:pPr>
            <w:r>
              <w:t>Sabiedrības mērķgrupa</w:t>
            </w:r>
          </w:p>
        </w:tc>
        <w:tc>
          <w:tcPr>
            <w:tcW w:w="6344" w:type="dxa"/>
            <w:shd w:val="clear" w:color="auto" w:fill="auto"/>
          </w:tcPr>
          <w:p w:rsidR="006C4EB7" w:rsidRDefault="00D036CC" w:rsidP="006E67CB">
            <w:pPr>
              <w:pStyle w:val="NormalWeb"/>
              <w:jc w:val="both"/>
            </w:pPr>
            <w:r>
              <w:t xml:space="preserve">Noteikumu projekts attiecas uz </w:t>
            </w:r>
            <w:r w:rsidR="00237033">
              <w:t xml:space="preserve">valsts </w:t>
            </w:r>
            <w:r>
              <w:t xml:space="preserve">budžeta iestāžu, no budžeta daļēji finansētu atvasinātu publisku personu </w:t>
            </w:r>
            <w:r w:rsidR="006E67CB">
              <w:t>un budžeta nefinansētu iestāžu</w:t>
            </w:r>
            <w:r w:rsidR="00237033">
              <w:t xml:space="preserve"> </w:t>
            </w:r>
            <w:r w:rsidR="00237033" w:rsidRPr="00317E5C">
              <w:rPr>
                <w:b/>
              </w:rPr>
              <w:t>kopā 861</w:t>
            </w:r>
            <w:r w:rsidR="006E67CB">
              <w:t xml:space="preserve"> </w:t>
            </w:r>
            <w:r>
              <w:t>– pārskatu sagatavošanā iesaistītajiem darbiniekiem.</w:t>
            </w:r>
          </w:p>
        </w:tc>
      </w:tr>
      <w:tr w:rsidR="006C4EB7" w:rsidTr="00975158">
        <w:tc>
          <w:tcPr>
            <w:tcW w:w="468" w:type="dxa"/>
            <w:shd w:val="clear" w:color="auto" w:fill="auto"/>
          </w:tcPr>
          <w:p w:rsidR="006C4EB7" w:rsidRDefault="006C4EB7" w:rsidP="001F20CA">
            <w:pPr>
              <w:pStyle w:val="NormalWeb"/>
            </w:pPr>
            <w:r>
              <w:t>2.</w:t>
            </w:r>
          </w:p>
        </w:tc>
        <w:tc>
          <w:tcPr>
            <w:tcW w:w="2475" w:type="dxa"/>
            <w:shd w:val="clear" w:color="auto" w:fill="auto"/>
          </w:tcPr>
          <w:p w:rsidR="006C4EB7" w:rsidRDefault="006C4EB7" w:rsidP="001F20CA">
            <w:pPr>
              <w:pStyle w:val="NormalWeb"/>
            </w:pPr>
            <w:r>
              <w:t>Citas sabiedrības grupas (bez mērķgrupas), kuras tiesiskais regulējums arī ietekmē vai varētu ietekmēt</w:t>
            </w:r>
          </w:p>
        </w:tc>
        <w:tc>
          <w:tcPr>
            <w:tcW w:w="6344" w:type="dxa"/>
            <w:shd w:val="clear" w:color="auto" w:fill="auto"/>
          </w:tcPr>
          <w:p w:rsidR="006C4EB7" w:rsidRDefault="005C2438" w:rsidP="00A83BDB">
            <w:pPr>
              <w:pStyle w:val="NormalWeb"/>
              <w:jc w:val="both"/>
            </w:pPr>
            <w:r w:rsidRPr="005D3CB5">
              <w:t>Projekts šo jomu neskar</w:t>
            </w:r>
          </w:p>
        </w:tc>
      </w:tr>
      <w:tr w:rsidR="006C4EB7" w:rsidTr="00975158">
        <w:tc>
          <w:tcPr>
            <w:tcW w:w="468" w:type="dxa"/>
            <w:shd w:val="clear" w:color="auto" w:fill="auto"/>
          </w:tcPr>
          <w:p w:rsidR="006C4EB7" w:rsidRDefault="006C4EB7" w:rsidP="001F20CA">
            <w:pPr>
              <w:pStyle w:val="NormalWeb"/>
            </w:pPr>
            <w:r>
              <w:t>3.</w:t>
            </w:r>
          </w:p>
        </w:tc>
        <w:tc>
          <w:tcPr>
            <w:tcW w:w="2475" w:type="dxa"/>
            <w:shd w:val="clear" w:color="auto" w:fill="auto"/>
          </w:tcPr>
          <w:p w:rsidR="006C4EB7" w:rsidRDefault="006C4EB7" w:rsidP="001F20CA">
            <w:pPr>
              <w:pStyle w:val="NormalWeb"/>
            </w:pPr>
            <w:r>
              <w:t>Tiesiskā regulējuma finansiālā ietekme</w:t>
            </w:r>
          </w:p>
        </w:tc>
        <w:tc>
          <w:tcPr>
            <w:tcW w:w="6344" w:type="dxa"/>
            <w:shd w:val="clear" w:color="auto" w:fill="auto"/>
          </w:tcPr>
          <w:p w:rsidR="006C4EB7" w:rsidRDefault="00EA0CB5" w:rsidP="001F20CA">
            <w:pPr>
              <w:pStyle w:val="NormalWeb"/>
            </w:pPr>
            <w:r>
              <w:t>Projekts šo jomu neskar</w:t>
            </w:r>
          </w:p>
        </w:tc>
      </w:tr>
      <w:tr w:rsidR="006C4EB7" w:rsidTr="00975158">
        <w:tc>
          <w:tcPr>
            <w:tcW w:w="468" w:type="dxa"/>
            <w:shd w:val="clear" w:color="auto" w:fill="auto"/>
          </w:tcPr>
          <w:p w:rsidR="006C4EB7" w:rsidRDefault="006C4EB7" w:rsidP="001F20CA">
            <w:pPr>
              <w:pStyle w:val="NormalWeb"/>
            </w:pPr>
            <w:r>
              <w:t>4.</w:t>
            </w:r>
          </w:p>
        </w:tc>
        <w:tc>
          <w:tcPr>
            <w:tcW w:w="2475" w:type="dxa"/>
            <w:shd w:val="clear" w:color="auto" w:fill="auto"/>
          </w:tcPr>
          <w:p w:rsidR="006C4EB7" w:rsidRDefault="006C4EB7" w:rsidP="001F20CA">
            <w:pPr>
              <w:pStyle w:val="NormalWeb"/>
            </w:pPr>
            <w:r>
              <w:t>Tiesiskā regulējuma nefinansiālā ietekme</w:t>
            </w:r>
          </w:p>
        </w:tc>
        <w:tc>
          <w:tcPr>
            <w:tcW w:w="6344" w:type="dxa"/>
            <w:shd w:val="clear" w:color="auto" w:fill="auto"/>
          </w:tcPr>
          <w:p w:rsidR="006C4EB7" w:rsidRDefault="00EA0CB5" w:rsidP="00A83BDB">
            <w:pPr>
              <w:pStyle w:val="NormalWeb"/>
              <w:jc w:val="both"/>
            </w:pPr>
            <w:r>
              <w:t>Projekts šo jomu neskar</w:t>
            </w:r>
          </w:p>
        </w:tc>
      </w:tr>
      <w:tr w:rsidR="006C4EB7" w:rsidTr="00975158">
        <w:tc>
          <w:tcPr>
            <w:tcW w:w="468" w:type="dxa"/>
            <w:shd w:val="clear" w:color="auto" w:fill="auto"/>
          </w:tcPr>
          <w:p w:rsidR="006C4EB7" w:rsidRDefault="006C4EB7" w:rsidP="001F20CA">
            <w:pPr>
              <w:pStyle w:val="NormalWeb"/>
            </w:pPr>
            <w:r>
              <w:t>5.</w:t>
            </w:r>
          </w:p>
        </w:tc>
        <w:tc>
          <w:tcPr>
            <w:tcW w:w="2475" w:type="dxa"/>
            <w:shd w:val="clear" w:color="auto" w:fill="auto"/>
          </w:tcPr>
          <w:p w:rsidR="006C4EB7" w:rsidRDefault="006C4EB7" w:rsidP="001F20CA">
            <w:pPr>
              <w:pStyle w:val="NormalWeb"/>
            </w:pPr>
            <w:r>
              <w:t>Administratīvās procedūras raksturojums</w:t>
            </w:r>
          </w:p>
        </w:tc>
        <w:tc>
          <w:tcPr>
            <w:tcW w:w="6344" w:type="dxa"/>
            <w:shd w:val="clear" w:color="auto" w:fill="auto"/>
          </w:tcPr>
          <w:p w:rsidR="00C07AF1" w:rsidRDefault="00EA0CB5" w:rsidP="00A83BDB">
            <w:pPr>
              <w:pStyle w:val="NormalWeb"/>
              <w:spacing w:before="0" w:beforeAutospacing="0" w:after="0" w:afterAutospacing="0"/>
              <w:jc w:val="both"/>
            </w:pPr>
            <w:r>
              <w:t>Projekts šo jomu neskar</w:t>
            </w:r>
          </w:p>
        </w:tc>
      </w:tr>
      <w:tr w:rsidR="006C4EB7" w:rsidTr="00975158">
        <w:tc>
          <w:tcPr>
            <w:tcW w:w="468" w:type="dxa"/>
            <w:shd w:val="clear" w:color="auto" w:fill="auto"/>
          </w:tcPr>
          <w:p w:rsidR="006C4EB7" w:rsidRDefault="006C4EB7" w:rsidP="001F20CA">
            <w:pPr>
              <w:pStyle w:val="NormalWeb"/>
            </w:pPr>
            <w:r>
              <w:t>6.</w:t>
            </w:r>
          </w:p>
        </w:tc>
        <w:tc>
          <w:tcPr>
            <w:tcW w:w="2475" w:type="dxa"/>
            <w:shd w:val="clear" w:color="auto" w:fill="auto"/>
          </w:tcPr>
          <w:p w:rsidR="006C4EB7" w:rsidRDefault="006C4EB7" w:rsidP="001F20CA">
            <w:pPr>
              <w:pStyle w:val="NormalWeb"/>
            </w:pPr>
            <w:r>
              <w:t>Administratīvo izmaksu monetārs novērtējums</w:t>
            </w:r>
          </w:p>
        </w:tc>
        <w:tc>
          <w:tcPr>
            <w:tcW w:w="6344" w:type="dxa"/>
            <w:shd w:val="clear" w:color="auto" w:fill="auto"/>
          </w:tcPr>
          <w:p w:rsidR="006C4EB7" w:rsidRDefault="00EA0CB5" w:rsidP="001F20CA">
            <w:pPr>
              <w:pStyle w:val="NormalWeb"/>
            </w:pPr>
            <w:r>
              <w:t>Projekts šo jomu neskar</w:t>
            </w:r>
          </w:p>
        </w:tc>
      </w:tr>
      <w:tr w:rsidR="006C4EB7" w:rsidTr="00975158">
        <w:tc>
          <w:tcPr>
            <w:tcW w:w="468" w:type="dxa"/>
            <w:shd w:val="clear" w:color="auto" w:fill="auto"/>
          </w:tcPr>
          <w:p w:rsidR="006C4EB7" w:rsidRDefault="006C4EB7" w:rsidP="001F20CA">
            <w:pPr>
              <w:pStyle w:val="NormalWeb"/>
            </w:pPr>
            <w:r>
              <w:t>7.</w:t>
            </w:r>
          </w:p>
        </w:tc>
        <w:tc>
          <w:tcPr>
            <w:tcW w:w="2475" w:type="dxa"/>
            <w:shd w:val="clear" w:color="auto" w:fill="auto"/>
          </w:tcPr>
          <w:p w:rsidR="006C4EB7" w:rsidRDefault="006C4EB7" w:rsidP="001F20CA">
            <w:pPr>
              <w:pStyle w:val="NormalWeb"/>
            </w:pPr>
            <w:r>
              <w:t>Cita informācija</w:t>
            </w:r>
          </w:p>
        </w:tc>
        <w:tc>
          <w:tcPr>
            <w:tcW w:w="6344" w:type="dxa"/>
            <w:shd w:val="clear" w:color="auto" w:fill="auto"/>
          </w:tcPr>
          <w:p w:rsidR="006C4EB7" w:rsidRDefault="00393820" w:rsidP="001F20CA">
            <w:pPr>
              <w:pStyle w:val="NormalWeb"/>
            </w:pPr>
            <w:r>
              <w:t>Nav</w:t>
            </w:r>
          </w:p>
        </w:tc>
      </w:tr>
    </w:tbl>
    <w:p w:rsidR="00F15663" w:rsidRDefault="00F15663">
      <w:pPr>
        <w:rPr>
          <w:b/>
        </w:rPr>
      </w:pPr>
    </w:p>
    <w:p w:rsidR="00F15663" w:rsidRDefault="00F15663">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881"/>
        <w:gridCol w:w="5938"/>
      </w:tblGrid>
      <w:tr w:rsidR="00BE1CCF" w:rsidRPr="00686902" w:rsidTr="00BE1CCF">
        <w:tc>
          <w:tcPr>
            <w:tcW w:w="5000" w:type="pct"/>
            <w:gridSpan w:val="3"/>
            <w:shd w:val="clear" w:color="auto" w:fill="auto"/>
          </w:tcPr>
          <w:p w:rsidR="00BE1CCF" w:rsidRPr="00686902" w:rsidRDefault="00BE1CCF" w:rsidP="00FF20FD">
            <w:pPr>
              <w:jc w:val="center"/>
              <w:rPr>
                <w:b/>
              </w:rPr>
            </w:pPr>
            <w:r w:rsidRPr="00686902">
              <w:rPr>
                <w:b/>
                <w:bCs/>
              </w:rPr>
              <w:t>IV. Tiesību akta projekta ietekme uz spēkā esošo tiesību normu sistēmu</w:t>
            </w:r>
          </w:p>
        </w:tc>
      </w:tr>
      <w:tr w:rsidR="000844AB" w:rsidRPr="00686902" w:rsidTr="00BE1CCF">
        <w:tc>
          <w:tcPr>
            <w:tcW w:w="252" w:type="pct"/>
            <w:shd w:val="clear" w:color="auto" w:fill="auto"/>
          </w:tcPr>
          <w:p w:rsidR="000844AB" w:rsidRPr="005C2438" w:rsidRDefault="000844AB" w:rsidP="00294ECA">
            <w:pPr>
              <w:pStyle w:val="tvhtml"/>
            </w:pPr>
            <w:r w:rsidRPr="005C2438">
              <w:t>1.</w:t>
            </w:r>
          </w:p>
        </w:tc>
        <w:tc>
          <w:tcPr>
            <w:tcW w:w="1551" w:type="pct"/>
            <w:shd w:val="clear" w:color="auto" w:fill="auto"/>
          </w:tcPr>
          <w:p w:rsidR="000844AB" w:rsidRPr="005C2438" w:rsidRDefault="000844AB" w:rsidP="00BE1CCF">
            <w:pPr>
              <w:pStyle w:val="tvhtml"/>
            </w:pPr>
            <w:r w:rsidRPr="005C2438">
              <w:t>Nepieciešamie saistītie tiesību aktu projekti</w:t>
            </w:r>
          </w:p>
        </w:tc>
        <w:tc>
          <w:tcPr>
            <w:tcW w:w="3197" w:type="pct"/>
            <w:shd w:val="clear" w:color="auto" w:fill="auto"/>
          </w:tcPr>
          <w:p w:rsidR="000844AB" w:rsidRPr="005C2438" w:rsidRDefault="005C2438" w:rsidP="00CB61A7">
            <w:pPr>
              <w:pStyle w:val="tvhtml"/>
              <w:jc w:val="both"/>
            </w:pPr>
            <w:r>
              <w:t>Projekts šo jomu neskar</w:t>
            </w:r>
          </w:p>
        </w:tc>
      </w:tr>
      <w:tr w:rsidR="00BE1CCF" w:rsidRPr="00A732BD" w:rsidTr="00294ECA">
        <w:trPr>
          <w:trHeight w:val="267"/>
        </w:trPr>
        <w:tc>
          <w:tcPr>
            <w:tcW w:w="252" w:type="pct"/>
            <w:shd w:val="clear" w:color="auto" w:fill="auto"/>
          </w:tcPr>
          <w:p w:rsidR="00BE1CCF" w:rsidRPr="005C2438" w:rsidRDefault="00BE1CCF" w:rsidP="00294ECA">
            <w:pPr>
              <w:pStyle w:val="tvhtml"/>
            </w:pPr>
            <w:r w:rsidRPr="005C2438">
              <w:t>2.</w:t>
            </w:r>
          </w:p>
        </w:tc>
        <w:tc>
          <w:tcPr>
            <w:tcW w:w="1551" w:type="pct"/>
            <w:shd w:val="clear" w:color="auto" w:fill="auto"/>
          </w:tcPr>
          <w:p w:rsidR="00BE1CCF" w:rsidRPr="005C2438" w:rsidRDefault="00BE1CCF" w:rsidP="00BE1CCF">
            <w:pPr>
              <w:pStyle w:val="tvhtml"/>
            </w:pPr>
            <w:r w:rsidRPr="005C2438">
              <w:t>Cita informācija</w:t>
            </w:r>
          </w:p>
        </w:tc>
        <w:tc>
          <w:tcPr>
            <w:tcW w:w="3197" w:type="pct"/>
            <w:shd w:val="clear" w:color="auto" w:fill="auto"/>
          </w:tcPr>
          <w:p w:rsidR="00BE1CCF" w:rsidRPr="005C2438" w:rsidRDefault="00294ECA" w:rsidP="00FF20FD">
            <w:pPr>
              <w:pStyle w:val="NormalWeb"/>
              <w:jc w:val="both"/>
            </w:pPr>
            <w:r w:rsidRPr="005C2438">
              <w:t>Nav</w:t>
            </w:r>
          </w:p>
        </w:tc>
      </w:tr>
    </w:tbl>
    <w:p w:rsidR="00BE1CCF" w:rsidRDefault="00BE1CCF">
      <w:pPr>
        <w:rPr>
          <w:b/>
        </w:rPr>
      </w:pPr>
    </w:p>
    <w:p w:rsidR="000F41F1" w:rsidRPr="00B732EE" w:rsidRDefault="000500F8">
      <w:pPr>
        <w:rPr>
          <w:b/>
        </w:rPr>
      </w:pPr>
      <w:r>
        <w:rPr>
          <w:b/>
        </w:rPr>
        <w:t>Anotācijas III,</w:t>
      </w:r>
      <w:r w:rsidR="009E1FF0">
        <w:rPr>
          <w:b/>
        </w:rPr>
        <w:t xml:space="preserve"> V un VI </w:t>
      </w:r>
      <w:r w:rsidR="00B732EE" w:rsidRPr="00B732EE">
        <w:rPr>
          <w:b/>
        </w:rPr>
        <w:t xml:space="preserve">sadaļa – </w:t>
      </w:r>
      <w:r w:rsidR="00EA0CB5">
        <w:rPr>
          <w:b/>
        </w:rPr>
        <w:t>projekts š</w:t>
      </w:r>
      <w:r w:rsidR="00766F33">
        <w:rPr>
          <w:b/>
        </w:rPr>
        <w:t>īs</w:t>
      </w:r>
      <w:r w:rsidR="00EA0CB5">
        <w:rPr>
          <w:b/>
        </w:rPr>
        <w:t xml:space="preserve"> jom</w:t>
      </w:r>
      <w:r w:rsidR="00766F33">
        <w:rPr>
          <w:b/>
        </w:rPr>
        <w:t>as</w:t>
      </w:r>
      <w:r w:rsidR="00EA0CB5">
        <w:rPr>
          <w:b/>
        </w:rPr>
        <w:t xml:space="preserve"> neskar</w:t>
      </w:r>
      <w:r w:rsidR="00B732EE" w:rsidRPr="00B732EE">
        <w:rPr>
          <w:b/>
        </w:rPr>
        <w:t>.</w:t>
      </w:r>
    </w:p>
    <w:p w:rsidR="000F41F1" w:rsidRDefault="000F41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880"/>
        <w:gridCol w:w="5939"/>
      </w:tblGrid>
      <w:tr w:rsidR="001F20CA" w:rsidTr="00A83BDB">
        <w:tc>
          <w:tcPr>
            <w:tcW w:w="9288" w:type="dxa"/>
            <w:gridSpan w:val="3"/>
            <w:shd w:val="clear" w:color="auto" w:fill="auto"/>
          </w:tcPr>
          <w:p w:rsidR="001F20CA" w:rsidRDefault="001F20CA" w:rsidP="00A83BDB">
            <w:pPr>
              <w:jc w:val="center"/>
            </w:pPr>
            <w:r w:rsidRPr="00A83BDB">
              <w:rPr>
                <w:b/>
                <w:bCs/>
              </w:rPr>
              <w:t>VII. Tiesību akta projekta izpildes nodrošināšana un tās ietekme uz institūcijām</w:t>
            </w:r>
          </w:p>
        </w:tc>
      </w:tr>
      <w:tr w:rsidR="001F20CA" w:rsidTr="00A83BDB">
        <w:tc>
          <w:tcPr>
            <w:tcW w:w="468" w:type="dxa"/>
            <w:shd w:val="clear" w:color="auto" w:fill="auto"/>
          </w:tcPr>
          <w:p w:rsidR="001F20CA" w:rsidRDefault="001F20CA" w:rsidP="001F20CA">
            <w:pPr>
              <w:pStyle w:val="NormalWeb"/>
            </w:pPr>
            <w:r>
              <w:t>1.</w:t>
            </w:r>
          </w:p>
        </w:tc>
        <w:tc>
          <w:tcPr>
            <w:tcW w:w="2880" w:type="dxa"/>
            <w:shd w:val="clear" w:color="auto" w:fill="auto"/>
          </w:tcPr>
          <w:p w:rsidR="001F20CA" w:rsidRDefault="001F20CA" w:rsidP="001F20CA">
            <w:pPr>
              <w:pStyle w:val="NormalWeb"/>
            </w:pPr>
            <w:r>
              <w:t>Projekta izpildē iesaistītās institūcijas</w:t>
            </w:r>
          </w:p>
        </w:tc>
        <w:tc>
          <w:tcPr>
            <w:tcW w:w="5940" w:type="dxa"/>
            <w:shd w:val="clear" w:color="auto" w:fill="auto"/>
          </w:tcPr>
          <w:p w:rsidR="001F20CA" w:rsidRDefault="00FA2831" w:rsidP="00090E25">
            <w:pPr>
              <w:pStyle w:val="NormalWeb"/>
              <w:jc w:val="both"/>
            </w:pPr>
            <w:r>
              <w:t xml:space="preserve">Ministrijas, centrālās valsts iestādes, </w:t>
            </w:r>
            <w:r w:rsidR="000B0047">
              <w:t xml:space="preserve">valsts </w:t>
            </w:r>
            <w:r>
              <w:t>budžeta iestādes, no budžeta daļēji finansēt</w:t>
            </w:r>
            <w:r w:rsidR="00647B63">
              <w:t>as</w:t>
            </w:r>
            <w:r>
              <w:t xml:space="preserve"> atvasinātas publiskas personas un budžeta nefinansētas iestādes</w:t>
            </w:r>
            <w:r w:rsidR="005C2438">
              <w:t>.</w:t>
            </w:r>
          </w:p>
        </w:tc>
      </w:tr>
      <w:tr w:rsidR="001F20CA" w:rsidTr="00A83BDB">
        <w:tc>
          <w:tcPr>
            <w:tcW w:w="468" w:type="dxa"/>
            <w:shd w:val="clear" w:color="auto" w:fill="auto"/>
          </w:tcPr>
          <w:p w:rsidR="001F20CA" w:rsidRDefault="001F20CA" w:rsidP="001F20CA">
            <w:pPr>
              <w:pStyle w:val="NormalWeb"/>
            </w:pPr>
            <w:r>
              <w:t>2.</w:t>
            </w:r>
          </w:p>
        </w:tc>
        <w:tc>
          <w:tcPr>
            <w:tcW w:w="2880" w:type="dxa"/>
            <w:shd w:val="clear" w:color="auto" w:fill="auto"/>
          </w:tcPr>
          <w:p w:rsidR="001F20CA" w:rsidRDefault="001F20CA" w:rsidP="001F20CA">
            <w:pPr>
              <w:pStyle w:val="NormalWeb"/>
            </w:pPr>
            <w:r>
              <w:t>Projekta izpildes ietekme uz pārvaldes funkcijām</w:t>
            </w:r>
          </w:p>
        </w:tc>
        <w:tc>
          <w:tcPr>
            <w:tcW w:w="5940" w:type="dxa"/>
            <w:shd w:val="clear" w:color="auto" w:fill="auto"/>
          </w:tcPr>
          <w:p w:rsidR="001F20CA" w:rsidRDefault="00EA0CB5" w:rsidP="001F20CA">
            <w:pPr>
              <w:pStyle w:val="NormalWeb"/>
            </w:pPr>
            <w:r>
              <w:t>Projekts šo jomu neskar</w:t>
            </w:r>
          </w:p>
        </w:tc>
      </w:tr>
      <w:tr w:rsidR="001F20CA" w:rsidTr="00A83BDB">
        <w:tc>
          <w:tcPr>
            <w:tcW w:w="468" w:type="dxa"/>
            <w:shd w:val="clear" w:color="auto" w:fill="auto"/>
          </w:tcPr>
          <w:p w:rsidR="001F20CA" w:rsidRDefault="001F20CA" w:rsidP="001F20CA">
            <w:pPr>
              <w:pStyle w:val="NormalWeb"/>
            </w:pPr>
            <w:r>
              <w:t>3.</w:t>
            </w:r>
          </w:p>
        </w:tc>
        <w:tc>
          <w:tcPr>
            <w:tcW w:w="2880" w:type="dxa"/>
            <w:shd w:val="clear" w:color="auto" w:fill="auto"/>
          </w:tcPr>
          <w:p w:rsidR="00FA2831" w:rsidRDefault="001F20CA" w:rsidP="00A83BDB">
            <w:pPr>
              <w:pStyle w:val="NormalWeb"/>
              <w:spacing w:before="0" w:beforeAutospacing="0" w:after="0" w:afterAutospacing="0"/>
            </w:pPr>
            <w:r>
              <w:t>Projekta izpildes ietekme uz pārvaldes institucionālo struktūru.</w:t>
            </w:r>
          </w:p>
          <w:p w:rsidR="001F20CA" w:rsidRDefault="001F20CA" w:rsidP="00A83BDB">
            <w:pPr>
              <w:pStyle w:val="NormalWeb"/>
              <w:spacing w:before="0" w:beforeAutospacing="0" w:after="0" w:afterAutospacing="0"/>
            </w:pPr>
            <w:r>
              <w:t>Jaunu institūciju izveide</w:t>
            </w:r>
          </w:p>
        </w:tc>
        <w:tc>
          <w:tcPr>
            <w:tcW w:w="5940" w:type="dxa"/>
            <w:shd w:val="clear" w:color="auto" w:fill="auto"/>
          </w:tcPr>
          <w:p w:rsidR="001F20CA" w:rsidRDefault="00EA0CB5" w:rsidP="001F20CA">
            <w:pPr>
              <w:pStyle w:val="NormalWeb"/>
            </w:pPr>
            <w:r>
              <w:t>Projekts šo jomu neskar</w:t>
            </w:r>
          </w:p>
        </w:tc>
      </w:tr>
      <w:tr w:rsidR="001F20CA" w:rsidTr="00A83BDB">
        <w:tc>
          <w:tcPr>
            <w:tcW w:w="468" w:type="dxa"/>
            <w:shd w:val="clear" w:color="auto" w:fill="auto"/>
          </w:tcPr>
          <w:p w:rsidR="001F20CA" w:rsidRDefault="001F20CA" w:rsidP="001F20CA">
            <w:pPr>
              <w:pStyle w:val="NormalWeb"/>
            </w:pPr>
            <w:r>
              <w:t>4.</w:t>
            </w:r>
          </w:p>
        </w:tc>
        <w:tc>
          <w:tcPr>
            <w:tcW w:w="2880" w:type="dxa"/>
            <w:shd w:val="clear" w:color="auto" w:fill="auto"/>
          </w:tcPr>
          <w:p w:rsidR="001F20CA" w:rsidRDefault="001F20CA" w:rsidP="00A83BDB">
            <w:pPr>
              <w:pStyle w:val="NormalWeb"/>
              <w:spacing w:before="0" w:beforeAutospacing="0" w:after="0" w:afterAutospacing="0"/>
            </w:pPr>
            <w:r>
              <w:t>Projekta izpildes ietekme uz pārvaldes institucionālo struktūru.</w:t>
            </w:r>
          </w:p>
          <w:p w:rsidR="001F20CA" w:rsidRDefault="001F20CA" w:rsidP="00A83BDB">
            <w:pPr>
              <w:pStyle w:val="NormalWeb"/>
              <w:spacing w:before="0" w:beforeAutospacing="0" w:after="0" w:afterAutospacing="0"/>
            </w:pPr>
            <w:r>
              <w:t>Esošu institūciju likvidācija</w:t>
            </w:r>
          </w:p>
        </w:tc>
        <w:tc>
          <w:tcPr>
            <w:tcW w:w="5940" w:type="dxa"/>
            <w:shd w:val="clear" w:color="auto" w:fill="auto"/>
          </w:tcPr>
          <w:p w:rsidR="001F20CA" w:rsidRDefault="00EA0CB5" w:rsidP="001F20CA">
            <w:pPr>
              <w:pStyle w:val="NormalWeb"/>
            </w:pPr>
            <w:r>
              <w:t>Projekts šo jomu neskar</w:t>
            </w:r>
          </w:p>
        </w:tc>
      </w:tr>
      <w:tr w:rsidR="001F20CA" w:rsidTr="00A83BDB">
        <w:tc>
          <w:tcPr>
            <w:tcW w:w="468" w:type="dxa"/>
            <w:shd w:val="clear" w:color="auto" w:fill="auto"/>
          </w:tcPr>
          <w:p w:rsidR="001F20CA" w:rsidRDefault="001F20CA" w:rsidP="001F20CA">
            <w:pPr>
              <w:pStyle w:val="NormalWeb"/>
            </w:pPr>
            <w:r>
              <w:t>5.</w:t>
            </w:r>
          </w:p>
        </w:tc>
        <w:tc>
          <w:tcPr>
            <w:tcW w:w="2880" w:type="dxa"/>
            <w:shd w:val="clear" w:color="auto" w:fill="auto"/>
          </w:tcPr>
          <w:p w:rsidR="001F20CA" w:rsidRDefault="001F20CA" w:rsidP="00A83BDB">
            <w:pPr>
              <w:pStyle w:val="NormalWeb"/>
              <w:spacing w:before="0" w:beforeAutospacing="0" w:after="0" w:afterAutospacing="0"/>
            </w:pPr>
            <w:r>
              <w:t>Projekta izpildes ietekme uz pārvaldes institucionālo struktūru.</w:t>
            </w:r>
          </w:p>
          <w:p w:rsidR="001F20CA" w:rsidRDefault="001F20CA" w:rsidP="00A83BDB">
            <w:pPr>
              <w:pStyle w:val="NormalWeb"/>
              <w:spacing w:before="0" w:beforeAutospacing="0" w:after="0" w:afterAutospacing="0"/>
            </w:pPr>
            <w:r>
              <w:t>Esošu institūciju reorganizācija</w:t>
            </w:r>
          </w:p>
        </w:tc>
        <w:tc>
          <w:tcPr>
            <w:tcW w:w="5940" w:type="dxa"/>
            <w:shd w:val="clear" w:color="auto" w:fill="auto"/>
          </w:tcPr>
          <w:p w:rsidR="001F20CA" w:rsidRDefault="00EA0CB5" w:rsidP="001F20CA">
            <w:pPr>
              <w:pStyle w:val="NormalWeb"/>
            </w:pPr>
            <w:r>
              <w:t>Projekts šo jomu neskar</w:t>
            </w:r>
          </w:p>
        </w:tc>
      </w:tr>
      <w:tr w:rsidR="001F20CA" w:rsidTr="00A83BDB">
        <w:tc>
          <w:tcPr>
            <w:tcW w:w="468" w:type="dxa"/>
            <w:shd w:val="clear" w:color="auto" w:fill="auto"/>
          </w:tcPr>
          <w:p w:rsidR="001F20CA" w:rsidRDefault="001F20CA" w:rsidP="001F20CA">
            <w:pPr>
              <w:pStyle w:val="NormalWeb"/>
            </w:pPr>
            <w:r>
              <w:t>6.</w:t>
            </w:r>
          </w:p>
        </w:tc>
        <w:tc>
          <w:tcPr>
            <w:tcW w:w="2880" w:type="dxa"/>
            <w:shd w:val="clear" w:color="auto" w:fill="auto"/>
          </w:tcPr>
          <w:p w:rsidR="001F20CA" w:rsidRDefault="001F20CA" w:rsidP="00A83BDB">
            <w:pPr>
              <w:pStyle w:val="NormalWeb"/>
              <w:spacing w:before="0" w:beforeAutospacing="0" w:after="0" w:afterAutospacing="0"/>
            </w:pPr>
            <w:r>
              <w:t>Cita informācija</w:t>
            </w:r>
          </w:p>
        </w:tc>
        <w:tc>
          <w:tcPr>
            <w:tcW w:w="5940" w:type="dxa"/>
            <w:shd w:val="clear" w:color="auto" w:fill="auto"/>
          </w:tcPr>
          <w:p w:rsidR="001F20CA" w:rsidRDefault="00FA2831" w:rsidP="001F20CA">
            <w:pPr>
              <w:pStyle w:val="NormalWeb"/>
            </w:pPr>
            <w:r>
              <w:t>Nav</w:t>
            </w:r>
          </w:p>
        </w:tc>
      </w:tr>
    </w:tbl>
    <w:p w:rsidR="001F20CA" w:rsidRDefault="001F20CA"/>
    <w:p w:rsidR="002615B9" w:rsidRDefault="002615B9" w:rsidP="002615B9">
      <w:pPr>
        <w:rPr>
          <w:sz w:val="28"/>
          <w:szCs w:val="28"/>
        </w:rPr>
      </w:pPr>
    </w:p>
    <w:p w:rsidR="002615B9" w:rsidRDefault="002615B9" w:rsidP="002615B9">
      <w:pPr>
        <w:rPr>
          <w:sz w:val="28"/>
          <w:szCs w:val="28"/>
        </w:rPr>
      </w:pPr>
      <w:r>
        <w:rPr>
          <w:sz w:val="28"/>
          <w:szCs w:val="28"/>
        </w:rPr>
        <w:t>Finanšu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90C73">
        <w:rPr>
          <w:sz w:val="28"/>
          <w:szCs w:val="28"/>
        </w:rPr>
        <w:t>A.Vilks</w:t>
      </w:r>
    </w:p>
    <w:p w:rsidR="00B35AA0" w:rsidRDefault="00B35AA0" w:rsidP="0016226E">
      <w:pPr>
        <w:rPr>
          <w:sz w:val="20"/>
          <w:szCs w:val="20"/>
        </w:rPr>
      </w:pPr>
    </w:p>
    <w:p w:rsidR="00DD1F6C" w:rsidRDefault="00DD1F6C" w:rsidP="0016226E">
      <w:pPr>
        <w:rPr>
          <w:sz w:val="20"/>
          <w:szCs w:val="20"/>
        </w:rPr>
      </w:pPr>
    </w:p>
    <w:p w:rsidR="0016226E" w:rsidRPr="0016226E" w:rsidRDefault="00887337" w:rsidP="0016226E">
      <w:pPr>
        <w:rPr>
          <w:sz w:val="20"/>
          <w:szCs w:val="20"/>
        </w:rPr>
      </w:pPr>
      <w:r w:rsidRPr="0016226E">
        <w:rPr>
          <w:sz w:val="20"/>
          <w:szCs w:val="20"/>
        </w:rPr>
        <w:fldChar w:fldCharType="begin"/>
      </w:r>
      <w:r w:rsidR="0016226E" w:rsidRPr="0016226E">
        <w:rPr>
          <w:sz w:val="20"/>
          <w:szCs w:val="20"/>
        </w:rPr>
        <w:instrText xml:space="preserve"> DATE  \@ "dd.MM.yyyy"  \* MERGEFORMAT </w:instrText>
      </w:r>
      <w:r w:rsidRPr="0016226E">
        <w:rPr>
          <w:sz w:val="20"/>
          <w:szCs w:val="20"/>
        </w:rPr>
        <w:fldChar w:fldCharType="separate"/>
      </w:r>
      <w:r w:rsidR="00855663">
        <w:rPr>
          <w:noProof/>
          <w:sz w:val="20"/>
          <w:szCs w:val="20"/>
        </w:rPr>
        <w:t>24.08.2012</w:t>
      </w:r>
      <w:r w:rsidRPr="0016226E">
        <w:rPr>
          <w:sz w:val="20"/>
          <w:szCs w:val="20"/>
        </w:rPr>
        <w:fldChar w:fldCharType="end"/>
      </w:r>
      <w:bookmarkStart w:id="0" w:name="_GoBack"/>
      <w:bookmarkEnd w:id="0"/>
      <w:r w:rsidR="0016226E" w:rsidRPr="0016226E">
        <w:rPr>
          <w:sz w:val="20"/>
          <w:szCs w:val="20"/>
        </w:rPr>
        <w:t xml:space="preserve">.   </w:t>
      </w:r>
      <w:r w:rsidRPr="0016226E">
        <w:rPr>
          <w:sz w:val="20"/>
          <w:szCs w:val="20"/>
        </w:rPr>
        <w:fldChar w:fldCharType="begin"/>
      </w:r>
      <w:r w:rsidR="0016226E" w:rsidRPr="0016226E">
        <w:rPr>
          <w:sz w:val="20"/>
          <w:szCs w:val="20"/>
        </w:rPr>
        <w:instrText xml:space="preserve"> DATE  \@ "HH:mm"  \* MERGEFORMAT </w:instrText>
      </w:r>
      <w:r w:rsidRPr="0016226E">
        <w:rPr>
          <w:sz w:val="20"/>
          <w:szCs w:val="20"/>
        </w:rPr>
        <w:fldChar w:fldCharType="separate"/>
      </w:r>
      <w:r w:rsidR="00855663">
        <w:rPr>
          <w:noProof/>
          <w:sz w:val="20"/>
          <w:szCs w:val="20"/>
        </w:rPr>
        <w:t>09:27</w:t>
      </w:r>
      <w:r w:rsidRPr="0016226E">
        <w:rPr>
          <w:sz w:val="20"/>
          <w:szCs w:val="20"/>
        </w:rPr>
        <w:fldChar w:fldCharType="end"/>
      </w:r>
    </w:p>
    <w:p w:rsidR="002615B9" w:rsidRPr="00B732EE" w:rsidRDefault="00B95563" w:rsidP="002615B9">
      <w:pPr>
        <w:jc w:val="both"/>
        <w:rPr>
          <w:sz w:val="20"/>
          <w:szCs w:val="20"/>
        </w:rPr>
      </w:pPr>
      <w:fldSimple w:instr=" NUMWORDS  \* MERGEFORMAT ">
        <w:r w:rsidR="00855663" w:rsidRPr="00855663">
          <w:rPr>
            <w:noProof/>
            <w:sz w:val="20"/>
            <w:szCs w:val="20"/>
          </w:rPr>
          <w:t>794</w:t>
        </w:r>
      </w:fldSimple>
    </w:p>
    <w:p w:rsidR="007001A8" w:rsidRDefault="0097220A" w:rsidP="007001A8">
      <w:pPr>
        <w:jc w:val="both"/>
      </w:pPr>
      <w:r>
        <w:rPr>
          <w:sz w:val="20"/>
          <w:szCs w:val="20"/>
        </w:rPr>
        <w:t>D. Kļaviņa</w:t>
      </w:r>
      <w:r w:rsidR="00C26AD4">
        <w:rPr>
          <w:sz w:val="20"/>
          <w:szCs w:val="20"/>
        </w:rPr>
        <w:t>,</w:t>
      </w:r>
      <w:r w:rsidR="002615B9" w:rsidRPr="00B732EE">
        <w:rPr>
          <w:sz w:val="20"/>
          <w:szCs w:val="20"/>
        </w:rPr>
        <w:t xml:space="preserve"> </w:t>
      </w:r>
      <w:r w:rsidR="002615B9" w:rsidRPr="007001A8">
        <w:rPr>
          <w:sz w:val="20"/>
          <w:szCs w:val="20"/>
        </w:rPr>
        <w:t>670942</w:t>
      </w:r>
      <w:r w:rsidR="00700524">
        <w:rPr>
          <w:sz w:val="20"/>
          <w:szCs w:val="20"/>
        </w:rPr>
        <w:t>4</w:t>
      </w:r>
      <w:r w:rsidR="00975158">
        <w:rPr>
          <w:sz w:val="20"/>
          <w:szCs w:val="20"/>
        </w:rPr>
        <w:t>7</w:t>
      </w:r>
    </w:p>
    <w:p w:rsidR="001F20CA" w:rsidRDefault="00700524" w:rsidP="00975158">
      <w:pPr>
        <w:jc w:val="both"/>
      </w:pPr>
      <w:r>
        <w:rPr>
          <w:sz w:val="20"/>
          <w:szCs w:val="20"/>
        </w:rPr>
        <w:t>Daiga</w:t>
      </w:r>
      <w:r w:rsidR="00975158">
        <w:rPr>
          <w:sz w:val="20"/>
          <w:szCs w:val="20"/>
        </w:rPr>
        <w:t>.</w:t>
      </w:r>
      <w:r>
        <w:rPr>
          <w:sz w:val="20"/>
          <w:szCs w:val="20"/>
        </w:rPr>
        <w:t>Klavina</w:t>
      </w:r>
      <w:r w:rsidR="002615B9" w:rsidRPr="007001A8">
        <w:rPr>
          <w:sz w:val="20"/>
          <w:szCs w:val="20"/>
        </w:rPr>
        <w:t>@kase.gov.lv</w:t>
      </w:r>
    </w:p>
    <w:sectPr w:rsidR="001F20CA" w:rsidSect="0078029C">
      <w:headerReference w:type="default" r:id="rId11"/>
      <w:footerReference w:type="default" r:id="rId12"/>
      <w:footerReference w:type="first" r:id="rId13"/>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3FB" w:rsidRDefault="006A03FB">
      <w:r>
        <w:separator/>
      </w:r>
    </w:p>
  </w:endnote>
  <w:endnote w:type="continuationSeparator" w:id="0">
    <w:p w:rsidR="006A03FB" w:rsidRDefault="006A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3FB" w:rsidRPr="006862D3" w:rsidRDefault="006A03FB" w:rsidP="004B6E16">
    <w:pPr>
      <w:spacing w:before="100" w:beforeAutospacing="1" w:after="100" w:afterAutospacing="1"/>
      <w:jc w:val="both"/>
      <w:outlineLvl w:val="3"/>
      <w:rPr>
        <w:bCs/>
        <w:sz w:val="22"/>
        <w:szCs w:val="22"/>
      </w:rPr>
    </w:pPr>
    <w:r w:rsidRPr="006B02F2">
      <w:rPr>
        <w:sz w:val="22"/>
        <w:szCs w:val="22"/>
      </w:rPr>
      <w:fldChar w:fldCharType="begin"/>
    </w:r>
    <w:r w:rsidRPr="006B02F2">
      <w:rPr>
        <w:sz w:val="22"/>
        <w:szCs w:val="22"/>
      </w:rPr>
      <w:instrText xml:space="preserve"> FILENAME </w:instrText>
    </w:r>
    <w:r w:rsidRPr="006B02F2">
      <w:rPr>
        <w:sz w:val="22"/>
        <w:szCs w:val="22"/>
      </w:rPr>
      <w:fldChar w:fldCharType="separate"/>
    </w:r>
    <w:r w:rsidR="00855663">
      <w:rPr>
        <w:noProof/>
        <w:sz w:val="22"/>
        <w:szCs w:val="22"/>
      </w:rPr>
      <w:t>FMAnot_240812_inst_groz</w:t>
    </w:r>
    <w:r w:rsidRPr="006B02F2">
      <w:rPr>
        <w:noProof/>
        <w:sz w:val="22"/>
        <w:szCs w:val="22"/>
      </w:rPr>
      <w:fldChar w:fldCharType="end"/>
    </w:r>
    <w:r w:rsidRPr="006B02F2">
      <w:rPr>
        <w:sz w:val="22"/>
        <w:szCs w:val="22"/>
      </w:rPr>
      <w:t xml:space="preserve">; </w:t>
    </w:r>
    <w:r w:rsidRPr="00613A12">
      <w:t xml:space="preserve">Ministru kabineta instrukcijas projekts </w:t>
    </w:r>
    <w:r>
      <w:t>„</w:t>
    </w:r>
    <w:r w:rsidRPr="006862D3">
      <w:rPr>
        <w:sz w:val="22"/>
        <w:szCs w:val="22"/>
      </w:rPr>
      <w:t>Grozījumi Ministru kabineta 2010.gada 26.oktobra instrukcijā Nr. 17 „</w:t>
    </w:r>
    <w:r w:rsidRPr="006862D3">
      <w:rPr>
        <w:bCs/>
        <w:sz w:val="22"/>
        <w:szCs w:val="22"/>
      </w:rPr>
      <w:t>Kārtība, kādā valsts budžeta iestādes, no valsts budžeta daļēji finansētas atvasinātas publiskas personas un budžeta nefinansētas iestādes sagatavo budžeta izpildes pārskatu, naudas plūsmas pārskatu un pārskatu par darbības finansiālajiem rezultātiem”</w:t>
    </w:r>
    <w:r>
      <w:rPr>
        <w:bCs/>
        <w:sz w:val="22"/>
        <w:szCs w:val="22"/>
      </w:rPr>
      <w:t>”</w:t>
    </w:r>
    <w:r w:rsidRPr="006862D3">
      <w:rPr>
        <w:bCs/>
        <w:sz w:val="22"/>
        <w:szCs w:val="22"/>
      </w:rPr>
      <w:t xml:space="preserve"> </w:t>
    </w:r>
    <w:r w:rsidRPr="006862D3">
      <w:rPr>
        <w:sz w:val="22"/>
        <w:szCs w:val="22"/>
      </w:rPr>
      <w:t>sākotnējās ietekmes novērtējuma ziņojums (anotācija)</w:t>
    </w:r>
  </w:p>
  <w:p w:rsidR="006A03FB" w:rsidRDefault="006A03FB" w:rsidP="006862D3">
    <w:pPr>
      <w:pStyle w:val="Heading4"/>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3FB" w:rsidRPr="006862D3" w:rsidRDefault="006A03FB" w:rsidP="004B6E16">
    <w:pPr>
      <w:spacing w:before="100" w:beforeAutospacing="1" w:after="100" w:afterAutospacing="1"/>
      <w:jc w:val="both"/>
      <w:outlineLvl w:val="3"/>
      <w:rPr>
        <w:bCs/>
        <w:sz w:val="22"/>
        <w:szCs w:val="22"/>
      </w:rPr>
    </w:pPr>
    <w:r w:rsidRPr="002B72C3">
      <w:rPr>
        <w:sz w:val="22"/>
        <w:szCs w:val="22"/>
      </w:rPr>
      <w:fldChar w:fldCharType="begin"/>
    </w:r>
    <w:r w:rsidRPr="002B72C3">
      <w:rPr>
        <w:sz w:val="22"/>
        <w:szCs w:val="22"/>
      </w:rPr>
      <w:instrText xml:space="preserve"> FILENAME </w:instrText>
    </w:r>
    <w:r w:rsidRPr="002B72C3">
      <w:rPr>
        <w:sz w:val="22"/>
        <w:szCs w:val="22"/>
      </w:rPr>
      <w:fldChar w:fldCharType="separate"/>
    </w:r>
    <w:r w:rsidR="00855663">
      <w:rPr>
        <w:noProof/>
        <w:sz w:val="22"/>
        <w:szCs w:val="22"/>
      </w:rPr>
      <w:t>FMAnot_240812_inst_groz</w:t>
    </w:r>
    <w:r w:rsidRPr="002B72C3">
      <w:rPr>
        <w:sz w:val="22"/>
        <w:szCs w:val="22"/>
      </w:rPr>
      <w:fldChar w:fldCharType="end"/>
    </w:r>
    <w:r w:rsidRPr="002B72C3">
      <w:rPr>
        <w:sz w:val="22"/>
        <w:szCs w:val="22"/>
      </w:rPr>
      <w:t xml:space="preserve">; </w:t>
    </w:r>
    <w:r w:rsidRPr="00613A12">
      <w:t xml:space="preserve">Ministru kabineta instrukcijas projekts </w:t>
    </w:r>
    <w:r>
      <w:t>„</w:t>
    </w:r>
    <w:r w:rsidRPr="002B72C3">
      <w:rPr>
        <w:sz w:val="22"/>
        <w:szCs w:val="22"/>
      </w:rPr>
      <w:t>Gr</w:t>
    </w:r>
    <w:r w:rsidRPr="006862D3">
      <w:rPr>
        <w:sz w:val="22"/>
        <w:szCs w:val="22"/>
      </w:rPr>
      <w:t>ozījumi Ministru kabineta 2010.gada 26.oktobra instrukcijā Nr. 17 „</w:t>
    </w:r>
    <w:r w:rsidRPr="006862D3">
      <w:rPr>
        <w:bCs/>
        <w:sz w:val="22"/>
        <w:szCs w:val="22"/>
      </w:rPr>
      <w:t xml:space="preserve">Kārtība, kādā valsts budžeta iestādes, no valsts budžeta daļēji finansētas atvasinātas publiskas personas un budžeta nefinansētas iestādes sagatavo budžeta izpildes pārskatu, naudas plūsmas pārskatu un pārskatu par darbības finansiālajiem rezultātiem” </w:t>
    </w:r>
    <w:r w:rsidRPr="006862D3">
      <w:rPr>
        <w:sz w:val="22"/>
        <w:szCs w:val="22"/>
      </w:rPr>
      <w:t>sākotnējās ietekmes novērtējuma ziņojums (anotācija)</w:t>
    </w:r>
  </w:p>
  <w:p w:rsidR="006A03FB" w:rsidRDefault="006A03FB" w:rsidP="00B647B8">
    <w:pPr>
      <w:pStyle w:val="Heading4"/>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3FB" w:rsidRDefault="006A03FB">
      <w:r>
        <w:separator/>
      </w:r>
    </w:p>
  </w:footnote>
  <w:footnote w:type="continuationSeparator" w:id="0">
    <w:p w:rsidR="006A03FB" w:rsidRDefault="006A0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3FB" w:rsidRDefault="006A03FB">
    <w:pPr>
      <w:pStyle w:val="Header"/>
      <w:jc w:val="center"/>
    </w:pPr>
    <w:r>
      <w:fldChar w:fldCharType="begin"/>
    </w:r>
    <w:r>
      <w:instrText xml:space="preserve"> PAGE   \* MERGEFORMAT </w:instrText>
    </w:r>
    <w:r>
      <w:fldChar w:fldCharType="separate"/>
    </w:r>
    <w:r w:rsidR="00855663">
      <w:rPr>
        <w:noProof/>
      </w:rPr>
      <w:t>4</w:t>
    </w:r>
    <w:r>
      <w:rPr>
        <w:noProof/>
      </w:rPr>
      <w:fldChar w:fldCharType="end"/>
    </w:r>
  </w:p>
  <w:p w:rsidR="006A03FB" w:rsidRDefault="006A03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B00"/>
    <w:multiLevelType w:val="hybridMultilevel"/>
    <w:tmpl w:val="23E6757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1565A4"/>
    <w:multiLevelType w:val="hybridMultilevel"/>
    <w:tmpl w:val="326E0B1C"/>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
    <w:nsid w:val="12196BDF"/>
    <w:multiLevelType w:val="hybridMultilevel"/>
    <w:tmpl w:val="E7064D88"/>
    <w:lvl w:ilvl="0" w:tplc="09FEC7AE">
      <w:start w:val="1"/>
      <w:numFmt w:val="bullet"/>
      <w:lvlText w:val="-"/>
      <w:lvlJc w:val="left"/>
      <w:pPr>
        <w:tabs>
          <w:tab w:val="num" w:pos="780"/>
        </w:tabs>
        <w:ind w:left="780" w:hanging="360"/>
      </w:pPr>
      <w:rPr>
        <w:rFonts w:hAnsi="Courier New"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3">
    <w:nsid w:val="12C71B1E"/>
    <w:multiLevelType w:val="hybridMultilevel"/>
    <w:tmpl w:val="A770DDC0"/>
    <w:lvl w:ilvl="0" w:tplc="F776107C">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4">
    <w:nsid w:val="2A163B40"/>
    <w:multiLevelType w:val="hybridMultilevel"/>
    <w:tmpl w:val="559CC7EA"/>
    <w:lvl w:ilvl="0" w:tplc="B11E3AEC">
      <w:start w:val="1"/>
      <w:numFmt w:val="bullet"/>
      <w:lvlText w:val="-"/>
      <w:lvlJc w:val="left"/>
      <w:pPr>
        <w:ind w:left="851" w:hanging="360"/>
      </w:pPr>
      <w:rPr>
        <w:rFonts w:ascii="Univers" w:hAnsi="Univers" w:hint="default"/>
      </w:rPr>
    </w:lvl>
    <w:lvl w:ilvl="1" w:tplc="04260003" w:tentative="1">
      <w:start w:val="1"/>
      <w:numFmt w:val="bullet"/>
      <w:lvlText w:val="o"/>
      <w:lvlJc w:val="left"/>
      <w:pPr>
        <w:ind w:left="1571" w:hanging="360"/>
      </w:pPr>
      <w:rPr>
        <w:rFonts w:ascii="Courier New" w:hAnsi="Courier New" w:cs="Courier New" w:hint="default"/>
      </w:rPr>
    </w:lvl>
    <w:lvl w:ilvl="2" w:tplc="04260005" w:tentative="1">
      <w:start w:val="1"/>
      <w:numFmt w:val="bullet"/>
      <w:lvlText w:val=""/>
      <w:lvlJc w:val="left"/>
      <w:pPr>
        <w:ind w:left="2291" w:hanging="360"/>
      </w:pPr>
      <w:rPr>
        <w:rFonts w:ascii="Wingdings" w:hAnsi="Wingdings" w:hint="default"/>
      </w:rPr>
    </w:lvl>
    <w:lvl w:ilvl="3" w:tplc="04260001" w:tentative="1">
      <w:start w:val="1"/>
      <w:numFmt w:val="bullet"/>
      <w:lvlText w:val=""/>
      <w:lvlJc w:val="left"/>
      <w:pPr>
        <w:ind w:left="3011" w:hanging="360"/>
      </w:pPr>
      <w:rPr>
        <w:rFonts w:ascii="Symbol" w:hAnsi="Symbol" w:hint="default"/>
      </w:rPr>
    </w:lvl>
    <w:lvl w:ilvl="4" w:tplc="04260003" w:tentative="1">
      <w:start w:val="1"/>
      <w:numFmt w:val="bullet"/>
      <w:lvlText w:val="o"/>
      <w:lvlJc w:val="left"/>
      <w:pPr>
        <w:ind w:left="3731" w:hanging="360"/>
      </w:pPr>
      <w:rPr>
        <w:rFonts w:ascii="Courier New" w:hAnsi="Courier New" w:cs="Courier New" w:hint="default"/>
      </w:rPr>
    </w:lvl>
    <w:lvl w:ilvl="5" w:tplc="04260005" w:tentative="1">
      <w:start w:val="1"/>
      <w:numFmt w:val="bullet"/>
      <w:lvlText w:val=""/>
      <w:lvlJc w:val="left"/>
      <w:pPr>
        <w:ind w:left="4451" w:hanging="360"/>
      </w:pPr>
      <w:rPr>
        <w:rFonts w:ascii="Wingdings" w:hAnsi="Wingdings" w:hint="default"/>
      </w:rPr>
    </w:lvl>
    <w:lvl w:ilvl="6" w:tplc="04260001" w:tentative="1">
      <w:start w:val="1"/>
      <w:numFmt w:val="bullet"/>
      <w:lvlText w:val=""/>
      <w:lvlJc w:val="left"/>
      <w:pPr>
        <w:ind w:left="5171" w:hanging="360"/>
      </w:pPr>
      <w:rPr>
        <w:rFonts w:ascii="Symbol" w:hAnsi="Symbol" w:hint="default"/>
      </w:rPr>
    </w:lvl>
    <w:lvl w:ilvl="7" w:tplc="04260003" w:tentative="1">
      <w:start w:val="1"/>
      <w:numFmt w:val="bullet"/>
      <w:lvlText w:val="o"/>
      <w:lvlJc w:val="left"/>
      <w:pPr>
        <w:ind w:left="5891" w:hanging="360"/>
      </w:pPr>
      <w:rPr>
        <w:rFonts w:ascii="Courier New" w:hAnsi="Courier New" w:cs="Courier New" w:hint="default"/>
      </w:rPr>
    </w:lvl>
    <w:lvl w:ilvl="8" w:tplc="04260005" w:tentative="1">
      <w:start w:val="1"/>
      <w:numFmt w:val="bullet"/>
      <w:lvlText w:val=""/>
      <w:lvlJc w:val="left"/>
      <w:pPr>
        <w:ind w:left="6611" w:hanging="360"/>
      </w:pPr>
      <w:rPr>
        <w:rFonts w:ascii="Wingdings" w:hAnsi="Wingdings" w:hint="default"/>
      </w:rPr>
    </w:lvl>
  </w:abstractNum>
  <w:abstractNum w:abstractNumId="5">
    <w:nsid w:val="2BD535D2"/>
    <w:multiLevelType w:val="hybridMultilevel"/>
    <w:tmpl w:val="A152796A"/>
    <w:lvl w:ilvl="0" w:tplc="5D1216C6">
      <w:start w:val="1"/>
      <w:numFmt w:val="decimal"/>
      <w:lvlText w:val="%1)"/>
      <w:lvlJc w:val="left"/>
      <w:pPr>
        <w:ind w:left="644" w:hanging="360"/>
      </w:pPr>
      <w:rPr>
        <w:rFonts w:ascii="Times New Roman" w:eastAsia="Times New Roman" w:hAnsi="Times New Roman" w:cs="Times New Roman"/>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nsid w:val="2DF707CB"/>
    <w:multiLevelType w:val="hybridMultilevel"/>
    <w:tmpl w:val="557CDC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EFB1C97"/>
    <w:multiLevelType w:val="hybridMultilevel"/>
    <w:tmpl w:val="AD96D03A"/>
    <w:lvl w:ilvl="0" w:tplc="0409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nsid w:val="334E626D"/>
    <w:multiLevelType w:val="hybridMultilevel"/>
    <w:tmpl w:val="EC727EA2"/>
    <w:lvl w:ilvl="0" w:tplc="AF4459C2">
      <w:start w:val="2009"/>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382809D6"/>
    <w:multiLevelType w:val="hybridMultilevel"/>
    <w:tmpl w:val="C874C61C"/>
    <w:lvl w:ilvl="0" w:tplc="C18E0F46">
      <w:start w:val="1"/>
      <w:numFmt w:val="decimal"/>
      <w:lvlText w:val="%1."/>
      <w:lvlJc w:val="left"/>
      <w:pPr>
        <w:ind w:left="1140" w:hanging="360"/>
      </w:p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0">
    <w:nsid w:val="3C234EF0"/>
    <w:multiLevelType w:val="multilevel"/>
    <w:tmpl w:val="1F52DD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0E4EA6"/>
    <w:multiLevelType w:val="hybridMultilevel"/>
    <w:tmpl w:val="05DC15C6"/>
    <w:lvl w:ilvl="0" w:tplc="8E143FAA">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1A90F3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AFC1D27"/>
    <w:multiLevelType w:val="hybridMultilevel"/>
    <w:tmpl w:val="481CD87E"/>
    <w:lvl w:ilvl="0" w:tplc="09FEC7AE">
      <w:start w:val="1"/>
      <w:numFmt w:val="bullet"/>
      <w:lvlText w:val="-"/>
      <w:lvlJc w:val="left"/>
      <w:pPr>
        <w:tabs>
          <w:tab w:val="num" w:pos="780"/>
        </w:tabs>
        <w:ind w:left="780" w:hanging="360"/>
      </w:pPr>
      <w:rPr>
        <w:rFonts w:hAnsi="Courier New"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14">
    <w:nsid w:val="72ED353C"/>
    <w:multiLevelType w:val="hybridMultilevel"/>
    <w:tmpl w:val="164CE260"/>
    <w:lvl w:ilvl="0" w:tplc="37D8A39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10"/>
  </w:num>
  <w:num w:numId="2">
    <w:abstractNumId w:val="8"/>
  </w:num>
  <w:num w:numId="3">
    <w:abstractNumId w:val="2"/>
  </w:num>
  <w:num w:numId="4">
    <w:abstractNumId w:val="7"/>
  </w:num>
  <w:num w:numId="5">
    <w:abstractNumId w:val="13"/>
  </w:num>
  <w:num w:numId="6">
    <w:abstractNumId w:val="14"/>
  </w:num>
  <w:num w:numId="7">
    <w:abstractNumId w:val="5"/>
  </w:num>
  <w:num w:numId="8">
    <w:abstractNumId w:val="12"/>
  </w:num>
  <w:num w:numId="9">
    <w:abstractNumId w:val="3"/>
  </w:num>
  <w:num w:numId="10">
    <w:abstractNumId w:val="9"/>
  </w:num>
  <w:num w:numId="11">
    <w:abstractNumId w:val="4"/>
  </w:num>
  <w:num w:numId="12">
    <w:abstractNumId w:val="6"/>
  </w:num>
  <w:num w:numId="13">
    <w:abstractNumId w:val="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1F1"/>
    <w:rsid w:val="00005FAB"/>
    <w:rsid w:val="000107F7"/>
    <w:rsid w:val="00014EE3"/>
    <w:rsid w:val="00021EE3"/>
    <w:rsid w:val="00032F9E"/>
    <w:rsid w:val="0003332B"/>
    <w:rsid w:val="00040AB2"/>
    <w:rsid w:val="00042CB1"/>
    <w:rsid w:val="000500F8"/>
    <w:rsid w:val="00080DD8"/>
    <w:rsid w:val="000844AB"/>
    <w:rsid w:val="00090C78"/>
    <w:rsid w:val="00090E25"/>
    <w:rsid w:val="00091053"/>
    <w:rsid w:val="000A6F07"/>
    <w:rsid w:val="000B0047"/>
    <w:rsid w:val="000B0B9D"/>
    <w:rsid w:val="000B7D60"/>
    <w:rsid w:val="000D0790"/>
    <w:rsid w:val="000D4C50"/>
    <w:rsid w:val="000E29DC"/>
    <w:rsid w:val="000E3632"/>
    <w:rsid w:val="000F41F1"/>
    <w:rsid w:val="00110AD5"/>
    <w:rsid w:val="00142349"/>
    <w:rsid w:val="001454EA"/>
    <w:rsid w:val="0015231A"/>
    <w:rsid w:val="00157E68"/>
    <w:rsid w:val="0016166B"/>
    <w:rsid w:val="0016226E"/>
    <w:rsid w:val="001654D7"/>
    <w:rsid w:val="0018163A"/>
    <w:rsid w:val="00181B0B"/>
    <w:rsid w:val="00195713"/>
    <w:rsid w:val="001A1572"/>
    <w:rsid w:val="001A7F5F"/>
    <w:rsid w:val="001D044F"/>
    <w:rsid w:val="001D1FE5"/>
    <w:rsid w:val="001E231D"/>
    <w:rsid w:val="001E2463"/>
    <w:rsid w:val="001E7075"/>
    <w:rsid w:val="001F20CA"/>
    <w:rsid w:val="001F4399"/>
    <w:rsid w:val="0020242D"/>
    <w:rsid w:val="00202AA0"/>
    <w:rsid w:val="00206EC1"/>
    <w:rsid w:val="0021065D"/>
    <w:rsid w:val="002227FC"/>
    <w:rsid w:val="002262E6"/>
    <w:rsid w:val="00237033"/>
    <w:rsid w:val="002372C0"/>
    <w:rsid w:val="0023783C"/>
    <w:rsid w:val="002401F6"/>
    <w:rsid w:val="00251597"/>
    <w:rsid w:val="002615B9"/>
    <w:rsid w:val="002655FF"/>
    <w:rsid w:val="0028562E"/>
    <w:rsid w:val="00290497"/>
    <w:rsid w:val="00294ECA"/>
    <w:rsid w:val="00295614"/>
    <w:rsid w:val="002A063E"/>
    <w:rsid w:val="002A5243"/>
    <w:rsid w:val="002A5F3C"/>
    <w:rsid w:val="002B1465"/>
    <w:rsid w:val="002B292D"/>
    <w:rsid w:val="002B72C3"/>
    <w:rsid w:val="002C3C1C"/>
    <w:rsid w:val="002D2AE4"/>
    <w:rsid w:val="002E15E6"/>
    <w:rsid w:val="002E40A8"/>
    <w:rsid w:val="002E7778"/>
    <w:rsid w:val="002F258C"/>
    <w:rsid w:val="002F4193"/>
    <w:rsid w:val="00302FE0"/>
    <w:rsid w:val="00317E5C"/>
    <w:rsid w:val="003264CC"/>
    <w:rsid w:val="00345AC6"/>
    <w:rsid w:val="00374CF4"/>
    <w:rsid w:val="003825E7"/>
    <w:rsid w:val="00393820"/>
    <w:rsid w:val="00397982"/>
    <w:rsid w:val="003A0DF9"/>
    <w:rsid w:val="003A1038"/>
    <w:rsid w:val="003A77D3"/>
    <w:rsid w:val="003B1CCD"/>
    <w:rsid w:val="003C5384"/>
    <w:rsid w:val="003D4253"/>
    <w:rsid w:val="003E262E"/>
    <w:rsid w:val="003E7352"/>
    <w:rsid w:val="003F1668"/>
    <w:rsid w:val="003F548A"/>
    <w:rsid w:val="003F6926"/>
    <w:rsid w:val="003F76B6"/>
    <w:rsid w:val="0040769D"/>
    <w:rsid w:val="00427D02"/>
    <w:rsid w:val="00435F83"/>
    <w:rsid w:val="0043641D"/>
    <w:rsid w:val="00446332"/>
    <w:rsid w:val="00454ABF"/>
    <w:rsid w:val="00464042"/>
    <w:rsid w:val="004715E3"/>
    <w:rsid w:val="00472BB8"/>
    <w:rsid w:val="00490C73"/>
    <w:rsid w:val="00493DAF"/>
    <w:rsid w:val="0049512E"/>
    <w:rsid w:val="004A51B6"/>
    <w:rsid w:val="004B326F"/>
    <w:rsid w:val="004B4278"/>
    <w:rsid w:val="004B6E16"/>
    <w:rsid w:val="004C5F7E"/>
    <w:rsid w:val="004C7A53"/>
    <w:rsid w:val="004D62D7"/>
    <w:rsid w:val="004E3E7C"/>
    <w:rsid w:val="004E7916"/>
    <w:rsid w:val="004F055A"/>
    <w:rsid w:val="004F6659"/>
    <w:rsid w:val="00501864"/>
    <w:rsid w:val="00507951"/>
    <w:rsid w:val="00510E72"/>
    <w:rsid w:val="005136B1"/>
    <w:rsid w:val="005142CA"/>
    <w:rsid w:val="00520836"/>
    <w:rsid w:val="005327C9"/>
    <w:rsid w:val="00534923"/>
    <w:rsid w:val="005375C1"/>
    <w:rsid w:val="005451EC"/>
    <w:rsid w:val="00550066"/>
    <w:rsid w:val="005504A6"/>
    <w:rsid w:val="005614D1"/>
    <w:rsid w:val="00567244"/>
    <w:rsid w:val="00571830"/>
    <w:rsid w:val="00571AD1"/>
    <w:rsid w:val="00587A49"/>
    <w:rsid w:val="005910BF"/>
    <w:rsid w:val="005930DB"/>
    <w:rsid w:val="005975A6"/>
    <w:rsid w:val="00597C7D"/>
    <w:rsid w:val="005A2AA1"/>
    <w:rsid w:val="005B3EE5"/>
    <w:rsid w:val="005C2438"/>
    <w:rsid w:val="005C25E1"/>
    <w:rsid w:val="005D39F1"/>
    <w:rsid w:val="005D3DF0"/>
    <w:rsid w:val="005E2847"/>
    <w:rsid w:val="00604B95"/>
    <w:rsid w:val="006101FB"/>
    <w:rsid w:val="00642EC3"/>
    <w:rsid w:val="006463AB"/>
    <w:rsid w:val="00647B63"/>
    <w:rsid w:val="0067317F"/>
    <w:rsid w:val="00684166"/>
    <w:rsid w:val="006853AF"/>
    <w:rsid w:val="006862D3"/>
    <w:rsid w:val="00686902"/>
    <w:rsid w:val="006A03FB"/>
    <w:rsid w:val="006B02F2"/>
    <w:rsid w:val="006B579A"/>
    <w:rsid w:val="006B715D"/>
    <w:rsid w:val="006B7B6A"/>
    <w:rsid w:val="006C15FF"/>
    <w:rsid w:val="006C4EB7"/>
    <w:rsid w:val="006D2A9C"/>
    <w:rsid w:val="006E60B0"/>
    <w:rsid w:val="006E67CB"/>
    <w:rsid w:val="007001A8"/>
    <w:rsid w:val="00700524"/>
    <w:rsid w:val="00707594"/>
    <w:rsid w:val="00714B7B"/>
    <w:rsid w:val="00720E6E"/>
    <w:rsid w:val="00725923"/>
    <w:rsid w:val="00725EED"/>
    <w:rsid w:val="00740252"/>
    <w:rsid w:val="007409A9"/>
    <w:rsid w:val="007469E9"/>
    <w:rsid w:val="00747976"/>
    <w:rsid w:val="007552E1"/>
    <w:rsid w:val="00766F33"/>
    <w:rsid w:val="007676EA"/>
    <w:rsid w:val="00773FCD"/>
    <w:rsid w:val="0078029C"/>
    <w:rsid w:val="00780492"/>
    <w:rsid w:val="00782263"/>
    <w:rsid w:val="00783A8C"/>
    <w:rsid w:val="00785303"/>
    <w:rsid w:val="00785F18"/>
    <w:rsid w:val="007A1D05"/>
    <w:rsid w:val="007A3947"/>
    <w:rsid w:val="007A793E"/>
    <w:rsid w:val="007B18F2"/>
    <w:rsid w:val="007B7093"/>
    <w:rsid w:val="007C0A0B"/>
    <w:rsid w:val="007D7CBA"/>
    <w:rsid w:val="007E5EEE"/>
    <w:rsid w:val="007F6937"/>
    <w:rsid w:val="0081231A"/>
    <w:rsid w:val="008302F5"/>
    <w:rsid w:val="00830625"/>
    <w:rsid w:val="00830763"/>
    <w:rsid w:val="00831F31"/>
    <w:rsid w:val="00832D84"/>
    <w:rsid w:val="00832DBE"/>
    <w:rsid w:val="00842811"/>
    <w:rsid w:val="008465F2"/>
    <w:rsid w:val="0085084B"/>
    <w:rsid w:val="00853E6D"/>
    <w:rsid w:val="00855663"/>
    <w:rsid w:val="0085566B"/>
    <w:rsid w:val="00872C82"/>
    <w:rsid w:val="008743FE"/>
    <w:rsid w:val="00876F3B"/>
    <w:rsid w:val="0088049F"/>
    <w:rsid w:val="00882EA4"/>
    <w:rsid w:val="00885901"/>
    <w:rsid w:val="00887337"/>
    <w:rsid w:val="00897675"/>
    <w:rsid w:val="008C7E21"/>
    <w:rsid w:val="008D5D1A"/>
    <w:rsid w:val="008E0BF1"/>
    <w:rsid w:val="008E52AF"/>
    <w:rsid w:val="008E5997"/>
    <w:rsid w:val="00901DC5"/>
    <w:rsid w:val="0090645D"/>
    <w:rsid w:val="00921307"/>
    <w:rsid w:val="00936117"/>
    <w:rsid w:val="009453D3"/>
    <w:rsid w:val="00947179"/>
    <w:rsid w:val="00951AD3"/>
    <w:rsid w:val="009605AE"/>
    <w:rsid w:val="0096136B"/>
    <w:rsid w:val="0096473B"/>
    <w:rsid w:val="0096634D"/>
    <w:rsid w:val="0097220A"/>
    <w:rsid w:val="00975158"/>
    <w:rsid w:val="00991109"/>
    <w:rsid w:val="009917D0"/>
    <w:rsid w:val="009A0134"/>
    <w:rsid w:val="009A1A8F"/>
    <w:rsid w:val="009A57D4"/>
    <w:rsid w:val="009B3BAC"/>
    <w:rsid w:val="009C5883"/>
    <w:rsid w:val="009D12F8"/>
    <w:rsid w:val="009D71FA"/>
    <w:rsid w:val="009E1FF0"/>
    <w:rsid w:val="009E5D99"/>
    <w:rsid w:val="009F02E0"/>
    <w:rsid w:val="009F14B5"/>
    <w:rsid w:val="009F686C"/>
    <w:rsid w:val="009F790B"/>
    <w:rsid w:val="00A02B02"/>
    <w:rsid w:val="00A06BB9"/>
    <w:rsid w:val="00A1299A"/>
    <w:rsid w:val="00A167EB"/>
    <w:rsid w:val="00A30504"/>
    <w:rsid w:val="00A31B87"/>
    <w:rsid w:val="00A434D3"/>
    <w:rsid w:val="00A61BE6"/>
    <w:rsid w:val="00A61FC9"/>
    <w:rsid w:val="00A64F89"/>
    <w:rsid w:val="00A732BD"/>
    <w:rsid w:val="00A75F6A"/>
    <w:rsid w:val="00A809DD"/>
    <w:rsid w:val="00A83BDB"/>
    <w:rsid w:val="00A93F15"/>
    <w:rsid w:val="00AA46F7"/>
    <w:rsid w:val="00AB46C4"/>
    <w:rsid w:val="00AB4D6E"/>
    <w:rsid w:val="00AC74AC"/>
    <w:rsid w:val="00AD385A"/>
    <w:rsid w:val="00AE638F"/>
    <w:rsid w:val="00B0703D"/>
    <w:rsid w:val="00B07FA9"/>
    <w:rsid w:val="00B104A7"/>
    <w:rsid w:val="00B25CA3"/>
    <w:rsid w:val="00B31CF9"/>
    <w:rsid w:val="00B35AA0"/>
    <w:rsid w:val="00B472E3"/>
    <w:rsid w:val="00B47991"/>
    <w:rsid w:val="00B52870"/>
    <w:rsid w:val="00B55FA0"/>
    <w:rsid w:val="00B647B8"/>
    <w:rsid w:val="00B64C8F"/>
    <w:rsid w:val="00B64E2F"/>
    <w:rsid w:val="00B7029D"/>
    <w:rsid w:val="00B732EE"/>
    <w:rsid w:val="00B83AAC"/>
    <w:rsid w:val="00B95563"/>
    <w:rsid w:val="00B97BD8"/>
    <w:rsid w:val="00BB45E1"/>
    <w:rsid w:val="00BB6DD2"/>
    <w:rsid w:val="00BC1FF0"/>
    <w:rsid w:val="00BC481A"/>
    <w:rsid w:val="00BE1CCF"/>
    <w:rsid w:val="00BE3564"/>
    <w:rsid w:val="00C07AF1"/>
    <w:rsid w:val="00C11354"/>
    <w:rsid w:val="00C12901"/>
    <w:rsid w:val="00C1566C"/>
    <w:rsid w:val="00C16DE0"/>
    <w:rsid w:val="00C26AD4"/>
    <w:rsid w:val="00C3201F"/>
    <w:rsid w:val="00C46972"/>
    <w:rsid w:val="00C57654"/>
    <w:rsid w:val="00CA61EB"/>
    <w:rsid w:val="00CB0733"/>
    <w:rsid w:val="00CB61A7"/>
    <w:rsid w:val="00CC7CB9"/>
    <w:rsid w:val="00CF153F"/>
    <w:rsid w:val="00D02C6A"/>
    <w:rsid w:val="00D036CC"/>
    <w:rsid w:val="00D16713"/>
    <w:rsid w:val="00D171D2"/>
    <w:rsid w:val="00D23B2A"/>
    <w:rsid w:val="00D2688D"/>
    <w:rsid w:val="00D303AF"/>
    <w:rsid w:val="00D46573"/>
    <w:rsid w:val="00D53BFE"/>
    <w:rsid w:val="00D604A9"/>
    <w:rsid w:val="00D63AB4"/>
    <w:rsid w:val="00D6469B"/>
    <w:rsid w:val="00D66D88"/>
    <w:rsid w:val="00D75216"/>
    <w:rsid w:val="00D81B9F"/>
    <w:rsid w:val="00D926A6"/>
    <w:rsid w:val="00DB1158"/>
    <w:rsid w:val="00DD1F6C"/>
    <w:rsid w:val="00DD7A39"/>
    <w:rsid w:val="00DF204D"/>
    <w:rsid w:val="00DF41A8"/>
    <w:rsid w:val="00E13838"/>
    <w:rsid w:val="00E227B4"/>
    <w:rsid w:val="00E266B6"/>
    <w:rsid w:val="00E3493D"/>
    <w:rsid w:val="00E349A2"/>
    <w:rsid w:val="00E42E25"/>
    <w:rsid w:val="00E44C52"/>
    <w:rsid w:val="00E45EFB"/>
    <w:rsid w:val="00E557DB"/>
    <w:rsid w:val="00E6248E"/>
    <w:rsid w:val="00E64C93"/>
    <w:rsid w:val="00E70800"/>
    <w:rsid w:val="00E85D02"/>
    <w:rsid w:val="00E91782"/>
    <w:rsid w:val="00E96EA4"/>
    <w:rsid w:val="00EA0CB5"/>
    <w:rsid w:val="00EA0CDA"/>
    <w:rsid w:val="00EA7EC9"/>
    <w:rsid w:val="00EF172F"/>
    <w:rsid w:val="00F14086"/>
    <w:rsid w:val="00F15663"/>
    <w:rsid w:val="00F37CD5"/>
    <w:rsid w:val="00F446DE"/>
    <w:rsid w:val="00F506CF"/>
    <w:rsid w:val="00F64D99"/>
    <w:rsid w:val="00F73438"/>
    <w:rsid w:val="00F778B2"/>
    <w:rsid w:val="00F96B4D"/>
    <w:rsid w:val="00FA2831"/>
    <w:rsid w:val="00FA7716"/>
    <w:rsid w:val="00FB0185"/>
    <w:rsid w:val="00FE273D"/>
    <w:rsid w:val="00FE5F11"/>
    <w:rsid w:val="00FF20FD"/>
    <w:rsid w:val="00FF5E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0F41F1"/>
    <w:pPr>
      <w:spacing w:before="100" w:beforeAutospacing="1" w:after="100" w:afterAutospacing="1"/>
      <w:outlineLvl w:val="2"/>
    </w:pPr>
    <w:rPr>
      <w:b/>
      <w:bCs/>
      <w:sz w:val="27"/>
      <w:szCs w:val="27"/>
    </w:rPr>
  </w:style>
  <w:style w:type="paragraph" w:styleId="Heading4">
    <w:name w:val="heading 4"/>
    <w:basedOn w:val="Normal"/>
    <w:link w:val="Heading4Char"/>
    <w:qFormat/>
    <w:rsid w:val="000F41F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41F1"/>
    <w:rPr>
      <w:color w:val="0000FF"/>
      <w:u w:val="single"/>
    </w:rPr>
  </w:style>
  <w:style w:type="paragraph" w:styleId="NormalWeb">
    <w:name w:val="Normal (Web)"/>
    <w:basedOn w:val="Normal"/>
    <w:rsid w:val="000F41F1"/>
    <w:pPr>
      <w:spacing w:before="100" w:beforeAutospacing="1" w:after="100" w:afterAutospacing="1"/>
    </w:pPr>
  </w:style>
  <w:style w:type="table" w:styleId="TableGrid">
    <w:name w:val="Table Grid"/>
    <w:basedOn w:val="TableNormal"/>
    <w:rsid w:val="006C4E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E85D02"/>
    <w:pPr>
      <w:ind w:firstLine="720"/>
    </w:pPr>
    <w:rPr>
      <w:sz w:val="28"/>
      <w:lang w:eastAsia="en-US"/>
    </w:rPr>
  </w:style>
  <w:style w:type="character" w:styleId="CommentReference">
    <w:name w:val="annotation reference"/>
    <w:semiHidden/>
    <w:rsid w:val="00D02C6A"/>
    <w:rPr>
      <w:sz w:val="16"/>
      <w:szCs w:val="16"/>
    </w:rPr>
  </w:style>
  <w:style w:type="paragraph" w:styleId="CommentText">
    <w:name w:val="annotation text"/>
    <w:basedOn w:val="Normal"/>
    <w:link w:val="CommentTextChar"/>
    <w:uiPriority w:val="99"/>
    <w:rsid w:val="00D02C6A"/>
    <w:rPr>
      <w:sz w:val="20"/>
      <w:szCs w:val="20"/>
    </w:rPr>
  </w:style>
  <w:style w:type="paragraph" w:styleId="BalloonText">
    <w:name w:val="Balloon Text"/>
    <w:basedOn w:val="Normal"/>
    <w:semiHidden/>
    <w:rsid w:val="00D02C6A"/>
    <w:rPr>
      <w:rFonts w:ascii="Tahoma" w:hAnsi="Tahoma" w:cs="Tahoma"/>
      <w:sz w:val="16"/>
      <w:szCs w:val="16"/>
    </w:rPr>
  </w:style>
  <w:style w:type="paragraph" w:styleId="Header">
    <w:name w:val="header"/>
    <w:basedOn w:val="Normal"/>
    <w:link w:val="HeaderChar"/>
    <w:uiPriority w:val="99"/>
    <w:rsid w:val="00E6248E"/>
    <w:pPr>
      <w:tabs>
        <w:tab w:val="center" w:pos="4153"/>
        <w:tab w:val="right" w:pos="8306"/>
      </w:tabs>
    </w:pPr>
    <w:rPr>
      <w:lang w:val="x-none" w:eastAsia="x-none"/>
    </w:rPr>
  </w:style>
  <w:style w:type="paragraph" w:styleId="Footer">
    <w:name w:val="footer"/>
    <w:basedOn w:val="Normal"/>
    <w:rsid w:val="00E6248E"/>
    <w:pPr>
      <w:tabs>
        <w:tab w:val="center" w:pos="4153"/>
        <w:tab w:val="right" w:pos="8306"/>
      </w:tabs>
    </w:pPr>
  </w:style>
  <w:style w:type="paragraph" w:customStyle="1" w:styleId="xl36">
    <w:name w:val="xl36"/>
    <w:basedOn w:val="Normal"/>
    <w:rsid w:val="002615B9"/>
    <w:pPr>
      <w:spacing w:before="100" w:beforeAutospacing="1" w:after="100" w:afterAutospacing="1"/>
      <w:jc w:val="both"/>
    </w:pPr>
    <w:rPr>
      <w:rFonts w:eastAsia="Arial Unicode MS"/>
      <w:lang w:val="en-GB" w:eastAsia="en-US"/>
    </w:rPr>
  </w:style>
  <w:style w:type="paragraph" w:styleId="CommentSubject">
    <w:name w:val="annotation subject"/>
    <w:basedOn w:val="CommentText"/>
    <w:next w:val="CommentText"/>
    <w:link w:val="CommentSubjectChar"/>
    <w:rsid w:val="00AA46F7"/>
    <w:rPr>
      <w:b/>
      <w:bCs/>
      <w:lang w:val="x-none" w:eastAsia="x-none"/>
    </w:rPr>
  </w:style>
  <w:style w:type="character" w:customStyle="1" w:styleId="CommentTextChar">
    <w:name w:val="Comment Text Char"/>
    <w:basedOn w:val="DefaultParagraphFont"/>
    <w:link w:val="CommentText"/>
    <w:uiPriority w:val="99"/>
    <w:rsid w:val="00AA46F7"/>
  </w:style>
  <w:style w:type="character" w:customStyle="1" w:styleId="CommentSubjectChar">
    <w:name w:val="Comment Subject Char"/>
    <w:link w:val="CommentSubject"/>
    <w:rsid w:val="00AA46F7"/>
    <w:rPr>
      <w:b/>
      <w:bCs/>
    </w:rPr>
  </w:style>
  <w:style w:type="character" w:customStyle="1" w:styleId="HeaderChar">
    <w:name w:val="Header Char"/>
    <w:link w:val="Header"/>
    <w:uiPriority w:val="99"/>
    <w:rsid w:val="00EA0CB5"/>
    <w:rPr>
      <w:sz w:val="24"/>
      <w:szCs w:val="24"/>
    </w:rPr>
  </w:style>
  <w:style w:type="paragraph" w:styleId="BodyText">
    <w:name w:val="Body Text"/>
    <w:basedOn w:val="Normal"/>
    <w:link w:val="BodyTextChar"/>
    <w:rsid w:val="0049512E"/>
    <w:pPr>
      <w:jc w:val="both"/>
    </w:pPr>
    <w:rPr>
      <w:iCs/>
      <w:lang w:val="x-none" w:eastAsia="x-none"/>
    </w:rPr>
  </w:style>
  <w:style w:type="character" w:customStyle="1" w:styleId="BodyTextChar">
    <w:name w:val="Body Text Char"/>
    <w:basedOn w:val="DefaultParagraphFont"/>
    <w:link w:val="BodyText"/>
    <w:rsid w:val="0049512E"/>
    <w:rPr>
      <w:iCs/>
      <w:sz w:val="24"/>
      <w:szCs w:val="24"/>
      <w:lang w:val="x-none" w:eastAsia="x-none"/>
    </w:rPr>
  </w:style>
  <w:style w:type="character" w:customStyle="1" w:styleId="Heading4Char">
    <w:name w:val="Heading 4 Char"/>
    <w:link w:val="Heading4"/>
    <w:rsid w:val="005375C1"/>
    <w:rPr>
      <w:b/>
      <w:bCs/>
      <w:sz w:val="24"/>
      <w:szCs w:val="24"/>
    </w:rPr>
  </w:style>
  <w:style w:type="paragraph" w:customStyle="1" w:styleId="tvhtml">
    <w:name w:val="tv_html"/>
    <w:basedOn w:val="Normal"/>
    <w:rsid w:val="00BE1CCF"/>
    <w:pPr>
      <w:spacing w:before="100" w:beforeAutospacing="1" w:after="100" w:afterAutospacing="1"/>
    </w:pPr>
  </w:style>
  <w:style w:type="paragraph" w:styleId="ListParagraph">
    <w:name w:val="List Paragraph"/>
    <w:basedOn w:val="Normal"/>
    <w:uiPriority w:val="34"/>
    <w:qFormat/>
    <w:rsid w:val="009F686C"/>
    <w:pPr>
      <w:ind w:left="720"/>
      <w:contextualSpacing/>
    </w:pPr>
  </w:style>
  <w:style w:type="character" w:styleId="Strong">
    <w:name w:val="Strong"/>
    <w:basedOn w:val="DefaultParagraphFont"/>
    <w:qFormat/>
    <w:rsid w:val="00290497"/>
    <w:rPr>
      <w:b/>
      <w:bCs/>
    </w:rPr>
  </w:style>
  <w:style w:type="paragraph" w:styleId="BodyText2">
    <w:name w:val="Body Text 2"/>
    <w:basedOn w:val="Normal"/>
    <w:link w:val="BodyText2Char"/>
    <w:rsid w:val="001A7F5F"/>
    <w:pPr>
      <w:spacing w:after="120" w:line="480" w:lineRule="auto"/>
    </w:pPr>
  </w:style>
  <w:style w:type="character" w:customStyle="1" w:styleId="BodyText2Char">
    <w:name w:val="Body Text 2 Char"/>
    <w:basedOn w:val="DefaultParagraphFont"/>
    <w:link w:val="BodyText2"/>
    <w:rsid w:val="001A7F5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0F41F1"/>
    <w:pPr>
      <w:spacing w:before="100" w:beforeAutospacing="1" w:after="100" w:afterAutospacing="1"/>
      <w:outlineLvl w:val="2"/>
    </w:pPr>
    <w:rPr>
      <w:b/>
      <w:bCs/>
      <w:sz w:val="27"/>
      <w:szCs w:val="27"/>
    </w:rPr>
  </w:style>
  <w:style w:type="paragraph" w:styleId="Heading4">
    <w:name w:val="heading 4"/>
    <w:basedOn w:val="Normal"/>
    <w:link w:val="Heading4Char"/>
    <w:qFormat/>
    <w:rsid w:val="000F41F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41F1"/>
    <w:rPr>
      <w:color w:val="0000FF"/>
      <w:u w:val="single"/>
    </w:rPr>
  </w:style>
  <w:style w:type="paragraph" w:styleId="NormalWeb">
    <w:name w:val="Normal (Web)"/>
    <w:basedOn w:val="Normal"/>
    <w:rsid w:val="000F41F1"/>
    <w:pPr>
      <w:spacing w:before="100" w:beforeAutospacing="1" w:after="100" w:afterAutospacing="1"/>
    </w:pPr>
  </w:style>
  <w:style w:type="table" w:styleId="TableGrid">
    <w:name w:val="Table Grid"/>
    <w:basedOn w:val="TableNormal"/>
    <w:rsid w:val="006C4E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E85D02"/>
    <w:pPr>
      <w:ind w:firstLine="720"/>
    </w:pPr>
    <w:rPr>
      <w:sz w:val="28"/>
      <w:lang w:eastAsia="en-US"/>
    </w:rPr>
  </w:style>
  <w:style w:type="character" w:styleId="CommentReference">
    <w:name w:val="annotation reference"/>
    <w:semiHidden/>
    <w:rsid w:val="00D02C6A"/>
    <w:rPr>
      <w:sz w:val="16"/>
      <w:szCs w:val="16"/>
    </w:rPr>
  </w:style>
  <w:style w:type="paragraph" w:styleId="CommentText">
    <w:name w:val="annotation text"/>
    <w:basedOn w:val="Normal"/>
    <w:link w:val="CommentTextChar"/>
    <w:uiPriority w:val="99"/>
    <w:rsid w:val="00D02C6A"/>
    <w:rPr>
      <w:sz w:val="20"/>
      <w:szCs w:val="20"/>
    </w:rPr>
  </w:style>
  <w:style w:type="paragraph" w:styleId="BalloonText">
    <w:name w:val="Balloon Text"/>
    <w:basedOn w:val="Normal"/>
    <w:semiHidden/>
    <w:rsid w:val="00D02C6A"/>
    <w:rPr>
      <w:rFonts w:ascii="Tahoma" w:hAnsi="Tahoma" w:cs="Tahoma"/>
      <w:sz w:val="16"/>
      <w:szCs w:val="16"/>
    </w:rPr>
  </w:style>
  <w:style w:type="paragraph" w:styleId="Header">
    <w:name w:val="header"/>
    <w:basedOn w:val="Normal"/>
    <w:link w:val="HeaderChar"/>
    <w:uiPriority w:val="99"/>
    <w:rsid w:val="00E6248E"/>
    <w:pPr>
      <w:tabs>
        <w:tab w:val="center" w:pos="4153"/>
        <w:tab w:val="right" w:pos="8306"/>
      </w:tabs>
    </w:pPr>
    <w:rPr>
      <w:lang w:val="x-none" w:eastAsia="x-none"/>
    </w:rPr>
  </w:style>
  <w:style w:type="paragraph" w:styleId="Footer">
    <w:name w:val="footer"/>
    <w:basedOn w:val="Normal"/>
    <w:rsid w:val="00E6248E"/>
    <w:pPr>
      <w:tabs>
        <w:tab w:val="center" w:pos="4153"/>
        <w:tab w:val="right" w:pos="8306"/>
      </w:tabs>
    </w:pPr>
  </w:style>
  <w:style w:type="paragraph" w:customStyle="1" w:styleId="xl36">
    <w:name w:val="xl36"/>
    <w:basedOn w:val="Normal"/>
    <w:rsid w:val="002615B9"/>
    <w:pPr>
      <w:spacing w:before="100" w:beforeAutospacing="1" w:after="100" w:afterAutospacing="1"/>
      <w:jc w:val="both"/>
    </w:pPr>
    <w:rPr>
      <w:rFonts w:eastAsia="Arial Unicode MS"/>
      <w:lang w:val="en-GB" w:eastAsia="en-US"/>
    </w:rPr>
  </w:style>
  <w:style w:type="paragraph" w:styleId="CommentSubject">
    <w:name w:val="annotation subject"/>
    <w:basedOn w:val="CommentText"/>
    <w:next w:val="CommentText"/>
    <w:link w:val="CommentSubjectChar"/>
    <w:rsid w:val="00AA46F7"/>
    <w:rPr>
      <w:b/>
      <w:bCs/>
      <w:lang w:val="x-none" w:eastAsia="x-none"/>
    </w:rPr>
  </w:style>
  <w:style w:type="character" w:customStyle="1" w:styleId="CommentTextChar">
    <w:name w:val="Comment Text Char"/>
    <w:basedOn w:val="DefaultParagraphFont"/>
    <w:link w:val="CommentText"/>
    <w:uiPriority w:val="99"/>
    <w:rsid w:val="00AA46F7"/>
  </w:style>
  <w:style w:type="character" w:customStyle="1" w:styleId="CommentSubjectChar">
    <w:name w:val="Comment Subject Char"/>
    <w:link w:val="CommentSubject"/>
    <w:rsid w:val="00AA46F7"/>
    <w:rPr>
      <w:b/>
      <w:bCs/>
    </w:rPr>
  </w:style>
  <w:style w:type="character" w:customStyle="1" w:styleId="HeaderChar">
    <w:name w:val="Header Char"/>
    <w:link w:val="Header"/>
    <w:uiPriority w:val="99"/>
    <w:rsid w:val="00EA0CB5"/>
    <w:rPr>
      <w:sz w:val="24"/>
      <w:szCs w:val="24"/>
    </w:rPr>
  </w:style>
  <w:style w:type="paragraph" w:styleId="BodyText">
    <w:name w:val="Body Text"/>
    <w:basedOn w:val="Normal"/>
    <w:link w:val="BodyTextChar"/>
    <w:rsid w:val="0049512E"/>
    <w:pPr>
      <w:jc w:val="both"/>
    </w:pPr>
    <w:rPr>
      <w:iCs/>
      <w:lang w:val="x-none" w:eastAsia="x-none"/>
    </w:rPr>
  </w:style>
  <w:style w:type="character" w:customStyle="1" w:styleId="BodyTextChar">
    <w:name w:val="Body Text Char"/>
    <w:basedOn w:val="DefaultParagraphFont"/>
    <w:link w:val="BodyText"/>
    <w:rsid w:val="0049512E"/>
    <w:rPr>
      <w:iCs/>
      <w:sz w:val="24"/>
      <w:szCs w:val="24"/>
      <w:lang w:val="x-none" w:eastAsia="x-none"/>
    </w:rPr>
  </w:style>
  <w:style w:type="character" w:customStyle="1" w:styleId="Heading4Char">
    <w:name w:val="Heading 4 Char"/>
    <w:link w:val="Heading4"/>
    <w:rsid w:val="005375C1"/>
    <w:rPr>
      <w:b/>
      <w:bCs/>
      <w:sz w:val="24"/>
      <w:szCs w:val="24"/>
    </w:rPr>
  </w:style>
  <w:style w:type="paragraph" w:customStyle="1" w:styleId="tvhtml">
    <w:name w:val="tv_html"/>
    <w:basedOn w:val="Normal"/>
    <w:rsid w:val="00BE1CCF"/>
    <w:pPr>
      <w:spacing w:before="100" w:beforeAutospacing="1" w:after="100" w:afterAutospacing="1"/>
    </w:pPr>
  </w:style>
  <w:style w:type="paragraph" w:styleId="ListParagraph">
    <w:name w:val="List Paragraph"/>
    <w:basedOn w:val="Normal"/>
    <w:uiPriority w:val="34"/>
    <w:qFormat/>
    <w:rsid w:val="009F686C"/>
    <w:pPr>
      <w:ind w:left="720"/>
      <w:contextualSpacing/>
    </w:pPr>
  </w:style>
  <w:style w:type="character" w:styleId="Strong">
    <w:name w:val="Strong"/>
    <w:basedOn w:val="DefaultParagraphFont"/>
    <w:qFormat/>
    <w:rsid w:val="00290497"/>
    <w:rPr>
      <w:b/>
      <w:bCs/>
    </w:rPr>
  </w:style>
  <w:style w:type="paragraph" w:styleId="BodyText2">
    <w:name w:val="Body Text 2"/>
    <w:basedOn w:val="Normal"/>
    <w:link w:val="BodyText2Char"/>
    <w:rsid w:val="001A7F5F"/>
    <w:pPr>
      <w:spacing w:after="120" w:line="480" w:lineRule="auto"/>
    </w:pPr>
  </w:style>
  <w:style w:type="character" w:customStyle="1" w:styleId="BodyText2Char">
    <w:name w:val="Body Text 2 Char"/>
    <w:basedOn w:val="DefaultParagraphFont"/>
    <w:link w:val="BodyText2"/>
    <w:rsid w:val="001A7F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8633">
      <w:bodyDiv w:val="1"/>
      <w:marLeft w:val="0"/>
      <w:marRight w:val="0"/>
      <w:marTop w:val="0"/>
      <w:marBottom w:val="0"/>
      <w:divBdr>
        <w:top w:val="none" w:sz="0" w:space="0" w:color="auto"/>
        <w:left w:val="none" w:sz="0" w:space="0" w:color="auto"/>
        <w:bottom w:val="none" w:sz="0" w:space="0" w:color="auto"/>
        <w:right w:val="none" w:sz="0" w:space="0" w:color="auto"/>
      </w:divBdr>
    </w:div>
    <w:div w:id="679434839">
      <w:bodyDiv w:val="1"/>
      <w:marLeft w:val="0"/>
      <w:marRight w:val="0"/>
      <w:marTop w:val="0"/>
      <w:marBottom w:val="0"/>
      <w:divBdr>
        <w:top w:val="none" w:sz="0" w:space="0" w:color="auto"/>
        <w:left w:val="none" w:sz="0" w:space="0" w:color="auto"/>
        <w:bottom w:val="none" w:sz="0" w:space="0" w:color="auto"/>
        <w:right w:val="none" w:sz="0" w:space="0" w:color="auto"/>
      </w:divBdr>
      <w:divsChild>
        <w:div w:id="7292053">
          <w:marLeft w:val="0"/>
          <w:marRight w:val="0"/>
          <w:marTop w:val="0"/>
          <w:marBottom w:val="0"/>
          <w:divBdr>
            <w:top w:val="none" w:sz="0" w:space="0" w:color="auto"/>
            <w:left w:val="none" w:sz="0" w:space="0" w:color="auto"/>
            <w:bottom w:val="none" w:sz="0" w:space="0" w:color="auto"/>
            <w:right w:val="none" w:sz="0" w:space="0" w:color="auto"/>
          </w:divBdr>
        </w:div>
        <w:div w:id="102655223">
          <w:marLeft w:val="0"/>
          <w:marRight w:val="0"/>
          <w:marTop w:val="0"/>
          <w:marBottom w:val="0"/>
          <w:divBdr>
            <w:top w:val="none" w:sz="0" w:space="0" w:color="auto"/>
            <w:left w:val="none" w:sz="0" w:space="0" w:color="auto"/>
            <w:bottom w:val="none" w:sz="0" w:space="0" w:color="auto"/>
            <w:right w:val="none" w:sz="0" w:space="0" w:color="auto"/>
          </w:divBdr>
        </w:div>
        <w:div w:id="191767022">
          <w:marLeft w:val="0"/>
          <w:marRight w:val="0"/>
          <w:marTop w:val="0"/>
          <w:marBottom w:val="0"/>
          <w:divBdr>
            <w:top w:val="none" w:sz="0" w:space="0" w:color="auto"/>
            <w:left w:val="none" w:sz="0" w:space="0" w:color="auto"/>
            <w:bottom w:val="none" w:sz="0" w:space="0" w:color="auto"/>
            <w:right w:val="none" w:sz="0" w:space="0" w:color="auto"/>
          </w:divBdr>
        </w:div>
        <w:div w:id="306202789">
          <w:marLeft w:val="0"/>
          <w:marRight w:val="0"/>
          <w:marTop w:val="0"/>
          <w:marBottom w:val="0"/>
          <w:divBdr>
            <w:top w:val="none" w:sz="0" w:space="0" w:color="auto"/>
            <w:left w:val="none" w:sz="0" w:space="0" w:color="auto"/>
            <w:bottom w:val="none" w:sz="0" w:space="0" w:color="auto"/>
            <w:right w:val="none" w:sz="0" w:space="0" w:color="auto"/>
          </w:divBdr>
        </w:div>
        <w:div w:id="388648313">
          <w:marLeft w:val="0"/>
          <w:marRight w:val="0"/>
          <w:marTop w:val="0"/>
          <w:marBottom w:val="0"/>
          <w:divBdr>
            <w:top w:val="none" w:sz="0" w:space="0" w:color="auto"/>
            <w:left w:val="none" w:sz="0" w:space="0" w:color="auto"/>
            <w:bottom w:val="none" w:sz="0" w:space="0" w:color="auto"/>
            <w:right w:val="none" w:sz="0" w:space="0" w:color="auto"/>
          </w:divBdr>
        </w:div>
        <w:div w:id="461265460">
          <w:marLeft w:val="0"/>
          <w:marRight w:val="0"/>
          <w:marTop w:val="0"/>
          <w:marBottom w:val="0"/>
          <w:divBdr>
            <w:top w:val="none" w:sz="0" w:space="0" w:color="auto"/>
            <w:left w:val="none" w:sz="0" w:space="0" w:color="auto"/>
            <w:bottom w:val="none" w:sz="0" w:space="0" w:color="auto"/>
            <w:right w:val="none" w:sz="0" w:space="0" w:color="auto"/>
          </w:divBdr>
        </w:div>
        <w:div w:id="920217380">
          <w:marLeft w:val="0"/>
          <w:marRight w:val="0"/>
          <w:marTop w:val="0"/>
          <w:marBottom w:val="0"/>
          <w:divBdr>
            <w:top w:val="none" w:sz="0" w:space="0" w:color="auto"/>
            <w:left w:val="none" w:sz="0" w:space="0" w:color="auto"/>
            <w:bottom w:val="none" w:sz="0" w:space="0" w:color="auto"/>
            <w:right w:val="none" w:sz="0" w:space="0" w:color="auto"/>
          </w:divBdr>
        </w:div>
        <w:div w:id="1225995426">
          <w:marLeft w:val="0"/>
          <w:marRight w:val="0"/>
          <w:marTop w:val="0"/>
          <w:marBottom w:val="0"/>
          <w:divBdr>
            <w:top w:val="none" w:sz="0" w:space="0" w:color="auto"/>
            <w:left w:val="none" w:sz="0" w:space="0" w:color="auto"/>
            <w:bottom w:val="none" w:sz="0" w:space="0" w:color="auto"/>
            <w:right w:val="none" w:sz="0" w:space="0" w:color="auto"/>
          </w:divBdr>
        </w:div>
        <w:div w:id="1238250724">
          <w:marLeft w:val="0"/>
          <w:marRight w:val="0"/>
          <w:marTop w:val="0"/>
          <w:marBottom w:val="0"/>
          <w:divBdr>
            <w:top w:val="none" w:sz="0" w:space="0" w:color="auto"/>
            <w:left w:val="none" w:sz="0" w:space="0" w:color="auto"/>
            <w:bottom w:val="none" w:sz="0" w:space="0" w:color="auto"/>
            <w:right w:val="none" w:sz="0" w:space="0" w:color="auto"/>
          </w:divBdr>
        </w:div>
        <w:div w:id="1256859203">
          <w:marLeft w:val="0"/>
          <w:marRight w:val="0"/>
          <w:marTop w:val="0"/>
          <w:marBottom w:val="0"/>
          <w:divBdr>
            <w:top w:val="none" w:sz="0" w:space="0" w:color="auto"/>
            <w:left w:val="none" w:sz="0" w:space="0" w:color="auto"/>
            <w:bottom w:val="none" w:sz="0" w:space="0" w:color="auto"/>
            <w:right w:val="none" w:sz="0" w:space="0" w:color="auto"/>
          </w:divBdr>
        </w:div>
        <w:div w:id="1597597003">
          <w:marLeft w:val="0"/>
          <w:marRight w:val="0"/>
          <w:marTop w:val="0"/>
          <w:marBottom w:val="0"/>
          <w:divBdr>
            <w:top w:val="none" w:sz="0" w:space="0" w:color="auto"/>
            <w:left w:val="none" w:sz="0" w:space="0" w:color="auto"/>
            <w:bottom w:val="none" w:sz="0" w:space="0" w:color="auto"/>
            <w:right w:val="none" w:sz="0" w:space="0" w:color="auto"/>
          </w:divBdr>
        </w:div>
        <w:div w:id="1740864766">
          <w:marLeft w:val="0"/>
          <w:marRight w:val="0"/>
          <w:marTop w:val="0"/>
          <w:marBottom w:val="0"/>
          <w:divBdr>
            <w:top w:val="none" w:sz="0" w:space="0" w:color="auto"/>
            <w:left w:val="none" w:sz="0" w:space="0" w:color="auto"/>
            <w:bottom w:val="none" w:sz="0" w:space="0" w:color="auto"/>
            <w:right w:val="none" w:sz="0" w:space="0" w:color="auto"/>
          </w:divBdr>
        </w:div>
        <w:div w:id="1756046883">
          <w:marLeft w:val="0"/>
          <w:marRight w:val="0"/>
          <w:marTop w:val="0"/>
          <w:marBottom w:val="0"/>
          <w:divBdr>
            <w:top w:val="none" w:sz="0" w:space="0" w:color="auto"/>
            <w:left w:val="none" w:sz="0" w:space="0" w:color="auto"/>
            <w:bottom w:val="none" w:sz="0" w:space="0" w:color="auto"/>
            <w:right w:val="none" w:sz="0" w:space="0" w:color="auto"/>
          </w:divBdr>
        </w:div>
        <w:div w:id="1912496825">
          <w:marLeft w:val="0"/>
          <w:marRight w:val="0"/>
          <w:marTop w:val="0"/>
          <w:marBottom w:val="0"/>
          <w:divBdr>
            <w:top w:val="none" w:sz="0" w:space="0" w:color="auto"/>
            <w:left w:val="none" w:sz="0" w:space="0" w:color="auto"/>
            <w:bottom w:val="none" w:sz="0" w:space="0" w:color="auto"/>
            <w:right w:val="none" w:sz="0" w:space="0" w:color="auto"/>
          </w:divBdr>
        </w:div>
        <w:div w:id="2146465532">
          <w:marLeft w:val="0"/>
          <w:marRight w:val="0"/>
          <w:marTop w:val="0"/>
          <w:marBottom w:val="0"/>
          <w:divBdr>
            <w:top w:val="none" w:sz="0" w:space="0" w:color="auto"/>
            <w:left w:val="none" w:sz="0" w:space="0" w:color="auto"/>
            <w:bottom w:val="none" w:sz="0" w:space="0" w:color="auto"/>
            <w:right w:val="none" w:sz="0" w:space="0" w:color="auto"/>
          </w:divBdr>
        </w:div>
      </w:divsChild>
    </w:div>
    <w:div w:id="1560749951">
      <w:bodyDiv w:val="1"/>
      <w:marLeft w:val="0"/>
      <w:marRight w:val="0"/>
      <w:marTop w:val="0"/>
      <w:marBottom w:val="0"/>
      <w:divBdr>
        <w:top w:val="none" w:sz="0" w:space="0" w:color="auto"/>
        <w:left w:val="none" w:sz="0" w:space="0" w:color="auto"/>
        <w:bottom w:val="none" w:sz="0" w:space="0" w:color="auto"/>
        <w:right w:val="none" w:sz="0" w:space="0" w:color="auto"/>
      </w:divBdr>
    </w:div>
    <w:div w:id="166658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ikumi.lv/doc.php?id=124831" TargetMode="External"/><Relationship Id="rId4" Type="http://schemas.microsoft.com/office/2007/relationships/stylesWithEffects" Target="stylesWithEffects.xml"/><Relationship Id="rId9" Type="http://schemas.openxmlformats.org/officeDocument/2006/relationships/hyperlink" Target="http://www.likumi.lv/doc.php?id=12483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226E9-DA04-4E88-8D6E-ACDC37345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794</Words>
  <Characters>6153</Characters>
  <Application>Microsoft Office Word</Application>
  <DocSecurity>0</DocSecurity>
  <Lines>219</Lines>
  <Paragraphs>110</Paragraphs>
  <ScaleCrop>false</ScaleCrop>
  <HeadingPairs>
    <vt:vector size="2" baseType="variant">
      <vt:variant>
        <vt:lpstr>Title</vt:lpstr>
      </vt:variant>
      <vt:variant>
        <vt:i4>1</vt:i4>
      </vt:variant>
    </vt:vector>
  </HeadingPairs>
  <TitlesOfParts>
    <vt:vector size="1" baseType="lpstr">
      <vt:lpstr>Anotācija Grozījumiem Ministru kabineta 2010.gada 26.oktobra instrukcijā Nr. 17 „Kārtība, kādā valsts budžeta iestādes, no valsts budžeta daļēji finansētas atvasinātas publiskas personas un budžeta nefinansētas iestādes sagatavo budžeta izpildes pārskatu,</vt:lpstr>
    </vt:vector>
  </TitlesOfParts>
  <Manager>Ligita.Agleniece@kase.gov.lv</Manager>
  <Company>Valsts kase</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Grozījumiem Ministru kabineta 2010.gada 26.oktobra instrukcijā Nr. 17 „Kārtība, kādā valsts budžeta iestādes, no valsts budžeta daļēji finansētas atvasinātas publiskas personas un budžeta nefinansētas iestādes sagatavo budžeta izpildes pārskatu, naudas plūsmas pārskatu un pārskatu par darbības finansiālajiem rezultātiem” sākotnējās ietekmes novērtējuma ziņojums (anotācija) (anotācija)</dc:title>
  <dc:subject>Anotācija</dc:subject>
  <dc:creator>Daiga.Klavina@kase.gov.lv</dc:creator>
  <cp:keywords/>
  <dc:description>Ligita.agleniece@kase.gov.lv; 67094249_x000d_
Daiga.Klavina@kase.gov.lv; 67094247</dc:description>
  <cp:lastModifiedBy>Daiga Klavina</cp:lastModifiedBy>
  <cp:revision>4</cp:revision>
  <cp:lastPrinted>2012-08-14T11:11:00Z</cp:lastPrinted>
  <dcterms:created xsi:type="dcterms:W3CDTF">2012-08-23T10:16:00Z</dcterms:created>
  <dcterms:modified xsi:type="dcterms:W3CDTF">2012-08-24T06:27:00Z</dcterms:modified>
</cp:coreProperties>
</file>