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09" w:rsidRPr="00425767" w:rsidRDefault="00D35AE5" w:rsidP="00BE6409">
      <w:pPr>
        <w:pStyle w:val="Heading2"/>
        <w:rPr>
          <w:sz w:val="26"/>
          <w:szCs w:val="26"/>
        </w:rPr>
      </w:pPr>
      <w:bookmarkStart w:id="0" w:name="OLE_LINK1"/>
      <w:bookmarkStart w:id="1" w:name="OLE_LINK2"/>
      <w:r w:rsidRPr="00425767">
        <w:rPr>
          <w:sz w:val="26"/>
          <w:szCs w:val="26"/>
        </w:rPr>
        <w:t>Likumprojekta „</w:t>
      </w:r>
      <w:r w:rsidR="00BE6409" w:rsidRPr="00425767">
        <w:rPr>
          <w:sz w:val="26"/>
          <w:szCs w:val="26"/>
        </w:rPr>
        <w:t xml:space="preserve">Grozījumi Valsts un pašvaldību institūciju amatpersonu </w:t>
      </w:r>
    </w:p>
    <w:p w:rsidR="00425767" w:rsidRDefault="00BE6409" w:rsidP="00BE6409">
      <w:pPr>
        <w:pStyle w:val="Heading2"/>
        <w:rPr>
          <w:sz w:val="26"/>
          <w:szCs w:val="26"/>
        </w:rPr>
      </w:pPr>
      <w:r w:rsidRPr="00425767">
        <w:rPr>
          <w:sz w:val="26"/>
          <w:szCs w:val="26"/>
        </w:rPr>
        <w:t>un darbinieku atlīdzības likumā</w:t>
      </w:r>
      <w:r w:rsidR="00D35AE5" w:rsidRPr="00425767">
        <w:rPr>
          <w:sz w:val="26"/>
          <w:szCs w:val="26"/>
        </w:rPr>
        <w:t xml:space="preserve">” </w:t>
      </w:r>
      <w:bookmarkEnd w:id="0"/>
      <w:bookmarkEnd w:id="1"/>
      <w:r w:rsidR="00425767" w:rsidRPr="00425767">
        <w:rPr>
          <w:sz w:val="26"/>
          <w:szCs w:val="26"/>
        </w:rPr>
        <w:t xml:space="preserve">sākotnējās ietekmes </w:t>
      </w:r>
    </w:p>
    <w:p w:rsidR="0070526D" w:rsidRPr="00425767" w:rsidRDefault="00425767" w:rsidP="00BE6409">
      <w:pPr>
        <w:pStyle w:val="Heading2"/>
        <w:rPr>
          <w:i/>
          <w:sz w:val="26"/>
          <w:szCs w:val="26"/>
        </w:rPr>
      </w:pPr>
      <w:r w:rsidRPr="00425767">
        <w:rPr>
          <w:sz w:val="26"/>
          <w:szCs w:val="26"/>
        </w:rPr>
        <w:t xml:space="preserve">novērtējuma ziņojums </w:t>
      </w:r>
      <w:r>
        <w:rPr>
          <w:sz w:val="26"/>
          <w:szCs w:val="26"/>
        </w:rPr>
        <w:t>(</w:t>
      </w:r>
      <w:r w:rsidR="002B5BA9" w:rsidRPr="00425767">
        <w:rPr>
          <w:sz w:val="26"/>
          <w:szCs w:val="26"/>
        </w:rPr>
        <w:t>anotācija</w:t>
      </w:r>
      <w:r>
        <w:rPr>
          <w:sz w:val="26"/>
          <w:szCs w:val="26"/>
        </w:rPr>
        <w:t>)</w:t>
      </w:r>
    </w:p>
    <w:p w:rsidR="005C1B70" w:rsidRPr="001513F9" w:rsidRDefault="005C1B70" w:rsidP="00CE2F5A">
      <w:pPr>
        <w:rPr>
          <w:rFonts w:eastAsia="Times New Roman" w:cs="Times New Roman"/>
          <w:szCs w:val="28"/>
          <w:lang w:eastAsia="lv-LV"/>
        </w:rPr>
      </w:pPr>
    </w:p>
    <w:tbl>
      <w:tblPr>
        <w:tblW w:w="0" w:type="auto"/>
        <w:tblCellSpacing w:w="0" w:type="dxa"/>
        <w:tblInd w:w="-1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4A0" w:firstRow="1" w:lastRow="0" w:firstColumn="1" w:lastColumn="0" w:noHBand="0" w:noVBand="1"/>
      </w:tblPr>
      <w:tblGrid>
        <w:gridCol w:w="8"/>
        <w:gridCol w:w="410"/>
        <w:gridCol w:w="7"/>
        <w:gridCol w:w="1749"/>
        <w:gridCol w:w="323"/>
        <w:gridCol w:w="773"/>
        <w:gridCol w:w="60"/>
        <w:gridCol w:w="1162"/>
        <w:gridCol w:w="75"/>
        <w:gridCol w:w="1237"/>
        <w:gridCol w:w="1237"/>
        <w:gridCol w:w="1301"/>
        <w:gridCol w:w="6"/>
      </w:tblGrid>
      <w:tr w:rsidR="0070526D" w:rsidRPr="001513F9" w:rsidTr="00425767">
        <w:trPr>
          <w:gridBefore w:val="1"/>
          <w:wBefore w:w="12" w:type="dxa"/>
          <w:tblCellSpacing w:w="0" w:type="dxa"/>
        </w:trPr>
        <w:tc>
          <w:tcPr>
            <w:tcW w:w="9101" w:type="dxa"/>
            <w:gridSpan w:val="12"/>
            <w:vAlign w:val="center"/>
            <w:hideMark/>
          </w:tcPr>
          <w:p w:rsidR="005C1B70" w:rsidRDefault="0070526D" w:rsidP="003557D1">
            <w:pPr>
              <w:jc w:val="center"/>
              <w:rPr>
                <w:rFonts w:eastAsia="Times New Roman" w:cs="Times New Roman"/>
                <w:b/>
                <w:bCs/>
                <w:sz w:val="24"/>
                <w:szCs w:val="24"/>
                <w:lang w:eastAsia="lv-LV"/>
              </w:rPr>
            </w:pPr>
            <w:r w:rsidRPr="001513F9">
              <w:rPr>
                <w:rFonts w:eastAsia="Times New Roman" w:cs="Times New Roman"/>
                <w:b/>
                <w:bCs/>
                <w:sz w:val="24"/>
                <w:szCs w:val="24"/>
                <w:lang w:eastAsia="lv-LV"/>
              </w:rPr>
              <w:t>I. Tiesību akta projekta izstrādes nepieciešamība</w:t>
            </w:r>
          </w:p>
          <w:p w:rsidR="003F426A" w:rsidRPr="003557D1" w:rsidRDefault="003F426A" w:rsidP="003557D1">
            <w:pPr>
              <w:jc w:val="center"/>
              <w:rPr>
                <w:rFonts w:eastAsia="Times New Roman" w:cs="Times New Roman"/>
                <w:b/>
                <w:bCs/>
                <w:sz w:val="24"/>
                <w:szCs w:val="24"/>
                <w:lang w:eastAsia="lv-LV"/>
              </w:rPr>
            </w:pPr>
          </w:p>
        </w:tc>
      </w:tr>
      <w:tr w:rsidR="0070526D" w:rsidRPr="001513F9" w:rsidTr="00425767">
        <w:trPr>
          <w:gridBefore w:val="1"/>
          <w:wBefore w:w="12" w:type="dxa"/>
          <w:trHeight w:val="630"/>
          <w:tblCellSpacing w:w="0" w:type="dxa"/>
        </w:trPr>
        <w:tc>
          <w:tcPr>
            <w:tcW w:w="528" w:type="dxa"/>
            <w:gridSpan w:val="2"/>
            <w:hideMark/>
          </w:tcPr>
          <w:p w:rsidR="0070526D" w:rsidRPr="001513F9" w:rsidRDefault="0070526D" w:rsidP="00CE2F5A">
            <w:pPr>
              <w:rPr>
                <w:rFonts w:eastAsia="Times New Roman" w:cs="Times New Roman"/>
                <w:sz w:val="24"/>
                <w:szCs w:val="24"/>
                <w:lang w:eastAsia="lv-LV"/>
              </w:rPr>
            </w:pPr>
            <w:r w:rsidRPr="001513F9">
              <w:rPr>
                <w:rFonts w:eastAsia="Times New Roman" w:cs="Times New Roman"/>
                <w:sz w:val="24"/>
                <w:szCs w:val="24"/>
                <w:lang w:eastAsia="lv-LV"/>
              </w:rPr>
              <w:t> 1.</w:t>
            </w:r>
          </w:p>
        </w:tc>
        <w:tc>
          <w:tcPr>
            <w:tcW w:w="2322" w:type="dxa"/>
            <w:gridSpan w:val="2"/>
            <w:hideMark/>
          </w:tcPr>
          <w:p w:rsidR="0070526D" w:rsidRPr="001513F9" w:rsidRDefault="0070526D" w:rsidP="00CE2F5A">
            <w:pPr>
              <w:rPr>
                <w:rFonts w:eastAsia="Times New Roman" w:cs="Times New Roman"/>
                <w:sz w:val="24"/>
                <w:szCs w:val="24"/>
                <w:lang w:eastAsia="lv-LV"/>
              </w:rPr>
            </w:pPr>
            <w:r w:rsidRPr="001513F9">
              <w:rPr>
                <w:rFonts w:eastAsia="Times New Roman" w:cs="Times New Roman"/>
                <w:sz w:val="24"/>
                <w:szCs w:val="24"/>
                <w:lang w:eastAsia="lv-LV"/>
              </w:rPr>
              <w:t> Pamatojums</w:t>
            </w:r>
          </w:p>
        </w:tc>
        <w:tc>
          <w:tcPr>
            <w:tcW w:w="6251" w:type="dxa"/>
            <w:gridSpan w:val="8"/>
            <w:hideMark/>
          </w:tcPr>
          <w:p w:rsidR="0070526D" w:rsidRPr="00B11958" w:rsidRDefault="00D35AE5" w:rsidP="00B11958">
            <w:pPr>
              <w:pStyle w:val="naisf"/>
              <w:jc w:val="both"/>
            </w:pPr>
            <w:r w:rsidRPr="00B11958">
              <w:t xml:space="preserve">Likumprojekts </w:t>
            </w:r>
            <w:r w:rsidR="00DF27CD" w:rsidRPr="00B11958">
              <w:t xml:space="preserve">izstrādāts atbilstoši Ministru kabineta </w:t>
            </w:r>
            <w:r w:rsidR="00B11958">
              <w:t xml:space="preserve">19.oktobra sēdē (protokols Nr.60 60.§ 8.2.apakšpunkts) un </w:t>
            </w:r>
            <w:r w:rsidR="00DF27CD" w:rsidRPr="00B11958">
              <w:t>2011.gada 1.novembra sēdē (protokols Nr</w:t>
            </w:r>
            <w:r w:rsidR="00B11958">
              <w:t>.62 57.§ 12.punkts</w:t>
            </w:r>
            <w:r w:rsidR="00DF27CD" w:rsidRPr="00B11958">
              <w:t xml:space="preserve">) </w:t>
            </w:r>
            <w:r w:rsidRPr="00B11958">
              <w:t xml:space="preserve">  </w:t>
            </w:r>
            <w:bookmarkStart w:id="2" w:name="bkm69"/>
            <w:r w:rsidR="00B11958" w:rsidRPr="00B11958">
              <w:t>nolemtajam</w:t>
            </w:r>
            <w:r w:rsidR="00B11958">
              <w:t>, kas paredz</w:t>
            </w:r>
            <w:r w:rsidR="00B11958" w:rsidRPr="00B11958">
              <w:t xml:space="preserve"> </w:t>
            </w:r>
            <w:r w:rsidR="00B11958">
              <w:t>uzdevumu Finanšu ministrijai</w:t>
            </w:r>
            <w:r w:rsidRPr="00B11958">
              <w:t xml:space="preserve"> izstrādā</w:t>
            </w:r>
            <w:r w:rsidR="00B11958">
              <w:t>t</w:t>
            </w:r>
            <w:r w:rsidRPr="00B11958">
              <w:t xml:space="preserve"> un </w:t>
            </w:r>
            <w:r w:rsidR="00B11958">
              <w:t xml:space="preserve">likumprojekta „Par valsts budžetu 2012.gadam” paketē </w:t>
            </w:r>
            <w:r w:rsidRPr="00B11958">
              <w:t>iesnie</w:t>
            </w:r>
            <w:r w:rsidR="00B11958">
              <w:t xml:space="preserve">gt grozījumus Valsts un pašvaldību institūciju amatpersonu un darbinieku atlīdzības </w:t>
            </w:r>
            <w:r w:rsidRPr="00B11958">
              <w:t>likum</w:t>
            </w:r>
            <w:r w:rsidR="00B11958">
              <w:t>ā</w:t>
            </w:r>
            <w:r w:rsidR="004A3C41">
              <w:t xml:space="preserve"> (turpmāk – likums)</w:t>
            </w:r>
            <w:r w:rsidR="00B11958">
              <w:t>.</w:t>
            </w:r>
            <w:r w:rsidRPr="00B11958">
              <w:t xml:space="preserve"> </w:t>
            </w:r>
            <w:bookmarkEnd w:id="2"/>
          </w:p>
        </w:tc>
      </w:tr>
      <w:tr w:rsidR="0070526D" w:rsidRPr="001513F9" w:rsidTr="00425767">
        <w:trPr>
          <w:gridBefore w:val="1"/>
          <w:wBefore w:w="12" w:type="dxa"/>
          <w:trHeight w:val="472"/>
          <w:tblCellSpacing w:w="0" w:type="dxa"/>
        </w:trPr>
        <w:tc>
          <w:tcPr>
            <w:tcW w:w="528" w:type="dxa"/>
            <w:gridSpan w:val="2"/>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2.</w:t>
            </w:r>
          </w:p>
        </w:tc>
        <w:tc>
          <w:tcPr>
            <w:tcW w:w="2322" w:type="dxa"/>
            <w:gridSpan w:val="2"/>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Pašreizējā situācija un problēmas</w:t>
            </w:r>
          </w:p>
        </w:tc>
        <w:tc>
          <w:tcPr>
            <w:tcW w:w="6251" w:type="dxa"/>
            <w:gridSpan w:val="8"/>
          </w:tcPr>
          <w:p w:rsidR="006D1FA7" w:rsidRDefault="00B11958" w:rsidP="00B042D3">
            <w:pPr>
              <w:jc w:val="both"/>
              <w:rPr>
                <w:rFonts w:eastAsia="Times New Roman" w:cs="Times New Roman"/>
                <w:sz w:val="24"/>
                <w:szCs w:val="24"/>
                <w:lang w:eastAsia="lv-LV"/>
              </w:rPr>
            </w:pPr>
            <w:r>
              <w:rPr>
                <w:rFonts w:eastAsia="Times New Roman" w:cs="Times New Roman"/>
                <w:sz w:val="24"/>
                <w:szCs w:val="24"/>
                <w:lang w:eastAsia="lv-LV"/>
              </w:rPr>
              <w:t xml:space="preserve">Šobrīd likumā noteikts, ka vēlēto amatpersonu atlīdzības noteikšanā tiek piemērots </w:t>
            </w:r>
            <w:r w:rsidR="00A2088F">
              <w:rPr>
                <w:rFonts w:eastAsia="Times New Roman" w:cs="Times New Roman"/>
                <w:sz w:val="24"/>
                <w:szCs w:val="24"/>
                <w:lang w:eastAsia="lv-LV"/>
              </w:rPr>
              <w:t xml:space="preserve">Centrālās statistikas pārvaldes (turpmāk – CSP) </w:t>
            </w:r>
            <w:r>
              <w:rPr>
                <w:rFonts w:eastAsia="Times New Roman" w:cs="Times New Roman"/>
                <w:sz w:val="24"/>
                <w:szCs w:val="24"/>
                <w:lang w:eastAsia="lv-LV"/>
              </w:rPr>
              <w:t xml:space="preserve">oficiālajā statistikas paziņojumā publicētais valstī strādājošo aizpagājušā gada mēneša vidējās darba samaksas apmērs, kuram tiek piemērots koeficients. Ar likuma pārejas noteikumiem </w:t>
            </w:r>
            <w:r w:rsidR="00B042D3">
              <w:rPr>
                <w:rFonts w:eastAsia="Times New Roman" w:cs="Times New Roman"/>
                <w:sz w:val="24"/>
                <w:szCs w:val="24"/>
                <w:lang w:eastAsia="lv-LV"/>
              </w:rPr>
              <w:t xml:space="preserve">piemērojamais CSP </w:t>
            </w:r>
            <w:r>
              <w:rPr>
                <w:rFonts w:eastAsia="Times New Roman" w:cs="Times New Roman"/>
                <w:sz w:val="24"/>
                <w:szCs w:val="24"/>
                <w:lang w:eastAsia="lv-LV"/>
              </w:rPr>
              <w:t>rādītājs</w:t>
            </w:r>
            <w:r w:rsidR="00A2088F">
              <w:rPr>
                <w:rFonts w:eastAsia="Times New Roman" w:cs="Times New Roman"/>
                <w:sz w:val="24"/>
                <w:szCs w:val="24"/>
                <w:lang w:eastAsia="lv-LV"/>
              </w:rPr>
              <w:t xml:space="preserve"> 2011.gadā</w:t>
            </w:r>
            <w:r>
              <w:rPr>
                <w:rFonts w:eastAsia="Times New Roman" w:cs="Times New Roman"/>
                <w:sz w:val="24"/>
                <w:szCs w:val="24"/>
                <w:lang w:eastAsia="lv-LV"/>
              </w:rPr>
              <w:t xml:space="preserve"> ir iesaldēts</w:t>
            </w:r>
            <w:r w:rsidR="00B042D3">
              <w:rPr>
                <w:rFonts w:eastAsia="Times New Roman" w:cs="Times New Roman"/>
                <w:sz w:val="24"/>
                <w:szCs w:val="24"/>
                <w:lang w:eastAsia="lv-LV"/>
              </w:rPr>
              <w:t xml:space="preserve"> un noteikts 2009.gada 1.pusgada līmenī. </w:t>
            </w:r>
            <w:r w:rsidR="00BC4140">
              <w:rPr>
                <w:rFonts w:eastAsia="Times New Roman" w:cs="Times New Roman"/>
                <w:sz w:val="24"/>
                <w:szCs w:val="24"/>
                <w:lang w:eastAsia="lv-LV"/>
              </w:rPr>
              <w:t>Lai nodrošinātu 2012.gadā mēnešalgu apmēra saglabāšanos  2011.gada līmenī, nepieciešams grozīt koeficientus, jo 2012.gadā būtu jāpiemēro 2010.gada rādītājs, kas ir zemāks kā 2009.gada apmērs, tādējādi 2012.gadā tiktu samazinātas vēlēto amatpersonu mēnešalgas.</w:t>
            </w:r>
          </w:p>
          <w:p w:rsidR="009620AF" w:rsidRDefault="00B042D3" w:rsidP="009620AF">
            <w:pPr>
              <w:jc w:val="both"/>
              <w:rPr>
                <w:rFonts w:eastAsia="Times New Roman" w:cs="Times New Roman"/>
                <w:sz w:val="24"/>
                <w:szCs w:val="24"/>
                <w:lang w:eastAsia="lv-LV"/>
              </w:rPr>
            </w:pPr>
            <w:r>
              <w:rPr>
                <w:rFonts w:eastAsia="Times New Roman" w:cs="Times New Roman"/>
                <w:sz w:val="24"/>
                <w:szCs w:val="24"/>
                <w:lang w:eastAsia="lv-LV"/>
              </w:rPr>
              <w:t xml:space="preserve">Likums šobrīd nosaka iespēju izmaksāt prēmiju Valsts ieņēmumu dienesta </w:t>
            </w:r>
            <w:r w:rsidR="00A2088F">
              <w:rPr>
                <w:rFonts w:eastAsia="Times New Roman" w:cs="Times New Roman"/>
                <w:sz w:val="24"/>
                <w:szCs w:val="24"/>
                <w:lang w:eastAsia="lv-LV"/>
              </w:rPr>
              <w:t xml:space="preserve">(turpmāk – VID) </w:t>
            </w:r>
            <w:r>
              <w:rPr>
                <w:rFonts w:eastAsia="Times New Roman" w:cs="Times New Roman"/>
                <w:sz w:val="24"/>
                <w:szCs w:val="24"/>
                <w:lang w:eastAsia="lv-LV"/>
              </w:rPr>
              <w:t xml:space="preserve">amatpersonām un darbiniekiem par sekmīgu </w:t>
            </w:r>
            <w:r w:rsidRPr="00B042D3">
              <w:rPr>
                <w:rFonts w:eastAsia="Times New Roman" w:cs="Times New Roman"/>
                <w:sz w:val="24"/>
                <w:szCs w:val="24"/>
                <w:lang w:eastAsia="lv-LV"/>
              </w:rPr>
              <w:t>ēnu ekonomikas apkarošanas pasākumu īstenošan</w:t>
            </w:r>
            <w:r>
              <w:rPr>
                <w:rFonts w:eastAsia="Times New Roman" w:cs="Times New Roman"/>
                <w:sz w:val="24"/>
                <w:szCs w:val="24"/>
                <w:lang w:eastAsia="lv-LV"/>
              </w:rPr>
              <w:t>u. Ņemot vērā, ka ne tikai VID ir iesaistīts ēnu ekonomikas apkarošanas pasākumu realizēšanā</w:t>
            </w:r>
            <w:r w:rsidR="009620AF">
              <w:rPr>
                <w:rFonts w:eastAsia="Times New Roman" w:cs="Times New Roman"/>
                <w:sz w:val="24"/>
                <w:szCs w:val="24"/>
                <w:lang w:eastAsia="lv-LV"/>
              </w:rPr>
              <w:t xml:space="preserve">, </w:t>
            </w:r>
            <w:r w:rsidR="00BC4140">
              <w:rPr>
                <w:rFonts w:eastAsia="Times New Roman" w:cs="Times New Roman"/>
                <w:sz w:val="24"/>
                <w:szCs w:val="24"/>
                <w:lang w:eastAsia="lv-LV"/>
              </w:rPr>
              <w:t xml:space="preserve">Ministru </w:t>
            </w:r>
            <w:r w:rsidR="004A3C41">
              <w:rPr>
                <w:rFonts w:eastAsia="Times New Roman" w:cs="Times New Roman"/>
                <w:sz w:val="24"/>
                <w:szCs w:val="24"/>
                <w:lang w:eastAsia="lv-LV"/>
              </w:rPr>
              <w:t xml:space="preserve">kabinets </w:t>
            </w:r>
            <w:r w:rsidR="00BC4140">
              <w:rPr>
                <w:rFonts w:eastAsia="Times New Roman" w:cs="Times New Roman"/>
                <w:sz w:val="24"/>
                <w:szCs w:val="24"/>
                <w:lang w:eastAsia="lv-LV"/>
              </w:rPr>
              <w:t xml:space="preserve">lēma, ka 2012.gadā </w:t>
            </w:r>
            <w:r w:rsidR="009620AF">
              <w:rPr>
                <w:rFonts w:eastAsia="Times New Roman" w:cs="Times New Roman"/>
                <w:sz w:val="24"/>
                <w:szCs w:val="24"/>
                <w:lang w:eastAsia="lv-LV"/>
              </w:rPr>
              <w:t>nepieciešams šo normu paplašināt un attiecināt arī uz citām institūcijām, ka</w:t>
            </w:r>
            <w:r w:rsidR="00BC4140">
              <w:rPr>
                <w:rFonts w:eastAsia="Times New Roman" w:cs="Times New Roman"/>
                <w:sz w:val="24"/>
                <w:szCs w:val="24"/>
                <w:lang w:eastAsia="lv-LV"/>
              </w:rPr>
              <w:t>s</w:t>
            </w:r>
            <w:r w:rsidR="009620AF">
              <w:rPr>
                <w:rFonts w:eastAsia="Times New Roman" w:cs="Times New Roman"/>
                <w:sz w:val="24"/>
                <w:szCs w:val="24"/>
                <w:lang w:eastAsia="lv-LV"/>
              </w:rPr>
              <w:t xml:space="preserve"> arī dod ieguldījumu </w:t>
            </w:r>
            <w:r w:rsidRPr="00B042D3">
              <w:rPr>
                <w:rFonts w:eastAsia="Times New Roman" w:cs="Times New Roman"/>
                <w:sz w:val="24"/>
                <w:szCs w:val="24"/>
                <w:lang w:eastAsia="lv-LV"/>
              </w:rPr>
              <w:t>ēnu ekonomikas apkarošanā un godīgas konkurences veicināšanā</w:t>
            </w:r>
            <w:r w:rsidR="009620AF">
              <w:rPr>
                <w:rFonts w:eastAsia="Times New Roman" w:cs="Times New Roman"/>
                <w:sz w:val="24"/>
                <w:szCs w:val="24"/>
                <w:lang w:eastAsia="lv-LV"/>
              </w:rPr>
              <w:t>.</w:t>
            </w:r>
            <w:r w:rsidRPr="00B042D3">
              <w:rPr>
                <w:rFonts w:eastAsia="Times New Roman" w:cs="Times New Roman"/>
                <w:sz w:val="24"/>
                <w:szCs w:val="24"/>
                <w:lang w:eastAsia="lv-LV"/>
              </w:rPr>
              <w:t xml:space="preserve"> </w:t>
            </w:r>
          </w:p>
          <w:p w:rsidR="009620AF" w:rsidRDefault="009620AF" w:rsidP="009620AF">
            <w:pPr>
              <w:jc w:val="both"/>
              <w:rPr>
                <w:rFonts w:eastAsia="Times New Roman" w:cs="Times New Roman"/>
                <w:sz w:val="24"/>
                <w:szCs w:val="24"/>
                <w:lang w:eastAsia="lv-LV"/>
              </w:rPr>
            </w:pPr>
            <w:r>
              <w:rPr>
                <w:rFonts w:eastAsia="Times New Roman" w:cs="Times New Roman"/>
                <w:sz w:val="24"/>
                <w:szCs w:val="24"/>
                <w:lang w:eastAsia="lv-LV"/>
              </w:rPr>
              <w:t xml:space="preserve">Šobrīd ir izstrādāti grozījumi  </w:t>
            </w:r>
            <w:r w:rsidRPr="009620AF">
              <w:rPr>
                <w:rFonts w:eastAsia="Times New Roman" w:cs="Times New Roman"/>
                <w:sz w:val="24"/>
                <w:szCs w:val="24"/>
                <w:lang w:eastAsia="lv-LV"/>
              </w:rPr>
              <w:t>Ministru kabineta 2010.gada 30.novembra noteikumos Nr.1075 „Valsts un pašvaldību institūciju amatu katalogs</w:t>
            </w:r>
            <w:r w:rsidR="00A2088F">
              <w:rPr>
                <w:rFonts w:eastAsia="Times New Roman" w:cs="Times New Roman"/>
                <w:sz w:val="24"/>
                <w:szCs w:val="24"/>
                <w:lang w:eastAsia="lv-LV"/>
              </w:rPr>
              <w:t>”</w:t>
            </w:r>
            <w:r>
              <w:rPr>
                <w:rFonts w:eastAsia="Times New Roman" w:cs="Times New Roman"/>
                <w:sz w:val="24"/>
                <w:szCs w:val="24"/>
                <w:lang w:eastAsia="lv-LV"/>
              </w:rPr>
              <w:t>, kas tiek papildināti ar jaunām amatu saimēm un to aprakstiem, kas ir būtiski pašvaldību amatiem. Līdz ar to</w:t>
            </w:r>
            <w:r w:rsidR="004A3C41">
              <w:rPr>
                <w:rFonts w:eastAsia="Times New Roman" w:cs="Times New Roman"/>
                <w:sz w:val="24"/>
                <w:szCs w:val="24"/>
                <w:lang w:eastAsia="lv-LV"/>
              </w:rPr>
              <w:t>,</w:t>
            </w:r>
            <w:r>
              <w:rPr>
                <w:rFonts w:eastAsia="Times New Roman" w:cs="Times New Roman"/>
                <w:sz w:val="24"/>
                <w:szCs w:val="24"/>
                <w:lang w:eastAsia="lv-LV"/>
              </w:rPr>
              <w:t xml:space="preserve"> lai nodrošinātu normu sakārtošanu</w:t>
            </w:r>
            <w:r w:rsidR="004A3C41">
              <w:rPr>
                <w:rFonts w:eastAsia="Times New Roman" w:cs="Times New Roman"/>
                <w:sz w:val="24"/>
                <w:szCs w:val="24"/>
                <w:lang w:eastAsia="lv-LV"/>
              </w:rPr>
              <w:t>,</w:t>
            </w:r>
            <w:r>
              <w:rPr>
                <w:rFonts w:eastAsia="Times New Roman" w:cs="Times New Roman"/>
                <w:sz w:val="24"/>
                <w:szCs w:val="24"/>
                <w:lang w:eastAsia="lv-LV"/>
              </w:rPr>
              <w:t xml:space="preserve"> likuma 1.pielikumu nepieciešams papildināt ar saimju </w:t>
            </w:r>
            <w:proofErr w:type="spellStart"/>
            <w:r>
              <w:rPr>
                <w:rFonts w:eastAsia="Times New Roman" w:cs="Times New Roman"/>
                <w:sz w:val="24"/>
                <w:szCs w:val="24"/>
                <w:lang w:eastAsia="lv-LV"/>
              </w:rPr>
              <w:t>paraugaprakstiem</w:t>
            </w:r>
            <w:proofErr w:type="spellEnd"/>
            <w:r>
              <w:rPr>
                <w:rFonts w:eastAsia="Times New Roman" w:cs="Times New Roman"/>
                <w:sz w:val="24"/>
                <w:szCs w:val="24"/>
                <w:lang w:eastAsia="lv-LV"/>
              </w:rPr>
              <w:t xml:space="preserve">, kā arī atbilstoši precizēt 2.pielikumu. </w:t>
            </w:r>
          </w:p>
          <w:p w:rsidR="00B854C0" w:rsidRPr="00B854C0" w:rsidRDefault="00A44EA9" w:rsidP="00B854C0">
            <w:pPr>
              <w:jc w:val="both"/>
              <w:rPr>
                <w:rFonts w:eastAsia="Times New Roman" w:cs="Times New Roman"/>
                <w:sz w:val="24"/>
                <w:szCs w:val="24"/>
                <w:lang w:eastAsia="lv-LV"/>
              </w:rPr>
            </w:pPr>
            <w:r>
              <w:rPr>
                <w:rFonts w:eastAsia="Times New Roman" w:cs="Times New Roman"/>
                <w:sz w:val="24"/>
                <w:szCs w:val="24"/>
                <w:lang w:eastAsia="lv-LV"/>
              </w:rPr>
              <w:t>L</w:t>
            </w:r>
            <w:r w:rsidR="00B854C0" w:rsidRPr="00B854C0">
              <w:rPr>
                <w:rFonts w:eastAsia="Times New Roman" w:cs="Times New Roman"/>
                <w:sz w:val="24"/>
                <w:szCs w:val="24"/>
                <w:lang w:eastAsia="lv-LV"/>
              </w:rPr>
              <w:t xml:space="preserve">ikuma 37.panta trešajā daļā cita starpā noteikts, ka valsts institūcija apdrošina Valsts probācijas dienesta amatpersonu (darbinieku) veselību, kuras ir pakļautas riskam: </w:t>
            </w:r>
          </w:p>
          <w:p w:rsidR="00B854C0" w:rsidRPr="00B854C0" w:rsidRDefault="00B854C0" w:rsidP="00B854C0">
            <w:pPr>
              <w:jc w:val="both"/>
              <w:rPr>
                <w:rFonts w:eastAsia="Times New Roman" w:cs="Times New Roman"/>
                <w:sz w:val="24"/>
                <w:szCs w:val="24"/>
                <w:lang w:eastAsia="lv-LV"/>
              </w:rPr>
            </w:pPr>
            <w:r w:rsidRPr="00B854C0">
              <w:rPr>
                <w:rFonts w:eastAsia="Times New Roman" w:cs="Times New Roman"/>
                <w:sz w:val="24"/>
                <w:szCs w:val="24"/>
                <w:lang w:eastAsia="lv-LV"/>
              </w:rPr>
              <w:t xml:space="preserve">1) veicot sociālās uzvedības korekcijas pasākumus soda izciešanas vietās, apmeklējot notiesātos brīvības atņemšanas </w:t>
            </w:r>
            <w:r w:rsidRPr="00B854C0">
              <w:rPr>
                <w:rFonts w:eastAsia="Times New Roman" w:cs="Times New Roman"/>
                <w:sz w:val="24"/>
                <w:szCs w:val="24"/>
                <w:lang w:eastAsia="lv-LV"/>
              </w:rPr>
              <w:lastRenderedPageBreak/>
              <w:t xml:space="preserve">iestādēs; </w:t>
            </w:r>
          </w:p>
          <w:p w:rsidR="00B854C0" w:rsidRPr="00B854C0" w:rsidRDefault="00B854C0" w:rsidP="00B854C0">
            <w:pPr>
              <w:jc w:val="both"/>
              <w:rPr>
                <w:rFonts w:eastAsia="Times New Roman" w:cs="Times New Roman"/>
                <w:sz w:val="24"/>
                <w:szCs w:val="24"/>
                <w:lang w:eastAsia="lv-LV"/>
              </w:rPr>
            </w:pPr>
            <w:r w:rsidRPr="00B854C0">
              <w:rPr>
                <w:rFonts w:eastAsia="Times New Roman" w:cs="Times New Roman"/>
                <w:sz w:val="24"/>
                <w:szCs w:val="24"/>
                <w:lang w:eastAsia="lv-LV"/>
              </w:rPr>
              <w:t xml:space="preserve">2) veicot nosacīti notiesāto personu, pirms termiņa no soda atbrīvoto personu, kā arī to personu uzraudzību, pret kurām izbeigts kriminālprocess, tās nosacīti atbrīvojot no kriminālatbildības, un īstenojot probācijas programmas; </w:t>
            </w:r>
          </w:p>
          <w:p w:rsidR="00B854C0" w:rsidRPr="00B854C0" w:rsidRDefault="00B854C0" w:rsidP="00B854C0">
            <w:pPr>
              <w:jc w:val="both"/>
              <w:rPr>
                <w:rFonts w:eastAsia="Times New Roman" w:cs="Times New Roman"/>
                <w:sz w:val="24"/>
                <w:szCs w:val="24"/>
                <w:lang w:eastAsia="lv-LV"/>
              </w:rPr>
            </w:pPr>
            <w:r w:rsidRPr="00B854C0">
              <w:rPr>
                <w:rFonts w:eastAsia="Times New Roman" w:cs="Times New Roman"/>
                <w:sz w:val="24"/>
                <w:szCs w:val="24"/>
                <w:lang w:eastAsia="lv-LV"/>
              </w:rPr>
              <w:t>3) organizējot un vadot kriminālsoda — piespiedu darba — izpildi;</w:t>
            </w:r>
          </w:p>
          <w:p w:rsidR="00B854C0" w:rsidRPr="00B854C0" w:rsidRDefault="00B854C0" w:rsidP="00B854C0">
            <w:pPr>
              <w:jc w:val="both"/>
              <w:rPr>
                <w:rFonts w:eastAsia="Times New Roman" w:cs="Times New Roman"/>
                <w:sz w:val="24"/>
                <w:szCs w:val="24"/>
                <w:lang w:eastAsia="lv-LV"/>
              </w:rPr>
            </w:pPr>
            <w:r w:rsidRPr="00B854C0">
              <w:rPr>
                <w:rFonts w:eastAsia="Times New Roman" w:cs="Times New Roman"/>
                <w:sz w:val="24"/>
                <w:szCs w:val="24"/>
                <w:lang w:eastAsia="lv-LV"/>
              </w:rPr>
              <w:t xml:space="preserve">4) organizējot audzinoša rakstura piespiedu līdzekļa — sabiedriskā darba — izpildi. </w:t>
            </w:r>
          </w:p>
          <w:p w:rsidR="00B854C0" w:rsidRDefault="00B854C0" w:rsidP="00B854C0">
            <w:pPr>
              <w:jc w:val="both"/>
              <w:rPr>
                <w:rFonts w:eastAsia="Times New Roman" w:cs="Times New Roman"/>
                <w:sz w:val="24"/>
                <w:szCs w:val="24"/>
                <w:lang w:eastAsia="lv-LV"/>
              </w:rPr>
            </w:pPr>
            <w:r w:rsidRPr="00B854C0">
              <w:rPr>
                <w:rFonts w:eastAsia="Times New Roman" w:cs="Times New Roman"/>
                <w:sz w:val="24"/>
                <w:szCs w:val="24"/>
                <w:lang w:eastAsia="lv-LV"/>
              </w:rPr>
              <w:t>Diemžēl pēdējos gados valsts ekonomiskā attīstība nav ļāvusi novirzīt Valsts probācijas dienesta budžeta līdzekļus minēto likuma prasību nodrošināšanai. Līdz ar to, ir izveidojusies situācija, ka Valsts probācijas dienests nespēj pildīt tam normatīvajos aktos noteiktos uzdevumus.</w:t>
            </w:r>
          </w:p>
          <w:p w:rsidR="00A44EA9" w:rsidRPr="009323A2" w:rsidRDefault="00A44EA9" w:rsidP="00B854C0">
            <w:pPr>
              <w:jc w:val="both"/>
              <w:rPr>
                <w:rFonts w:eastAsia="Times New Roman" w:cs="Times New Roman"/>
                <w:sz w:val="24"/>
                <w:szCs w:val="24"/>
                <w:lang w:eastAsia="lv-LV"/>
              </w:rPr>
            </w:pPr>
            <w:r w:rsidRPr="00A44EA9">
              <w:rPr>
                <w:rFonts w:eastAsia="Times New Roman" w:cs="Times New Roman"/>
                <w:sz w:val="24"/>
                <w:szCs w:val="24"/>
                <w:lang w:eastAsia="lv-LV"/>
              </w:rPr>
              <w:t>Ņemot vērā, ka likuma piemērošanas procesā konstatēts, ka atsevišķas institūcijas pieļauj dažādu likuma normu interpretāciju, nepieciešami atsevišķi redakcionāla rakstura  precizējumi, lai nodrošinātu likuma normu viennozīmīgu piemērošanu.</w:t>
            </w:r>
          </w:p>
        </w:tc>
      </w:tr>
      <w:tr w:rsidR="0070526D" w:rsidRPr="001513F9" w:rsidTr="00425767">
        <w:trPr>
          <w:gridBefore w:val="1"/>
          <w:wBefore w:w="12" w:type="dxa"/>
          <w:trHeight w:val="725"/>
          <w:tblCellSpacing w:w="0" w:type="dxa"/>
        </w:trPr>
        <w:tc>
          <w:tcPr>
            <w:tcW w:w="528" w:type="dxa"/>
            <w:gridSpan w:val="2"/>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lastRenderedPageBreak/>
              <w:t> 3.</w:t>
            </w:r>
          </w:p>
        </w:tc>
        <w:tc>
          <w:tcPr>
            <w:tcW w:w="2322" w:type="dxa"/>
            <w:gridSpan w:val="2"/>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Saistītie politikas ietekmes novērtējumi un pētījumi</w:t>
            </w:r>
          </w:p>
        </w:tc>
        <w:tc>
          <w:tcPr>
            <w:tcW w:w="6251" w:type="dxa"/>
            <w:gridSpan w:val="8"/>
            <w:hideMark/>
          </w:tcPr>
          <w:p w:rsidR="0070526D" w:rsidRPr="001513F9" w:rsidRDefault="00A44EA9" w:rsidP="0070526D">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Likump</w:t>
            </w:r>
            <w:r w:rsidR="00046C78" w:rsidRPr="00046C78">
              <w:rPr>
                <w:rFonts w:eastAsia="Times New Roman" w:cs="Times New Roman"/>
                <w:sz w:val="24"/>
                <w:szCs w:val="24"/>
                <w:lang w:eastAsia="lv-LV"/>
              </w:rPr>
              <w:t>rojekts šo jomu neskar</w:t>
            </w:r>
            <w:r>
              <w:rPr>
                <w:rFonts w:eastAsia="Times New Roman" w:cs="Times New Roman"/>
                <w:sz w:val="24"/>
                <w:szCs w:val="24"/>
                <w:lang w:eastAsia="lv-LV"/>
              </w:rPr>
              <w:t>.</w:t>
            </w:r>
          </w:p>
        </w:tc>
      </w:tr>
      <w:tr w:rsidR="0070526D" w:rsidRPr="001513F9" w:rsidTr="00425767">
        <w:trPr>
          <w:gridBefore w:val="1"/>
          <w:wBefore w:w="12" w:type="dxa"/>
          <w:trHeight w:val="384"/>
          <w:tblCellSpacing w:w="0" w:type="dxa"/>
        </w:trPr>
        <w:tc>
          <w:tcPr>
            <w:tcW w:w="528" w:type="dxa"/>
            <w:gridSpan w:val="2"/>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4.</w:t>
            </w:r>
          </w:p>
        </w:tc>
        <w:tc>
          <w:tcPr>
            <w:tcW w:w="2322" w:type="dxa"/>
            <w:gridSpan w:val="2"/>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Tiesiskā regulējuma mērķis un būtība</w:t>
            </w:r>
          </w:p>
        </w:tc>
        <w:tc>
          <w:tcPr>
            <w:tcW w:w="6251" w:type="dxa"/>
            <w:gridSpan w:val="8"/>
          </w:tcPr>
          <w:p w:rsidR="009E0A7B" w:rsidRDefault="00A44EA9" w:rsidP="00A77496">
            <w:pPr>
              <w:jc w:val="both"/>
              <w:rPr>
                <w:sz w:val="24"/>
                <w:szCs w:val="24"/>
              </w:rPr>
            </w:pPr>
            <w:r>
              <w:rPr>
                <w:sz w:val="24"/>
                <w:szCs w:val="24"/>
              </w:rPr>
              <w:t>L</w:t>
            </w:r>
            <w:r w:rsidR="009E0A7B" w:rsidRPr="009E0A7B">
              <w:rPr>
                <w:sz w:val="24"/>
                <w:szCs w:val="24"/>
              </w:rPr>
              <w:t>ikum</w:t>
            </w:r>
            <w:r>
              <w:rPr>
                <w:sz w:val="24"/>
                <w:szCs w:val="24"/>
              </w:rPr>
              <w:t>projekts</w:t>
            </w:r>
            <w:r w:rsidR="009E0A7B" w:rsidRPr="009E0A7B">
              <w:rPr>
                <w:sz w:val="24"/>
                <w:szCs w:val="24"/>
              </w:rPr>
              <w:t xml:space="preserve"> paredz pārskatīt augstāko amatpersonu mēnešalgu  noteikšanā</w:t>
            </w:r>
            <w:r w:rsidR="009E0A7B">
              <w:rPr>
                <w:sz w:val="24"/>
                <w:szCs w:val="24"/>
              </w:rPr>
              <w:t xml:space="preserve"> </w:t>
            </w:r>
            <w:r w:rsidR="009E0A7B" w:rsidRPr="009E0A7B">
              <w:rPr>
                <w:sz w:val="24"/>
                <w:szCs w:val="24"/>
              </w:rPr>
              <w:t>piemērojamos koeficientus, tādējādi, lai mēnešalgas netiktu paaugstinātas, un tiktu saglabātas esošajā 2011.gada līmenī.</w:t>
            </w:r>
          </w:p>
          <w:p w:rsidR="00A77496" w:rsidRDefault="00A77496" w:rsidP="00A77496">
            <w:pPr>
              <w:jc w:val="both"/>
              <w:rPr>
                <w:rFonts w:eastAsia="Times New Roman" w:cs="Times New Roman"/>
                <w:sz w:val="24"/>
                <w:szCs w:val="24"/>
                <w:lang w:eastAsia="lv-LV"/>
              </w:rPr>
            </w:pPr>
            <w:r>
              <w:rPr>
                <w:rFonts w:eastAsia="Times New Roman" w:cs="Times New Roman"/>
                <w:sz w:val="24"/>
                <w:szCs w:val="24"/>
                <w:lang w:eastAsia="lv-LV"/>
              </w:rPr>
              <w:t xml:space="preserve">Likuma pārejas noteikumi tiek papildināti ar punktu, kas paredz iespēju 2012.gadā izmaksāt prēmijas </w:t>
            </w:r>
            <w:r w:rsidRPr="00A77496">
              <w:rPr>
                <w:rFonts w:eastAsia="Times New Roman" w:cs="Times New Roman"/>
                <w:sz w:val="24"/>
                <w:szCs w:val="24"/>
                <w:lang w:eastAsia="lv-LV"/>
              </w:rPr>
              <w:t>ēnu ekonomikas apkarošanas pasākumu īstenošanā ie</w:t>
            </w:r>
            <w:r>
              <w:rPr>
                <w:rFonts w:eastAsia="Times New Roman" w:cs="Times New Roman"/>
                <w:sz w:val="24"/>
                <w:szCs w:val="24"/>
                <w:lang w:eastAsia="lv-LV"/>
              </w:rPr>
              <w:t>saistīto institūciju amatpersonām</w:t>
            </w:r>
            <w:r w:rsidRPr="00A77496">
              <w:rPr>
                <w:rFonts w:eastAsia="Times New Roman" w:cs="Times New Roman"/>
                <w:sz w:val="24"/>
                <w:szCs w:val="24"/>
                <w:lang w:eastAsia="lv-LV"/>
              </w:rPr>
              <w:t xml:space="preserve"> (darbiniek</w:t>
            </w:r>
            <w:r>
              <w:rPr>
                <w:rFonts w:eastAsia="Times New Roman" w:cs="Times New Roman"/>
                <w:sz w:val="24"/>
                <w:szCs w:val="24"/>
                <w:lang w:eastAsia="lv-LV"/>
              </w:rPr>
              <w:t>iem</w:t>
            </w:r>
            <w:r w:rsidRPr="00A77496">
              <w:rPr>
                <w:rFonts w:eastAsia="Times New Roman" w:cs="Times New Roman"/>
                <w:sz w:val="24"/>
                <w:szCs w:val="24"/>
                <w:lang w:eastAsia="lv-LV"/>
              </w:rPr>
              <w:t>)</w:t>
            </w:r>
            <w:r>
              <w:rPr>
                <w:rFonts w:eastAsia="Times New Roman" w:cs="Times New Roman"/>
                <w:sz w:val="24"/>
                <w:szCs w:val="24"/>
                <w:lang w:eastAsia="lv-LV"/>
              </w:rPr>
              <w:t>. Šī norma attiektos uz, piemēram, Valsts darba inspekcijas, Valsts robežsardzes, Valsts policijas amatpersonām un darbiniekiem. Likumprojekts paredz, ka lēmumu par šo amatpersonu (darbinieku) prēmēšanu ir jāpieņem Ministru kabinetam.</w:t>
            </w:r>
          </w:p>
          <w:p w:rsidR="00243E11" w:rsidRDefault="00243E11" w:rsidP="00A77496">
            <w:pPr>
              <w:jc w:val="both"/>
              <w:rPr>
                <w:rFonts w:eastAsia="Times New Roman" w:cs="Times New Roman"/>
                <w:sz w:val="24"/>
                <w:szCs w:val="24"/>
                <w:lang w:eastAsia="lv-LV"/>
              </w:rPr>
            </w:pPr>
            <w:r>
              <w:rPr>
                <w:rFonts w:eastAsia="Times New Roman" w:cs="Times New Roman"/>
                <w:sz w:val="24"/>
                <w:szCs w:val="24"/>
                <w:lang w:eastAsia="lv-LV"/>
              </w:rPr>
              <w:t xml:space="preserve">Likumprojekts paredz svītrot </w:t>
            </w:r>
            <w:r w:rsidR="00F07B8D">
              <w:rPr>
                <w:rFonts w:eastAsia="Times New Roman" w:cs="Times New Roman"/>
                <w:sz w:val="24"/>
                <w:szCs w:val="24"/>
                <w:lang w:eastAsia="lv-LV"/>
              </w:rPr>
              <w:t xml:space="preserve">likuma pārejas noteikumu </w:t>
            </w:r>
            <w:r w:rsidR="00F07B8D" w:rsidRPr="00F07B8D">
              <w:rPr>
                <w:rFonts w:eastAsia="Times New Roman" w:cs="Times New Roman"/>
                <w:sz w:val="24"/>
                <w:szCs w:val="24"/>
                <w:lang w:eastAsia="lv-LV"/>
              </w:rPr>
              <w:t>2.</w:t>
            </w:r>
            <w:r w:rsidR="00F07B8D" w:rsidRPr="00F07B8D">
              <w:rPr>
                <w:rFonts w:eastAsia="Times New Roman" w:cs="Times New Roman"/>
                <w:sz w:val="24"/>
                <w:szCs w:val="24"/>
                <w:vertAlign w:val="superscript"/>
                <w:lang w:eastAsia="lv-LV"/>
              </w:rPr>
              <w:t>3</w:t>
            </w:r>
            <w:r w:rsidR="00F07B8D" w:rsidRPr="00F07B8D">
              <w:rPr>
                <w:rFonts w:eastAsia="Times New Roman" w:cs="Times New Roman"/>
                <w:sz w:val="24"/>
                <w:szCs w:val="24"/>
                <w:lang w:eastAsia="lv-LV"/>
              </w:rPr>
              <w:t xml:space="preserve">  </w:t>
            </w:r>
            <w:r w:rsidR="00F07B8D">
              <w:rPr>
                <w:rFonts w:eastAsia="Times New Roman" w:cs="Times New Roman"/>
                <w:sz w:val="24"/>
                <w:szCs w:val="24"/>
                <w:lang w:eastAsia="lv-LV"/>
              </w:rPr>
              <w:t>punktu par uzdevumu Ministru kabinetam</w:t>
            </w:r>
            <w:r w:rsidR="00F07B8D" w:rsidRPr="00F07B8D">
              <w:rPr>
                <w:rFonts w:eastAsia="Times New Roman" w:cs="Times New Roman"/>
                <w:sz w:val="24"/>
                <w:szCs w:val="24"/>
                <w:lang w:eastAsia="lv-LV"/>
              </w:rPr>
              <w:t xml:space="preserve"> izstrādā</w:t>
            </w:r>
            <w:r w:rsidR="00F07B8D">
              <w:rPr>
                <w:rFonts w:eastAsia="Times New Roman" w:cs="Times New Roman"/>
                <w:sz w:val="24"/>
                <w:szCs w:val="24"/>
                <w:lang w:eastAsia="lv-LV"/>
              </w:rPr>
              <w:t>t</w:t>
            </w:r>
            <w:r w:rsidR="00F07B8D" w:rsidRPr="00F07B8D">
              <w:rPr>
                <w:rFonts w:eastAsia="Times New Roman" w:cs="Times New Roman"/>
                <w:sz w:val="24"/>
                <w:szCs w:val="24"/>
                <w:lang w:eastAsia="lv-LV"/>
              </w:rPr>
              <w:t xml:space="preserve"> likumprojektu par Latvijas Bankas amatpersonu (darbinieku) atlīdzības regulējuma iekļaušanu </w:t>
            </w:r>
            <w:r w:rsidR="00F07B8D">
              <w:rPr>
                <w:rFonts w:eastAsia="Times New Roman" w:cs="Times New Roman"/>
                <w:sz w:val="24"/>
                <w:szCs w:val="24"/>
                <w:lang w:eastAsia="lv-LV"/>
              </w:rPr>
              <w:t xml:space="preserve">šajā </w:t>
            </w:r>
            <w:r w:rsidR="00F07B8D" w:rsidRPr="00F07B8D">
              <w:rPr>
                <w:rFonts w:eastAsia="Times New Roman" w:cs="Times New Roman"/>
                <w:sz w:val="24"/>
                <w:szCs w:val="24"/>
                <w:lang w:eastAsia="lv-LV"/>
              </w:rPr>
              <w:t>likumā</w:t>
            </w:r>
            <w:r w:rsidR="00F07B8D">
              <w:rPr>
                <w:rFonts w:eastAsia="Times New Roman" w:cs="Times New Roman"/>
                <w:sz w:val="24"/>
                <w:szCs w:val="24"/>
                <w:lang w:eastAsia="lv-LV"/>
              </w:rPr>
              <w:t xml:space="preserve">. </w:t>
            </w:r>
            <w:r w:rsidR="00D05F28">
              <w:rPr>
                <w:rFonts w:eastAsia="Times New Roman" w:cs="Times New Roman"/>
                <w:sz w:val="24"/>
                <w:szCs w:val="24"/>
                <w:lang w:eastAsia="lv-LV"/>
              </w:rPr>
              <w:t xml:space="preserve">Priekšlikums par </w:t>
            </w:r>
            <w:r w:rsidR="00D05F28" w:rsidRPr="00F07B8D">
              <w:rPr>
                <w:rFonts w:eastAsia="Times New Roman" w:cs="Times New Roman"/>
                <w:sz w:val="24"/>
                <w:szCs w:val="24"/>
                <w:lang w:eastAsia="lv-LV"/>
              </w:rPr>
              <w:t>2.</w:t>
            </w:r>
            <w:r w:rsidR="00D05F28" w:rsidRPr="00F07B8D">
              <w:rPr>
                <w:rFonts w:eastAsia="Times New Roman" w:cs="Times New Roman"/>
                <w:sz w:val="24"/>
                <w:szCs w:val="24"/>
                <w:vertAlign w:val="superscript"/>
                <w:lang w:eastAsia="lv-LV"/>
              </w:rPr>
              <w:t>3</w:t>
            </w:r>
            <w:r w:rsidR="00D05F28">
              <w:rPr>
                <w:rFonts w:eastAsia="Times New Roman" w:cs="Times New Roman"/>
                <w:sz w:val="24"/>
                <w:szCs w:val="24"/>
                <w:vertAlign w:val="superscript"/>
                <w:lang w:eastAsia="lv-LV"/>
              </w:rPr>
              <w:t xml:space="preserve"> </w:t>
            </w:r>
            <w:r w:rsidR="00D05F28">
              <w:rPr>
                <w:rFonts w:eastAsia="Times New Roman" w:cs="Times New Roman"/>
                <w:sz w:val="24"/>
                <w:szCs w:val="24"/>
                <w:lang w:eastAsia="lv-LV"/>
              </w:rPr>
              <w:t>punkta izslēgšanu</w:t>
            </w:r>
            <w:r w:rsidR="00F07B8D">
              <w:rPr>
                <w:rFonts w:eastAsia="Times New Roman" w:cs="Times New Roman"/>
                <w:sz w:val="24"/>
                <w:szCs w:val="24"/>
                <w:lang w:eastAsia="lv-LV"/>
              </w:rPr>
              <w:t xml:space="preserve"> tika akceptēts Ministru kabineta 2011.gada 1.novembra sēdē, ņemot vērā, ka Latvijas Banka ir informējusi Finanšu ministriju, ka tā</w:t>
            </w:r>
            <w:r w:rsidR="00F07B8D" w:rsidRPr="00F07B8D">
              <w:rPr>
                <w:rFonts w:eastAsia="Times New Roman" w:cs="Times New Roman"/>
                <w:sz w:val="24"/>
                <w:szCs w:val="24"/>
                <w:lang w:eastAsia="lv-LV"/>
              </w:rPr>
              <w:t xml:space="preserve">, </w:t>
            </w:r>
            <w:r w:rsidR="00F07B8D">
              <w:rPr>
                <w:rFonts w:eastAsia="Times New Roman" w:cs="Times New Roman"/>
                <w:sz w:val="24"/>
                <w:szCs w:val="24"/>
                <w:lang w:eastAsia="lv-LV"/>
              </w:rPr>
              <w:t>jau šobrīd ievēro</w:t>
            </w:r>
            <w:r w:rsidR="00F07B8D" w:rsidRPr="00F07B8D">
              <w:rPr>
                <w:rFonts w:eastAsia="Times New Roman" w:cs="Times New Roman"/>
                <w:sz w:val="24"/>
                <w:szCs w:val="24"/>
                <w:lang w:eastAsia="lv-LV"/>
              </w:rPr>
              <w:t xml:space="preserve"> solidaritātes princip</w:t>
            </w:r>
            <w:r w:rsidR="00F07B8D">
              <w:rPr>
                <w:rFonts w:eastAsia="Times New Roman" w:cs="Times New Roman"/>
                <w:sz w:val="24"/>
                <w:szCs w:val="24"/>
                <w:lang w:eastAsia="lv-LV"/>
              </w:rPr>
              <w:t>u</w:t>
            </w:r>
            <w:r w:rsidR="00F07B8D" w:rsidRPr="00F07B8D">
              <w:rPr>
                <w:rFonts w:eastAsia="Times New Roman" w:cs="Times New Roman"/>
                <w:sz w:val="24"/>
                <w:szCs w:val="24"/>
                <w:lang w:eastAsia="lv-LV"/>
              </w:rPr>
              <w:t xml:space="preserve"> un </w:t>
            </w:r>
            <w:r w:rsidR="00F07B8D">
              <w:rPr>
                <w:rFonts w:eastAsia="Times New Roman" w:cs="Times New Roman"/>
                <w:sz w:val="24"/>
                <w:szCs w:val="24"/>
                <w:lang w:eastAsia="lv-LV"/>
              </w:rPr>
              <w:t xml:space="preserve">Latvijas Bankas amatpersonu atlīdzības  noteikšanas principi ir samēroti ar tiem principiem, kas tiek noteikti atlīdzības likumā, piemēram, attiecībā uz Finanšu un kapitāla tirgus komisijas amatpersonām un darbiniekiem. </w:t>
            </w:r>
            <w:r w:rsidR="00F07B8D" w:rsidRPr="00F07B8D">
              <w:rPr>
                <w:rFonts w:eastAsia="Times New Roman" w:cs="Times New Roman"/>
                <w:sz w:val="24"/>
                <w:szCs w:val="24"/>
                <w:lang w:eastAsia="lv-LV"/>
              </w:rPr>
              <w:t xml:space="preserve"> </w:t>
            </w:r>
          </w:p>
          <w:p w:rsidR="0024663F" w:rsidRDefault="001A7922" w:rsidP="0024663F">
            <w:pPr>
              <w:jc w:val="both"/>
              <w:rPr>
                <w:rFonts w:eastAsia="Times New Roman" w:cs="Times New Roman"/>
                <w:sz w:val="24"/>
                <w:szCs w:val="24"/>
                <w:lang w:eastAsia="lv-LV"/>
              </w:rPr>
            </w:pPr>
            <w:r>
              <w:rPr>
                <w:rFonts w:eastAsia="Times New Roman" w:cs="Times New Roman"/>
                <w:sz w:val="24"/>
                <w:szCs w:val="24"/>
                <w:lang w:eastAsia="lv-LV"/>
              </w:rPr>
              <w:t xml:space="preserve">Likumprojekts paredz uzdevumu </w:t>
            </w:r>
            <w:r w:rsidR="0024663F">
              <w:rPr>
                <w:rFonts w:eastAsia="Times New Roman" w:cs="Times New Roman"/>
                <w:sz w:val="24"/>
                <w:szCs w:val="24"/>
                <w:lang w:eastAsia="lv-LV"/>
              </w:rPr>
              <w:t>M</w:t>
            </w:r>
            <w:r>
              <w:rPr>
                <w:rFonts w:eastAsia="Times New Roman" w:cs="Times New Roman"/>
                <w:sz w:val="24"/>
                <w:szCs w:val="24"/>
                <w:lang w:eastAsia="lv-LV"/>
              </w:rPr>
              <w:t xml:space="preserve">inistru kabinetam izstrādāt normatīvo aktu, kurā paredzēt </w:t>
            </w:r>
            <w:r w:rsidR="0024663F">
              <w:rPr>
                <w:rFonts w:eastAsia="Times New Roman" w:cs="Times New Roman"/>
                <w:sz w:val="24"/>
                <w:szCs w:val="24"/>
                <w:lang w:eastAsia="lv-LV"/>
              </w:rPr>
              <w:t xml:space="preserve">konkrētus </w:t>
            </w:r>
            <w:r>
              <w:rPr>
                <w:rFonts w:eastAsia="Times New Roman" w:cs="Times New Roman"/>
                <w:sz w:val="24"/>
                <w:szCs w:val="24"/>
                <w:lang w:eastAsia="lv-LV"/>
              </w:rPr>
              <w:lastRenderedPageBreak/>
              <w:t xml:space="preserve">gadījumus, kuros </w:t>
            </w:r>
            <w:r w:rsidR="0024663F">
              <w:rPr>
                <w:rFonts w:eastAsia="Times New Roman" w:cs="Times New Roman"/>
                <w:sz w:val="24"/>
                <w:szCs w:val="24"/>
                <w:lang w:eastAsia="lv-LV"/>
              </w:rPr>
              <w:t xml:space="preserve"> amatpersonām (darbiniekiem), kuru amata (dienesta, darba) pienākumu izpilde ir saistīta ar apdraudējumu, risku dzīvībai vai veselībai, ir tiesības pretendēt uz likuma 19.pantā minēto nelaimes gadījuma pabalstu.</w:t>
            </w:r>
            <w:r w:rsidRPr="001A7922">
              <w:rPr>
                <w:rFonts w:eastAsia="Times New Roman" w:cs="Times New Roman"/>
                <w:sz w:val="24"/>
                <w:szCs w:val="24"/>
                <w:lang w:eastAsia="lv-LV"/>
              </w:rPr>
              <w:t xml:space="preserve"> </w:t>
            </w:r>
          </w:p>
          <w:p w:rsidR="00B854C0" w:rsidRDefault="00B854C0" w:rsidP="00570CBE">
            <w:pPr>
              <w:jc w:val="both"/>
              <w:rPr>
                <w:sz w:val="24"/>
                <w:szCs w:val="24"/>
              </w:rPr>
            </w:pPr>
            <w:r w:rsidRPr="00B854C0">
              <w:rPr>
                <w:sz w:val="24"/>
                <w:szCs w:val="24"/>
              </w:rPr>
              <w:t>Likumprojekt</w:t>
            </w:r>
            <w:r>
              <w:rPr>
                <w:sz w:val="24"/>
                <w:szCs w:val="24"/>
              </w:rPr>
              <w:t>s</w:t>
            </w:r>
            <w:r w:rsidRPr="00B854C0">
              <w:rPr>
                <w:sz w:val="24"/>
                <w:szCs w:val="24"/>
              </w:rPr>
              <w:t xml:space="preserve"> paredz </w:t>
            </w:r>
            <w:r>
              <w:rPr>
                <w:sz w:val="24"/>
                <w:szCs w:val="24"/>
              </w:rPr>
              <w:t>p</w:t>
            </w:r>
            <w:r w:rsidRPr="00B854C0">
              <w:rPr>
                <w:sz w:val="24"/>
                <w:szCs w:val="24"/>
              </w:rPr>
              <w:t>ārejas noteikumu</w:t>
            </w:r>
            <w:r w:rsidR="004A3C41">
              <w:rPr>
                <w:sz w:val="24"/>
                <w:szCs w:val="24"/>
              </w:rPr>
              <w:t>s</w:t>
            </w:r>
            <w:r w:rsidRPr="00B854C0">
              <w:rPr>
                <w:sz w:val="24"/>
                <w:szCs w:val="24"/>
              </w:rPr>
              <w:t xml:space="preserve"> </w:t>
            </w:r>
            <w:r w:rsidR="004A3C41" w:rsidRPr="00B854C0">
              <w:rPr>
                <w:sz w:val="24"/>
                <w:szCs w:val="24"/>
              </w:rPr>
              <w:t>papildinā</w:t>
            </w:r>
            <w:r w:rsidR="004A3C41">
              <w:rPr>
                <w:sz w:val="24"/>
                <w:szCs w:val="24"/>
              </w:rPr>
              <w:t>t</w:t>
            </w:r>
            <w:r w:rsidR="004A3C41" w:rsidRPr="00B854C0">
              <w:rPr>
                <w:sz w:val="24"/>
                <w:szCs w:val="24"/>
              </w:rPr>
              <w:t xml:space="preserve"> </w:t>
            </w:r>
            <w:r w:rsidRPr="00B854C0">
              <w:rPr>
                <w:sz w:val="24"/>
                <w:szCs w:val="24"/>
              </w:rPr>
              <w:t xml:space="preserve">ar jaunu 19.punktu, nosakot, ka, lai ierobežotu ar atlīdzību saistītos izdevumu, Valsts probācijas dienests nepiemēro </w:t>
            </w:r>
            <w:r w:rsidR="004A3C41">
              <w:rPr>
                <w:sz w:val="24"/>
                <w:szCs w:val="24"/>
              </w:rPr>
              <w:t>l</w:t>
            </w:r>
            <w:r w:rsidR="004A3C41" w:rsidRPr="00B854C0">
              <w:rPr>
                <w:sz w:val="24"/>
                <w:szCs w:val="24"/>
              </w:rPr>
              <w:t xml:space="preserve">ikuma </w:t>
            </w:r>
            <w:r w:rsidRPr="00B854C0">
              <w:rPr>
                <w:sz w:val="24"/>
                <w:szCs w:val="24"/>
              </w:rPr>
              <w:t>37.panta trešā daļa noteikto attiecībā uz amatpersonu (darbinieku) veselību, kuras ir pakļautas riskam. Tomēr, lai neradītu nesamērīgas sekas Valsts probācijas dienesta amatpersonām (darbiniekiem), kuras veicot ikdienas pienākumus var tikt pakļautas veselības vai dzīvības apdraudējumam, tiek paredzēts, ka 2012. un 2013.gadā Valsts probācijas dienests minētās amatpersonas (darbiniekus) nepiemēro 37.panta trešajā daļā noteikto, bet var apdrošināt pret nelaimes gadījumiem. Līdz ar to, tiks nodrošināta tiesiska Valsts probācijas dienesta darbība tam pieejamā valsts budžeta ietvaros, kā arī netiks pārmērīgi ietekmētas amatpersonu (darbinieku) tiesības.</w:t>
            </w:r>
          </w:p>
          <w:p w:rsidR="00B854C0" w:rsidRPr="00647FBE" w:rsidRDefault="00B854C0" w:rsidP="00570CBE">
            <w:pPr>
              <w:jc w:val="both"/>
              <w:rPr>
                <w:sz w:val="24"/>
                <w:szCs w:val="24"/>
              </w:rPr>
            </w:pPr>
            <w:r w:rsidRPr="00B854C0">
              <w:rPr>
                <w:sz w:val="24"/>
                <w:szCs w:val="24"/>
              </w:rPr>
              <w:t>Likumprojekts paredz arī atsevišķus redakcionāla rakstura  precizējumus, lai nodrošinātu likuma normu viennozīmīgu piemērošanu, jo pretējā gadījumā, dažāda šo normu interpretācija var izsaukt budžeta izdevumu palielinājumu.</w:t>
            </w:r>
          </w:p>
        </w:tc>
      </w:tr>
      <w:tr w:rsidR="0070526D" w:rsidRPr="001513F9" w:rsidTr="00425767">
        <w:trPr>
          <w:gridBefore w:val="1"/>
          <w:wBefore w:w="12" w:type="dxa"/>
          <w:trHeight w:val="476"/>
          <w:tblCellSpacing w:w="0" w:type="dxa"/>
        </w:trPr>
        <w:tc>
          <w:tcPr>
            <w:tcW w:w="528" w:type="dxa"/>
            <w:gridSpan w:val="2"/>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lastRenderedPageBreak/>
              <w:t> 5.</w:t>
            </w:r>
          </w:p>
        </w:tc>
        <w:tc>
          <w:tcPr>
            <w:tcW w:w="2322" w:type="dxa"/>
            <w:gridSpan w:val="2"/>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Projekta izstrādē iesaistītās institūcijas</w:t>
            </w:r>
          </w:p>
        </w:tc>
        <w:tc>
          <w:tcPr>
            <w:tcW w:w="6251" w:type="dxa"/>
            <w:gridSpan w:val="8"/>
            <w:hideMark/>
          </w:tcPr>
          <w:p w:rsidR="0070526D" w:rsidRPr="001513F9" w:rsidRDefault="00F3682F" w:rsidP="0093409E">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Nav</w:t>
            </w:r>
          </w:p>
        </w:tc>
      </w:tr>
      <w:tr w:rsidR="0070526D" w:rsidRPr="001513F9" w:rsidTr="00425767">
        <w:trPr>
          <w:gridBefore w:val="1"/>
          <w:wBefore w:w="12" w:type="dxa"/>
          <w:trHeight w:val="915"/>
          <w:tblCellSpacing w:w="0" w:type="dxa"/>
        </w:trPr>
        <w:tc>
          <w:tcPr>
            <w:tcW w:w="528" w:type="dxa"/>
            <w:gridSpan w:val="2"/>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6.</w:t>
            </w:r>
          </w:p>
        </w:tc>
        <w:tc>
          <w:tcPr>
            <w:tcW w:w="2322" w:type="dxa"/>
            <w:gridSpan w:val="2"/>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Iemesli, kādēļ netika nodrošināta sabiedrības līdzdalība</w:t>
            </w:r>
          </w:p>
        </w:tc>
        <w:tc>
          <w:tcPr>
            <w:tcW w:w="6251" w:type="dxa"/>
            <w:gridSpan w:val="8"/>
            <w:hideMark/>
          </w:tcPr>
          <w:p w:rsidR="0070526D" w:rsidRPr="00F605F5" w:rsidRDefault="00095CD7" w:rsidP="00B36E90">
            <w:pPr>
              <w:spacing w:before="100" w:beforeAutospacing="1" w:after="100" w:afterAutospacing="1"/>
              <w:jc w:val="both"/>
              <w:rPr>
                <w:sz w:val="24"/>
                <w:szCs w:val="24"/>
              </w:rPr>
            </w:pPr>
            <w:r>
              <w:rPr>
                <w:sz w:val="24"/>
                <w:szCs w:val="24"/>
              </w:rPr>
              <w:t xml:space="preserve">Likumprojekts attiecas tikai uz </w:t>
            </w:r>
            <w:r w:rsidR="00BE6409">
              <w:rPr>
                <w:sz w:val="24"/>
                <w:szCs w:val="24"/>
              </w:rPr>
              <w:t>valsts un pašvaldību institūciju darbiniekiem</w:t>
            </w:r>
            <w:r w:rsidR="00DF27CD" w:rsidRPr="00DF27CD">
              <w:rPr>
                <w:sz w:val="24"/>
                <w:szCs w:val="24"/>
              </w:rPr>
              <w:t xml:space="preserve">, tādēļ sabiedrības līdzdalība </w:t>
            </w:r>
            <w:r w:rsidR="00B36E90">
              <w:rPr>
                <w:sz w:val="24"/>
                <w:szCs w:val="24"/>
              </w:rPr>
              <w:t>likum</w:t>
            </w:r>
            <w:r w:rsidR="00DF27CD" w:rsidRPr="00DF27CD">
              <w:rPr>
                <w:sz w:val="24"/>
                <w:szCs w:val="24"/>
              </w:rPr>
              <w:t>projekta izstrādē nebija nepieciešama.</w:t>
            </w:r>
          </w:p>
        </w:tc>
      </w:tr>
      <w:tr w:rsidR="0070526D" w:rsidRPr="001513F9" w:rsidTr="00425767">
        <w:trPr>
          <w:gridBefore w:val="1"/>
          <w:wBefore w:w="12" w:type="dxa"/>
          <w:tblCellSpacing w:w="0" w:type="dxa"/>
        </w:trPr>
        <w:tc>
          <w:tcPr>
            <w:tcW w:w="528" w:type="dxa"/>
            <w:gridSpan w:val="2"/>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7.</w:t>
            </w:r>
          </w:p>
        </w:tc>
        <w:tc>
          <w:tcPr>
            <w:tcW w:w="2322" w:type="dxa"/>
            <w:gridSpan w:val="2"/>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Cita informācija</w:t>
            </w:r>
          </w:p>
        </w:tc>
        <w:tc>
          <w:tcPr>
            <w:tcW w:w="6251" w:type="dxa"/>
            <w:gridSpan w:val="8"/>
            <w:hideMark/>
          </w:tcPr>
          <w:p w:rsidR="0070526D" w:rsidRPr="001513F9" w:rsidRDefault="00046C78" w:rsidP="00465B50">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Nav</w:t>
            </w:r>
          </w:p>
        </w:tc>
      </w:tr>
      <w:tr w:rsidR="0070526D" w:rsidRPr="001513F9" w:rsidTr="00425767">
        <w:trPr>
          <w:gridBefore w:val="1"/>
          <w:wBefore w:w="12" w:type="dxa"/>
          <w:tblCellSpacing w:w="0" w:type="dxa"/>
        </w:trPr>
        <w:tc>
          <w:tcPr>
            <w:tcW w:w="9101" w:type="dxa"/>
            <w:gridSpan w:val="12"/>
            <w:vAlign w:val="center"/>
            <w:hideMark/>
          </w:tcPr>
          <w:p w:rsidR="005C1B70" w:rsidRDefault="0070526D" w:rsidP="00CE6434">
            <w:pPr>
              <w:jc w:val="center"/>
              <w:rPr>
                <w:rFonts w:eastAsia="Times New Roman" w:cs="Times New Roman"/>
                <w:b/>
                <w:sz w:val="24"/>
                <w:szCs w:val="24"/>
                <w:lang w:eastAsia="lv-LV"/>
              </w:rPr>
            </w:pPr>
            <w:r w:rsidRPr="001513F9">
              <w:rPr>
                <w:rFonts w:eastAsia="Times New Roman" w:cs="Times New Roman"/>
                <w:sz w:val="24"/>
                <w:szCs w:val="24"/>
                <w:lang w:eastAsia="lv-LV"/>
              </w:rPr>
              <w:t> </w:t>
            </w:r>
            <w:r w:rsidRPr="001513F9">
              <w:rPr>
                <w:rFonts w:eastAsia="Times New Roman" w:cs="Times New Roman"/>
                <w:b/>
                <w:sz w:val="24"/>
                <w:szCs w:val="24"/>
                <w:lang w:eastAsia="lv-LV"/>
              </w:rPr>
              <w:t>II. Tiesību akta projekta ietekme uz sabiedrību</w:t>
            </w:r>
          </w:p>
          <w:p w:rsidR="003F426A" w:rsidRPr="001513F9" w:rsidRDefault="003F426A" w:rsidP="00CE6434">
            <w:pPr>
              <w:jc w:val="center"/>
              <w:rPr>
                <w:rFonts w:eastAsia="Times New Roman" w:cs="Times New Roman"/>
                <w:b/>
                <w:sz w:val="24"/>
                <w:szCs w:val="24"/>
                <w:lang w:eastAsia="lv-LV"/>
              </w:rPr>
            </w:pPr>
          </w:p>
        </w:tc>
      </w:tr>
      <w:tr w:rsidR="0070526D" w:rsidRPr="001513F9" w:rsidTr="00425767">
        <w:trPr>
          <w:gridBefore w:val="1"/>
          <w:wBefore w:w="12" w:type="dxa"/>
          <w:trHeight w:val="467"/>
          <w:tblCellSpacing w:w="0" w:type="dxa"/>
        </w:trPr>
        <w:tc>
          <w:tcPr>
            <w:tcW w:w="521" w:type="dxa"/>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1.</w:t>
            </w:r>
          </w:p>
        </w:tc>
        <w:tc>
          <w:tcPr>
            <w:tcW w:w="3180" w:type="dxa"/>
            <w:gridSpan w:val="4"/>
            <w:hideMark/>
          </w:tcPr>
          <w:p w:rsidR="0070526D" w:rsidRPr="001513F9" w:rsidRDefault="0070526D" w:rsidP="00CE6434">
            <w:pPr>
              <w:rPr>
                <w:rFonts w:eastAsia="Times New Roman" w:cs="Times New Roman"/>
                <w:sz w:val="24"/>
                <w:szCs w:val="24"/>
                <w:lang w:eastAsia="lv-LV"/>
              </w:rPr>
            </w:pPr>
            <w:r w:rsidRPr="001513F9">
              <w:rPr>
                <w:rFonts w:eastAsia="Times New Roman" w:cs="Times New Roman"/>
                <w:sz w:val="24"/>
                <w:szCs w:val="24"/>
                <w:lang w:eastAsia="lv-LV"/>
              </w:rPr>
              <w:t xml:space="preserve"> Sabiedrības </w:t>
            </w:r>
            <w:proofErr w:type="spellStart"/>
            <w:r w:rsidRPr="001513F9">
              <w:rPr>
                <w:rFonts w:eastAsia="Times New Roman" w:cs="Times New Roman"/>
                <w:sz w:val="24"/>
                <w:szCs w:val="24"/>
                <w:lang w:eastAsia="lv-LV"/>
              </w:rPr>
              <w:t>mērķgrupa</w:t>
            </w:r>
            <w:proofErr w:type="spellEnd"/>
          </w:p>
        </w:tc>
        <w:tc>
          <w:tcPr>
            <w:tcW w:w="5400" w:type="dxa"/>
            <w:gridSpan w:val="7"/>
            <w:hideMark/>
          </w:tcPr>
          <w:p w:rsidR="0070526D" w:rsidRPr="001513F9" w:rsidRDefault="00BE6409" w:rsidP="00BE6409">
            <w:pPr>
              <w:spacing w:before="100" w:beforeAutospacing="1" w:after="100" w:afterAutospacing="1"/>
              <w:rPr>
                <w:rFonts w:eastAsia="Times New Roman" w:cs="Times New Roman"/>
                <w:sz w:val="24"/>
                <w:szCs w:val="24"/>
                <w:lang w:eastAsia="lv-LV"/>
              </w:rPr>
            </w:pPr>
            <w:r>
              <w:rPr>
                <w:sz w:val="24"/>
                <w:szCs w:val="24"/>
              </w:rPr>
              <w:t xml:space="preserve">Valsts un pašvaldību institūciju </w:t>
            </w:r>
            <w:r w:rsidR="00046C78">
              <w:rPr>
                <w:sz w:val="24"/>
                <w:szCs w:val="24"/>
              </w:rPr>
              <w:t>amatpersonas un darbinieki</w:t>
            </w:r>
          </w:p>
        </w:tc>
      </w:tr>
      <w:tr w:rsidR="0070526D" w:rsidRPr="001513F9" w:rsidTr="00425767">
        <w:trPr>
          <w:gridBefore w:val="1"/>
          <w:wBefore w:w="12" w:type="dxa"/>
          <w:trHeight w:val="523"/>
          <w:tblCellSpacing w:w="0" w:type="dxa"/>
        </w:trPr>
        <w:tc>
          <w:tcPr>
            <w:tcW w:w="521" w:type="dxa"/>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2.</w:t>
            </w:r>
          </w:p>
        </w:tc>
        <w:tc>
          <w:tcPr>
            <w:tcW w:w="3180" w:type="dxa"/>
            <w:gridSpan w:val="4"/>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xml:space="preserve"> Citas sabiedrības grupas (bez </w:t>
            </w:r>
            <w:proofErr w:type="spellStart"/>
            <w:r w:rsidRPr="001513F9">
              <w:rPr>
                <w:rFonts w:eastAsia="Times New Roman" w:cs="Times New Roman"/>
                <w:sz w:val="24"/>
                <w:szCs w:val="24"/>
                <w:lang w:eastAsia="lv-LV"/>
              </w:rPr>
              <w:t>mērķgrupas</w:t>
            </w:r>
            <w:proofErr w:type="spellEnd"/>
            <w:r w:rsidRPr="001513F9">
              <w:rPr>
                <w:rFonts w:eastAsia="Times New Roman" w:cs="Times New Roman"/>
                <w:sz w:val="24"/>
                <w:szCs w:val="24"/>
                <w:lang w:eastAsia="lv-LV"/>
              </w:rPr>
              <w:t>), kuras tiesiskais regulējums arī ietekmē vai varētu ietekmēt</w:t>
            </w:r>
          </w:p>
        </w:tc>
        <w:tc>
          <w:tcPr>
            <w:tcW w:w="5400" w:type="dxa"/>
            <w:gridSpan w:val="7"/>
            <w:hideMark/>
          </w:tcPr>
          <w:p w:rsidR="0070526D" w:rsidRPr="001513F9" w:rsidRDefault="00095CD7" w:rsidP="00D3091E">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r w:rsidR="00A2088F" w:rsidRPr="00A2088F">
              <w:rPr>
                <w:rFonts w:eastAsia="Times New Roman" w:cs="Times New Roman"/>
                <w:sz w:val="24"/>
                <w:szCs w:val="24"/>
                <w:lang w:eastAsia="lv-LV"/>
              </w:rPr>
              <w:t>Projekts šo jomu neskar</w:t>
            </w:r>
          </w:p>
        </w:tc>
      </w:tr>
      <w:tr w:rsidR="0070526D" w:rsidRPr="001513F9" w:rsidTr="00425767">
        <w:trPr>
          <w:gridBefore w:val="1"/>
          <w:wBefore w:w="12" w:type="dxa"/>
          <w:trHeight w:val="517"/>
          <w:tblCellSpacing w:w="0" w:type="dxa"/>
        </w:trPr>
        <w:tc>
          <w:tcPr>
            <w:tcW w:w="521" w:type="dxa"/>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3.</w:t>
            </w:r>
          </w:p>
        </w:tc>
        <w:tc>
          <w:tcPr>
            <w:tcW w:w="3180" w:type="dxa"/>
            <w:gridSpan w:val="4"/>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Tiesiskā regulējuma finansiālā ietekme</w:t>
            </w:r>
          </w:p>
        </w:tc>
        <w:tc>
          <w:tcPr>
            <w:tcW w:w="5400" w:type="dxa"/>
            <w:gridSpan w:val="7"/>
            <w:hideMark/>
          </w:tcPr>
          <w:p w:rsidR="0070526D" w:rsidRPr="001513F9" w:rsidRDefault="0070526D" w:rsidP="00076A9C">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r w:rsidR="00A2088F" w:rsidRPr="00A2088F">
              <w:rPr>
                <w:rFonts w:eastAsia="Times New Roman" w:cs="Times New Roman"/>
                <w:sz w:val="24"/>
                <w:szCs w:val="24"/>
                <w:lang w:eastAsia="lv-LV"/>
              </w:rPr>
              <w:t>Projekts šo jomu neskar</w:t>
            </w:r>
          </w:p>
        </w:tc>
      </w:tr>
      <w:tr w:rsidR="0070526D" w:rsidRPr="001513F9" w:rsidTr="00425767">
        <w:trPr>
          <w:gridBefore w:val="1"/>
          <w:wBefore w:w="12" w:type="dxa"/>
          <w:trHeight w:val="517"/>
          <w:tblCellSpacing w:w="0" w:type="dxa"/>
        </w:trPr>
        <w:tc>
          <w:tcPr>
            <w:tcW w:w="521" w:type="dxa"/>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4.</w:t>
            </w:r>
          </w:p>
        </w:tc>
        <w:tc>
          <w:tcPr>
            <w:tcW w:w="3180" w:type="dxa"/>
            <w:gridSpan w:val="4"/>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Tiesiskā regulējuma nefinansiālā ietekme</w:t>
            </w:r>
          </w:p>
        </w:tc>
        <w:tc>
          <w:tcPr>
            <w:tcW w:w="5400" w:type="dxa"/>
            <w:gridSpan w:val="7"/>
            <w:hideMark/>
          </w:tcPr>
          <w:p w:rsidR="0070526D" w:rsidRPr="001513F9" w:rsidRDefault="0070526D" w:rsidP="00D90AC4">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r w:rsidR="00A2088F" w:rsidRPr="00A2088F">
              <w:rPr>
                <w:rFonts w:eastAsia="Times New Roman" w:cs="Times New Roman"/>
                <w:sz w:val="24"/>
                <w:szCs w:val="24"/>
                <w:lang w:eastAsia="lv-LV"/>
              </w:rPr>
              <w:t>Projekts šo jomu neskar</w:t>
            </w:r>
          </w:p>
        </w:tc>
      </w:tr>
      <w:tr w:rsidR="0070526D" w:rsidRPr="001513F9" w:rsidTr="00425767">
        <w:trPr>
          <w:gridBefore w:val="1"/>
          <w:wBefore w:w="12" w:type="dxa"/>
          <w:trHeight w:val="531"/>
          <w:tblCellSpacing w:w="0" w:type="dxa"/>
        </w:trPr>
        <w:tc>
          <w:tcPr>
            <w:tcW w:w="521" w:type="dxa"/>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5.</w:t>
            </w:r>
          </w:p>
        </w:tc>
        <w:tc>
          <w:tcPr>
            <w:tcW w:w="3180" w:type="dxa"/>
            <w:gridSpan w:val="4"/>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Administratīvās procedūras raksturojums</w:t>
            </w:r>
          </w:p>
        </w:tc>
        <w:tc>
          <w:tcPr>
            <w:tcW w:w="5400" w:type="dxa"/>
            <w:gridSpan w:val="7"/>
            <w:hideMark/>
          </w:tcPr>
          <w:p w:rsidR="0070526D" w:rsidRPr="001513F9" w:rsidRDefault="0070526D" w:rsidP="00D90AC4">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r w:rsidR="00A2088F" w:rsidRPr="00A2088F">
              <w:rPr>
                <w:rFonts w:eastAsia="Times New Roman" w:cs="Times New Roman"/>
                <w:sz w:val="24"/>
                <w:szCs w:val="24"/>
                <w:lang w:eastAsia="lv-LV"/>
              </w:rPr>
              <w:t>Projekts šo jomu neskar</w:t>
            </w:r>
          </w:p>
        </w:tc>
      </w:tr>
      <w:tr w:rsidR="0070526D" w:rsidRPr="001513F9" w:rsidTr="00425767">
        <w:trPr>
          <w:gridBefore w:val="1"/>
          <w:wBefore w:w="12" w:type="dxa"/>
          <w:trHeight w:val="357"/>
          <w:tblCellSpacing w:w="0" w:type="dxa"/>
        </w:trPr>
        <w:tc>
          <w:tcPr>
            <w:tcW w:w="521" w:type="dxa"/>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6.</w:t>
            </w:r>
          </w:p>
        </w:tc>
        <w:tc>
          <w:tcPr>
            <w:tcW w:w="3180" w:type="dxa"/>
            <w:gridSpan w:val="4"/>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Administratīvo izmaksu monetārs novērtējums</w:t>
            </w:r>
          </w:p>
        </w:tc>
        <w:tc>
          <w:tcPr>
            <w:tcW w:w="5400" w:type="dxa"/>
            <w:gridSpan w:val="7"/>
            <w:hideMark/>
          </w:tcPr>
          <w:p w:rsidR="0070526D" w:rsidRPr="001513F9" w:rsidRDefault="0070526D" w:rsidP="006D3764">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r w:rsidR="00A2088F" w:rsidRPr="00A2088F">
              <w:rPr>
                <w:rFonts w:eastAsia="Times New Roman" w:cs="Times New Roman"/>
                <w:sz w:val="24"/>
                <w:szCs w:val="24"/>
                <w:lang w:eastAsia="lv-LV"/>
              </w:rPr>
              <w:t>Projekts šo jomu neskar</w:t>
            </w:r>
          </w:p>
        </w:tc>
      </w:tr>
      <w:tr w:rsidR="0070526D" w:rsidRPr="001513F9" w:rsidTr="00425767">
        <w:trPr>
          <w:gridBefore w:val="1"/>
          <w:wBefore w:w="12" w:type="dxa"/>
          <w:tblCellSpacing w:w="0" w:type="dxa"/>
        </w:trPr>
        <w:tc>
          <w:tcPr>
            <w:tcW w:w="521" w:type="dxa"/>
            <w:hideMark/>
          </w:tcPr>
          <w:p w:rsidR="0070526D" w:rsidRPr="001513F9" w:rsidRDefault="0070526D" w:rsidP="00115E82">
            <w:pPr>
              <w:rPr>
                <w:rFonts w:eastAsia="Times New Roman" w:cs="Times New Roman"/>
                <w:sz w:val="24"/>
                <w:szCs w:val="24"/>
                <w:lang w:eastAsia="lv-LV"/>
              </w:rPr>
            </w:pPr>
            <w:r w:rsidRPr="001513F9">
              <w:rPr>
                <w:rFonts w:eastAsia="Times New Roman" w:cs="Times New Roman"/>
                <w:sz w:val="24"/>
                <w:szCs w:val="24"/>
                <w:lang w:eastAsia="lv-LV"/>
              </w:rPr>
              <w:t> 7.</w:t>
            </w:r>
          </w:p>
        </w:tc>
        <w:tc>
          <w:tcPr>
            <w:tcW w:w="3180" w:type="dxa"/>
            <w:gridSpan w:val="4"/>
            <w:hideMark/>
          </w:tcPr>
          <w:p w:rsidR="0070526D" w:rsidRPr="001513F9" w:rsidRDefault="0070526D" w:rsidP="00115E82">
            <w:pPr>
              <w:rPr>
                <w:rFonts w:eastAsia="Times New Roman" w:cs="Times New Roman"/>
                <w:sz w:val="24"/>
                <w:szCs w:val="24"/>
                <w:lang w:eastAsia="lv-LV"/>
              </w:rPr>
            </w:pPr>
            <w:r w:rsidRPr="001513F9">
              <w:rPr>
                <w:rFonts w:eastAsia="Times New Roman" w:cs="Times New Roman"/>
                <w:sz w:val="24"/>
                <w:szCs w:val="24"/>
                <w:lang w:eastAsia="lv-LV"/>
              </w:rPr>
              <w:t> Cita informācija</w:t>
            </w:r>
          </w:p>
        </w:tc>
        <w:tc>
          <w:tcPr>
            <w:tcW w:w="5400" w:type="dxa"/>
            <w:gridSpan w:val="7"/>
            <w:hideMark/>
          </w:tcPr>
          <w:p w:rsidR="0070526D" w:rsidRPr="001513F9" w:rsidRDefault="0070526D" w:rsidP="00840983">
            <w:pPr>
              <w:rPr>
                <w:rFonts w:eastAsia="Times New Roman" w:cs="Times New Roman"/>
                <w:sz w:val="24"/>
                <w:szCs w:val="24"/>
                <w:lang w:eastAsia="lv-LV"/>
              </w:rPr>
            </w:pPr>
            <w:r w:rsidRPr="001513F9">
              <w:rPr>
                <w:rFonts w:eastAsia="Times New Roman" w:cs="Times New Roman"/>
                <w:sz w:val="24"/>
                <w:szCs w:val="24"/>
                <w:lang w:eastAsia="lv-LV"/>
              </w:rPr>
              <w:t> Nav</w:t>
            </w:r>
          </w:p>
        </w:tc>
      </w:tr>
      <w:tr w:rsidR="00425767" w:rsidRP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trHeight w:val="397"/>
          <w:jc w:val="center"/>
        </w:trPr>
        <w:tc>
          <w:tcPr>
            <w:tcW w:w="9107" w:type="dxa"/>
            <w:gridSpan w:val="12"/>
          </w:tcPr>
          <w:p w:rsidR="00425767" w:rsidRDefault="00425767">
            <w:pPr>
              <w:pStyle w:val="naisnod"/>
              <w:spacing w:before="0" w:beforeAutospacing="0" w:after="0" w:afterAutospacing="0"/>
              <w:rPr>
                <w:b/>
              </w:rPr>
            </w:pPr>
            <w:r w:rsidRPr="00425767">
              <w:rPr>
                <w:b/>
                <w:bCs/>
              </w:rPr>
              <w:lastRenderedPageBreak/>
              <w:br w:type="page"/>
            </w:r>
            <w:r w:rsidRPr="00425767">
              <w:rPr>
                <w:b/>
              </w:rPr>
              <w:t>III. Tiesību akta projekta ietekme uz valsts budžetu un pašvaldību budžetiem</w:t>
            </w:r>
          </w:p>
          <w:p w:rsidR="003F426A" w:rsidRPr="00425767" w:rsidRDefault="003F426A">
            <w:pPr>
              <w:pStyle w:val="naisnod"/>
              <w:spacing w:before="0" w:beforeAutospacing="0" w:after="0" w:afterAutospacing="0"/>
              <w:rPr>
                <w:b/>
              </w:rPr>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vMerge w:val="restart"/>
            <w:vAlign w:val="center"/>
            <w:hideMark/>
          </w:tcPr>
          <w:p w:rsidR="00425767" w:rsidRPr="00425767" w:rsidRDefault="00425767">
            <w:pPr>
              <w:pStyle w:val="naisf"/>
              <w:spacing w:before="0" w:after="0"/>
              <w:jc w:val="center"/>
              <w:rPr>
                <w:b/>
              </w:rPr>
            </w:pPr>
            <w:r w:rsidRPr="00425767">
              <w:rPr>
                <w:b/>
              </w:rPr>
              <w:t>Rādītāji</w:t>
            </w:r>
          </w:p>
        </w:tc>
        <w:tc>
          <w:tcPr>
            <w:tcW w:w="2539" w:type="dxa"/>
            <w:gridSpan w:val="5"/>
            <w:vMerge w:val="restart"/>
            <w:vAlign w:val="center"/>
            <w:hideMark/>
          </w:tcPr>
          <w:p w:rsidR="00425767" w:rsidRPr="00425767" w:rsidRDefault="00425767">
            <w:pPr>
              <w:pStyle w:val="naisf"/>
              <w:spacing w:before="0" w:after="0"/>
              <w:jc w:val="center"/>
              <w:rPr>
                <w:b/>
              </w:rPr>
            </w:pPr>
            <w:r w:rsidRPr="00425767">
              <w:rPr>
                <w:b/>
              </w:rPr>
              <w:t>2011</w:t>
            </w:r>
          </w:p>
        </w:tc>
        <w:tc>
          <w:tcPr>
            <w:tcW w:w="4029" w:type="dxa"/>
            <w:gridSpan w:val="3"/>
            <w:vAlign w:val="center"/>
            <w:hideMark/>
          </w:tcPr>
          <w:p w:rsidR="00425767" w:rsidRPr="00425767" w:rsidRDefault="00425767">
            <w:pPr>
              <w:pStyle w:val="naisf"/>
              <w:spacing w:before="0" w:after="0"/>
              <w:jc w:val="center"/>
              <w:rPr>
                <w:b/>
                <w:i/>
              </w:rPr>
            </w:pPr>
            <w:r w:rsidRPr="00425767">
              <w:t>Turpmākie trīs gadi (</w:t>
            </w:r>
            <w:proofErr w:type="spellStart"/>
            <w:r w:rsidRPr="00425767">
              <w:t>tūkst</w:t>
            </w:r>
            <w:proofErr w:type="spellEnd"/>
            <w:r w:rsidRPr="00425767">
              <w:t>. latu)</w:t>
            </w: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vMerge/>
            <w:vAlign w:val="center"/>
            <w:hideMark/>
          </w:tcPr>
          <w:p w:rsidR="00425767" w:rsidRPr="00425767" w:rsidRDefault="00425767">
            <w:pPr>
              <w:rPr>
                <w:rFonts w:eastAsia="Times New Roman" w:cs="Times New Roman"/>
                <w:b/>
                <w:sz w:val="24"/>
                <w:szCs w:val="24"/>
                <w:lang w:eastAsia="lv-LV"/>
              </w:rPr>
            </w:pPr>
          </w:p>
        </w:tc>
        <w:tc>
          <w:tcPr>
            <w:tcW w:w="0" w:type="auto"/>
            <w:gridSpan w:val="5"/>
            <w:vMerge/>
            <w:vAlign w:val="center"/>
            <w:hideMark/>
          </w:tcPr>
          <w:p w:rsidR="00425767" w:rsidRPr="00425767" w:rsidRDefault="00425767">
            <w:pPr>
              <w:rPr>
                <w:rFonts w:eastAsia="Times New Roman" w:cs="Times New Roman"/>
                <w:b/>
                <w:sz w:val="24"/>
                <w:szCs w:val="24"/>
                <w:lang w:eastAsia="lv-LV"/>
              </w:rPr>
            </w:pPr>
          </w:p>
        </w:tc>
        <w:tc>
          <w:tcPr>
            <w:tcW w:w="1305" w:type="dxa"/>
            <w:vAlign w:val="center"/>
            <w:hideMark/>
          </w:tcPr>
          <w:p w:rsidR="00425767" w:rsidRPr="00425767" w:rsidRDefault="00425767">
            <w:pPr>
              <w:pStyle w:val="naisf"/>
              <w:spacing w:before="0" w:after="0"/>
              <w:jc w:val="center"/>
              <w:rPr>
                <w:b/>
                <w:i/>
              </w:rPr>
            </w:pPr>
            <w:r w:rsidRPr="00425767">
              <w:rPr>
                <w:b/>
                <w:bCs/>
              </w:rPr>
              <w:t>2012</w:t>
            </w:r>
          </w:p>
        </w:tc>
        <w:tc>
          <w:tcPr>
            <w:tcW w:w="1305" w:type="dxa"/>
            <w:vAlign w:val="center"/>
            <w:hideMark/>
          </w:tcPr>
          <w:p w:rsidR="00425767" w:rsidRPr="00425767" w:rsidRDefault="00425767">
            <w:pPr>
              <w:pStyle w:val="naisf"/>
              <w:spacing w:before="0" w:after="0"/>
              <w:jc w:val="center"/>
              <w:rPr>
                <w:b/>
                <w:i/>
              </w:rPr>
            </w:pPr>
            <w:r w:rsidRPr="00425767">
              <w:rPr>
                <w:b/>
                <w:bCs/>
              </w:rPr>
              <w:t>2013`</w:t>
            </w:r>
          </w:p>
        </w:tc>
        <w:tc>
          <w:tcPr>
            <w:tcW w:w="1419" w:type="dxa"/>
            <w:vAlign w:val="center"/>
            <w:hideMark/>
          </w:tcPr>
          <w:p w:rsidR="00425767" w:rsidRPr="00425767" w:rsidRDefault="00425767">
            <w:pPr>
              <w:pStyle w:val="naisf"/>
              <w:spacing w:before="0" w:after="0"/>
              <w:jc w:val="center"/>
              <w:rPr>
                <w:b/>
                <w:i/>
              </w:rPr>
            </w:pPr>
            <w:r w:rsidRPr="00425767">
              <w:rPr>
                <w:b/>
                <w:bCs/>
              </w:rPr>
              <w:t>2014</w:t>
            </w: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vMerge/>
            <w:vAlign w:val="center"/>
            <w:hideMark/>
          </w:tcPr>
          <w:p w:rsidR="00425767" w:rsidRPr="00425767" w:rsidRDefault="00425767">
            <w:pPr>
              <w:rPr>
                <w:rFonts w:eastAsia="Times New Roman" w:cs="Times New Roman"/>
                <w:b/>
                <w:sz w:val="24"/>
                <w:szCs w:val="24"/>
                <w:lang w:eastAsia="lv-LV"/>
              </w:rPr>
            </w:pPr>
          </w:p>
        </w:tc>
        <w:tc>
          <w:tcPr>
            <w:tcW w:w="1234" w:type="dxa"/>
            <w:gridSpan w:val="3"/>
            <w:vAlign w:val="center"/>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Saskaņā ar valsts budžetu kārtējam gadam</w:t>
            </w:r>
          </w:p>
        </w:tc>
        <w:tc>
          <w:tcPr>
            <w:tcW w:w="1305" w:type="dxa"/>
            <w:gridSpan w:val="2"/>
            <w:vAlign w:val="center"/>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Izmaiņas kārtējā gadā, salīdzinot ar budžetu kārtējam gadam</w:t>
            </w:r>
          </w:p>
        </w:tc>
        <w:tc>
          <w:tcPr>
            <w:tcW w:w="1305" w:type="dxa"/>
            <w:vAlign w:val="center"/>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Izmaiņas, salīdzinot ar kārtējo (n) gadu</w:t>
            </w:r>
          </w:p>
        </w:tc>
        <w:tc>
          <w:tcPr>
            <w:tcW w:w="1305" w:type="dxa"/>
            <w:vAlign w:val="center"/>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Izmaiņas, salīdzinot ar kārtējo (n) gadu</w:t>
            </w:r>
          </w:p>
        </w:tc>
        <w:tc>
          <w:tcPr>
            <w:tcW w:w="1419" w:type="dxa"/>
            <w:vAlign w:val="center"/>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Izmaiņas, salīdzinot ar kārtējo (n) gadu</w:t>
            </w: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vAlign w:val="center"/>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1</w:t>
            </w:r>
          </w:p>
        </w:tc>
        <w:tc>
          <w:tcPr>
            <w:tcW w:w="1234" w:type="dxa"/>
            <w:gridSpan w:val="3"/>
            <w:vAlign w:val="center"/>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2</w:t>
            </w:r>
          </w:p>
        </w:tc>
        <w:tc>
          <w:tcPr>
            <w:tcW w:w="1305" w:type="dxa"/>
            <w:gridSpan w:val="2"/>
            <w:vAlign w:val="center"/>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3</w:t>
            </w:r>
          </w:p>
        </w:tc>
        <w:tc>
          <w:tcPr>
            <w:tcW w:w="1305" w:type="dxa"/>
            <w:vAlign w:val="center"/>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4</w:t>
            </w:r>
          </w:p>
        </w:tc>
        <w:tc>
          <w:tcPr>
            <w:tcW w:w="1305" w:type="dxa"/>
            <w:vAlign w:val="center"/>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5</w:t>
            </w:r>
          </w:p>
        </w:tc>
        <w:tc>
          <w:tcPr>
            <w:tcW w:w="1419" w:type="dxa"/>
            <w:vAlign w:val="center"/>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6</w:t>
            </w: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1. Budžeta ieņēmumi:</w:t>
            </w:r>
          </w:p>
        </w:tc>
        <w:tc>
          <w:tcPr>
            <w:tcW w:w="1234" w:type="dxa"/>
            <w:gridSpan w:val="3"/>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0</w:t>
            </w:r>
          </w:p>
        </w:tc>
        <w:tc>
          <w:tcPr>
            <w:tcW w:w="1305" w:type="dxa"/>
            <w:gridSpan w:val="2"/>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0</w:t>
            </w:r>
          </w:p>
        </w:tc>
        <w:tc>
          <w:tcPr>
            <w:tcW w:w="1305" w:type="dxa"/>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0</w:t>
            </w:r>
          </w:p>
        </w:tc>
        <w:tc>
          <w:tcPr>
            <w:tcW w:w="1305" w:type="dxa"/>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0</w:t>
            </w:r>
          </w:p>
        </w:tc>
        <w:tc>
          <w:tcPr>
            <w:tcW w:w="1419" w:type="dxa"/>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0</w:t>
            </w: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1.1. valsts pamatbudžets, tai skaitā ieņēmumi no maksas pakalpojumiem un citi pašu ieņēmumi</w:t>
            </w:r>
          </w:p>
        </w:tc>
        <w:tc>
          <w:tcPr>
            <w:tcW w:w="1234" w:type="dxa"/>
            <w:gridSpan w:val="3"/>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0</w:t>
            </w:r>
          </w:p>
        </w:tc>
        <w:tc>
          <w:tcPr>
            <w:tcW w:w="1305" w:type="dxa"/>
            <w:gridSpan w:val="2"/>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0</w:t>
            </w:r>
          </w:p>
        </w:tc>
        <w:tc>
          <w:tcPr>
            <w:tcW w:w="1305" w:type="dxa"/>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0</w:t>
            </w:r>
          </w:p>
        </w:tc>
        <w:tc>
          <w:tcPr>
            <w:tcW w:w="1305" w:type="dxa"/>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0</w:t>
            </w:r>
          </w:p>
        </w:tc>
        <w:tc>
          <w:tcPr>
            <w:tcW w:w="1419" w:type="dxa"/>
            <w:hideMark/>
          </w:tcPr>
          <w:p w:rsidR="00425767" w:rsidRPr="00425767" w:rsidRDefault="00425767">
            <w:pPr>
              <w:jc w:val="center"/>
              <w:rPr>
                <w:rFonts w:eastAsia="Times New Roman" w:cs="Times New Roman"/>
                <w:sz w:val="24"/>
                <w:szCs w:val="24"/>
                <w:lang w:eastAsia="lv-LV"/>
              </w:rPr>
            </w:pPr>
            <w:r w:rsidRPr="00425767">
              <w:rPr>
                <w:rFonts w:eastAsia="Times New Roman" w:cs="Times New Roman"/>
                <w:sz w:val="24"/>
                <w:szCs w:val="24"/>
                <w:lang w:eastAsia="lv-LV"/>
              </w:rPr>
              <w:t>0</w:t>
            </w: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1.2. valsts speciālais budžets</w:t>
            </w:r>
          </w:p>
        </w:tc>
        <w:tc>
          <w:tcPr>
            <w:tcW w:w="1234" w:type="dxa"/>
            <w:gridSpan w:val="3"/>
          </w:tcPr>
          <w:p w:rsidR="00425767" w:rsidRPr="00425767" w:rsidRDefault="00425767">
            <w:pPr>
              <w:jc w:val="center"/>
              <w:rPr>
                <w:rFonts w:eastAsia="Times New Roman" w:cs="Times New Roman"/>
                <w:sz w:val="24"/>
                <w:szCs w:val="24"/>
                <w:lang w:eastAsia="lv-LV"/>
              </w:rPr>
            </w:pPr>
          </w:p>
        </w:tc>
        <w:tc>
          <w:tcPr>
            <w:tcW w:w="1305" w:type="dxa"/>
            <w:gridSpan w:val="2"/>
          </w:tcPr>
          <w:p w:rsidR="00425767" w:rsidRPr="00425767" w:rsidRDefault="00425767">
            <w:pPr>
              <w:jc w:val="center"/>
              <w:rPr>
                <w:rFonts w:eastAsia="Times New Roman" w:cs="Times New Roman"/>
                <w:sz w:val="24"/>
                <w:szCs w:val="24"/>
                <w:lang w:eastAsia="lv-LV"/>
              </w:rPr>
            </w:pPr>
          </w:p>
        </w:tc>
        <w:tc>
          <w:tcPr>
            <w:tcW w:w="1305" w:type="dxa"/>
          </w:tcPr>
          <w:p w:rsidR="00425767" w:rsidRPr="00425767" w:rsidRDefault="00425767">
            <w:pPr>
              <w:jc w:val="center"/>
              <w:rPr>
                <w:rFonts w:eastAsia="Times New Roman" w:cs="Times New Roman"/>
                <w:sz w:val="24"/>
                <w:szCs w:val="24"/>
                <w:lang w:eastAsia="lv-LV"/>
              </w:rPr>
            </w:pPr>
          </w:p>
        </w:tc>
        <w:tc>
          <w:tcPr>
            <w:tcW w:w="1305" w:type="dxa"/>
          </w:tcPr>
          <w:p w:rsidR="00425767" w:rsidRPr="00425767" w:rsidRDefault="00425767">
            <w:pPr>
              <w:jc w:val="center"/>
              <w:rPr>
                <w:rFonts w:eastAsia="Times New Roman" w:cs="Times New Roman"/>
                <w:sz w:val="24"/>
                <w:szCs w:val="24"/>
                <w:lang w:eastAsia="lv-LV"/>
              </w:rPr>
            </w:pPr>
          </w:p>
        </w:tc>
        <w:tc>
          <w:tcPr>
            <w:tcW w:w="1419" w:type="dxa"/>
          </w:tcPr>
          <w:p w:rsidR="00425767" w:rsidRPr="00425767" w:rsidRDefault="00425767">
            <w:pPr>
              <w:jc w:val="center"/>
              <w:rPr>
                <w:rFonts w:eastAsia="Times New Roman" w:cs="Times New Roman"/>
                <w:sz w:val="24"/>
                <w:szCs w:val="24"/>
                <w:lang w:eastAsia="lv-LV"/>
              </w:rPr>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1.3. pašvaldību budžets</w:t>
            </w:r>
          </w:p>
        </w:tc>
        <w:tc>
          <w:tcPr>
            <w:tcW w:w="1234" w:type="dxa"/>
            <w:gridSpan w:val="3"/>
          </w:tcPr>
          <w:p w:rsidR="00425767" w:rsidRPr="00425767" w:rsidRDefault="00425767">
            <w:pPr>
              <w:jc w:val="center"/>
              <w:rPr>
                <w:rFonts w:eastAsia="Times New Roman" w:cs="Times New Roman"/>
                <w:sz w:val="24"/>
                <w:szCs w:val="24"/>
                <w:lang w:eastAsia="lv-LV"/>
              </w:rPr>
            </w:pPr>
          </w:p>
        </w:tc>
        <w:tc>
          <w:tcPr>
            <w:tcW w:w="1305" w:type="dxa"/>
            <w:gridSpan w:val="2"/>
          </w:tcPr>
          <w:p w:rsidR="00425767" w:rsidRPr="00425767" w:rsidRDefault="00425767">
            <w:pPr>
              <w:jc w:val="center"/>
              <w:rPr>
                <w:rFonts w:eastAsia="Times New Roman" w:cs="Times New Roman"/>
                <w:sz w:val="24"/>
                <w:szCs w:val="24"/>
                <w:lang w:eastAsia="lv-LV"/>
              </w:rPr>
            </w:pPr>
          </w:p>
        </w:tc>
        <w:tc>
          <w:tcPr>
            <w:tcW w:w="1305" w:type="dxa"/>
          </w:tcPr>
          <w:p w:rsidR="00425767" w:rsidRPr="00425767" w:rsidRDefault="00425767">
            <w:pPr>
              <w:jc w:val="center"/>
              <w:rPr>
                <w:rFonts w:eastAsia="Times New Roman" w:cs="Times New Roman"/>
                <w:sz w:val="24"/>
                <w:szCs w:val="24"/>
                <w:lang w:eastAsia="lv-LV"/>
              </w:rPr>
            </w:pPr>
          </w:p>
        </w:tc>
        <w:tc>
          <w:tcPr>
            <w:tcW w:w="1305" w:type="dxa"/>
          </w:tcPr>
          <w:p w:rsidR="00425767" w:rsidRPr="00425767" w:rsidRDefault="00425767">
            <w:pPr>
              <w:jc w:val="center"/>
              <w:rPr>
                <w:rFonts w:eastAsia="Times New Roman" w:cs="Times New Roman"/>
                <w:sz w:val="24"/>
                <w:szCs w:val="24"/>
                <w:lang w:eastAsia="lv-LV"/>
              </w:rPr>
            </w:pPr>
          </w:p>
        </w:tc>
        <w:tc>
          <w:tcPr>
            <w:tcW w:w="1419" w:type="dxa"/>
          </w:tcPr>
          <w:p w:rsidR="00425767" w:rsidRPr="00425767" w:rsidRDefault="00425767">
            <w:pPr>
              <w:jc w:val="center"/>
              <w:rPr>
                <w:rFonts w:eastAsia="Times New Roman" w:cs="Times New Roman"/>
                <w:sz w:val="24"/>
                <w:szCs w:val="24"/>
                <w:lang w:eastAsia="lv-LV"/>
              </w:rPr>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2. Budžeta izdevumi:</w:t>
            </w:r>
          </w:p>
        </w:tc>
        <w:tc>
          <w:tcPr>
            <w:tcW w:w="1234" w:type="dxa"/>
            <w:gridSpan w:val="3"/>
            <w:hideMark/>
          </w:tcPr>
          <w:p w:rsidR="00425767" w:rsidRPr="00425767" w:rsidRDefault="00425767">
            <w:pPr>
              <w:pStyle w:val="naisf"/>
              <w:spacing w:before="0" w:after="0"/>
              <w:jc w:val="center"/>
            </w:pPr>
            <w:r w:rsidRPr="00425767">
              <w:t>0</w:t>
            </w:r>
          </w:p>
        </w:tc>
        <w:tc>
          <w:tcPr>
            <w:tcW w:w="1305" w:type="dxa"/>
            <w:gridSpan w:val="2"/>
            <w:hideMark/>
          </w:tcPr>
          <w:p w:rsidR="00425767" w:rsidRPr="00425767" w:rsidRDefault="00425767">
            <w:pPr>
              <w:pStyle w:val="naisf"/>
              <w:spacing w:before="0" w:after="0"/>
              <w:jc w:val="center"/>
            </w:pPr>
            <w:r w:rsidRPr="00425767">
              <w:t>0</w:t>
            </w:r>
          </w:p>
        </w:tc>
        <w:tc>
          <w:tcPr>
            <w:tcW w:w="1305" w:type="dxa"/>
            <w:hideMark/>
          </w:tcPr>
          <w:p w:rsidR="00425767" w:rsidRPr="00425767" w:rsidRDefault="00425767">
            <w:pPr>
              <w:pStyle w:val="naisf"/>
              <w:spacing w:before="0" w:after="0"/>
              <w:jc w:val="center"/>
            </w:pPr>
            <w:r w:rsidRPr="00425767">
              <w:t>9,5</w:t>
            </w:r>
          </w:p>
        </w:tc>
        <w:tc>
          <w:tcPr>
            <w:tcW w:w="1305" w:type="dxa"/>
            <w:hideMark/>
          </w:tcPr>
          <w:p w:rsidR="00425767" w:rsidRPr="00425767" w:rsidRDefault="00425767">
            <w:pPr>
              <w:pStyle w:val="naisf"/>
              <w:spacing w:before="0" w:after="0"/>
              <w:jc w:val="center"/>
            </w:pPr>
            <w:r w:rsidRPr="00425767">
              <w:t>9,5</w:t>
            </w:r>
          </w:p>
        </w:tc>
        <w:tc>
          <w:tcPr>
            <w:tcW w:w="1419" w:type="dxa"/>
            <w:hideMark/>
          </w:tcPr>
          <w:p w:rsidR="00425767" w:rsidRPr="00425767" w:rsidRDefault="00425767">
            <w:pPr>
              <w:pStyle w:val="naisf"/>
              <w:spacing w:before="0" w:after="0"/>
              <w:jc w:val="center"/>
            </w:pPr>
            <w:r w:rsidRPr="00425767">
              <w:t>9,5</w:t>
            </w: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2.1. valsts pamatbudžets</w:t>
            </w:r>
          </w:p>
        </w:tc>
        <w:tc>
          <w:tcPr>
            <w:tcW w:w="1234" w:type="dxa"/>
            <w:gridSpan w:val="3"/>
            <w:hideMark/>
          </w:tcPr>
          <w:p w:rsidR="00425767" w:rsidRPr="00425767" w:rsidRDefault="00425767">
            <w:pPr>
              <w:pStyle w:val="naisf"/>
              <w:spacing w:before="0" w:after="0"/>
              <w:jc w:val="center"/>
            </w:pPr>
            <w:r w:rsidRPr="00425767">
              <w:t>0</w:t>
            </w:r>
          </w:p>
        </w:tc>
        <w:tc>
          <w:tcPr>
            <w:tcW w:w="1305" w:type="dxa"/>
            <w:gridSpan w:val="2"/>
            <w:hideMark/>
          </w:tcPr>
          <w:p w:rsidR="00425767" w:rsidRPr="00425767" w:rsidRDefault="00425767">
            <w:pPr>
              <w:pStyle w:val="naisf"/>
              <w:spacing w:before="0" w:after="0"/>
              <w:jc w:val="center"/>
            </w:pPr>
            <w:r w:rsidRPr="00425767">
              <w:t>0</w:t>
            </w:r>
          </w:p>
        </w:tc>
        <w:tc>
          <w:tcPr>
            <w:tcW w:w="1305" w:type="dxa"/>
            <w:hideMark/>
          </w:tcPr>
          <w:p w:rsidR="00425767" w:rsidRPr="00425767" w:rsidRDefault="00425767">
            <w:pPr>
              <w:pStyle w:val="naisf"/>
              <w:spacing w:before="0" w:after="0"/>
              <w:jc w:val="center"/>
            </w:pPr>
            <w:r w:rsidRPr="00425767">
              <w:t>9,5</w:t>
            </w:r>
          </w:p>
        </w:tc>
        <w:tc>
          <w:tcPr>
            <w:tcW w:w="1305" w:type="dxa"/>
            <w:hideMark/>
          </w:tcPr>
          <w:p w:rsidR="00425767" w:rsidRPr="00425767" w:rsidRDefault="00425767">
            <w:pPr>
              <w:pStyle w:val="naisf"/>
              <w:spacing w:before="0" w:after="0"/>
              <w:jc w:val="center"/>
            </w:pPr>
            <w:r w:rsidRPr="00425767">
              <w:t>9,5</w:t>
            </w:r>
          </w:p>
        </w:tc>
        <w:tc>
          <w:tcPr>
            <w:tcW w:w="1419" w:type="dxa"/>
            <w:hideMark/>
          </w:tcPr>
          <w:p w:rsidR="00425767" w:rsidRPr="00425767" w:rsidRDefault="00425767">
            <w:pPr>
              <w:pStyle w:val="naisf"/>
              <w:spacing w:before="0" w:after="0"/>
              <w:jc w:val="center"/>
            </w:pPr>
            <w:r w:rsidRPr="00425767">
              <w:t>9,5</w:t>
            </w: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2.2. valsts speciālais budžets</w:t>
            </w:r>
          </w:p>
        </w:tc>
        <w:tc>
          <w:tcPr>
            <w:tcW w:w="1234" w:type="dxa"/>
            <w:gridSpan w:val="3"/>
          </w:tcPr>
          <w:p w:rsidR="00425767" w:rsidRPr="00425767" w:rsidRDefault="00425767">
            <w:pPr>
              <w:pStyle w:val="naisf"/>
              <w:spacing w:before="0" w:after="0"/>
              <w:jc w:val="center"/>
            </w:pPr>
          </w:p>
        </w:tc>
        <w:tc>
          <w:tcPr>
            <w:tcW w:w="1305" w:type="dxa"/>
            <w:gridSpan w:val="2"/>
          </w:tcPr>
          <w:p w:rsidR="00425767" w:rsidRPr="00425767" w:rsidRDefault="00425767">
            <w:pPr>
              <w:pStyle w:val="naisf"/>
              <w:spacing w:before="0" w:after="0"/>
              <w:jc w:val="center"/>
            </w:pPr>
          </w:p>
        </w:tc>
        <w:tc>
          <w:tcPr>
            <w:tcW w:w="1305" w:type="dxa"/>
          </w:tcPr>
          <w:p w:rsidR="00425767" w:rsidRPr="00425767" w:rsidRDefault="00425767">
            <w:pPr>
              <w:pStyle w:val="naisf"/>
              <w:spacing w:before="0" w:after="0"/>
              <w:jc w:val="center"/>
            </w:pPr>
          </w:p>
        </w:tc>
        <w:tc>
          <w:tcPr>
            <w:tcW w:w="1305" w:type="dxa"/>
          </w:tcPr>
          <w:p w:rsidR="00425767" w:rsidRPr="00425767" w:rsidRDefault="00425767">
            <w:pPr>
              <w:pStyle w:val="naisf"/>
              <w:spacing w:before="0" w:after="0"/>
              <w:jc w:val="center"/>
            </w:pPr>
          </w:p>
        </w:tc>
        <w:tc>
          <w:tcPr>
            <w:tcW w:w="1419" w:type="dxa"/>
          </w:tcPr>
          <w:p w:rsidR="00425767" w:rsidRPr="00425767" w:rsidRDefault="00425767">
            <w:pPr>
              <w:pStyle w:val="naisf"/>
              <w:spacing w:before="0" w:after="0"/>
              <w:jc w:val="center"/>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 xml:space="preserve">2.3. pašvaldību budžets </w:t>
            </w:r>
          </w:p>
        </w:tc>
        <w:tc>
          <w:tcPr>
            <w:tcW w:w="1234" w:type="dxa"/>
            <w:gridSpan w:val="3"/>
          </w:tcPr>
          <w:p w:rsidR="00425767" w:rsidRPr="00425767" w:rsidRDefault="00425767">
            <w:pPr>
              <w:pStyle w:val="naisf"/>
              <w:spacing w:before="0" w:after="0"/>
              <w:jc w:val="center"/>
            </w:pPr>
          </w:p>
        </w:tc>
        <w:tc>
          <w:tcPr>
            <w:tcW w:w="1305" w:type="dxa"/>
            <w:gridSpan w:val="2"/>
          </w:tcPr>
          <w:p w:rsidR="00425767" w:rsidRPr="00425767" w:rsidRDefault="00425767">
            <w:pPr>
              <w:pStyle w:val="naisf"/>
              <w:spacing w:before="0" w:after="0"/>
              <w:jc w:val="center"/>
            </w:pPr>
          </w:p>
        </w:tc>
        <w:tc>
          <w:tcPr>
            <w:tcW w:w="1305" w:type="dxa"/>
          </w:tcPr>
          <w:p w:rsidR="00425767" w:rsidRPr="00425767" w:rsidRDefault="00425767">
            <w:pPr>
              <w:pStyle w:val="naisf"/>
              <w:spacing w:before="0" w:after="0"/>
              <w:jc w:val="center"/>
            </w:pPr>
          </w:p>
        </w:tc>
        <w:tc>
          <w:tcPr>
            <w:tcW w:w="1305" w:type="dxa"/>
          </w:tcPr>
          <w:p w:rsidR="00425767" w:rsidRPr="00425767" w:rsidRDefault="00425767">
            <w:pPr>
              <w:pStyle w:val="naisf"/>
              <w:spacing w:before="0" w:after="0"/>
              <w:jc w:val="center"/>
            </w:pPr>
          </w:p>
        </w:tc>
        <w:tc>
          <w:tcPr>
            <w:tcW w:w="1419" w:type="dxa"/>
          </w:tcPr>
          <w:p w:rsidR="00425767" w:rsidRPr="00425767" w:rsidRDefault="00425767">
            <w:pPr>
              <w:pStyle w:val="naisf"/>
              <w:spacing w:before="0" w:after="0"/>
              <w:jc w:val="center"/>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3. Finansiālā ietekme:</w:t>
            </w:r>
          </w:p>
        </w:tc>
        <w:tc>
          <w:tcPr>
            <w:tcW w:w="1234" w:type="dxa"/>
            <w:gridSpan w:val="3"/>
            <w:hideMark/>
          </w:tcPr>
          <w:p w:rsidR="00425767" w:rsidRPr="00425767" w:rsidRDefault="00425767">
            <w:pPr>
              <w:pStyle w:val="naisf"/>
              <w:spacing w:before="0" w:after="0"/>
              <w:jc w:val="center"/>
            </w:pPr>
            <w:r w:rsidRPr="00425767">
              <w:t>0</w:t>
            </w:r>
          </w:p>
        </w:tc>
        <w:tc>
          <w:tcPr>
            <w:tcW w:w="1305" w:type="dxa"/>
            <w:gridSpan w:val="2"/>
            <w:hideMark/>
          </w:tcPr>
          <w:p w:rsidR="00425767" w:rsidRPr="00425767" w:rsidRDefault="00425767">
            <w:pPr>
              <w:pStyle w:val="naisf"/>
              <w:spacing w:before="0" w:after="0"/>
              <w:jc w:val="center"/>
            </w:pPr>
            <w:r w:rsidRPr="00425767">
              <w:t>0</w:t>
            </w:r>
          </w:p>
        </w:tc>
        <w:tc>
          <w:tcPr>
            <w:tcW w:w="1305" w:type="dxa"/>
            <w:hideMark/>
          </w:tcPr>
          <w:p w:rsidR="00425767" w:rsidRPr="00425767" w:rsidRDefault="00425767">
            <w:pPr>
              <w:pStyle w:val="naisf"/>
              <w:spacing w:before="0" w:after="0"/>
              <w:jc w:val="center"/>
            </w:pPr>
            <w:r w:rsidRPr="00425767">
              <w:t>-9,5</w:t>
            </w:r>
          </w:p>
        </w:tc>
        <w:tc>
          <w:tcPr>
            <w:tcW w:w="1305" w:type="dxa"/>
            <w:hideMark/>
          </w:tcPr>
          <w:p w:rsidR="00425767" w:rsidRPr="00425767" w:rsidRDefault="00425767">
            <w:pPr>
              <w:pStyle w:val="naisf"/>
              <w:spacing w:before="0" w:after="0"/>
              <w:jc w:val="center"/>
            </w:pPr>
            <w:r w:rsidRPr="00425767">
              <w:t>-9,5</w:t>
            </w:r>
          </w:p>
        </w:tc>
        <w:tc>
          <w:tcPr>
            <w:tcW w:w="1419" w:type="dxa"/>
            <w:hideMark/>
          </w:tcPr>
          <w:p w:rsidR="00425767" w:rsidRPr="00425767" w:rsidRDefault="00425767">
            <w:pPr>
              <w:pStyle w:val="naisf"/>
              <w:spacing w:before="0" w:after="0"/>
              <w:jc w:val="center"/>
            </w:pPr>
            <w:r w:rsidRPr="00425767">
              <w:t>-9,5</w:t>
            </w: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3.1. valsts pamatbudžets</w:t>
            </w:r>
          </w:p>
        </w:tc>
        <w:tc>
          <w:tcPr>
            <w:tcW w:w="1234" w:type="dxa"/>
            <w:gridSpan w:val="3"/>
            <w:hideMark/>
          </w:tcPr>
          <w:p w:rsidR="00425767" w:rsidRPr="00425767" w:rsidRDefault="00425767">
            <w:pPr>
              <w:pStyle w:val="naisf"/>
              <w:spacing w:before="0" w:after="0"/>
              <w:jc w:val="center"/>
            </w:pPr>
            <w:r w:rsidRPr="00425767">
              <w:t>0</w:t>
            </w:r>
          </w:p>
        </w:tc>
        <w:tc>
          <w:tcPr>
            <w:tcW w:w="1305" w:type="dxa"/>
            <w:gridSpan w:val="2"/>
            <w:hideMark/>
          </w:tcPr>
          <w:p w:rsidR="00425767" w:rsidRPr="00425767" w:rsidRDefault="00425767">
            <w:pPr>
              <w:pStyle w:val="naisf"/>
              <w:spacing w:before="0" w:after="0"/>
              <w:jc w:val="center"/>
            </w:pPr>
            <w:r w:rsidRPr="00425767">
              <w:t>0</w:t>
            </w:r>
          </w:p>
        </w:tc>
        <w:tc>
          <w:tcPr>
            <w:tcW w:w="1305" w:type="dxa"/>
            <w:hideMark/>
          </w:tcPr>
          <w:p w:rsidR="00425767" w:rsidRPr="00425767" w:rsidRDefault="00425767">
            <w:pPr>
              <w:pStyle w:val="naisf"/>
              <w:spacing w:before="0" w:after="0"/>
              <w:jc w:val="center"/>
            </w:pPr>
            <w:r w:rsidRPr="00425767">
              <w:t>-9,5</w:t>
            </w:r>
          </w:p>
        </w:tc>
        <w:tc>
          <w:tcPr>
            <w:tcW w:w="1305" w:type="dxa"/>
            <w:hideMark/>
          </w:tcPr>
          <w:p w:rsidR="00425767" w:rsidRPr="00425767" w:rsidRDefault="00425767">
            <w:pPr>
              <w:pStyle w:val="naisf"/>
              <w:spacing w:before="0" w:after="0"/>
              <w:jc w:val="center"/>
            </w:pPr>
            <w:r w:rsidRPr="00425767">
              <w:t>-9,5</w:t>
            </w:r>
          </w:p>
        </w:tc>
        <w:tc>
          <w:tcPr>
            <w:tcW w:w="1419" w:type="dxa"/>
            <w:hideMark/>
          </w:tcPr>
          <w:p w:rsidR="00425767" w:rsidRPr="00425767" w:rsidRDefault="00425767">
            <w:pPr>
              <w:pStyle w:val="naisf"/>
              <w:spacing w:before="0" w:after="0"/>
              <w:jc w:val="center"/>
            </w:pPr>
            <w:r w:rsidRPr="00425767">
              <w:t>-9,5</w:t>
            </w: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3.2. speciālais budžets</w:t>
            </w:r>
          </w:p>
        </w:tc>
        <w:tc>
          <w:tcPr>
            <w:tcW w:w="1234" w:type="dxa"/>
            <w:gridSpan w:val="3"/>
          </w:tcPr>
          <w:p w:rsidR="00425767" w:rsidRPr="00425767" w:rsidRDefault="00425767">
            <w:pPr>
              <w:pStyle w:val="naisf"/>
              <w:spacing w:before="0" w:after="0"/>
            </w:pPr>
          </w:p>
        </w:tc>
        <w:tc>
          <w:tcPr>
            <w:tcW w:w="1305" w:type="dxa"/>
            <w:gridSpan w:val="2"/>
          </w:tcPr>
          <w:p w:rsidR="00425767" w:rsidRPr="00425767" w:rsidRDefault="00425767">
            <w:pPr>
              <w:pStyle w:val="naisf"/>
              <w:spacing w:before="0" w:after="0"/>
            </w:pPr>
          </w:p>
        </w:tc>
        <w:tc>
          <w:tcPr>
            <w:tcW w:w="1305" w:type="dxa"/>
          </w:tcPr>
          <w:p w:rsidR="00425767" w:rsidRPr="00425767" w:rsidRDefault="00425767">
            <w:pPr>
              <w:pStyle w:val="naisf"/>
              <w:spacing w:before="0" w:after="0"/>
            </w:pPr>
          </w:p>
        </w:tc>
        <w:tc>
          <w:tcPr>
            <w:tcW w:w="1305" w:type="dxa"/>
          </w:tcPr>
          <w:p w:rsidR="00425767" w:rsidRPr="00425767" w:rsidRDefault="00425767">
            <w:pPr>
              <w:pStyle w:val="naisf"/>
              <w:spacing w:before="0" w:after="0"/>
            </w:pPr>
          </w:p>
        </w:tc>
        <w:tc>
          <w:tcPr>
            <w:tcW w:w="1419" w:type="dxa"/>
          </w:tcPr>
          <w:p w:rsidR="00425767" w:rsidRPr="00425767" w:rsidRDefault="00425767">
            <w:pPr>
              <w:pStyle w:val="naisf"/>
              <w:spacing w:before="0" w:after="0"/>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rPr>
                <w:rFonts w:eastAsia="Times New Roman" w:cs="Times New Roman"/>
                <w:sz w:val="24"/>
                <w:szCs w:val="24"/>
                <w:lang w:eastAsia="lv-LV"/>
              </w:rPr>
            </w:pPr>
            <w:r w:rsidRPr="00425767">
              <w:rPr>
                <w:rFonts w:eastAsia="Times New Roman" w:cs="Times New Roman"/>
                <w:sz w:val="24"/>
                <w:szCs w:val="24"/>
                <w:lang w:eastAsia="lv-LV"/>
              </w:rPr>
              <w:t xml:space="preserve">3.3. pašvaldību budžets </w:t>
            </w:r>
          </w:p>
        </w:tc>
        <w:tc>
          <w:tcPr>
            <w:tcW w:w="1234" w:type="dxa"/>
            <w:gridSpan w:val="3"/>
          </w:tcPr>
          <w:p w:rsidR="00425767" w:rsidRPr="00425767" w:rsidRDefault="00425767">
            <w:pPr>
              <w:pStyle w:val="naisf"/>
              <w:spacing w:before="0" w:after="0"/>
            </w:pPr>
          </w:p>
        </w:tc>
        <w:tc>
          <w:tcPr>
            <w:tcW w:w="1305" w:type="dxa"/>
            <w:gridSpan w:val="2"/>
          </w:tcPr>
          <w:p w:rsidR="00425767" w:rsidRPr="00425767" w:rsidRDefault="00425767">
            <w:pPr>
              <w:pStyle w:val="naisf"/>
              <w:spacing w:before="0" w:after="0"/>
            </w:pPr>
          </w:p>
        </w:tc>
        <w:tc>
          <w:tcPr>
            <w:tcW w:w="1305" w:type="dxa"/>
          </w:tcPr>
          <w:p w:rsidR="00425767" w:rsidRPr="00425767" w:rsidRDefault="00425767">
            <w:pPr>
              <w:pStyle w:val="naisf"/>
              <w:spacing w:before="0" w:after="0"/>
            </w:pPr>
          </w:p>
        </w:tc>
        <w:tc>
          <w:tcPr>
            <w:tcW w:w="1305" w:type="dxa"/>
          </w:tcPr>
          <w:p w:rsidR="00425767" w:rsidRPr="00425767" w:rsidRDefault="00425767">
            <w:pPr>
              <w:pStyle w:val="naisf"/>
              <w:spacing w:before="0" w:after="0"/>
            </w:pPr>
          </w:p>
        </w:tc>
        <w:tc>
          <w:tcPr>
            <w:tcW w:w="1419" w:type="dxa"/>
          </w:tcPr>
          <w:p w:rsidR="00425767" w:rsidRPr="00425767" w:rsidRDefault="00425767">
            <w:pPr>
              <w:pStyle w:val="naisf"/>
              <w:spacing w:before="0" w:after="0"/>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vMerge w:val="restart"/>
            <w:hideMark/>
          </w:tcPr>
          <w:p w:rsidR="00425767" w:rsidRPr="00425767" w:rsidRDefault="00425767">
            <w:pPr>
              <w:jc w:val="both"/>
              <w:rPr>
                <w:rFonts w:eastAsia="Times New Roman" w:cs="Times New Roman"/>
                <w:sz w:val="24"/>
                <w:szCs w:val="24"/>
                <w:lang w:eastAsia="lv-LV"/>
              </w:rPr>
            </w:pPr>
            <w:r w:rsidRPr="00425767">
              <w:rPr>
                <w:rFonts w:eastAsia="Times New Roman" w:cs="Times New Roman"/>
                <w:sz w:val="24"/>
                <w:szCs w:val="24"/>
                <w:lang w:eastAsia="lv-LV"/>
              </w:rPr>
              <w:t>4. Finanšu līdzekļi papildu izde</w:t>
            </w:r>
            <w:r w:rsidRPr="00425767">
              <w:rPr>
                <w:rFonts w:eastAsia="Times New Roman" w:cs="Times New Roman"/>
                <w:sz w:val="24"/>
                <w:szCs w:val="24"/>
                <w:lang w:eastAsia="lv-LV"/>
              </w:rPr>
              <w:softHyphen/>
              <w:t>vumu finansēšanai (kompensējošu izdevumu samazinājumu norāda ar "+" zīmi)</w:t>
            </w:r>
          </w:p>
          <w:p w:rsidR="00425767" w:rsidRPr="00425767" w:rsidRDefault="00425767">
            <w:pPr>
              <w:jc w:val="both"/>
              <w:rPr>
                <w:rFonts w:eastAsia="Times New Roman" w:cs="Times New Roman"/>
                <w:sz w:val="24"/>
                <w:szCs w:val="24"/>
                <w:lang w:eastAsia="lv-LV"/>
              </w:rPr>
            </w:pPr>
            <w:r w:rsidRPr="00425767">
              <w:rPr>
                <w:rFonts w:eastAsia="Times New Roman" w:cs="Times New Roman"/>
                <w:sz w:val="24"/>
                <w:szCs w:val="24"/>
                <w:lang w:eastAsia="lv-LV"/>
              </w:rPr>
              <w:t xml:space="preserve">Papildus izdevumi tiks segti esošā </w:t>
            </w:r>
            <w:r w:rsidRPr="00425767">
              <w:rPr>
                <w:rFonts w:eastAsia="Times New Roman" w:cs="Times New Roman"/>
                <w:sz w:val="24"/>
                <w:szCs w:val="24"/>
                <w:lang w:eastAsia="lv-LV"/>
              </w:rPr>
              <w:lastRenderedPageBreak/>
              <w:t xml:space="preserve">budžeta ietvaros līdzekļu ekonomijas rezultātā.  </w:t>
            </w:r>
          </w:p>
        </w:tc>
        <w:tc>
          <w:tcPr>
            <w:tcW w:w="1234" w:type="dxa"/>
            <w:gridSpan w:val="3"/>
            <w:vMerge w:val="restart"/>
            <w:hideMark/>
          </w:tcPr>
          <w:p w:rsidR="00425767" w:rsidRPr="00425767" w:rsidRDefault="00425767">
            <w:pPr>
              <w:pStyle w:val="naisf"/>
              <w:spacing w:before="0" w:after="0"/>
              <w:jc w:val="center"/>
            </w:pPr>
            <w:r w:rsidRPr="00425767">
              <w:lastRenderedPageBreak/>
              <w:t>X</w:t>
            </w:r>
          </w:p>
        </w:tc>
        <w:tc>
          <w:tcPr>
            <w:tcW w:w="1305" w:type="dxa"/>
            <w:gridSpan w:val="2"/>
            <w:hideMark/>
          </w:tcPr>
          <w:p w:rsidR="00425767" w:rsidRPr="00425767" w:rsidRDefault="00425767">
            <w:pPr>
              <w:pStyle w:val="naisf"/>
              <w:spacing w:before="0" w:after="0"/>
              <w:jc w:val="center"/>
            </w:pPr>
            <w:r w:rsidRPr="00425767">
              <w:t>0</w:t>
            </w:r>
          </w:p>
        </w:tc>
        <w:tc>
          <w:tcPr>
            <w:tcW w:w="1305" w:type="dxa"/>
            <w:hideMark/>
          </w:tcPr>
          <w:p w:rsidR="00425767" w:rsidRPr="00425767" w:rsidRDefault="00425767">
            <w:pPr>
              <w:pStyle w:val="naisf"/>
              <w:spacing w:before="0" w:after="0"/>
              <w:jc w:val="center"/>
            </w:pPr>
            <w:r w:rsidRPr="00425767">
              <w:t>9,5</w:t>
            </w:r>
          </w:p>
        </w:tc>
        <w:tc>
          <w:tcPr>
            <w:tcW w:w="1305" w:type="dxa"/>
            <w:hideMark/>
          </w:tcPr>
          <w:p w:rsidR="00425767" w:rsidRPr="00425767" w:rsidRDefault="00425767">
            <w:pPr>
              <w:pStyle w:val="naisf"/>
              <w:spacing w:before="0" w:after="0"/>
              <w:jc w:val="center"/>
            </w:pPr>
            <w:r w:rsidRPr="00425767">
              <w:t>9,5</w:t>
            </w:r>
          </w:p>
        </w:tc>
        <w:tc>
          <w:tcPr>
            <w:tcW w:w="1419" w:type="dxa"/>
            <w:hideMark/>
          </w:tcPr>
          <w:p w:rsidR="00425767" w:rsidRPr="00425767" w:rsidRDefault="00425767">
            <w:pPr>
              <w:pStyle w:val="naisf"/>
              <w:spacing w:before="0" w:after="0"/>
              <w:jc w:val="center"/>
            </w:pPr>
            <w:r w:rsidRPr="00425767">
              <w:t>9,5</w:t>
            </w: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vMerge/>
            <w:vAlign w:val="center"/>
            <w:hideMark/>
          </w:tcPr>
          <w:p w:rsidR="00425767" w:rsidRPr="00425767" w:rsidRDefault="00425767">
            <w:pPr>
              <w:rPr>
                <w:rFonts w:eastAsia="Times New Roman" w:cs="Times New Roman"/>
                <w:sz w:val="24"/>
                <w:szCs w:val="24"/>
                <w:lang w:eastAsia="lv-LV"/>
              </w:rPr>
            </w:pPr>
          </w:p>
        </w:tc>
        <w:tc>
          <w:tcPr>
            <w:tcW w:w="0" w:type="auto"/>
            <w:gridSpan w:val="3"/>
            <w:vMerge/>
            <w:vAlign w:val="center"/>
            <w:hideMark/>
          </w:tcPr>
          <w:p w:rsidR="00425767" w:rsidRPr="00425767" w:rsidRDefault="00425767">
            <w:pPr>
              <w:rPr>
                <w:rFonts w:eastAsia="Times New Roman" w:cs="Times New Roman"/>
                <w:sz w:val="24"/>
                <w:szCs w:val="24"/>
                <w:lang w:eastAsia="lv-LV"/>
              </w:rPr>
            </w:pPr>
          </w:p>
        </w:tc>
        <w:tc>
          <w:tcPr>
            <w:tcW w:w="1305" w:type="dxa"/>
            <w:gridSpan w:val="2"/>
          </w:tcPr>
          <w:p w:rsidR="00425767" w:rsidRPr="00425767" w:rsidRDefault="00425767">
            <w:pPr>
              <w:pStyle w:val="naisf"/>
              <w:spacing w:before="0" w:after="0"/>
              <w:jc w:val="center"/>
            </w:pPr>
          </w:p>
        </w:tc>
        <w:tc>
          <w:tcPr>
            <w:tcW w:w="1305" w:type="dxa"/>
          </w:tcPr>
          <w:p w:rsidR="00425767" w:rsidRPr="00425767" w:rsidRDefault="00425767">
            <w:pPr>
              <w:pStyle w:val="naisf"/>
              <w:spacing w:before="0" w:after="0"/>
              <w:jc w:val="center"/>
            </w:pPr>
          </w:p>
        </w:tc>
        <w:tc>
          <w:tcPr>
            <w:tcW w:w="1305" w:type="dxa"/>
          </w:tcPr>
          <w:p w:rsidR="00425767" w:rsidRPr="00425767" w:rsidRDefault="00425767">
            <w:pPr>
              <w:pStyle w:val="naisf"/>
              <w:spacing w:before="0" w:after="0"/>
              <w:jc w:val="center"/>
            </w:pPr>
          </w:p>
        </w:tc>
        <w:tc>
          <w:tcPr>
            <w:tcW w:w="1419" w:type="dxa"/>
          </w:tcPr>
          <w:p w:rsidR="00425767" w:rsidRPr="00425767" w:rsidRDefault="00425767">
            <w:pPr>
              <w:pStyle w:val="naisf"/>
              <w:spacing w:before="0" w:after="0"/>
              <w:jc w:val="center"/>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vMerge/>
            <w:vAlign w:val="center"/>
            <w:hideMark/>
          </w:tcPr>
          <w:p w:rsidR="00425767" w:rsidRPr="00425767" w:rsidRDefault="00425767">
            <w:pPr>
              <w:rPr>
                <w:rFonts w:eastAsia="Times New Roman" w:cs="Times New Roman"/>
                <w:sz w:val="24"/>
                <w:szCs w:val="24"/>
                <w:lang w:eastAsia="lv-LV"/>
              </w:rPr>
            </w:pPr>
          </w:p>
        </w:tc>
        <w:tc>
          <w:tcPr>
            <w:tcW w:w="0" w:type="auto"/>
            <w:gridSpan w:val="3"/>
            <w:vMerge/>
            <w:vAlign w:val="center"/>
            <w:hideMark/>
          </w:tcPr>
          <w:p w:rsidR="00425767" w:rsidRPr="00425767" w:rsidRDefault="00425767">
            <w:pPr>
              <w:rPr>
                <w:rFonts w:eastAsia="Times New Roman" w:cs="Times New Roman"/>
                <w:sz w:val="24"/>
                <w:szCs w:val="24"/>
                <w:lang w:eastAsia="lv-LV"/>
              </w:rPr>
            </w:pPr>
          </w:p>
        </w:tc>
        <w:tc>
          <w:tcPr>
            <w:tcW w:w="1305" w:type="dxa"/>
            <w:gridSpan w:val="2"/>
          </w:tcPr>
          <w:p w:rsidR="00425767" w:rsidRPr="00425767" w:rsidRDefault="00425767">
            <w:pPr>
              <w:pStyle w:val="naisf"/>
              <w:spacing w:before="0" w:after="0"/>
              <w:jc w:val="center"/>
            </w:pPr>
          </w:p>
        </w:tc>
        <w:tc>
          <w:tcPr>
            <w:tcW w:w="1305" w:type="dxa"/>
          </w:tcPr>
          <w:p w:rsidR="00425767" w:rsidRPr="00425767" w:rsidRDefault="00425767">
            <w:pPr>
              <w:pStyle w:val="naisf"/>
              <w:spacing w:before="0" w:after="0"/>
              <w:jc w:val="center"/>
            </w:pPr>
          </w:p>
        </w:tc>
        <w:tc>
          <w:tcPr>
            <w:tcW w:w="1305" w:type="dxa"/>
          </w:tcPr>
          <w:p w:rsidR="00425767" w:rsidRPr="00425767" w:rsidRDefault="00425767">
            <w:pPr>
              <w:pStyle w:val="naisf"/>
              <w:spacing w:before="0" w:after="0"/>
              <w:jc w:val="center"/>
            </w:pPr>
          </w:p>
        </w:tc>
        <w:tc>
          <w:tcPr>
            <w:tcW w:w="1419" w:type="dxa"/>
          </w:tcPr>
          <w:p w:rsidR="00425767" w:rsidRPr="00425767" w:rsidRDefault="00425767">
            <w:pPr>
              <w:pStyle w:val="naisf"/>
              <w:spacing w:before="0" w:after="0"/>
              <w:jc w:val="center"/>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jc w:val="both"/>
              <w:rPr>
                <w:rFonts w:eastAsia="Times New Roman" w:cs="Times New Roman"/>
                <w:sz w:val="24"/>
                <w:szCs w:val="24"/>
                <w:lang w:eastAsia="lv-LV"/>
              </w:rPr>
            </w:pPr>
            <w:r w:rsidRPr="00425767">
              <w:rPr>
                <w:rFonts w:eastAsia="Times New Roman" w:cs="Times New Roman"/>
                <w:sz w:val="24"/>
                <w:szCs w:val="24"/>
                <w:lang w:eastAsia="lv-LV"/>
              </w:rPr>
              <w:lastRenderedPageBreak/>
              <w:t>5. Precizēta finansiālā ietekme:</w:t>
            </w:r>
          </w:p>
        </w:tc>
        <w:tc>
          <w:tcPr>
            <w:tcW w:w="1234" w:type="dxa"/>
            <w:gridSpan w:val="3"/>
            <w:vMerge w:val="restart"/>
            <w:hideMark/>
          </w:tcPr>
          <w:p w:rsidR="00425767" w:rsidRPr="00425767" w:rsidRDefault="00425767">
            <w:pPr>
              <w:pStyle w:val="naisf"/>
              <w:spacing w:before="0" w:after="0"/>
              <w:jc w:val="center"/>
            </w:pPr>
            <w:r w:rsidRPr="00425767">
              <w:t>X</w:t>
            </w:r>
          </w:p>
        </w:tc>
        <w:tc>
          <w:tcPr>
            <w:tcW w:w="1305" w:type="dxa"/>
            <w:gridSpan w:val="2"/>
            <w:hideMark/>
          </w:tcPr>
          <w:p w:rsidR="00425767" w:rsidRPr="00425767" w:rsidRDefault="00425767">
            <w:pPr>
              <w:pStyle w:val="naisf"/>
              <w:spacing w:before="0" w:after="0"/>
              <w:jc w:val="center"/>
            </w:pPr>
            <w:r w:rsidRPr="00425767">
              <w:t>0</w:t>
            </w:r>
          </w:p>
        </w:tc>
        <w:tc>
          <w:tcPr>
            <w:tcW w:w="1305" w:type="dxa"/>
            <w:hideMark/>
          </w:tcPr>
          <w:p w:rsidR="00425767" w:rsidRPr="00425767" w:rsidRDefault="00425767">
            <w:pPr>
              <w:pStyle w:val="naisf"/>
              <w:spacing w:before="0" w:after="0"/>
              <w:jc w:val="center"/>
            </w:pPr>
            <w:r w:rsidRPr="00425767">
              <w:t>0</w:t>
            </w:r>
          </w:p>
        </w:tc>
        <w:tc>
          <w:tcPr>
            <w:tcW w:w="1305" w:type="dxa"/>
            <w:hideMark/>
          </w:tcPr>
          <w:p w:rsidR="00425767" w:rsidRPr="00425767" w:rsidRDefault="00425767">
            <w:pPr>
              <w:pStyle w:val="naisf"/>
              <w:spacing w:before="0" w:after="0"/>
              <w:jc w:val="center"/>
            </w:pPr>
            <w:r w:rsidRPr="00425767">
              <w:t>0</w:t>
            </w:r>
          </w:p>
        </w:tc>
        <w:tc>
          <w:tcPr>
            <w:tcW w:w="1419" w:type="dxa"/>
            <w:hideMark/>
          </w:tcPr>
          <w:p w:rsidR="00425767" w:rsidRPr="00425767" w:rsidRDefault="00425767">
            <w:pPr>
              <w:pStyle w:val="naisf"/>
              <w:spacing w:before="0" w:after="0"/>
              <w:jc w:val="center"/>
            </w:pPr>
            <w:r w:rsidRPr="00425767">
              <w:t>0</w:t>
            </w: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jc w:val="both"/>
              <w:rPr>
                <w:rFonts w:eastAsia="Times New Roman" w:cs="Times New Roman"/>
                <w:sz w:val="24"/>
                <w:szCs w:val="24"/>
                <w:lang w:eastAsia="lv-LV"/>
              </w:rPr>
            </w:pPr>
            <w:r w:rsidRPr="00425767">
              <w:rPr>
                <w:rFonts w:eastAsia="Times New Roman" w:cs="Times New Roman"/>
                <w:sz w:val="24"/>
                <w:szCs w:val="24"/>
                <w:lang w:eastAsia="lv-LV"/>
              </w:rPr>
              <w:t>5.1. valsts pamatbudžets</w:t>
            </w:r>
          </w:p>
        </w:tc>
        <w:tc>
          <w:tcPr>
            <w:tcW w:w="0" w:type="auto"/>
            <w:gridSpan w:val="3"/>
            <w:vMerge/>
            <w:vAlign w:val="center"/>
            <w:hideMark/>
          </w:tcPr>
          <w:p w:rsidR="00425767" w:rsidRPr="00425767" w:rsidRDefault="00425767">
            <w:pPr>
              <w:rPr>
                <w:rFonts w:eastAsia="Times New Roman" w:cs="Times New Roman"/>
                <w:sz w:val="24"/>
                <w:szCs w:val="24"/>
                <w:lang w:eastAsia="lv-LV"/>
              </w:rPr>
            </w:pPr>
          </w:p>
        </w:tc>
        <w:tc>
          <w:tcPr>
            <w:tcW w:w="1305" w:type="dxa"/>
            <w:gridSpan w:val="2"/>
            <w:hideMark/>
          </w:tcPr>
          <w:p w:rsidR="00425767" w:rsidRPr="00425767" w:rsidRDefault="00425767">
            <w:pPr>
              <w:pStyle w:val="naisf"/>
              <w:spacing w:before="0" w:after="0"/>
              <w:jc w:val="center"/>
            </w:pPr>
            <w:r w:rsidRPr="00425767">
              <w:t>0</w:t>
            </w:r>
          </w:p>
        </w:tc>
        <w:tc>
          <w:tcPr>
            <w:tcW w:w="1305" w:type="dxa"/>
            <w:hideMark/>
          </w:tcPr>
          <w:p w:rsidR="00425767" w:rsidRPr="00425767" w:rsidRDefault="00425767">
            <w:pPr>
              <w:pStyle w:val="naisf"/>
              <w:spacing w:before="0" w:after="0"/>
              <w:jc w:val="center"/>
            </w:pPr>
            <w:r w:rsidRPr="00425767">
              <w:t>0</w:t>
            </w:r>
          </w:p>
        </w:tc>
        <w:tc>
          <w:tcPr>
            <w:tcW w:w="1305" w:type="dxa"/>
            <w:hideMark/>
          </w:tcPr>
          <w:p w:rsidR="00425767" w:rsidRPr="00425767" w:rsidRDefault="00425767">
            <w:pPr>
              <w:pStyle w:val="naisf"/>
              <w:spacing w:before="0" w:after="0"/>
              <w:jc w:val="center"/>
            </w:pPr>
            <w:r w:rsidRPr="00425767">
              <w:t>0</w:t>
            </w:r>
          </w:p>
        </w:tc>
        <w:tc>
          <w:tcPr>
            <w:tcW w:w="1419" w:type="dxa"/>
            <w:hideMark/>
          </w:tcPr>
          <w:p w:rsidR="00425767" w:rsidRPr="00425767" w:rsidRDefault="00425767">
            <w:pPr>
              <w:pStyle w:val="naisf"/>
              <w:spacing w:before="0" w:after="0"/>
              <w:jc w:val="center"/>
            </w:pPr>
            <w:r w:rsidRPr="00425767">
              <w:t>0</w:t>
            </w: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jc w:val="both"/>
              <w:rPr>
                <w:rFonts w:eastAsia="Times New Roman" w:cs="Times New Roman"/>
                <w:sz w:val="24"/>
                <w:szCs w:val="24"/>
                <w:lang w:eastAsia="lv-LV"/>
              </w:rPr>
            </w:pPr>
            <w:r w:rsidRPr="00425767">
              <w:rPr>
                <w:rFonts w:eastAsia="Times New Roman" w:cs="Times New Roman"/>
                <w:sz w:val="24"/>
                <w:szCs w:val="24"/>
                <w:lang w:eastAsia="lv-LV"/>
              </w:rPr>
              <w:t>5.2. speciālais budžets</w:t>
            </w:r>
          </w:p>
        </w:tc>
        <w:tc>
          <w:tcPr>
            <w:tcW w:w="0" w:type="auto"/>
            <w:gridSpan w:val="3"/>
            <w:vMerge/>
            <w:vAlign w:val="center"/>
            <w:hideMark/>
          </w:tcPr>
          <w:p w:rsidR="00425767" w:rsidRPr="00425767" w:rsidRDefault="00425767">
            <w:pPr>
              <w:rPr>
                <w:rFonts w:eastAsia="Times New Roman" w:cs="Times New Roman"/>
                <w:sz w:val="24"/>
                <w:szCs w:val="24"/>
                <w:lang w:eastAsia="lv-LV"/>
              </w:rPr>
            </w:pPr>
          </w:p>
        </w:tc>
        <w:tc>
          <w:tcPr>
            <w:tcW w:w="1305" w:type="dxa"/>
            <w:gridSpan w:val="2"/>
          </w:tcPr>
          <w:p w:rsidR="00425767" w:rsidRPr="00425767" w:rsidRDefault="00425767">
            <w:pPr>
              <w:pStyle w:val="naisf"/>
              <w:spacing w:before="0" w:after="0"/>
            </w:pPr>
          </w:p>
        </w:tc>
        <w:tc>
          <w:tcPr>
            <w:tcW w:w="1305" w:type="dxa"/>
          </w:tcPr>
          <w:p w:rsidR="00425767" w:rsidRPr="00425767" w:rsidRDefault="00425767">
            <w:pPr>
              <w:pStyle w:val="naisf"/>
              <w:spacing w:before="0" w:after="0"/>
            </w:pPr>
          </w:p>
        </w:tc>
        <w:tc>
          <w:tcPr>
            <w:tcW w:w="1305" w:type="dxa"/>
          </w:tcPr>
          <w:p w:rsidR="00425767" w:rsidRPr="00425767" w:rsidRDefault="00425767">
            <w:pPr>
              <w:pStyle w:val="naisf"/>
              <w:spacing w:before="0" w:after="0"/>
            </w:pPr>
          </w:p>
        </w:tc>
        <w:tc>
          <w:tcPr>
            <w:tcW w:w="1419" w:type="dxa"/>
          </w:tcPr>
          <w:p w:rsidR="00425767" w:rsidRPr="00425767" w:rsidRDefault="00425767">
            <w:pPr>
              <w:pStyle w:val="naisf"/>
              <w:spacing w:before="0" w:after="0"/>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jc w:val="both"/>
              <w:rPr>
                <w:rFonts w:eastAsia="Times New Roman" w:cs="Times New Roman"/>
                <w:sz w:val="24"/>
                <w:szCs w:val="24"/>
                <w:lang w:eastAsia="lv-LV"/>
              </w:rPr>
            </w:pPr>
            <w:r w:rsidRPr="00425767">
              <w:rPr>
                <w:rFonts w:eastAsia="Times New Roman" w:cs="Times New Roman"/>
                <w:sz w:val="24"/>
                <w:szCs w:val="24"/>
                <w:lang w:eastAsia="lv-LV"/>
              </w:rPr>
              <w:t xml:space="preserve">5.3. pašvaldību budžets </w:t>
            </w:r>
          </w:p>
        </w:tc>
        <w:tc>
          <w:tcPr>
            <w:tcW w:w="0" w:type="auto"/>
            <w:gridSpan w:val="3"/>
            <w:vMerge/>
            <w:vAlign w:val="center"/>
            <w:hideMark/>
          </w:tcPr>
          <w:p w:rsidR="00425767" w:rsidRPr="00425767" w:rsidRDefault="00425767">
            <w:pPr>
              <w:rPr>
                <w:rFonts w:eastAsia="Times New Roman" w:cs="Times New Roman"/>
                <w:sz w:val="24"/>
                <w:szCs w:val="24"/>
                <w:lang w:eastAsia="lv-LV"/>
              </w:rPr>
            </w:pPr>
          </w:p>
        </w:tc>
        <w:tc>
          <w:tcPr>
            <w:tcW w:w="1305" w:type="dxa"/>
            <w:gridSpan w:val="2"/>
          </w:tcPr>
          <w:p w:rsidR="00425767" w:rsidRPr="00425767" w:rsidRDefault="00425767">
            <w:pPr>
              <w:pStyle w:val="naisf"/>
              <w:spacing w:before="0" w:after="0"/>
            </w:pPr>
          </w:p>
        </w:tc>
        <w:tc>
          <w:tcPr>
            <w:tcW w:w="1305" w:type="dxa"/>
          </w:tcPr>
          <w:p w:rsidR="00425767" w:rsidRPr="00425767" w:rsidRDefault="00425767">
            <w:pPr>
              <w:pStyle w:val="naisf"/>
              <w:spacing w:before="0" w:after="0"/>
            </w:pPr>
          </w:p>
        </w:tc>
        <w:tc>
          <w:tcPr>
            <w:tcW w:w="1305" w:type="dxa"/>
          </w:tcPr>
          <w:p w:rsidR="00425767" w:rsidRPr="00425767" w:rsidRDefault="00425767">
            <w:pPr>
              <w:pStyle w:val="naisf"/>
              <w:spacing w:before="0" w:after="0"/>
            </w:pPr>
          </w:p>
        </w:tc>
        <w:tc>
          <w:tcPr>
            <w:tcW w:w="1419" w:type="dxa"/>
          </w:tcPr>
          <w:p w:rsidR="00425767" w:rsidRPr="00425767" w:rsidRDefault="00425767">
            <w:pPr>
              <w:pStyle w:val="naisf"/>
              <w:spacing w:before="0" w:after="0"/>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jc w:val="both"/>
              <w:rPr>
                <w:rFonts w:eastAsia="Times New Roman" w:cs="Times New Roman"/>
                <w:sz w:val="24"/>
                <w:szCs w:val="24"/>
                <w:lang w:eastAsia="lv-LV"/>
              </w:rPr>
            </w:pPr>
            <w:r w:rsidRPr="00425767">
              <w:rPr>
                <w:rFonts w:eastAsia="Times New Roman" w:cs="Times New Roman"/>
                <w:sz w:val="24"/>
                <w:szCs w:val="24"/>
                <w:lang w:eastAsia="lv-LV"/>
              </w:rPr>
              <w:t>6. Detalizēts ieņēmumu un izdevu</w:t>
            </w:r>
            <w:r w:rsidRPr="00425767">
              <w:rPr>
                <w:rFonts w:eastAsia="Times New Roman" w:cs="Times New Roman"/>
                <w:sz w:val="24"/>
                <w:szCs w:val="24"/>
                <w:lang w:eastAsia="lv-LV"/>
              </w:rPr>
              <w:softHyphen/>
              <w:t>mu aprēķins (ja nepieciešams, detalizētu ieņēmumu un izdevumu aprēķinu var pievienot anotācijas pielikumā):</w:t>
            </w:r>
          </w:p>
        </w:tc>
        <w:tc>
          <w:tcPr>
            <w:tcW w:w="6568" w:type="dxa"/>
            <w:gridSpan w:val="8"/>
            <w:vMerge w:val="restart"/>
          </w:tcPr>
          <w:p w:rsidR="00425767" w:rsidRDefault="00425767" w:rsidP="00A44EA9">
            <w:pPr>
              <w:pStyle w:val="naisf"/>
              <w:spacing w:before="0" w:beforeAutospacing="0" w:after="0" w:afterAutospacing="0"/>
              <w:jc w:val="both"/>
            </w:pPr>
            <w:r w:rsidRPr="00425767">
              <w:t>Valsts probācijas dienestam darbinieku veselības apdrošināšanai likumā „Par valsts budžetu 2011.gadam” finansējums nav paredzēts.</w:t>
            </w:r>
          </w:p>
          <w:p w:rsidR="008027C4" w:rsidRPr="00425767" w:rsidRDefault="008027C4" w:rsidP="00A44EA9">
            <w:pPr>
              <w:pStyle w:val="naisf"/>
              <w:tabs>
                <w:tab w:val="left" w:pos="4644"/>
              </w:tabs>
              <w:spacing w:before="0" w:beforeAutospacing="0" w:after="0" w:afterAutospacing="0"/>
              <w:jc w:val="both"/>
            </w:pPr>
            <w:r w:rsidRPr="00425767">
              <w:t xml:space="preserve">Valsts probācijas dienestam iespēja apdrošināt  darbiniekus, kas pakļauti riskam pret nelaimes gadījumiem izmaksā: 30Ls (vidējā apdrošināšanas summa) x 317(darbinieki) = 9 510 Ls. </w:t>
            </w:r>
          </w:p>
          <w:p w:rsidR="008027C4" w:rsidRPr="00425767" w:rsidRDefault="008027C4" w:rsidP="00A44EA9">
            <w:pPr>
              <w:pStyle w:val="naisf"/>
              <w:tabs>
                <w:tab w:val="left" w:pos="4644"/>
              </w:tabs>
              <w:spacing w:before="0" w:beforeAutospacing="0" w:after="0" w:afterAutospacing="0"/>
              <w:jc w:val="both"/>
            </w:pPr>
            <w:r w:rsidRPr="00425767">
              <w:t>Darbinieku apdrošināšana pret nelaimes gadījumiem tiks nodrošināta Valsts probācijas dienesta budžeta ietvaros līdzekļu ekonomijas rezultātā, veicot iekšējo līdzekļu pārdali.</w:t>
            </w:r>
          </w:p>
          <w:p w:rsidR="008027C4" w:rsidRPr="00425767" w:rsidRDefault="008027C4" w:rsidP="008027C4">
            <w:pPr>
              <w:pStyle w:val="naisf"/>
              <w:spacing w:before="0" w:beforeAutospacing="0" w:after="0" w:afterAutospacing="0"/>
            </w:pPr>
          </w:p>
          <w:p w:rsidR="00425767" w:rsidRPr="00425767" w:rsidRDefault="00425767" w:rsidP="008027C4">
            <w:pPr>
              <w:pStyle w:val="naisf"/>
              <w:spacing w:before="0" w:beforeAutospacing="0" w:after="0" w:afterAutospacing="0"/>
            </w:pPr>
            <w:r w:rsidRPr="00425767">
              <w:t xml:space="preserve"> </w:t>
            </w:r>
          </w:p>
          <w:p w:rsidR="00425767" w:rsidRPr="00425767" w:rsidRDefault="00425767">
            <w:pPr>
              <w:pStyle w:val="naisf"/>
              <w:spacing w:before="0" w:after="0"/>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hideMark/>
          </w:tcPr>
          <w:p w:rsidR="00425767" w:rsidRPr="00425767" w:rsidRDefault="00425767">
            <w:pPr>
              <w:jc w:val="both"/>
              <w:rPr>
                <w:rFonts w:eastAsia="Times New Roman" w:cs="Times New Roman"/>
                <w:sz w:val="24"/>
                <w:szCs w:val="24"/>
                <w:lang w:eastAsia="lv-LV"/>
              </w:rPr>
            </w:pPr>
            <w:r w:rsidRPr="00425767">
              <w:rPr>
                <w:rFonts w:eastAsia="Times New Roman" w:cs="Times New Roman"/>
                <w:sz w:val="24"/>
                <w:szCs w:val="24"/>
                <w:lang w:eastAsia="lv-LV"/>
              </w:rPr>
              <w:t>6.1.detalizēts ieņēmumu aprēķins</w:t>
            </w:r>
          </w:p>
        </w:tc>
        <w:tc>
          <w:tcPr>
            <w:tcW w:w="6568" w:type="dxa"/>
            <w:gridSpan w:val="8"/>
            <w:vMerge/>
            <w:vAlign w:val="center"/>
            <w:hideMark/>
          </w:tcPr>
          <w:p w:rsidR="00425767" w:rsidRPr="00425767" w:rsidRDefault="00425767">
            <w:pPr>
              <w:rPr>
                <w:rFonts w:eastAsia="Times New Roman" w:cs="Times New Roman"/>
                <w:sz w:val="24"/>
                <w:szCs w:val="24"/>
                <w:lang w:eastAsia="lv-LV"/>
              </w:rPr>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tcBorders>
              <w:bottom w:val="inset" w:sz="6" w:space="0" w:color="auto"/>
            </w:tcBorders>
            <w:hideMark/>
          </w:tcPr>
          <w:p w:rsidR="00425767" w:rsidRPr="00425767" w:rsidRDefault="00425767">
            <w:pPr>
              <w:jc w:val="both"/>
              <w:rPr>
                <w:rFonts w:eastAsia="Times New Roman" w:cs="Times New Roman"/>
                <w:sz w:val="24"/>
                <w:szCs w:val="24"/>
                <w:lang w:eastAsia="lv-LV"/>
              </w:rPr>
            </w:pPr>
            <w:r w:rsidRPr="00425767">
              <w:rPr>
                <w:rFonts w:eastAsia="Times New Roman" w:cs="Times New Roman"/>
                <w:sz w:val="24"/>
                <w:szCs w:val="24"/>
                <w:lang w:eastAsia="lv-LV"/>
              </w:rPr>
              <w:t>6.2.detalizēts izdevumu aprēķins</w:t>
            </w:r>
          </w:p>
        </w:tc>
        <w:tc>
          <w:tcPr>
            <w:tcW w:w="6568" w:type="dxa"/>
            <w:gridSpan w:val="8"/>
            <w:vMerge/>
            <w:tcBorders>
              <w:bottom w:val="inset" w:sz="6" w:space="0" w:color="auto"/>
            </w:tcBorders>
            <w:vAlign w:val="center"/>
            <w:hideMark/>
          </w:tcPr>
          <w:p w:rsidR="00425767" w:rsidRPr="00425767" w:rsidRDefault="00425767">
            <w:pPr>
              <w:rPr>
                <w:rFonts w:eastAsia="Times New Roman" w:cs="Times New Roman"/>
                <w:sz w:val="24"/>
                <w:szCs w:val="24"/>
                <w:lang w:eastAsia="lv-LV"/>
              </w:rPr>
            </w:pPr>
          </w:p>
        </w:tc>
      </w:tr>
      <w:tr w:rsidR="00425767" w:rsidTr="00425767">
        <w:tblPrEx>
          <w:jc w:val="center"/>
          <w:tblCellSpacing w:w="0" w:type="nil"/>
          <w:tblCellMar>
            <w:left w:w="108" w:type="dxa"/>
            <w:right w:w="108" w:type="dxa"/>
          </w:tblCellMar>
          <w:tblLook w:val="01E0" w:firstRow="1" w:lastRow="1" w:firstColumn="1" w:lastColumn="1" w:noHBand="0" w:noVBand="0"/>
        </w:tblPrEx>
        <w:trPr>
          <w:gridAfter w:val="1"/>
          <w:wAfter w:w="6" w:type="dxa"/>
          <w:jc w:val="center"/>
        </w:trPr>
        <w:tc>
          <w:tcPr>
            <w:tcW w:w="2539" w:type="dxa"/>
            <w:gridSpan w:val="4"/>
            <w:tcBorders>
              <w:bottom w:val="nil"/>
            </w:tcBorders>
            <w:hideMark/>
          </w:tcPr>
          <w:p w:rsidR="00425767" w:rsidRPr="00425767" w:rsidRDefault="00425767">
            <w:pPr>
              <w:jc w:val="both"/>
              <w:rPr>
                <w:rFonts w:eastAsia="Times New Roman" w:cs="Times New Roman"/>
                <w:sz w:val="24"/>
                <w:szCs w:val="24"/>
                <w:lang w:eastAsia="lv-LV"/>
              </w:rPr>
            </w:pPr>
            <w:r w:rsidRPr="00425767">
              <w:rPr>
                <w:rFonts w:eastAsia="Times New Roman" w:cs="Times New Roman"/>
                <w:sz w:val="24"/>
                <w:szCs w:val="24"/>
                <w:lang w:eastAsia="lv-LV"/>
              </w:rPr>
              <w:t>7. Cita informācija</w:t>
            </w:r>
          </w:p>
        </w:tc>
        <w:tc>
          <w:tcPr>
            <w:tcW w:w="6568" w:type="dxa"/>
            <w:gridSpan w:val="8"/>
            <w:tcBorders>
              <w:bottom w:val="nil"/>
            </w:tcBorders>
            <w:hideMark/>
          </w:tcPr>
          <w:p w:rsidR="00425767" w:rsidRDefault="00425767" w:rsidP="00425767">
            <w:pPr>
              <w:jc w:val="both"/>
              <w:rPr>
                <w:iCs/>
                <w:sz w:val="24"/>
                <w:szCs w:val="24"/>
              </w:rPr>
            </w:pPr>
            <w:r>
              <w:rPr>
                <w:iCs/>
                <w:sz w:val="24"/>
                <w:szCs w:val="24"/>
              </w:rPr>
              <w:t>L</w:t>
            </w:r>
            <w:r w:rsidRPr="00C7692F">
              <w:rPr>
                <w:iCs/>
                <w:sz w:val="24"/>
                <w:szCs w:val="24"/>
              </w:rPr>
              <w:t>ikumprojektā ietvertie grozījumi nodrošin</w:t>
            </w:r>
            <w:r>
              <w:rPr>
                <w:iCs/>
                <w:sz w:val="24"/>
                <w:szCs w:val="24"/>
              </w:rPr>
              <w:t xml:space="preserve">ās, ka 2012.gadā </w:t>
            </w:r>
            <w:r w:rsidRPr="00C7692F">
              <w:rPr>
                <w:iCs/>
                <w:sz w:val="24"/>
                <w:szCs w:val="24"/>
              </w:rPr>
              <w:t>budžeta izdevum</w:t>
            </w:r>
            <w:r>
              <w:rPr>
                <w:iCs/>
                <w:sz w:val="24"/>
                <w:szCs w:val="24"/>
              </w:rPr>
              <w:t xml:space="preserve">i netiek palielināti. </w:t>
            </w:r>
            <w:r w:rsidRPr="00C7692F">
              <w:rPr>
                <w:iCs/>
                <w:sz w:val="24"/>
                <w:szCs w:val="24"/>
              </w:rPr>
              <w:t xml:space="preserve"> </w:t>
            </w:r>
            <w:r>
              <w:rPr>
                <w:iCs/>
                <w:sz w:val="24"/>
                <w:szCs w:val="24"/>
              </w:rPr>
              <w:t xml:space="preserve">Likumprojekts paredz </w:t>
            </w:r>
            <w:r w:rsidRPr="00C7692F">
              <w:rPr>
                <w:iCs/>
                <w:sz w:val="24"/>
                <w:szCs w:val="24"/>
              </w:rPr>
              <w:t xml:space="preserve">iespēju 2012.gadā izmaksāt prēmijas ēnu ekonomikas apkarošanas pasākumu īstenošanā iesaistīto institūciju amatpersonām (darbiniekiem) </w:t>
            </w:r>
            <w:r>
              <w:rPr>
                <w:iCs/>
                <w:sz w:val="24"/>
                <w:szCs w:val="24"/>
              </w:rPr>
              <w:t xml:space="preserve">atbilstoši Ministru kabineta lēmumam </w:t>
            </w:r>
            <w:r w:rsidRPr="00C7692F">
              <w:rPr>
                <w:iCs/>
                <w:sz w:val="24"/>
                <w:szCs w:val="24"/>
              </w:rPr>
              <w:t xml:space="preserve">par </w:t>
            </w:r>
            <w:r>
              <w:rPr>
                <w:iCs/>
                <w:sz w:val="24"/>
                <w:szCs w:val="24"/>
              </w:rPr>
              <w:t xml:space="preserve">attiecīgo institūciju (piemēram, Valsts ieņēmumu </w:t>
            </w:r>
            <w:r w:rsidR="004A3C41">
              <w:rPr>
                <w:iCs/>
                <w:sz w:val="24"/>
                <w:szCs w:val="24"/>
              </w:rPr>
              <w:t>dienests</w:t>
            </w:r>
            <w:r>
              <w:rPr>
                <w:iCs/>
                <w:sz w:val="24"/>
                <w:szCs w:val="24"/>
              </w:rPr>
              <w:t>, Valsts darba inspekcija</w:t>
            </w:r>
            <w:r w:rsidRPr="00C7692F">
              <w:rPr>
                <w:iCs/>
                <w:sz w:val="24"/>
                <w:szCs w:val="24"/>
              </w:rPr>
              <w:t xml:space="preserve">, Valsts robežsardze, </w:t>
            </w:r>
            <w:proofErr w:type="spellStart"/>
            <w:r>
              <w:rPr>
                <w:iCs/>
                <w:sz w:val="24"/>
                <w:szCs w:val="24"/>
              </w:rPr>
              <w:t>u.c</w:t>
            </w:r>
            <w:proofErr w:type="spellEnd"/>
            <w:r>
              <w:rPr>
                <w:iCs/>
                <w:sz w:val="24"/>
                <w:szCs w:val="24"/>
              </w:rPr>
              <w:t>.)</w:t>
            </w:r>
            <w:r w:rsidRPr="00C7692F">
              <w:rPr>
                <w:iCs/>
                <w:sz w:val="24"/>
                <w:szCs w:val="24"/>
              </w:rPr>
              <w:t xml:space="preserve"> amatpersonu (darbinieku) prēmēšanu</w:t>
            </w:r>
            <w:r>
              <w:rPr>
                <w:iCs/>
                <w:sz w:val="24"/>
                <w:szCs w:val="24"/>
              </w:rPr>
              <w:t>. Šāda norma paredzēta arī likumprojektā „Par valsts budžetu 2012.gadam”, kurā noteikts, ka Ministru kabinets šī mērķa īstenošanai</w:t>
            </w:r>
            <w:r w:rsidRPr="00C7692F">
              <w:rPr>
                <w:iCs/>
                <w:sz w:val="24"/>
                <w:szCs w:val="24"/>
              </w:rPr>
              <w:t xml:space="preserve"> </w:t>
            </w:r>
            <w:r>
              <w:rPr>
                <w:iCs/>
                <w:sz w:val="24"/>
                <w:szCs w:val="24"/>
              </w:rPr>
              <w:t xml:space="preserve">pieņem lēmumu par </w:t>
            </w:r>
            <w:r w:rsidRPr="00C7692F">
              <w:rPr>
                <w:iCs/>
                <w:sz w:val="24"/>
                <w:szCs w:val="24"/>
              </w:rPr>
              <w:t>apropriācijas palielinājumam novirzāmo finansējuma apjomu, kas nepārsniedz  5% no valsts budžeta nodokļu un nenodokļu virsplāna ieņēmumiem.</w:t>
            </w:r>
          </w:p>
          <w:p w:rsidR="00425767" w:rsidRDefault="00425767" w:rsidP="00425767">
            <w:pPr>
              <w:pStyle w:val="naisf"/>
              <w:tabs>
                <w:tab w:val="left" w:pos="4644"/>
              </w:tabs>
              <w:spacing w:before="0" w:beforeAutospacing="0" w:after="0" w:afterAutospacing="0"/>
              <w:jc w:val="both"/>
            </w:pPr>
            <w:r>
              <w:t xml:space="preserve">Likumprojekta 10.pants paredz ierobežojumu atvaļinājuma pabalsta apmēram, nosakot to ne lielāku par 25%, kas kā viens no konsolidācijas pasākumiem, nodrošinās indikatīvi 8,1 </w:t>
            </w:r>
            <w:proofErr w:type="spellStart"/>
            <w:r>
              <w:t>milj</w:t>
            </w:r>
            <w:proofErr w:type="spellEnd"/>
            <w:r>
              <w:t>. latu ietaupījumu valsts un pašvaldību budžetā.</w:t>
            </w:r>
          </w:p>
          <w:p w:rsidR="00425767" w:rsidRPr="00425767" w:rsidRDefault="00425767" w:rsidP="00425767">
            <w:pPr>
              <w:pStyle w:val="naisf"/>
              <w:tabs>
                <w:tab w:val="left" w:pos="4644"/>
              </w:tabs>
              <w:spacing w:before="0" w:beforeAutospacing="0" w:after="0" w:afterAutospacing="0"/>
            </w:pPr>
            <w:r w:rsidRPr="00425767">
              <w:t>Likumprojekts virzāms kopā ar likumprojektu „Par valsts budžetu 2012.gadam”.</w:t>
            </w:r>
          </w:p>
        </w:tc>
      </w:tr>
      <w:tr w:rsidR="00D51F89" w:rsidRPr="00795599" w:rsidTr="00425767">
        <w:tblPrEx>
          <w:tblLook w:val="0000" w:firstRow="0" w:lastRow="0" w:firstColumn="0" w:lastColumn="0" w:noHBand="0" w:noVBand="0"/>
        </w:tblPrEx>
        <w:trPr>
          <w:gridBefore w:val="1"/>
          <w:wBefore w:w="12" w:type="dxa"/>
          <w:tblCellSpacing w:w="0" w:type="dxa"/>
        </w:trPr>
        <w:tc>
          <w:tcPr>
            <w:tcW w:w="9101" w:type="dxa"/>
            <w:gridSpan w:val="12"/>
          </w:tcPr>
          <w:p w:rsidR="005C1B70" w:rsidRDefault="00D51F89" w:rsidP="00CE6434">
            <w:pPr>
              <w:jc w:val="center"/>
              <w:rPr>
                <w:b/>
                <w:sz w:val="24"/>
                <w:szCs w:val="24"/>
                <w:lang w:eastAsia="lv-LV"/>
              </w:rPr>
            </w:pPr>
            <w:r w:rsidRPr="00795599">
              <w:rPr>
                <w:b/>
                <w:sz w:val="24"/>
                <w:szCs w:val="24"/>
                <w:lang w:eastAsia="lv-LV"/>
              </w:rPr>
              <w:t>IV. Tiesību akta projekta ietekme uz spēkā esošo tiesību normu sistēmu</w:t>
            </w:r>
          </w:p>
          <w:p w:rsidR="003F426A" w:rsidRPr="00795599" w:rsidRDefault="003F426A" w:rsidP="00CE6434">
            <w:pPr>
              <w:jc w:val="center"/>
              <w:rPr>
                <w:b/>
                <w:sz w:val="24"/>
                <w:szCs w:val="24"/>
                <w:lang w:eastAsia="lv-LV"/>
              </w:rPr>
            </w:pPr>
          </w:p>
        </w:tc>
      </w:tr>
      <w:tr w:rsidR="00D51F89" w:rsidRPr="00795599" w:rsidTr="00425767">
        <w:tblPrEx>
          <w:tblLook w:val="0000" w:firstRow="0" w:lastRow="0" w:firstColumn="0" w:lastColumn="0" w:noHBand="0" w:noVBand="0"/>
        </w:tblPrEx>
        <w:trPr>
          <w:gridBefore w:val="1"/>
          <w:wBefore w:w="12" w:type="dxa"/>
          <w:tblCellSpacing w:w="0" w:type="dxa"/>
        </w:trPr>
        <w:tc>
          <w:tcPr>
            <w:tcW w:w="528" w:type="dxa"/>
            <w:gridSpan w:val="2"/>
          </w:tcPr>
          <w:p w:rsidR="00D51F89" w:rsidRPr="00795599" w:rsidRDefault="00D51F89" w:rsidP="00CE6434">
            <w:pPr>
              <w:rPr>
                <w:sz w:val="24"/>
                <w:szCs w:val="24"/>
                <w:lang w:eastAsia="lv-LV"/>
              </w:rPr>
            </w:pPr>
            <w:r w:rsidRPr="00795599">
              <w:rPr>
                <w:sz w:val="24"/>
                <w:szCs w:val="24"/>
                <w:lang w:eastAsia="lv-LV"/>
              </w:rPr>
              <w:t> 1.</w:t>
            </w:r>
          </w:p>
        </w:tc>
        <w:tc>
          <w:tcPr>
            <w:tcW w:w="4454" w:type="dxa"/>
            <w:gridSpan w:val="5"/>
          </w:tcPr>
          <w:p w:rsidR="00D51F89" w:rsidRPr="00795599" w:rsidRDefault="00D51F89" w:rsidP="00CE6434">
            <w:pPr>
              <w:rPr>
                <w:sz w:val="24"/>
                <w:szCs w:val="24"/>
                <w:lang w:eastAsia="lv-LV"/>
              </w:rPr>
            </w:pPr>
            <w:r w:rsidRPr="00795599">
              <w:rPr>
                <w:sz w:val="24"/>
                <w:szCs w:val="24"/>
                <w:lang w:eastAsia="lv-LV"/>
              </w:rPr>
              <w:t> Nepieciešamie saistītie tiesību aktu projekti</w:t>
            </w:r>
          </w:p>
        </w:tc>
        <w:tc>
          <w:tcPr>
            <w:tcW w:w="4119" w:type="dxa"/>
            <w:gridSpan w:val="5"/>
          </w:tcPr>
          <w:p w:rsidR="00D51F89" w:rsidRPr="00795599" w:rsidRDefault="00D51F89" w:rsidP="00CE6434">
            <w:pPr>
              <w:rPr>
                <w:bCs/>
                <w:sz w:val="24"/>
                <w:szCs w:val="24"/>
              </w:rPr>
            </w:pPr>
            <w:r w:rsidRPr="00795599">
              <w:rPr>
                <w:sz w:val="24"/>
                <w:szCs w:val="24"/>
                <w:lang w:eastAsia="lv-LV"/>
              </w:rPr>
              <w:t> </w:t>
            </w:r>
            <w:r w:rsidRPr="00795599">
              <w:rPr>
                <w:bCs/>
                <w:sz w:val="24"/>
                <w:szCs w:val="24"/>
              </w:rPr>
              <w:t>Nav</w:t>
            </w:r>
          </w:p>
        </w:tc>
      </w:tr>
      <w:tr w:rsidR="00D51F89" w:rsidRPr="00795599" w:rsidTr="00425767">
        <w:tblPrEx>
          <w:tblLook w:val="0000" w:firstRow="0" w:lastRow="0" w:firstColumn="0" w:lastColumn="0" w:noHBand="0" w:noVBand="0"/>
        </w:tblPrEx>
        <w:trPr>
          <w:gridBefore w:val="1"/>
          <w:wBefore w:w="12" w:type="dxa"/>
          <w:tblCellSpacing w:w="0" w:type="dxa"/>
        </w:trPr>
        <w:tc>
          <w:tcPr>
            <w:tcW w:w="528" w:type="dxa"/>
            <w:gridSpan w:val="2"/>
          </w:tcPr>
          <w:p w:rsidR="00D51F89" w:rsidRPr="00795599" w:rsidRDefault="00D51F89" w:rsidP="00CE6434">
            <w:pPr>
              <w:rPr>
                <w:sz w:val="24"/>
                <w:szCs w:val="24"/>
                <w:lang w:eastAsia="lv-LV"/>
              </w:rPr>
            </w:pPr>
            <w:r w:rsidRPr="00795599">
              <w:rPr>
                <w:sz w:val="24"/>
                <w:szCs w:val="24"/>
                <w:lang w:eastAsia="lv-LV"/>
              </w:rPr>
              <w:t> 2.</w:t>
            </w:r>
          </w:p>
        </w:tc>
        <w:tc>
          <w:tcPr>
            <w:tcW w:w="4454" w:type="dxa"/>
            <w:gridSpan w:val="5"/>
          </w:tcPr>
          <w:p w:rsidR="00D51F89" w:rsidRPr="00795599" w:rsidRDefault="00D51F89" w:rsidP="00CE6434">
            <w:pPr>
              <w:rPr>
                <w:sz w:val="24"/>
                <w:szCs w:val="24"/>
                <w:lang w:eastAsia="lv-LV"/>
              </w:rPr>
            </w:pPr>
            <w:r w:rsidRPr="00795599">
              <w:rPr>
                <w:sz w:val="24"/>
                <w:szCs w:val="24"/>
                <w:lang w:eastAsia="lv-LV"/>
              </w:rPr>
              <w:t> Cita informācija</w:t>
            </w:r>
          </w:p>
        </w:tc>
        <w:tc>
          <w:tcPr>
            <w:tcW w:w="4119" w:type="dxa"/>
            <w:gridSpan w:val="5"/>
          </w:tcPr>
          <w:p w:rsidR="00D51F89" w:rsidRPr="00795599" w:rsidRDefault="00D51F89" w:rsidP="00CE6434">
            <w:pPr>
              <w:rPr>
                <w:sz w:val="24"/>
                <w:szCs w:val="24"/>
                <w:lang w:eastAsia="lv-LV"/>
              </w:rPr>
            </w:pPr>
            <w:r w:rsidRPr="00795599">
              <w:rPr>
                <w:sz w:val="24"/>
                <w:szCs w:val="24"/>
                <w:lang w:eastAsia="lv-LV"/>
              </w:rPr>
              <w:t>Nav</w:t>
            </w:r>
          </w:p>
        </w:tc>
      </w:tr>
      <w:tr w:rsidR="00D51F89" w:rsidRPr="00795599" w:rsidTr="00425767">
        <w:tblPrEx>
          <w:tblLook w:val="0000" w:firstRow="0" w:lastRow="0" w:firstColumn="0" w:lastColumn="0" w:noHBand="0" w:noVBand="0"/>
        </w:tblPrEx>
        <w:trPr>
          <w:gridBefore w:val="1"/>
          <w:wBefore w:w="12" w:type="dxa"/>
          <w:tblCellSpacing w:w="0" w:type="dxa"/>
        </w:trPr>
        <w:tc>
          <w:tcPr>
            <w:tcW w:w="9101" w:type="dxa"/>
            <w:gridSpan w:val="12"/>
          </w:tcPr>
          <w:p w:rsidR="005C1B70" w:rsidRDefault="00D51F89" w:rsidP="00CE6434">
            <w:pPr>
              <w:jc w:val="center"/>
              <w:rPr>
                <w:b/>
                <w:sz w:val="24"/>
                <w:szCs w:val="24"/>
                <w:lang w:eastAsia="lv-LV"/>
              </w:rPr>
            </w:pPr>
            <w:r w:rsidRPr="00795599">
              <w:rPr>
                <w:b/>
                <w:sz w:val="24"/>
                <w:szCs w:val="24"/>
                <w:lang w:eastAsia="lv-LV"/>
              </w:rPr>
              <w:lastRenderedPageBreak/>
              <w:t>V. Tiesību akta projekta atbilstība Latvijas Republikas starptautiskajām saistībām</w:t>
            </w:r>
          </w:p>
          <w:p w:rsidR="003F426A" w:rsidRPr="00795599" w:rsidRDefault="003F426A" w:rsidP="00CE6434">
            <w:pPr>
              <w:jc w:val="center"/>
              <w:rPr>
                <w:b/>
                <w:sz w:val="24"/>
                <w:szCs w:val="24"/>
                <w:lang w:eastAsia="lv-LV"/>
              </w:rPr>
            </w:pPr>
          </w:p>
        </w:tc>
      </w:tr>
      <w:tr w:rsidR="00D51F89" w:rsidRPr="00795599" w:rsidTr="00425767">
        <w:tblPrEx>
          <w:tblLook w:val="0000" w:firstRow="0" w:lastRow="0" w:firstColumn="0" w:lastColumn="0" w:noHBand="0" w:noVBand="0"/>
        </w:tblPrEx>
        <w:trPr>
          <w:gridBefore w:val="1"/>
          <w:wBefore w:w="12" w:type="dxa"/>
          <w:trHeight w:val="280"/>
          <w:tblCellSpacing w:w="0" w:type="dxa"/>
        </w:trPr>
        <w:tc>
          <w:tcPr>
            <w:tcW w:w="9101" w:type="dxa"/>
            <w:gridSpan w:val="12"/>
          </w:tcPr>
          <w:p w:rsidR="00D51F89" w:rsidRPr="00A2088F" w:rsidRDefault="00A2088F" w:rsidP="00CE6434">
            <w:pPr>
              <w:jc w:val="center"/>
              <w:rPr>
                <w:sz w:val="24"/>
                <w:szCs w:val="24"/>
                <w:lang w:eastAsia="lv-LV"/>
              </w:rPr>
            </w:pPr>
            <w:r w:rsidRPr="00A2088F">
              <w:rPr>
                <w:iCs/>
                <w:sz w:val="24"/>
                <w:szCs w:val="24"/>
              </w:rPr>
              <w:t>Projekts šo jomu neskar</w:t>
            </w:r>
          </w:p>
        </w:tc>
      </w:tr>
      <w:tr w:rsidR="00D51F89" w:rsidRPr="00795599" w:rsidTr="00425767">
        <w:tblPrEx>
          <w:tblLook w:val="0000" w:firstRow="0" w:lastRow="0" w:firstColumn="0" w:lastColumn="0" w:noHBand="0" w:noVBand="0"/>
        </w:tblPrEx>
        <w:trPr>
          <w:gridBefore w:val="1"/>
          <w:wBefore w:w="12" w:type="dxa"/>
          <w:tblCellSpacing w:w="0" w:type="dxa"/>
        </w:trPr>
        <w:tc>
          <w:tcPr>
            <w:tcW w:w="9101" w:type="dxa"/>
            <w:gridSpan w:val="12"/>
          </w:tcPr>
          <w:p w:rsidR="005C1B70" w:rsidRDefault="00D51F89" w:rsidP="00CE6434">
            <w:pPr>
              <w:jc w:val="center"/>
              <w:rPr>
                <w:b/>
                <w:bCs/>
                <w:sz w:val="24"/>
                <w:szCs w:val="24"/>
                <w:lang w:eastAsia="lv-LV"/>
              </w:rPr>
            </w:pPr>
            <w:r w:rsidRPr="00795599">
              <w:rPr>
                <w:b/>
                <w:bCs/>
                <w:sz w:val="24"/>
                <w:szCs w:val="24"/>
                <w:lang w:eastAsia="lv-LV"/>
              </w:rPr>
              <w:t>VI. Sabiedrības līdzdalība un šīs līdzdalības rezultāti</w:t>
            </w:r>
          </w:p>
          <w:p w:rsidR="003F426A" w:rsidRPr="003557D1" w:rsidRDefault="003F426A" w:rsidP="00CE6434">
            <w:pPr>
              <w:jc w:val="center"/>
              <w:rPr>
                <w:b/>
                <w:bCs/>
                <w:sz w:val="24"/>
                <w:szCs w:val="24"/>
                <w:lang w:eastAsia="lv-LV"/>
              </w:rPr>
            </w:pPr>
          </w:p>
        </w:tc>
      </w:tr>
      <w:tr w:rsidR="00D51F89" w:rsidRPr="00795599" w:rsidTr="00425767">
        <w:tblPrEx>
          <w:tblLook w:val="0000" w:firstRow="0" w:lastRow="0" w:firstColumn="0" w:lastColumn="0" w:noHBand="0" w:noVBand="0"/>
        </w:tblPrEx>
        <w:trPr>
          <w:gridBefore w:val="1"/>
          <w:wBefore w:w="12" w:type="dxa"/>
          <w:trHeight w:val="258"/>
          <w:tblCellSpacing w:w="0" w:type="dxa"/>
        </w:trPr>
        <w:tc>
          <w:tcPr>
            <w:tcW w:w="9101" w:type="dxa"/>
            <w:gridSpan w:val="12"/>
          </w:tcPr>
          <w:p w:rsidR="00D51F89" w:rsidRPr="00A2088F" w:rsidRDefault="00A2088F" w:rsidP="00CE6434">
            <w:pPr>
              <w:jc w:val="center"/>
              <w:rPr>
                <w:b/>
                <w:bCs/>
                <w:sz w:val="24"/>
                <w:szCs w:val="24"/>
                <w:lang w:eastAsia="lv-LV"/>
              </w:rPr>
            </w:pPr>
            <w:r w:rsidRPr="00A2088F">
              <w:rPr>
                <w:iCs/>
                <w:sz w:val="24"/>
                <w:szCs w:val="24"/>
              </w:rPr>
              <w:t>Projekts šo jomu neskar</w:t>
            </w:r>
          </w:p>
        </w:tc>
      </w:tr>
      <w:tr w:rsidR="00D51F89" w:rsidRPr="00795599" w:rsidTr="00425767">
        <w:tblPrEx>
          <w:tblLook w:val="0000" w:firstRow="0" w:lastRow="0" w:firstColumn="0" w:lastColumn="0" w:noHBand="0" w:noVBand="0"/>
        </w:tblPrEx>
        <w:trPr>
          <w:gridBefore w:val="1"/>
          <w:wBefore w:w="12" w:type="dxa"/>
          <w:tblCellSpacing w:w="0" w:type="dxa"/>
        </w:trPr>
        <w:tc>
          <w:tcPr>
            <w:tcW w:w="9101" w:type="dxa"/>
            <w:gridSpan w:val="12"/>
          </w:tcPr>
          <w:p w:rsidR="005C1B70" w:rsidRDefault="00D51F89" w:rsidP="00CE6434">
            <w:pPr>
              <w:jc w:val="center"/>
              <w:rPr>
                <w:b/>
                <w:bCs/>
                <w:sz w:val="24"/>
                <w:szCs w:val="24"/>
                <w:lang w:eastAsia="lv-LV"/>
              </w:rPr>
            </w:pPr>
            <w:r w:rsidRPr="00795599">
              <w:rPr>
                <w:b/>
                <w:bCs/>
                <w:sz w:val="24"/>
                <w:szCs w:val="24"/>
                <w:lang w:eastAsia="lv-LV"/>
              </w:rPr>
              <w:t>VII. Tiesību akta projekta izpildes nodrošināšana un tās ietekme uz institūcijām</w:t>
            </w:r>
          </w:p>
          <w:p w:rsidR="003F426A" w:rsidRPr="003557D1" w:rsidRDefault="003F426A" w:rsidP="00CE6434">
            <w:pPr>
              <w:jc w:val="center"/>
              <w:rPr>
                <w:b/>
                <w:bCs/>
                <w:sz w:val="24"/>
                <w:szCs w:val="24"/>
                <w:lang w:eastAsia="lv-LV"/>
              </w:rPr>
            </w:pPr>
          </w:p>
        </w:tc>
      </w:tr>
      <w:tr w:rsidR="00D51F89" w:rsidRPr="00795599" w:rsidTr="00425767">
        <w:tblPrEx>
          <w:tblLook w:val="0000" w:firstRow="0" w:lastRow="0" w:firstColumn="0" w:lastColumn="0" w:noHBand="0" w:noVBand="0"/>
        </w:tblPrEx>
        <w:trPr>
          <w:gridBefore w:val="1"/>
          <w:wBefore w:w="12" w:type="dxa"/>
          <w:trHeight w:val="352"/>
          <w:tblCellSpacing w:w="0" w:type="dxa"/>
        </w:trPr>
        <w:tc>
          <w:tcPr>
            <w:tcW w:w="9101" w:type="dxa"/>
            <w:gridSpan w:val="12"/>
          </w:tcPr>
          <w:p w:rsidR="00D51F89" w:rsidRPr="00A2088F" w:rsidRDefault="00A2088F" w:rsidP="00CE6434">
            <w:pPr>
              <w:jc w:val="center"/>
              <w:rPr>
                <w:b/>
                <w:bCs/>
                <w:sz w:val="24"/>
                <w:szCs w:val="24"/>
                <w:lang w:eastAsia="lv-LV"/>
              </w:rPr>
            </w:pPr>
            <w:r w:rsidRPr="00A2088F">
              <w:rPr>
                <w:iCs/>
                <w:sz w:val="24"/>
                <w:szCs w:val="24"/>
              </w:rPr>
              <w:t>Projekts šo jomu neskar</w:t>
            </w:r>
          </w:p>
        </w:tc>
      </w:tr>
    </w:tbl>
    <w:p w:rsidR="00B649B7" w:rsidRDefault="00B649B7" w:rsidP="00115E82">
      <w:pPr>
        <w:rPr>
          <w:rFonts w:eastAsia="Times New Roman" w:cs="Times New Roman"/>
          <w:sz w:val="24"/>
          <w:szCs w:val="24"/>
          <w:lang w:eastAsia="lv-LV"/>
        </w:rPr>
      </w:pPr>
    </w:p>
    <w:p w:rsidR="00245A0E" w:rsidRPr="001513F9" w:rsidRDefault="00245A0E" w:rsidP="00115E82">
      <w:pPr>
        <w:rPr>
          <w:rFonts w:eastAsia="Times New Roman" w:cs="Times New Roman"/>
          <w:sz w:val="24"/>
          <w:szCs w:val="24"/>
          <w:lang w:eastAsia="lv-LV"/>
        </w:rPr>
      </w:pPr>
    </w:p>
    <w:p w:rsidR="00935378" w:rsidRPr="001513F9" w:rsidRDefault="0070526D" w:rsidP="00935378">
      <w:pPr>
        <w:rPr>
          <w:rFonts w:cs="Times New Roman"/>
          <w:sz w:val="24"/>
          <w:szCs w:val="24"/>
        </w:rPr>
      </w:pPr>
      <w:r w:rsidRPr="001513F9">
        <w:rPr>
          <w:rFonts w:eastAsia="Times New Roman" w:cs="Times New Roman"/>
          <w:sz w:val="24"/>
          <w:szCs w:val="24"/>
          <w:lang w:eastAsia="lv-LV"/>
        </w:rPr>
        <w:t>  </w:t>
      </w:r>
    </w:p>
    <w:p w:rsidR="00935378" w:rsidRPr="00B862F9" w:rsidRDefault="00935378" w:rsidP="00935378">
      <w:pPr>
        <w:rPr>
          <w:rFonts w:cs="Times New Roman"/>
          <w:sz w:val="26"/>
          <w:szCs w:val="26"/>
        </w:rPr>
      </w:pPr>
      <w:r w:rsidRPr="00B862F9">
        <w:rPr>
          <w:rFonts w:cs="Times New Roman"/>
          <w:sz w:val="26"/>
          <w:szCs w:val="26"/>
        </w:rPr>
        <w:t xml:space="preserve">Finanšu ministrs </w:t>
      </w:r>
      <w:r w:rsidRPr="00B862F9">
        <w:rPr>
          <w:rFonts w:cs="Times New Roman"/>
          <w:sz w:val="26"/>
          <w:szCs w:val="26"/>
        </w:rPr>
        <w:tab/>
      </w:r>
      <w:r w:rsidRPr="00B862F9">
        <w:rPr>
          <w:rFonts w:cs="Times New Roman"/>
          <w:sz w:val="26"/>
          <w:szCs w:val="26"/>
        </w:rPr>
        <w:tab/>
      </w:r>
      <w:r w:rsidRPr="00B862F9">
        <w:rPr>
          <w:rFonts w:cs="Times New Roman"/>
          <w:sz w:val="26"/>
          <w:szCs w:val="26"/>
        </w:rPr>
        <w:tab/>
      </w:r>
      <w:r w:rsidRPr="00B862F9">
        <w:rPr>
          <w:rFonts w:cs="Times New Roman"/>
          <w:sz w:val="26"/>
          <w:szCs w:val="26"/>
        </w:rPr>
        <w:tab/>
      </w:r>
      <w:r w:rsidRPr="00B862F9">
        <w:rPr>
          <w:rFonts w:cs="Times New Roman"/>
          <w:sz w:val="26"/>
          <w:szCs w:val="26"/>
        </w:rPr>
        <w:tab/>
      </w:r>
      <w:r w:rsidR="00637066" w:rsidRPr="00B862F9">
        <w:rPr>
          <w:rFonts w:cs="Times New Roman"/>
          <w:sz w:val="26"/>
          <w:szCs w:val="26"/>
        </w:rPr>
        <w:tab/>
      </w:r>
      <w:r w:rsidRPr="00B862F9">
        <w:rPr>
          <w:rFonts w:cs="Times New Roman"/>
          <w:sz w:val="26"/>
          <w:szCs w:val="26"/>
        </w:rPr>
        <w:tab/>
      </w:r>
      <w:r w:rsidRPr="00B862F9">
        <w:rPr>
          <w:rFonts w:cs="Times New Roman"/>
          <w:sz w:val="26"/>
          <w:szCs w:val="26"/>
        </w:rPr>
        <w:tab/>
      </w:r>
      <w:r w:rsidR="00554904">
        <w:rPr>
          <w:rFonts w:cs="Times New Roman"/>
          <w:sz w:val="26"/>
          <w:szCs w:val="26"/>
        </w:rPr>
        <w:t>A.Vilks</w:t>
      </w:r>
    </w:p>
    <w:p w:rsidR="00095CD7" w:rsidRDefault="00095CD7" w:rsidP="002A429F">
      <w:pPr>
        <w:tabs>
          <w:tab w:val="left" w:pos="6840"/>
        </w:tabs>
        <w:jc w:val="both"/>
        <w:rPr>
          <w:rFonts w:cs="Times New Roman"/>
          <w:sz w:val="24"/>
          <w:szCs w:val="24"/>
        </w:rPr>
      </w:pPr>
    </w:p>
    <w:p w:rsidR="008D75D8" w:rsidRDefault="008D75D8" w:rsidP="002A429F">
      <w:pPr>
        <w:tabs>
          <w:tab w:val="left" w:pos="6840"/>
        </w:tabs>
        <w:jc w:val="both"/>
        <w:rPr>
          <w:rFonts w:cs="Times New Roman"/>
          <w:sz w:val="24"/>
          <w:szCs w:val="24"/>
        </w:rPr>
      </w:pPr>
    </w:p>
    <w:p w:rsidR="008C74CC" w:rsidRDefault="008C74CC" w:rsidP="002A429F">
      <w:pPr>
        <w:tabs>
          <w:tab w:val="left" w:pos="6840"/>
        </w:tabs>
        <w:jc w:val="both"/>
        <w:rPr>
          <w:rFonts w:cs="Times New Roman"/>
          <w:sz w:val="24"/>
          <w:szCs w:val="24"/>
        </w:rPr>
      </w:pPr>
    </w:p>
    <w:p w:rsidR="008C74CC" w:rsidRDefault="008C74CC" w:rsidP="002A429F">
      <w:pPr>
        <w:tabs>
          <w:tab w:val="left" w:pos="6840"/>
        </w:tabs>
        <w:jc w:val="both"/>
        <w:rPr>
          <w:rFonts w:cs="Times New Roman"/>
          <w:sz w:val="24"/>
          <w:szCs w:val="24"/>
        </w:rPr>
      </w:pPr>
    </w:p>
    <w:p w:rsidR="008C74CC" w:rsidRDefault="008C74CC" w:rsidP="002A429F">
      <w:pPr>
        <w:tabs>
          <w:tab w:val="left" w:pos="6840"/>
        </w:tabs>
        <w:jc w:val="both"/>
        <w:rPr>
          <w:rFonts w:cs="Times New Roman"/>
          <w:sz w:val="24"/>
          <w:szCs w:val="24"/>
        </w:rPr>
      </w:pPr>
    </w:p>
    <w:p w:rsidR="004735BE" w:rsidRDefault="004735BE" w:rsidP="002A429F">
      <w:pPr>
        <w:tabs>
          <w:tab w:val="left" w:pos="6840"/>
        </w:tabs>
        <w:jc w:val="both"/>
        <w:rPr>
          <w:rFonts w:cs="Times New Roman"/>
          <w:sz w:val="24"/>
          <w:szCs w:val="24"/>
        </w:rPr>
      </w:pPr>
    </w:p>
    <w:p w:rsidR="004735BE" w:rsidRDefault="004735BE" w:rsidP="002A429F">
      <w:pPr>
        <w:tabs>
          <w:tab w:val="left" w:pos="6840"/>
        </w:tabs>
        <w:jc w:val="both"/>
        <w:rPr>
          <w:rFonts w:cs="Times New Roman"/>
          <w:sz w:val="24"/>
          <w:szCs w:val="24"/>
        </w:rPr>
      </w:pPr>
    </w:p>
    <w:p w:rsidR="004735BE" w:rsidRDefault="004735BE" w:rsidP="002A429F">
      <w:pPr>
        <w:tabs>
          <w:tab w:val="left" w:pos="6840"/>
        </w:tabs>
        <w:jc w:val="both"/>
        <w:rPr>
          <w:rFonts w:cs="Times New Roman"/>
          <w:sz w:val="24"/>
          <w:szCs w:val="24"/>
        </w:rPr>
      </w:pPr>
    </w:p>
    <w:p w:rsidR="004735BE" w:rsidRDefault="004735BE" w:rsidP="002A429F">
      <w:pPr>
        <w:tabs>
          <w:tab w:val="left" w:pos="6840"/>
        </w:tabs>
        <w:jc w:val="both"/>
        <w:rPr>
          <w:rFonts w:cs="Times New Roman"/>
          <w:sz w:val="24"/>
          <w:szCs w:val="24"/>
        </w:rPr>
      </w:pPr>
    </w:p>
    <w:p w:rsidR="004735BE" w:rsidRDefault="004735BE" w:rsidP="002A429F">
      <w:pPr>
        <w:tabs>
          <w:tab w:val="left" w:pos="6840"/>
        </w:tabs>
        <w:jc w:val="both"/>
        <w:rPr>
          <w:rFonts w:cs="Times New Roman"/>
          <w:sz w:val="24"/>
          <w:szCs w:val="24"/>
        </w:rPr>
      </w:pPr>
    </w:p>
    <w:p w:rsidR="004735BE" w:rsidRDefault="004735BE" w:rsidP="002A429F">
      <w:pPr>
        <w:tabs>
          <w:tab w:val="left" w:pos="6840"/>
        </w:tabs>
        <w:jc w:val="both"/>
        <w:rPr>
          <w:rFonts w:cs="Times New Roman"/>
          <w:sz w:val="24"/>
          <w:szCs w:val="24"/>
        </w:rPr>
      </w:pPr>
    </w:p>
    <w:p w:rsidR="008027C4" w:rsidRDefault="008027C4" w:rsidP="002A429F">
      <w:pPr>
        <w:tabs>
          <w:tab w:val="left" w:pos="6840"/>
        </w:tabs>
        <w:jc w:val="both"/>
        <w:rPr>
          <w:rFonts w:cs="Times New Roman"/>
          <w:sz w:val="24"/>
          <w:szCs w:val="24"/>
        </w:rPr>
      </w:pPr>
    </w:p>
    <w:p w:rsidR="008027C4" w:rsidRDefault="008027C4" w:rsidP="002A429F">
      <w:pPr>
        <w:tabs>
          <w:tab w:val="left" w:pos="6840"/>
        </w:tabs>
        <w:jc w:val="both"/>
        <w:rPr>
          <w:rFonts w:cs="Times New Roman"/>
          <w:sz w:val="24"/>
          <w:szCs w:val="24"/>
        </w:rPr>
      </w:pPr>
    </w:p>
    <w:p w:rsidR="008027C4" w:rsidRDefault="008027C4" w:rsidP="002A429F">
      <w:pPr>
        <w:tabs>
          <w:tab w:val="left" w:pos="6840"/>
        </w:tabs>
        <w:jc w:val="both"/>
        <w:rPr>
          <w:rFonts w:cs="Times New Roman"/>
          <w:sz w:val="24"/>
          <w:szCs w:val="24"/>
        </w:rPr>
      </w:pPr>
    </w:p>
    <w:p w:rsidR="008027C4" w:rsidRDefault="008027C4" w:rsidP="002A429F">
      <w:pPr>
        <w:tabs>
          <w:tab w:val="left" w:pos="6840"/>
        </w:tabs>
        <w:jc w:val="both"/>
        <w:rPr>
          <w:rFonts w:cs="Times New Roman"/>
          <w:sz w:val="24"/>
          <w:szCs w:val="24"/>
        </w:rPr>
      </w:pPr>
    </w:p>
    <w:p w:rsidR="008027C4" w:rsidRDefault="008027C4" w:rsidP="002A429F">
      <w:pPr>
        <w:tabs>
          <w:tab w:val="left" w:pos="6840"/>
        </w:tabs>
        <w:jc w:val="both"/>
        <w:rPr>
          <w:rFonts w:cs="Times New Roman"/>
          <w:sz w:val="24"/>
          <w:szCs w:val="24"/>
        </w:rPr>
      </w:pPr>
    </w:p>
    <w:p w:rsidR="008027C4" w:rsidRDefault="008027C4" w:rsidP="002A429F">
      <w:pPr>
        <w:tabs>
          <w:tab w:val="left" w:pos="6840"/>
        </w:tabs>
        <w:jc w:val="both"/>
        <w:rPr>
          <w:rFonts w:cs="Times New Roman"/>
          <w:sz w:val="24"/>
          <w:szCs w:val="24"/>
        </w:rPr>
      </w:pPr>
    </w:p>
    <w:p w:rsidR="008027C4" w:rsidRDefault="008027C4" w:rsidP="002A429F">
      <w:pPr>
        <w:tabs>
          <w:tab w:val="left" w:pos="6840"/>
        </w:tabs>
        <w:jc w:val="both"/>
        <w:rPr>
          <w:rFonts w:cs="Times New Roman"/>
          <w:sz w:val="24"/>
          <w:szCs w:val="24"/>
        </w:rPr>
      </w:pPr>
    </w:p>
    <w:p w:rsidR="008027C4" w:rsidRDefault="008027C4" w:rsidP="002A429F">
      <w:pPr>
        <w:tabs>
          <w:tab w:val="left" w:pos="6840"/>
        </w:tabs>
        <w:jc w:val="both"/>
        <w:rPr>
          <w:rFonts w:cs="Times New Roman"/>
          <w:sz w:val="24"/>
          <w:szCs w:val="24"/>
        </w:rPr>
      </w:pPr>
    </w:p>
    <w:p w:rsidR="004735BE" w:rsidRDefault="004735BE" w:rsidP="002A429F">
      <w:pPr>
        <w:tabs>
          <w:tab w:val="left" w:pos="6840"/>
        </w:tabs>
        <w:jc w:val="both"/>
        <w:rPr>
          <w:rFonts w:cs="Times New Roman"/>
          <w:sz w:val="24"/>
          <w:szCs w:val="24"/>
        </w:rPr>
      </w:pPr>
      <w:bookmarkStart w:id="3" w:name="_GoBack"/>
      <w:bookmarkEnd w:id="3"/>
    </w:p>
    <w:p w:rsidR="004735BE" w:rsidRDefault="004735BE" w:rsidP="002A429F">
      <w:pPr>
        <w:tabs>
          <w:tab w:val="left" w:pos="6840"/>
        </w:tabs>
        <w:jc w:val="both"/>
        <w:rPr>
          <w:rFonts w:cs="Times New Roman"/>
          <w:sz w:val="24"/>
          <w:szCs w:val="24"/>
        </w:rPr>
      </w:pPr>
    </w:p>
    <w:p w:rsidR="004735BE" w:rsidRDefault="004735BE" w:rsidP="002A429F">
      <w:pPr>
        <w:tabs>
          <w:tab w:val="left" w:pos="6840"/>
        </w:tabs>
        <w:jc w:val="both"/>
        <w:rPr>
          <w:rFonts w:cs="Times New Roman"/>
          <w:sz w:val="24"/>
          <w:szCs w:val="24"/>
        </w:rPr>
      </w:pPr>
    </w:p>
    <w:p w:rsidR="004735BE" w:rsidRDefault="004735BE" w:rsidP="002A429F">
      <w:pPr>
        <w:tabs>
          <w:tab w:val="left" w:pos="6840"/>
        </w:tabs>
        <w:jc w:val="both"/>
        <w:rPr>
          <w:rFonts w:cs="Times New Roman"/>
          <w:sz w:val="24"/>
          <w:szCs w:val="24"/>
        </w:rPr>
      </w:pPr>
    </w:p>
    <w:p w:rsidR="004735BE" w:rsidRDefault="004735BE" w:rsidP="002A429F">
      <w:pPr>
        <w:tabs>
          <w:tab w:val="left" w:pos="6840"/>
        </w:tabs>
        <w:jc w:val="both"/>
        <w:rPr>
          <w:rFonts w:cs="Times New Roman"/>
          <w:sz w:val="24"/>
          <w:szCs w:val="24"/>
        </w:rPr>
      </w:pPr>
    </w:p>
    <w:p w:rsidR="003557D1" w:rsidRDefault="003557D1" w:rsidP="002A429F">
      <w:pPr>
        <w:tabs>
          <w:tab w:val="left" w:pos="6840"/>
        </w:tabs>
        <w:jc w:val="both"/>
        <w:rPr>
          <w:rFonts w:cs="Times New Roman"/>
          <w:sz w:val="24"/>
          <w:szCs w:val="24"/>
        </w:rPr>
      </w:pPr>
    </w:p>
    <w:p w:rsidR="003557D1" w:rsidRDefault="003557D1" w:rsidP="002A429F">
      <w:pPr>
        <w:tabs>
          <w:tab w:val="left" w:pos="6840"/>
        </w:tabs>
        <w:jc w:val="both"/>
        <w:rPr>
          <w:rFonts w:cs="Times New Roman"/>
          <w:sz w:val="24"/>
          <w:szCs w:val="24"/>
        </w:rPr>
      </w:pPr>
    </w:p>
    <w:p w:rsidR="004735BE" w:rsidRDefault="004735BE" w:rsidP="002A429F">
      <w:pPr>
        <w:pStyle w:val="naisc"/>
        <w:spacing w:before="0" w:beforeAutospacing="0" w:after="0" w:afterAutospacing="0"/>
        <w:rPr>
          <w:rFonts w:eastAsiaTheme="minorHAnsi" w:cstheme="minorBidi"/>
          <w:sz w:val="20"/>
          <w:szCs w:val="20"/>
          <w:lang w:eastAsia="en-US"/>
        </w:rPr>
      </w:pPr>
      <w:r>
        <w:rPr>
          <w:rFonts w:eastAsiaTheme="minorHAnsi" w:cstheme="minorBidi"/>
          <w:sz w:val="20"/>
          <w:szCs w:val="20"/>
          <w:lang w:eastAsia="en-US"/>
        </w:rPr>
        <w:t>2011.11.25. 16:05</w:t>
      </w:r>
    </w:p>
    <w:p w:rsidR="002A429F" w:rsidRPr="008D19E8" w:rsidRDefault="003557D1" w:rsidP="002A429F">
      <w:pPr>
        <w:pStyle w:val="naisc"/>
        <w:spacing w:before="0" w:beforeAutospacing="0" w:after="0" w:afterAutospacing="0"/>
        <w:rPr>
          <w:sz w:val="20"/>
          <w:szCs w:val="20"/>
        </w:rPr>
      </w:pPr>
      <w:r w:rsidRPr="008D19E8">
        <w:rPr>
          <w:sz w:val="20"/>
          <w:szCs w:val="20"/>
        </w:rPr>
        <w:fldChar w:fldCharType="begin"/>
      </w:r>
      <w:r w:rsidRPr="008D19E8">
        <w:rPr>
          <w:sz w:val="20"/>
          <w:szCs w:val="20"/>
        </w:rPr>
        <w:instrText xml:space="preserve"> NUMWORDS   \* MERGEFORMAT </w:instrText>
      </w:r>
      <w:r w:rsidRPr="008D19E8">
        <w:rPr>
          <w:sz w:val="20"/>
          <w:szCs w:val="20"/>
        </w:rPr>
        <w:fldChar w:fldCharType="separate"/>
      </w:r>
      <w:r w:rsidR="003073EE">
        <w:rPr>
          <w:noProof/>
          <w:sz w:val="20"/>
          <w:szCs w:val="20"/>
        </w:rPr>
        <w:t>1301</w:t>
      </w:r>
      <w:r w:rsidRPr="008D19E8">
        <w:rPr>
          <w:noProof/>
          <w:sz w:val="20"/>
          <w:szCs w:val="20"/>
        </w:rPr>
        <w:fldChar w:fldCharType="end"/>
      </w:r>
    </w:p>
    <w:p w:rsidR="002A429F" w:rsidRPr="008D19E8" w:rsidRDefault="002A429F" w:rsidP="002A429F">
      <w:pPr>
        <w:pStyle w:val="naisc"/>
        <w:spacing w:before="0" w:beforeAutospacing="0" w:after="0" w:afterAutospacing="0"/>
        <w:rPr>
          <w:sz w:val="20"/>
          <w:szCs w:val="20"/>
        </w:rPr>
      </w:pPr>
      <w:r w:rsidRPr="008D19E8">
        <w:rPr>
          <w:sz w:val="20"/>
          <w:szCs w:val="20"/>
        </w:rPr>
        <w:t xml:space="preserve">Artemjeva; </w:t>
      </w:r>
    </w:p>
    <w:p w:rsidR="00DF219A" w:rsidRPr="008D19E8" w:rsidRDefault="002A429F" w:rsidP="001F67C8">
      <w:pPr>
        <w:pStyle w:val="naislab"/>
        <w:spacing w:before="0" w:beforeAutospacing="0" w:after="0" w:afterAutospacing="0"/>
        <w:jc w:val="both"/>
        <w:rPr>
          <w:sz w:val="20"/>
          <w:szCs w:val="20"/>
          <w:lang w:val="en-GB"/>
        </w:rPr>
      </w:pPr>
      <w:r w:rsidRPr="008D19E8">
        <w:rPr>
          <w:sz w:val="20"/>
          <w:szCs w:val="20"/>
        </w:rPr>
        <w:t xml:space="preserve">67095599; </w:t>
      </w:r>
      <w:hyperlink r:id="rId8" w:history="1">
        <w:r w:rsidRPr="008D19E8">
          <w:rPr>
            <w:rStyle w:val="Hyperlink"/>
            <w:sz w:val="20"/>
            <w:szCs w:val="20"/>
          </w:rPr>
          <w:t>Ineta.Artemjeva@fm.gov.lv</w:t>
        </w:r>
      </w:hyperlink>
    </w:p>
    <w:sectPr w:rsidR="00DF219A" w:rsidRPr="008D19E8" w:rsidSect="00425767">
      <w:headerReference w:type="default" r:id="rId9"/>
      <w:footerReference w:type="default" r:id="rId10"/>
      <w:footerReference w:type="first" r:id="rId11"/>
      <w:pgSz w:w="11906" w:h="16838"/>
      <w:pgMar w:top="1440" w:right="1800" w:bottom="1440" w:left="180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0A" w:rsidRDefault="001D250A" w:rsidP="00E91F5C">
      <w:r>
        <w:separator/>
      </w:r>
    </w:p>
  </w:endnote>
  <w:endnote w:type="continuationSeparator" w:id="0">
    <w:p w:rsidR="001D250A" w:rsidRDefault="001D250A" w:rsidP="00E9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67" w:rsidRDefault="00425767" w:rsidP="00425767">
    <w:pPr>
      <w:pStyle w:val="Footer"/>
      <w:rPr>
        <w:rFonts w:eastAsia="Times New Roman" w:cs="Times New Roman"/>
        <w:sz w:val="18"/>
        <w:szCs w:val="18"/>
        <w:lang w:eastAsia="lv-LV"/>
      </w:rPr>
    </w:pPr>
    <w:r w:rsidRPr="00425767">
      <w:rPr>
        <w:rFonts w:eastAsia="Times New Roman" w:cs="Times New Roman"/>
        <w:sz w:val="18"/>
        <w:szCs w:val="18"/>
        <w:lang w:eastAsia="lv-LV"/>
      </w:rPr>
      <w:t>FMAnot_251111; Likumprojekta „Grozījumi Valsts un pašvaldību institūciju amatpersonu un darbinieku atlīdzības likumā”  sākotnējās ietekmes novērtējuma ziņojums (anotācija)</w:t>
    </w:r>
    <w:r w:rsidR="008027C4">
      <w:rPr>
        <w:rFonts w:eastAsia="Times New Roman" w:cs="Times New Roman"/>
        <w:sz w:val="18"/>
        <w:szCs w:val="18"/>
        <w:lang w:eastAsia="lv-LV"/>
      </w:rPr>
      <w:t xml:space="preserve"> </w:t>
    </w:r>
  </w:p>
  <w:p w:rsidR="008027C4" w:rsidRPr="00425767" w:rsidRDefault="008027C4" w:rsidP="00425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67" w:rsidRPr="001E0844" w:rsidRDefault="00425767" w:rsidP="00425767">
    <w:pPr>
      <w:pStyle w:val="BodyText3"/>
      <w:rPr>
        <w:b w:val="0"/>
        <w:i w:val="0"/>
        <w:sz w:val="18"/>
        <w:szCs w:val="18"/>
      </w:rPr>
    </w:pPr>
    <w:r w:rsidRPr="001E0844">
      <w:rPr>
        <w:b w:val="0"/>
        <w:i w:val="0"/>
        <w:sz w:val="18"/>
        <w:szCs w:val="18"/>
      </w:rPr>
      <w:t>FMAnot</w:t>
    </w:r>
    <w:r>
      <w:rPr>
        <w:b w:val="0"/>
        <w:i w:val="0"/>
        <w:sz w:val="18"/>
        <w:szCs w:val="18"/>
      </w:rPr>
      <w:t>_251111</w:t>
    </w:r>
    <w:r w:rsidRPr="001E0844">
      <w:rPr>
        <w:b w:val="0"/>
        <w:i w:val="0"/>
        <w:sz w:val="18"/>
        <w:szCs w:val="18"/>
      </w:rPr>
      <w:t>; Likumprojekt</w:t>
    </w:r>
    <w:r>
      <w:rPr>
        <w:b w:val="0"/>
        <w:i w:val="0"/>
        <w:sz w:val="18"/>
        <w:szCs w:val="18"/>
      </w:rPr>
      <w:t>a</w:t>
    </w:r>
    <w:r w:rsidRPr="001E0844">
      <w:rPr>
        <w:b w:val="0"/>
        <w:i w:val="0"/>
        <w:sz w:val="18"/>
        <w:szCs w:val="18"/>
      </w:rPr>
      <w:t xml:space="preserve"> „Grozījumi</w:t>
    </w:r>
    <w:r w:rsidRPr="0024663F">
      <w:t xml:space="preserve"> </w:t>
    </w:r>
    <w:r w:rsidRPr="0024663F">
      <w:rPr>
        <w:b w:val="0"/>
        <w:i w:val="0"/>
        <w:sz w:val="18"/>
        <w:szCs w:val="18"/>
      </w:rPr>
      <w:t xml:space="preserve">Valsts un pašvaldību institūciju amatpersonu un darbinieku atlīdzības </w:t>
    </w:r>
    <w:r>
      <w:rPr>
        <w:b w:val="0"/>
        <w:i w:val="0"/>
        <w:sz w:val="18"/>
        <w:szCs w:val="18"/>
      </w:rPr>
      <w:t xml:space="preserve">likumā” </w:t>
    </w:r>
    <w:r w:rsidRPr="001E0844">
      <w:rPr>
        <w:b w:val="0"/>
        <w:i w:val="0"/>
        <w:sz w:val="18"/>
        <w:szCs w:val="18"/>
      </w:rPr>
      <w:t xml:space="preserve"> </w:t>
    </w:r>
    <w:r w:rsidRPr="00425767">
      <w:rPr>
        <w:b w:val="0"/>
        <w:i w:val="0"/>
        <w:sz w:val="18"/>
        <w:szCs w:val="18"/>
      </w:rPr>
      <w:t>sākotnējās ietekmes novērtējuma ziņojums</w:t>
    </w:r>
    <w:r w:rsidRPr="00425767">
      <w:rPr>
        <w:b w:val="0"/>
        <w:bCs/>
        <w:i w:val="0"/>
        <w:sz w:val="18"/>
        <w:szCs w:val="18"/>
      </w:rPr>
      <w:t xml:space="preserve"> </w:t>
    </w:r>
    <w:r>
      <w:rPr>
        <w:b w:val="0"/>
        <w:bCs/>
        <w:i w:val="0"/>
        <w:sz w:val="18"/>
        <w:szCs w:val="18"/>
      </w:rPr>
      <w:t>(</w:t>
    </w:r>
    <w:r w:rsidRPr="001E0844">
      <w:rPr>
        <w:b w:val="0"/>
        <w:bCs/>
        <w:i w:val="0"/>
        <w:sz w:val="18"/>
        <w:szCs w:val="18"/>
      </w:rPr>
      <w:t>anotācija</w:t>
    </w:r>
    <w:r>
      <w:rPr>
        <w:b w:val="0"/>
        <w:bCs/>
        <w:i w:val="0"/>
        <w:sz w:val="18"/>
        <w:szCs w:val="18"/>
      </w:rPr>
      <w:t>)</w:t>
    </w:r>
  </w:p>
  <w:p w:rsidR="00425767" w:rsidRPr="00E91F5C" w:rsidRDefault="00425767" w:rsidP="00295790">
    <w:pPr>
      <w:pStyle w:val="Footer"/>
      <w:rPr>
        <w:sz w:val="18"/>
        <w:szCs w:val="18"/>
      </w:rPr>
    </w:pPr>
  </w:p>
  <w:p w:rsidR="00425767" w:rsidRDefault="00425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0A" w:rsidRDefault="001D250A" w:rsidP="00E91F5C">
      <w:r>
        <w:separator/>
      </w:r>
    </w:p>
  </w:footnote>
  <w:footnote w:type="continuationSeparator" w:id="0">
    <w:p w:rsidR="001D250A" w:rsidRDefault="001D250A" w:rsidP="00E91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3877"/>
      <w:docPartObj>
        <w:docPartGallery w:val="Page Numbers (Top of Page)"/>
        <w:docPartUnique/>
      </w:docPartObj>
    </w:sdtPr>
    <w:sdtEndPr/>
    <w:sdtContent>
      <w:p w:rsidR="00425767" w:rsidRDefault="00425767">
        <w:pPr>
          <w:pStyle w:val="Header"/>
          <w:jc w:val="center"/>
        </w:pPr>
        <w:r>
          <w:fldChar w:fldCharType="begin"/>
        </w:r>
        <w:r>
          <w:instrText xml:space="preserve"> PAGE   \* MERGEFORMAT </w:instrText>
        </w:r>
        <w:r>
          <w:fldChar w:fldCharType="separate"/>
        </w:r>
        <w:r w:rsidR="003073EE">
          <w:rPr>
            <w:noProof/>
          </w:rPr>
          <w:t>6</w:t>
        </w:r>
        <w:r>
          <w:rPr>
            <w:noProof/>
          </w:rPr>
          <w:fldChar w:fldCharType="end"/>
        </w:r>
      </w:p>
    </w:sdtContent>
  </w:sdt>
  <w:p w:rsidR="00425767" w:rsidRDefault="004257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72F6"/>
    <w:rsid w:val="00020CBC"/>
    <w:rsid w:val="000457EA"/>
    <w:rsid w:val="00046C78"/>
    <w:rsid w:val="00052E43"/>
    <w:rsid w:val="0007161B"/>
    <w:rsid w:val="00076A9C"/>
    <w:rsid w:val="00095CD7"/>
    <w:rsid w:val="000A5888"/>
    <w:rsid w:val="000C5257"/>
    <w:rsid w:val="0011271C"/>
    <w:rsid w:val="00115E82"/>
    <w:rsid w:val="00120B50"/>
    <w:rsid w:val="00122D09"/>
    <w:rsid w:val="001326C5"/>
    <w:rsid w:val="00142C62"/>
    <w:rsid w:val="001513F9"/>
    <w:rsid w:val="00175A14"/>
    <w:rsid w:val="00192B03"/>
    <w:rsid w:val="001A623F"/>
    <w:rsid w:val="001A6A3B"/>
    <w:rsid w:val="001A7922"/>
    <w:rsid w:val="001B1296"/>
    <w:rsid w:val="001B4047"/>
    <w:rsid w:val="001C3BAB"/>
    <w:rsid w:val="001C4093"/>
    <w:rsid w:val="001D250A"/>
    <w:rsid w:val="001D267D"/>
    <w:rsid w:val="001D2E3F"/>
    <w:rsid w:val="001E0844"/>
    <w:rsid w:val="001F2578"/>
    <w:rsid w:val="001F67C8"/>
    <w:rsid w:val="00202310"/>
    <w:rsid w:val="00206DEB"/>
    <w:rsid w:val="002129AB"/>
    <w:rsid w:val="00220C0A"/>
    <w:rsid w:val="00227194"/>
    <w:rsid w:val="00243E11"/>
    <w:rsid w:val="00245A0E"/>
    <w:rsid w:val="0024663F"/>
    <w:rsid w:val="00270C45"/>
    <w:rsid w:val="00276F0F"/>
    <w:rsid w:val="00295790"/>
    <w:rsid w:val="002A3DAE"/>
    <w:rsid w:val="002A429F"/>
    <w:rsid w:val="002B5BA9"/>
    <w:rsid w:val="002E4745"/>
    <w:rsid w:val="002E6035"/>
    <w:rsid w:val="002F170C"/>
    <w:rsid w:val="00305EA9"/>
    <w:rsid w:val="003073EE"/>
    <w:rsid w:val="00324CF7"/>
    <w:rsid w:val="00325216"/>
    <w:rsid w:val="00351EDD"/>
    <w:rsid w:val="003557D1"/>
    <w:rsid w:val="003649A9"/>
    <w:rsid w:val="00371830"/>
    <w:rsid w:val="003726F1"/>
    <w:rsid w:val="003813CE"/>
    <w:rsid w:val="003A16FD"/>
    <w:rsid w:val="003A6BE5"/>
    <w:rsid w:val="003E3A45"/>
    <w:rsid w:val="003F426A"/>
    <w:rsid w:val="004110D4"/>
    <w:rsid w:val="004124FD"/>
    <w:rsid w:val="00425767"/>
    <w:rsid w:val="004326F4"/>
    <w:rsid w:val="00460F34"/>
    <w:rsid w:val="00465B50"/>
    <w:rsid w:val="004735BE"/>
    <w:rsid w:val="004750D4"/>
    <w:rsid w:val="0049083C"/>
    <w:rsid w:val="00496AD3"/>
    <w:rsid w:val="004A3C41"/>
    <w:rsid w:val="004C1FF3"/>
    <w:rsid w:val="00513388"/>
    <w:rsid w:val="00515332"/>
    <w:rsid w:val="00554904"/>
    <w:rsid w:val="005556DD"/>
    <w:rsid w:val="005577A2"/>
    <w:rsid w:val="0056301D"/>
    <w:rsid w:val="00570CBE"/>
    <w:rsid w:val="00583E91"/>
    <w:rsid w:val="00595256"/>
    <w:rsid w:val="005A78CF"/>
    <w:rsid w:val="005B57BA"/>
    <w:rsid w:val="005C1B70"/>
    <w:rsid w:val="005C3F1D"/>
    <w:rsid w:val="005D4341"/>
    <w:rsid w:val="005D52D4"/>
    <w:rsid w:val="00606F04"/>
    <w:rsid w:val="0063487E"/>
    <w:rsid w:val="00637066"/>
    <w:rsid w:val="00646BA9"/>
    <w:rsid w:val="00647FBE"/>
    <w:rsid w:val="0065266A"/>
    <w:rsid w:val="0067085C"/>
    <w:rsid w:val="00672F87"/>
    <w:rsid w:val="006832C6"/>
    <w:rsid w:val="00683DDD"/>
    <w:rsid w:val="00684105"/>
    <w:rsid w:val="006B7A79"/>
    <w:rsid w:val="006C23B4"/>
    <w:rsid w:val="006D081A"/>
    <w:rsid w:val="006D1FA7"/>
    <w:rsid w:val="006D3226"/>
    <w:rsid w:val="006D3764"/>
    <w:rsid w:val="006F037E"/>
    <w:rsid w:val="0070526D"/>
    <w:rsid w:val="007159E8"/>
    <w:rsid w:val="0073729B"/>
    <w:rsid w:val="007445BF"/>
    <w:rsid w:val="00744BF8"/>
    <w:rsid w:val="00757EFF"/>
    <w:rsid w:val="007822E0"/>
    <w:rsid w:val="00786DB3"/>
    <w:rsid w:val="007A17C6"/>
    <w:rsid w:val="007A3315"/>
    <w:rsid w:val="007D790C"/>
    <w:rsid w:val="007D791F"/>
    <w:rsid w:val="007E5F4E"/>
    <w:rsid w:val="007F1998"/>
    <w:rsid w:val="008027C4"/>
    <w:rsid w:val="00803856"/>
    <w:rsid w:val="008232DE"/>
    <w:rsid w:val="00835068"/>
    <w:rsid w:val="00840983"/>
    <w:rsid w:val="00862EB1"/>
    <w:rsid w:val="00894CB6"/>
    <w:rsid w:val="00896087"/>
    <w:rsid w:val="00896241"/>
    <w:rsid w:val="008C14A5"/>
    <w:rsid w:val="008C6955"/>
    <w:rsid w:val="008C6C7D"/>
    <w:rsid w:val="008C74CC"/>
    <w:rsid w:val="008D19E8"/>
    <w:rsid w:val="008D33D9"/>
    <w:rsid w:val="008D75D8"/>
    <w:rsid w:val="008E1522"/>
    <w:rsid w:val="008E6AFB"/>
    <w:rsid w:val="00905E6A"/>
    <w:rsid w:val="00910FC5"/>
    <w:rsid w:val="009323A2"/>
    <w:rsid w:val="00933EB8"/>
    <w:rsid w:val="0093409E"/>
    <w:rsid w:val="00935378"/>
    <w:rsid w:val="009620AF"/>
    <w:rsid w:val="0096662B"/>
    <w:rsid w:val="009B1D4A"/>
    <w:rsid w:val="009C0C5F"/>
    <w:rsid w:val="009D48FA"/>
    <w:rsid w:val="009E0A7B"/>
    <w:rsid w:val="009F49A6"/>
    <w:rsid w:val="00A13CF4"/>
    <w:rsid w:val="00A2088F"/>
    <w:rsid w:val="00A25FA6"/>
    <w:rsid w:val="00A30BA9"/>
    <w:rsid w:val="00A44EA9"/>
    <w:rsid w:val="00A56EEB"/>
    <w:rsid w:val="00A77496"/>
    <w:rsid w:val="00A923DC"/>
    <w:rsid w:val="00A9567D"/>
    <w:rsid w:val="00AA0E82"/>
    <w:rsid w:val="00AA5A9B"/>
    <w:rsid w:val="00AB7BCD"/>
    <w:rsid w:val="00AE0323"/>
    <w:rsid w:val="00AE281C"/>
    <w:rsid w:val="00B042D3"/>
    <w:rsid w:val="00B11958"/>
    <w:rsid w:val="00B27C10"/>
    <w:rsid w:val="00B3383F"/>
    <w:rsid w:val="00B347A2"/>
    <w:rsid w:val="00B36E90"/>
    <w:rsid w:val="00B41E99"/>
    <w:rsid w:val="00B47953"/>
    <w:rsid w:val="00B54BFC"/>
    <w:rsid w:val="00B649B7"/>
    <w:rsid w:val="00B71BCE"/>
    <w:rsid w:val="00B771F7"/>
    <w:rsid w:val="00B81679"/>
    <w:rsid w:val="00B854C0"/>
    <w:rsid w:val="00B862F9"/>
    <w:rsid w:val="00BA0537"/>
    <w:rsid w:val="00BA3D85"/>
    <w:rsid w:val="00BA6A1D"/>
    <w:rsid w:val="00BB617C"/>
    <w:rsid w:val="00BC4140"/>
    <w:rsid w:val="00BC6D4D"/>
    <w:rsid w:val="00BD5136"/>
    <w:rsid w:val="00BE181C"/>
    <w:rsid w:val="00BE6409"/>
    <w:rsid w:val="00C10817"/>
    <w:rsid w:val="00C2791C"/>
    <w:rsid w:val="00C41080"/>
    <w:rsid w:val="00C41D50"/>
    <w:rsid w:val="00C7692F"/>
    <w:rsid w:val="00C84F1F"/>
    <w:rsid w:val="00C90C03"/>
    <w:rsid w:val="00CB67AC"/>
    <w:rsid w:val="00CC20FC"/>
    <w:rsid w:val="00CC3A66"/>
    <w:rsid w:val="00CD5DB4"/>
    <w:rsid w:val="00CD7C42"/>
    <w:rsid w:val="00CE2F5A"/>
    <w:rsid w:val="00CE6434"/>
    <w:rsid w:val="00CF7CF7"/>
    <w:rsid w:val="00D05F28"/>
    <w:rsid w:val="00D07C37"/>
    <w:rsid w:val="00D3091E"/>
    <w:rsid w:val="00D35AE5"/>
    <w:rsid w:val="00D51F89"/>
    <w:rsid w:val="00D62636"/>
    <w:rsid w:val="00D72D11"/>
    <w:rsid w:val="00D8563C"/>
    <w:rsid w:val="00D90AC4"/>
    <w:rsid w:val="00DA599E"/>
    <w:rsid w:val="00DC453A"/>
    <w:rsid w:val="00DD7AE3"/>
    <w:rsid w:val="00DF219A"/>
    <w:rsid w:val="00DF27CD"/>
    <w:rsid w:val="00E2035E"/>
    <w:rsid w:val="00E21CC0"/>
    <w:rsid w:val="00E222EA"/>
    <w:rsid w:val="00E476D0"/>
    <w:rsid w:val="00E53FD0"/>
    <w:rsid w:val="00E67636"/>
    <w:rsid w:val="00E91F5C"/>
    <w:rsid w:val="00EB39A0"/>
    <w:rsid w:val="00EC7EB6"/>
    <w:rsid w:val="00EF3296"/>
    <w:rsid w:val="00F00491"/>
    <w:rsid w:val="00F020D9"/>
    <w:rsid w:val="00F07B8D"/>
    <w:rsid w:val="00F1560E"/>
    <w:rsid w:val="00F3682F"/>
    <w:rsid w:val="00F605F5"/>
    <w:rsid w:val="00F93E80"/>
    <w:rsid w:val="00F94342"/>
    <w:rsid w:val="00FA1D5D"/>
    <w:rsid w:val="00FA28F7"/>
    <w:rsid w:val="00FA5C3C"/>
    <w:rsid w:val="00FA5FBF"/>
    <w:rsid w:val="00FA76CA"/>
    <w:rsid w:val="00FC0D21"/>
    <w:rsid w:val="00FE5D02"/>
    <w:rsid w:val="00FE7F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paragraph" w:styleId="Heading2">
    <w:name w:val="heading 2"/>
    <w:basedOn w:val="Normal"/>
    <w:next w:val="Normal"/>
    <w:link w:val="Heading2Char"/>
    <w:qFormat/>
    <w:rsid w:val="00D35AE5"/>
    <w:pPr>
      <w:keepNext/>
      <w:jc w:val="center"/>
      <w:outlineLvl w:val="1"/>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E91F5C"/>
    <w:pPr>
      <w:tabs>
        <w:tab w:val="center" w:pos="4153"/>
        <w:tab w:val="right" w:pos="8306"/>
      </w:tabs>
    </w:pPr>
  </w:style>
  <w:style w:type="character" w:customStyle="1" w:styleId="HeaderChar">
    <w:name w:val="Header Char"/>
    <w:basedOn w:val="DefaultParagraphFont"/>
    <w:link w:val="Header"/>
    <w:uiPriority w:val="99"/>
    <w:rsid w:val="00E91F5C"/>
  </w:style>
  <w:style w:type="paragraph" w:styleId="Footer">
    <w:name w:val="footer"/>
    <w:basedOn w:val="Normal"/>
    <w:link w:val="FooterChar"/>
    <w:uiPriority w:val="99"/>
    <w:unhideWhenUsed/>
    <w:rsid w:val="00E91F5C"/>
    <w:pPr>
      <w:tabs>
        <w:tab w:val="center" w:pos="4153"/>
        <w:tab w:val="right" w:pos="8306"/>
      </w:tabs>
    </w:pPr>
  </w:style>
  <w:style w:type="character" w:customStyle="1" w:styleId="FooterChar">
    <w:name w:val="Footer Char"/>
    <w:basedOn w:val="DefaultParagraphFont"/>
    <w:link w:val="Footer"/>
    <w:uiPriority w:val="99"/>
    <w:rsid w:val="00E91F5C"/>
  </w:style>
  <w:style w:type="character" w:customStyle="1" w:styleId="Heading2Char">
    <w:name w:val="Heading 2 Char"/>
    <w:basedOn w:val="DefaultParagraphFont"/>
    <w:link w:val="Heading2"/>
    <w:rsid w:val="00D35AE5"/>
    <w:rPr>
      <w:rFonts w:eastAsia="Times New Roman" w:cs="Times New Roman"/>
      <w:b/>
      <w:bCs/>
      <w:szCs w:val="28"/>
    </w:rPr>
  </w:style>
  <w:style w:type="paragraph" w:styleId="ListParagraph">
    <w:name w:val="List Paragraph"/>
    <w:basedOn w:val="Normal"/>
    <w:uiPriority w:val="34"/>
    <w:qFormat/>
    <w:rsid w:val="005C1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paragraph" w:styleId="Heading2">
    <w:name w:val="heading 2"/>
    <w:basedOn w:val="Normal"/>
    <w:next w:val="Normal"/>
    <w:link w:val="Heading2Char"/>
    <w:qFormat/>
    <w:rsid w:val="00D35AE5"/>
    <w:pPr>
      <w:keepNext/>
      <w:jc w:val="center"/>
      <w:outlineLvl w:val="1"/>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E91F5C"/>
    <w:pPr>
      <w:tabs>
        <w:tab w:val="center" w:pos="4153"/>
        <w:tab w:val="right" w:pos="8306"/>
      </w:tabs>
    </w:pPr>
  </w:style>
  <w:style w:type="character" w:customStyle="1" w:styleId="HeaderChar">
    <w:name w:val="Header Char"/>
    <w:basedOn w:val="DefaultParagraphFont"/>
    <w:link w:val="Header"/>
    <w:uiPriority w:val="99"/>
    <w:rsid w:val="00E91F5C"/>
  </w:style>
  <w:style w:type="paragraph" w:styleId="Footer">
    <w:name w:val="footer"/>
    <w:basedOn w:val="Normal"/>
    <w:link w:val="FooterChar"/>
    <w:uiPriority w:val="99"/>
    <w:unhideWhenUsed/>
    <w:rsid w:val="00E91F5C"/>
    <w:pPr>
      <w:tabs>
        <w:tab w:val="center" w:pos="4153"/>
        <w:tab w:val="right" w:pos="8306"/>
      </w:tabs>
    </w:pPr>
  </w:style>
  <w:style w:type="character" w:customStyle="1" w:styleId="FooterChar">
    <w:name w:val="Footer Char"/>
    <w:basedOn w:val="DefaultParagraphFont"/>
    <w:link w:val="Footer"/>
    <w:uiPriority w:val="99"/>
    <w:rsid w:val="00E91F5C"/>
  </w:style>
  <w:style w:type="character" w:customStyle="1" w:styleId="Heading2Char">
    <w:name w:val="Heading 2 Char"/>
    <w:basedOn w:val="DefaultParagraphFont"/>
    <w:link w:val="Heading2"/>
    <w:rsid w:val="00D35AE5"/>
    <w:rPr>
      <w:rFonts w:eastAsia="Times New Roman" w:cs="Times New Roman"/>
      <w:b/>
      <w:bCs/>
      <w:szCs w:val="28"/>
    </w:rPr>
  </w:style>
  <w:style w:type="paragraph" w:styleId="ListParagraph">
    <w:name w:val="List Paragraph"/>
    <w:basedOn w:val="Normal"/>
    <w:uiPriority w:val="34"/>
    <w:qFormat/>
    <w:rsid w:val="005C1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421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A469-A68A-4CB4-8C49-14331871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1341</Words>
  <Characters>9417</Characters>
  <Application>Microsoft Office Word</Application>
  <DocSecurity>0</DocSecurity>
  <Lines>495</Lines>
  <Paragraphs>195</Paragraphs>
  <ScaleCrop>false</ScaleCrop>
  <HeadingPairs>
    <vt:vector size="2" baseType="variant">
      <vt:variant>
        <vt:lpstr>Title</vt:lpstr>
      </vt:variant>
      <vt:variant>
        <vt:i4>1</vt:i4>
      </vt:variant>
    </vt:vector>
  </HeadingPairs>
  <TitlesOfParts>
    <vt:vector size="1" baseType="lpstr">
      <vt:lpstr>Likumprojekts „Grozījumi Valsts un pašvaldību institūciju amatpersonu un darbinieku atlīdzības likumā”</vt:lpstr>
    </vt:vector>
  </TitlesOfParts>
  <Company>fm</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Valsts un pašvaldību institūciju amatpersonu un darbinieku atlīdzības likumā”</dc:title>
  <dc:subject>Anotācija</dc:subject>
  <dc:creator>I.Artemjeva</dc:creator>
  <cp:keywords/>
  <dc:description>t.67095599
Ineta.Artemjeva@fm.gov.lv</dc:description>
  <cp:lastModifiedBy>changeme</cp:lastModifiedBy>
  <cp:revision>4</cp:revision>
  <cp:lastPrinted>2011-11-17T12:13:00Z</cp:lastPrinted>
  <dcterms:created xsi:type="dcterms:W3CDTF">2011-11-29T06:27:00Z</dcterms:created>
  <dcterms:modified xsi:type="dcterms:W3CDTF">2011-11-29T06:28:00Z</dcterms:modified>
</cp:coreProperties>
</file>