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74A" w:rsidRDefault="00A8674A" w:rsidP="00841419">
      <w:pPr>
        <w:pStyle w:val="naisf"/>
        <w:spacing w:before="0" w:beforeAutospacing="0" w:after="0" w:afterAutospacing="0"/>
        <w:jc w:val="center"/>
        <w:rPr>
          <w:b/>
          <w:lang w:val="lv-LV"/>
        </w:rPr>
      </w:pPr>
      <w:bookmarkStart w:id="0" w:name="OLE_LINK1"/>
      <w:bookmarkStart w:id="1" w:name="OLE_LINK2"/>
    </w:p>
    <w:p w:rsidR="00917DF3" w:rsidRDefault="00F83BA3" w:rsidP="00841419">
      <w:pPr>
        <w:pStyle w:val="naisf"/>
        <w:spacing w:before="0" w:beforeAutospacing="0" w:after="0" w:afterAutospacing="0"/>
        <w:jc w:val="center"/>
        <w:rPr>
          <w:b/>
          <w:lang w:val="lv-LV"/>
        </w:rPr>
      </w:pPr>
      <w:r w:rsidRPr="00035560">
        <w:rPr>
          <w:b/>
          <w:lang w:val="lv-LV"/>
        </w:rPr>
        <w:t>Ministru kabineta</w:t>
      </w:r>
      <w:r w:rsidR="00BA6631" w:rsidRPr="00035560">
        <w:rPr>
          <w:b/>
          <w:lang w:val="lv-LV"/>
        </w:rPr>
        <w:t xml:space="preserve"> noteikumu</w:t>
      </w:r>
      <w:r w:rsidRPr="00035560">
        <w:rPr>
          <w:b/>
          <w:lang w:val="lv-LV"/>
        </w:rPr>
        <w:t xml:space="preserve"> projekta</w:t>
      </w:r>
      <w:r w:rsidRPr="00035560">
        <w:rPr>
          <w:lang w:val="lv-LV"/>
        </w:rPr>
        <w:t xml:space="preserve"> </w:t>
      </w:r>
      <w:r w:rsidR="00071C82">
        <w:rPr>
          <w:lang w:val="lv-LV"/>
        </w:rPr>
        <w:t>„</w:t>
      </w:r>
      <w:r w:rsidR="00071C82" w:rsidRPr="00071C82">
        <w:rPr>
          <w:b/>
          <w:bCs/>
          <w:lang w:val="lv-LV" w:eastAsia="lv-LV"/>
        </w:rPr>
        <w:t>Grozījumi Ministru kabineta 2009.gada 25.augusta noteikumos Nr.952 „Kārtība, kādā sniedz un pārbauda informāciju par pievienotās vērtības nodokļa piemērošanu Eiropas Savienības struktūrfondu finansēto projektu ietvaros un pieņem lēmumu par pievienotās vērtības nodokļa iekļaušanu projektu attiecināmajās izmaksās”</w:t>
      </w:r>
      <w:r w:rsidR="00071C82">
        <w:rPr>
          <w:b/>
          <w:bCs/>
          <w:lang w:val="lv-LV" w:eastAsia="lv-LV"/>
        </w:rPr>
        <w:t xml:space="preserve"> </w:t>
      </w:r>
      <w:r w:rsidR="00332EC6" w:rsidRPr="00035560">
        <w:rPr>
          <w:b/>
          <w:lang w:val="lv-LV"/>
        </w:rPr>
        <w:t>sākotnējās ietekmes novērtējuma ziņojums</w:t>
      </w:r>
      <w:r w:rsidR="00C46656" w:rsidRPr="00035560">
        <w:rPr>
          <w:b/>
          <w:lang w:val="lv-LV"/>
        </w:rPr>
        <w:t xml:space="preserve"> </w:t>
      </w:r>
      <w:r w:rsidR="00332EC6" w:rsidRPr="00035560">
        <w:rPr>
          <w:b/>
          <w:lang w:val="lv-LV"/>
        </w:rPr>
        <w:t>(anotācija)</w:t>
      </w:r>
    </w:p>
    <w:p w:rsidR="00A8674A" w:rsidRPr="005B52C7" w:rsidRDefault="00A8674A" w:rsidP="00841419">
      <w:pPr>
        <w:pStyle w:val="naisf"/>
        <w:spacing w:before="0" w:beforeAutospacing="0" w:after="0" w:afterAutospacing="0"/>
        <w:jc w:val="center"/>
        <w:rPr>
          <w:b/>
          <w:lang w:val="lv-LV"/>
        </w:rPr>
      </w:pPr>
    </w:p>
    <w:tbl>
      <w:tblPr>
        <w:tblW w:w="8946" w:type="dxa"/>
        <w:tblCellSpacing w:w="0" w:type="dxa"/>
        <w:tblBorders>
          <w:top w:val="single" w:sz="6" w:space="0" w:color="EEECE1"/>
          <w:left w:val="single" w:sz="6" w:space="0" w:color="EEECE1"/>
          <w:bottom w:val="single" w:sz="6" w:space="0" w:color="EEECE1"/>
          <w:right w:val="single" w:sz="6" w:space="0" w:color="EEECE1"/>
          <w:insideH w:val="single" w:sz="6" w:space="0" w:color="EEECE1"/>
          <w:insideV w:val="single" w:sz="6" w:space="0" w:color="EEECE1"/>
        </w:tblBorders>
        <w:tblCellMar>
          <w:left w:w="0" w:type="dxa"/>
          <w:right w:w="0" w:type="dxa"/>
        </w:tblCellMar>
        <w:tblLook w:val="04A0" w:firstRow="1" w:lastRow="0" w:firstColumn="1" w:lastColumn="0" w:noHBand="0" w:noVBand="1"/>
      </w:tblPr>
      <w:tblGrid>
        <w:gridCol w:w="517"/>
        <w:gridCol w:w="2617"/>
        <w:gridCol w:w="5812"/>
      </w:tblGrid>
      <w:tr w:rsidR="00D867A7" w:rsidRPr="00C13E43" w:rsidTr="003B30F8">
        <w:trPr>
          <w:tblCellSpacing w:w="0" w:type="dxa"/>
        </w:trPr>
        <w:tc>
          <w:tcPr>
            <w:tcW w:w="8946" w:type="dxa"/>
            <w:gridSpan w:val="3"/>
            <w:vAlign w:val="center"/>
            <w:hideMark/>
          </w:tcPr>
          <w:p w:rsidR="00917DF3" w:rsidRPr="00917DF3" w:rsidRDefault="00D867A7" w:rsidP="00917DF3">
            <w:pPr>
              <w:pStyle w:val="ListParagraph"/>
              <w:numPr>
                <w:ilvl w:val="0"/>
                <w:numId w:val="21"/>
              </w:numPr>
              <w:spacing w:before="100" w:beforeAutospacing="1"/>
              <w:jc w:val="center"/>
              <w:rPr>
                <w:b/>
                <w:bCs/>
                <w:lang w:val="lv-LV" w:eastAsia="lv-LV"/>
              </w:rPr>
            </w:pPr>
            <w:r w:rsidRPr="00917DF3">
              <w:rPr>
                <w:b/>
                <w:bCs/>
                <w:lang w:val="lv-LV" w:eastAsia="lv-LV"/>
              </w:rPr>
              <w:t>Tiesību akta projekta izstrādes nepieciešamība</w:t>
            </w:r>
          </w:p>
        </w:tc>
      </w:tr>
      <w:tr w:rsidR="00D867A7" w:rsidRPr="00C13E43" w:rsidTr="002E21BF">
        <w:trPr>
          <w:trHeight w:val="630"/>
          <w:tblCellSpacing w:w="0" w:type="dxa"/>
        </w:trPr>
        <w:tc>
          <w:tcPr>
            <w:tcW w:w="517" w:type="dxa"/>
            <w:hideMark/>
          </w:tcPr>
          <w:p w:rsidR="00D867A7" w:rsidRPr="00035560" w:rsidRDefault="00D867A7" w:rsidP="00D867A7">
            <w:pPr>
              <w:spacing w:before="100" w:beforeAutospacing="1" w:after="100" w:afterAutospacing="1"/>
              <w:rPr>
                <w:lang w:val="lv-LV" w:eastAsia="lv-LV"/>
              </w:rPr>
            </w:pPr>
            <w:r w:rsidRPr="00035560">
              <w:rPr>
                <w:lang w:val="lv-LV" w:eastAsia="lv-LV"/>
              </w:rPr>
              <w:t> 1.</w:t>
            </w:r>
          </w:p>
        </w:tc>
        <w:tc>
          <w:tcPr>
            <w:tcW w:w="2617" w:type="dxa"/>
            <w:hideMark/>
          </w:tcPr>
          <w:p w:rsidR="00D867A7" w:rsidRPr="00035560" w:rsidRDefault="00D867A7" w:rsidP="00D867A7">
            <w:pPr>
              <w:spacing w:before="100" w:beforeAutospacing="1" w:after="100" w:afterAutospacing="1"/>
              <w:rPr>
                <w:lang w:val="lv-LV" w:eastAsia="lv-LV"/>
              </w:rPr>
            </w:pPr>
            <w:r w:rsidRPr="00035560">
              <w:rPr>
                <w:lang w:val="lv-LV" w:eastAsia="lv-LV"/>
              </w:rPr>
              <w:t> Pamatojums</w:t>
            </w:r>
          </w:p>
        </w:tc>
        <w:tc>
          <w:tcPr>
            <w:tcW w:w="5812" w:type="dxa"/>
            <w:hideMark/>
          </w:tcPr>
          <w:p w:rsidR="00284461" w:rsidRPr="00035560" w:rsidRDefault="000A5C90" w:rsidP="00904ACD">
            <w:pPr>
              <w:spacing w:before="100" w:beforeAutospacing="1" w:after="100" w:afterAutospacing="1"/>
              <w:jc w:val="both"/>
              <w:rPr>
                <w:lang w:val="lv-LV" w:eastAsia="lv-LV"/>
              </w:rPr>
            </w:pPr>
            <w:r>
              <w:rPr>
                <w:lang w:val="lv-LV" w:eastAsia="lv-LV"/>
              </w:rPr>
              <w:t xml:space="preserve">Ministru kabineta noteikumu projekts </w:t>
            </w:r>
            <w:r w:rsidR="00C13E43">
              <w:rPr>
                <w:lang w:val="lv-LV" w:eastAsia="lv-LV"/>
              </w:rPr>
              <w:t xml:space="preserve">ir </w:t>
            </w:r>
            <w:r>
              <w:rPr>
                <w:lang w:val="lv-LV" w:eastAsia="lv-LV"/>
              </w:rPr>
              <w:t>izstrādāts</w:t>
            </w:r>
            <w:r w:rsidR="00301220" w:rsidRPr="00301220">
              <w:rPr>
                <w:lang w:val="lv-LV" w:eastAsia="lv-LV"/>
              </w:rPr>
              <w:t xml:space="preserve"> pamatojoties uz Eiropas Savienības struktūrfondu un Kohēzijas fonda vadības likuma 18.panta 1</w:t>
            </w:r>
            <w:r w:rsidR="00301220">
              <w:rPr>
                <w:lang w:val="lv-LV" w:eastAsia="lv-LV"/>
              </w:rPr>
              <w:t>2</w:t>
            </w:r>
            <w:r w:rsidR="00301220" w:rsidRPr="00301220">
              <w:rPr>
                <w:lang w:val="lv-LV" w:eastAsia="lv-LV"/>
              </w:rPr>
              <w:t>.punktu.</w:t>
            </w:r>
          </w:p>
        </w:tc>
      </w:tr>
      <w:tr w:rsidR="00D867A7" w:rsidRPr="00C13E43" w:rsidTr="002E21BF">
        <w:trPr>
          <w:trHeight w:val="472"/>
          <w:tblCellSpacing w:w="0" w:type="dxa"/>
        </w:trPr>
        <w:tc>
          <w:tcPr>
            <w:tcW w:w="517" w:type="dxa"/>
            <w:hideMark/>
          </w:tcPr>
          <w:p w:rsidR="00D867A7" w:rsidRPr="00035560" w:rsidRDefault="00D867A7" w:rsidP="00D867A7">
            <w:pPr>
              <w:spacing w:before="100" w:beforeAutospacing="1" w:after="100" w:afterAutospacing="1"/>
              <w:rPr>
                <w:lang w:val="lv-LV" w:eastAsia="lv-LV"/>
              </w:rPr>
            </w:pPr>
            <w:r w:rsidRPr="00035560">
              <w:rPr>
                <w:lang w:val="lv-LV" w:eastAsia="lv-LV"/>
              </w:rPr>
              <w:t> 2.</w:t>
            </w:r>
          </w:p>
        </w:tc>
        <w:tc>
          <w:tcPr>
            <w:tcW w:w="2617" w:type="dxa"/>
            <w:hideMark/>
          </w:tcPr>
          <w:p w:rsidR="00D867A7" w:rsidRPr="00035560" w:rsidRDefault="00D867A7" w:rsidP="00D867A7">
            <w:pPr>
              <w:spacing w:before="100" w:beforeAutospacing="1" w:after="100" w:afterAutospacing="1"/>
              <w:rPr>
                <w:lang w:val="lv-LV" w:eastAsia="lv-LV"/>
              </w:rPr>
            </w:pPr>
            <w:r w:rsidRPr="00035560">
              <w:rPr>
                <w:lang w:val="lv-LV" w:eastAsia="lv-LV"/>
              </w:rPr>
              <w:t> Pašreizējā situācija un problēmas</w:t>
            </w:r>
          </w:p>
        </w:tc>
        <w:tc>
          <w:tcPr>
            <w:tcW w:w="5812" w:type="dxa"/>
          </w:tcPr>
          <w:p w:rsidR="00350546" w:rsidRDefault="00350546" w:rsidP="00917DF3">
            <w:pPr>
              <w:jc w:val="both"/>
              <w:rPr>
                <w:iCs/>
                <w:lang w:val="lv-LV"/>
              </w:rPr>
            </w:pPr>
            <w:r>
              <w:rPr>
                <w:iCs/>
                <w:lang w:val="lv-LV"/>
              </w:rPr>
              <w:t>Pašreiz spēkā esošaj</w:t>
            </w:r>
            <w:r w:rsidR="00C13E43">
              <w:rPr>
                <w:iCs/>
                <w:lang w:val="lv-LV"/>
              </w:rPr>
              <w:t>ā</w:t>
            </w:r>
            <w:r>
              <w:rPr>
                <w:iCs/>
                <w:lang w:val="lv-LV"/>
              </w:rPr>
              <w:t xml:space="preserve"> </w:t>
            </w:r>
            <w:r w:rsidRPr="00350546">
              <w:rPr>
                <w:iCs/>
                <w:lang w:val="lv-LV"/>
              </w:rPr>
              <w:t>Ministru kabineta 2009.gada 25.augusta noteikum</w:t>
            </w:r>
            <w:r w:rsidR="00904ACD">
              <w:rPr>
                <w:iCs/>
                <w:lang w:val="lv-LV"/>
              </w:rPr>
              <w:t>u</w:t>
            </w:r>
            <w:r w:rsidRPr="00350546">
              <w:rPr>
                <w:iCs/>
                <w:lang w:val="lv-LV"/>
              </w:rPr>
              <w:t xml:space="preserve"> Nr.952 „Kārtība, kādā sniedz un pārbauda informāciju par pievienotās vērtības nodokļa piemērošanu Eiropas Savienības struktūrfondu finansēto projektu ietvaros un pieņem lēmumu par pievienotās vērtības nodokļa iekļaušanu projektu attiecināmajās izmaksās”</w:t>
            </w:r>
            <w:r>
              <w:rPr>
                <w:iCs/>
                <w:lang w:val="lv-LV"/>
              </w:rPr>
              <w:t xml:space="preserve"> </w:t>
            </w:r>
            <w:r w:rsidR="00C13E43">
              <w:rPr>
                <w:iCs/>
                <w:lang w:val="lv-LV"/>
              </w:rPr>
              <w:t xml:space="preserve">redakcijā </w:t>
            </w:r>
            <w:r>
              <w:rPr>
                <w:iCs/>
                <w:lang w:val="lv-LV"/>
              </w:rPr>
              <w:t xml:space="preserve">ir </w:t>
            </w:r>
            <w:r w:rsidR="00C13E43">
              <w:rPr>
                <w:iCs/>
                <w:lang w:val="lv-LV"/>
              </w:rPr>
              <w:t xml:space="preserve">ietvertas </w:t>
            </w:r>
            <w:r>
              <w:rPr>
                <w:iCs/>
                <w:lang w:val="lv-LV"/>
              </w:rPr>
              <w:t xml:space="preserve">atsauces uz </w:t>
            </w:r>
            <w:r w:rsidRPr="00350546">
              <w:rPr>
                <w:iCs/>
                <w:lang w:val="lv-LV"/>
              </w:rPr>
              <w:t xml:space="preserve"> likum</w:t>
            </w:r>
            <w:r>
              <w:rPr>
                <w:iCs/>
                <w:lang w:val="lv-LV"/>
              </w:rPr>
              <w:t>u</w:t>
            </w:r>
            <w:r w:rsidRPr="00350546">
              <w:rPr>
                <w:iCs/>
                <w:lang w:val="lv-LV"/>
              </w:rPr>
              <w:t xml:space="preserve"> „Par pievienotās vērtības nodokli”</w:t>
            </w:r>
            <w:r w:rsidR="00B95CED">
              <w:rPr>
                <w:iCs/>
                <w:lang w:val="lv-LV"/>
              </w:rPr>
              <w:t xml:space="preserve"> </w:t>
            </w:r>
            <w:r w:rsidR="003E3BCE">
              <w:rPr>
                <w:iCs/>
                <w:lang w:val="lv-LV"/>
              </w:rPr>
              <w:t xml:space="preserve">un Valsts ieņēmumu dienesta ar </w:t>
            </w:r>
            <w:bookmarkStart w:id="2" w:name="_GoBack"/>
            <w:bookmarkEnd w:id="2"/>
            <w:r w:rsidR="00B95CED">
              <w:rPr>
                <w:iCs/>
                <w:lang w:val="lv-LV"/>
              </w:rPr>
              <w:t>pievienotās vērtības nodokļa apliekamo personu reģistru</w:t>
            </w:r>
            <w:r>
              <w:rPr>
                <w:iCs/>
                <w:lang w:val="lv-LV"/>
              </w:rPr>
              <w:t>.</w:t>
            </w:r>
          </w:p>
          <w:p w:rsidR="004F2272" w:rsidRDefault="00350546" w:rsidP="00C13E43">
            <w:pPr>
              <w:jc w:val="both"/>
              <w:rPr>
                <w:iCs/>
                <w:lang w:val="lv-LV"/>
              </w:rPr>
            </w:pPr>
            <w:r>
              <w:rPr>
                <w:iCs/>
                <w:lang w:val="lv-LV"/>
              </w:rPr>
              <w:t>Ņemot vērā</w:t>
            </w:r>
            <w:r w:rsidR="00917DF3" w:rsidRPr="00917DF3">
              <w:rPr>
                <w:iCs/>
                <w:lang w:val="lv-LV"/>
              </w:rPr>
              <w:t xml:space="preserve"> </w:t>
            </w:r>
            <w:r w:rsidR="00301220">
              <w:rPr>
                <w:iCs/>
                <w:lang w:val="lv-LV"/>
              </w:rPr>
              <w:t>to, ka 2013.gada 1.janvārī stājās</w:t>
            </w:r>
            <w:r w:rsidR="00983556" w:rsidRPr="00C13E43">
              <w:rPr>
                <w:lang w:val="lv-LV"/>
              </w:rPr>
              <w:t xml:space="preserve"> </w:t>
            </w:r>
            <w:r w:rsidR="00983556" w:rsidRPr="00983556">
              <w:rPr>
                <w:iCs/>
                <w:lang w:val="lv-LV"/>
              </w:rPr>
              <w:t>spēkā</w:t>
            </w:r>
            <w:r w:rsidR="00301220">
              <w:rPr>
                <w:iCs/>
                <w:lang w:val="lv-LV"/>
              </w:rPr>
              <w:t xml:space="preserve"> Pievienotās vērtības nodokļa likums un ar šī likuma spēkā stāšanos spēku</w:t>
            </w:r>
            <w:r w:rsidR="00C13E43">
              <w:rPr>
                <w:iCs/>
                <w:lang w:val="lv-LV"/>
              </w:rPr>
              <w:t xml:space="preserve"> zaudēja</w:t>
            </w:r>
            <w:r w:rsidR="00301220">
              <w:rPr>
                <w:iCs/>
                <w:lang w:val="lv-LV"/>
              </w:rPr>
              <w:t xml:space="preserve"> likums „Par pievienotās vērtības nodokli”</w:t>
            </w:r>
            <w:r w:rsidR="00C13E43">
              <w:rPr>
                <w:iCs/>
                <w:lang w:val="lv-LV"/>
              </w:rPr>
              <w:t>,</w:t>
            </w:r>
            <w:r w:rsidR="00983556">
              <w:rPr>
                <w:iCs/>
                <w:lang w:val="lv-LV"/>
              </w:rPr>
              <w:t xml:space="preserve"> </w:t>
            </w:r>
            <w:r>
              <w:rPr>
                <w:iCs/>
                <w:lang w:val="lv-LV"/>
              </w:rPr>
              <w:t xml:space="preserve">ir nepieciešams precizēt  atsauces un to vietā </w:t>
            </w:r>
            <w:r w:rsidR="00C13E43">
              <w:rPr>
                <w:iCs/>
                <w:lang w:val="lv-LV"/>
              </w:rPr>
              <w:t xml:space="preserve">ietvert </w:t>
            </w:r>
            <w:r>
              <w:rPr>
                <w:iCs/>
                <w:lang w:val="lv-LV"/>
              </w:rPr>
              <w:t xml:space="preserve">atsauces </w:t>
            </w:r>
            <w:r w:rsidR="00896661">
              <w:rPr>
                <w:iCs/>
                <w:lang w:val="lv-LV"/>
              </w:rPr>
              <w:t>uz Piev</w:t>
            </w:r>
            <w:r w:rsidR="00B95CED">
              <w:rPr>
                <w:iCs/>
                <w:lang w:val="lv-LV"/>
              </w:rPr>
              <w:t xml:space="preserve">ienotās vērtības nodokļa likumu, kā arī precizēt atsauci uz </w:t>
            </w:r>
            <w:r w:rsidR="00B95CED" w:rsidRPr="00B95CED">
              <w:rPr>
                <w:iCs/>
                <w:lang w:val="lv-LV"/>
              </w:rPr>
              <w:t>Valsts ieņēmumu dienesta ar  pievienotās vērtības nod</w:t>
            </w:r>
            <w:r w:rsidR="00B95CED">
              <w:rPr>
                <w:iCs/>
                <w:lang w:val="lv-LV"/>
              </w:rPr>
              <w:t xml:space="preserve">okļa apliekamo personu reģistru, tā  vietā paredzot atsauci uz </w:t>
            </w:r>
            <w:r w:rsidR="00B95CED" w:rsidRPr="00B95CED">
              <w:rPr>
                <w:iCs/>
                <w:lang w:val="lv-LV"/>
              </w:rPr>
              <w:t>Valsts ieņēmumu dienesta pievienotās vērtības nodokļa maksātāju reģistr</w:t>
            </w:r>
            <w:r w:rsidR="00B95CED">
              <w:rPr>
                <w:iCs/>
                <w:lang w:val="lv-LV"/>
              </w:rPr>
              <w:t>u.</w:t>
            </w:r>
          </w:p>
          <w:p w:rsidR="00B95CED" w:rsidRPr="004F2272" w:rsidRDefault="00B95CED" w:rsidP="00C13E43">
            <w:pPr>
              <w:jc w:val="both"/>
              <w:rPr>
                <w:b/>
                <w:iCs/>
                <w:lang w:val="lv-LV"/>
              </w:rPr>
            </w:pPr>
          </w:p>
        </w:tc>
      </w:tr>
      <w:tr w:rsidR="00D867A7" w:rsidRPr="00035560" w:rsidTr="002E21BF">
        <w:trPr>
          <w:trHeight w:val="894"/>
          <w:tblCellSpacing w:w="0" w:type="dxa"/>
        </w:trPr>
        <w:tc>
          <w:tcPr>
            <w:tcW w:w="517" w:type="dxa"/>
            <w:hideMark/>
          </w:tcPr>
          <w:p w:rsidR="00D867A7" w:rsidRPr="00035560" w:rsidRDefault="00D867A7" w:rsidP="00D867A7">
            <w:pPr>
              <w:spacing w:before="100" w:beforeAutospacing="1" w:after="100" w:afterAutospacing="1"/>
              <w:rPr>
                <w:lang w:val="lv-LV" w:eastAsia="lv-LV"/>
              </w:rPr>
            </w:pPr>
            <w:r w:rsidRPr="00035560">
              <w:rPr>
                <w:lang w:val="lv-LV" w:eastAsia="lv-LV"/>
              </w:rPr>
              <w:t> 3.</w:t>
            </w:r>
          </w:p>
        </w:tc>
        <w:tc>
          <w:tcPr>
            <w:tcW w:w="2617" w:type="dxa"/>
            <w:hideMark/>
          </w:tcPr>
          <w:p w:rsidR="00D867A7" w:rsidRPr="00035560" w:rsidRDefault="00D867A7" w:rsidP="00D867A7">
            <w:pPr>
              <w:spacing w:before="100" w:beforeAutospacing="1" w:after="100" w:afterAutospacing="1"/>
              <w:rPr>
                <w:lang w:val="lv-LV" w:eastAsia="lv-LV"/>
              </w:rPr>
            </w:pPr>
            <w:r w:rsidRPr="00035560">
              <w:rPr>
                <w:lang w:val="lv-LV" w:eastAsia="lv-LV"/>
              </w:rPr>
              <w:t>Saistītie politikas ietekmes novērtējumi un pētījumi</w:t>
            </w:r>
          </w:p>
        </w:tc>
        <w:tc>
          <w:tcPr>
            <w:tcW w:w="5812" w:type="dxa"/>
            <w:hideMark/>
          </w:tcPr>
          <w:p w:rsidR="00D867A7" w:rsidRPr="00035560" w:rsidRDefault="001062E9" w:rsidP="007D0057">
            <w:pPr>
              <w:spacing w:before="100" w:beforeAutospacing="1" w:after="100" w:afterAutospacing="1"/>
              <w:jc w:val="both"/>
              <w:rPr>
                <w:lang w:val="lv-LV" w:eastAsia="lv-LV"/>
              </w:rPr>
            </w:pPr>
            <w:r>
              <w:rPr>
                <w:lang w:val="lv-LV" w:eastAsia="lv-LV"/>
              </w:rPr>
              <w:t>Nav attiecināms</w:t>
            </w:r>
            <w:r w:rsidR="00154770">
              <w:rPr>
                <w:lang w:val="lv-LV" w:eastAsia="lv-LV"/>
              </w:rPr>
              <w:t>.</w:t>
            </w:r>
          </w:p>
        </w:tc>
      </w:tr>
      <w:tr w:rsidR="00D867A7" w:rsidRPr="00C13E43" w:rsidTr="002E21BF">
        <w:trPr>
          <w:trHeight w:val="384"/>
          <w:tblCellSpacing w:w="0" w:type="dxa"/>
        </w:trPr>
        <w:tc>
          <w:tcPr>
            <w:tcW w:w="517" w:type="dxa"/>
            <w:hideMark/>
          </w:tcPr>
          <w:p w:rsidR="00D867A7" w:rsidRPr="00D528AA" w:rsidRDefault="00D867A7" w:rsidP="00D867A7">
            <w:pPr>
              <w:spacing w:before="100" w:beforeAutospacing="1" w:after="100" w:afterAutospacing="1"/>
              <w:rPr>
                <w:lang w:val="lv-LV" w:eastAsia="lv-LV"/>
              </w:rPr>
            </w:pPr>
            <w:r w:rsidRPr="00D528AA">
              <w:rPr>
                <w:lang w:val="lv-LV" w:eastAsia="lv-LV"/>
              </w:rPr>
              <w:t> 4.</w:t>
            </w:r>
          </w:p>
        </w:tc>
        <w:tc>
          <w:tcPr>
            <w:tcW w:w="2617" w:type="dxa"/>
            <w:hideMark/>
          </w:tcPr>
          <w:p w:rsidR="00D867A7" w:rsidRPr="00D528AA" w:rsidRDefault="00D867A7" w:rsidP="00D867A7">
            <w:pPr>
              <w:spacing w:before="100" w:beforeAutospacing="1" w:after="100" w:afterAutospacing="1"/>
              <w:rPr>
                <w:lang w:val="lv-LV" w:eastAsia="lv-LV"/>
              </w:rPr>
            </w:pPr>
            <w:r w:rsidRPr="00D528AA">
              <w:rPr>
                <w:lang w:val="lv-LV" w:eastAsia="lv-LV"/>
              </w:rPr>
              <w:t>Tiesiskā regulējuma mērķis un būtība</w:t>
            </w:r>
          </w:p>
        </w:tc>
        <w:tc>
          <w:tcPr>
            <w:tcW w:w="5812" w:type="dxa"/>
          </w:tcPr>
          <w:p w:rsidR="00332581" w:rsidRPr="00332581" w:rsidRDefault="00350546" w:rsidP="00B95CED">
            <w:pPr>
              <w:spacing w:before="100" w:beforeAutospacing="1" w:after="100" w:afterAutospacing="1"/>
              <w:jc w:val="both"/>
              <w:rPr>
                <w:b/>
                <w:bCs/>
                <w:lang w:val="lv-LV"/>
              </w:rPr>
            </w:pPr>
            <w:r w:rsidRPr="00350546">
              <w:rPr>
                <w:bCs/>
                <w:lang w:val="lv-LV"/>
              </w:rPr>
              <w:t>Ministru kabineta noteikumu projekt</w:t>
            </w:r>
            <w:r w:rsidR="00B14912">
              <w:rPr>
                <w:bCs/>
                <w:lang w:val="lv-LV"/>
              </w:rPr>
              <w:t>s</w:t>
            </w:r>
            <w:r w:rsidRPr="00350546">
              <w:rPr>
                <w:bCs/>
                <w:lang w:val="lv-LV"/>
              </w:rPr>
              <w:t xml:space="preserve"> </w:t>
            </w:r>
            <w:r w:rsidR="00B14912">
              <w:rPr>
                <w:bCs/>
                <w:lang w:val="lv-LV"/>
              </w:rPr>
              <w:t>paredz precizēt</w:t>
            </w:r>
            <w:r>
              <w:rPr>
                <w:bCs/>
                <w:lang w:val="lv-LV"/>
              </w:rPr>
              <w:t xml:space="preserve"> atsauces uz Pievienotās vērtības nodokļa likumu</w:t>
            </w:r>
            <w:r w:rsidR="00C13E43">
              <w:rPr>
                <w:bCs/>
                <w:lang w:val="lv-LV"/>
              </w:rPr>
              <w:t>.</w:t>
            </w:r>
            <w:r>
              <w:rPr>
                <w:bCs/>
                <w:lang w:val="lv-LV"/>
              </w:rPr>
              <w:t xml:space="preserve"> </w:t>
            </w:r>
            <w:r w:rsidR="00C13E43">
              <w:rPr>
                <w:bCs/>
                <w:lang w:val="lv-LV"/>
              </w:rPr>
              <w:t xml:space="preserve">Līdztekus paredzēts </w:t>
            </w:r>
            <w:r w:rsidR="0063086E">
              <w:rPr>
                <w:bCs/>
                <w:lang w:val="lv-LV"/>
              </w:rPr>
              <w:t xml:space="preserve">precizēt atsauci uz </w:t>
            </w:r>
            <w:r w:rsidR="0063086E" w:rsidRPr="0063086E">
              <w:rPr>
                <w:bCs/>
                <w:lang w:val="lv-LV"/>
              </w:rPr>
              <w:t>Valsts ieņēmumu dienesta</w:t>
            </w:r>
            <w:r w:rsidR="005334E5">
              <w:rPr>
                <w:bCs/>
                <w:lang w:val="lv-LV"/>
              </w:rPr>
              <w:t xml:space="preserve"> reģistra nosaukumu, </w:t>
            </w:r>
            <w:r w:rsidR="0063086E">
              <w:rPr>
                <w:bCs/>
                <w:lang w:val="lv-LV"/>
              </w:rPr>
              <w:t>jo līdz ar</w:t>
            </w:r>
            <w:r w:rsidR="0063086E">
              <w:t xml:space="preserve"> </w:t>
            </w:r>
            <w:r w:rsidR="0063086E" w:rsidRPr="0063086E">
              <w:rPr>
                <w:bCs/>
                <w:lang w:val="lv-LV"/>
              </w:rPr>
              <w:t>Pie</w:t>
            </w:r>
            <w:r w:rsidR="0063086E">
              <w:rPr>
                <w:bCs/>
                <w:lang w:val="lv-LV"/>
              </w:rPr>
              <w:t xml:space="preserve">vienotās vērtības nodokļa likuma spēkā stāšanos </w:t>
            </w:r>
            <w:r w:rsidR="00522C0D">
              <w:rPr>
                <w:bCs/>
                <w:lang w:val="lv-LV"/>
              </w:rPr>
              <w:t xml:space="preserve">pievienotās vērtības nodokļa maksātāji tiek reģistrēti </w:t>
            </w:r>
            <w:r w:rsidR="0063086E">
              <w:rPr>
                <w:bCs/>
                <w:lang w:val="lv-LV"/>
              </w:rPr>
              <w:t>Valsts ieņēmumu dienesta pievienotās vēr</w:t>
            </w:r>
            <w:r w:rsidR="00522C0D">
              <w:rPr>
                <w:bCs/>
                <w:lang w:val="lv-LV"/>
              </w:rPr>
              <w:t>tības nodokļa maksātāju reģistrā</w:t>
            </w:r>
            <w:r w:rsidR="002E21BF">
              <w:rPr>
                <w:bCs/>
                <w:lang w:val="lv-LV"/>
              </w:rPr>
              <w:t xml:space="preserve">, nevis </w:t>
            </w:r>
            <w:r w:rsidR="00522C0D">
              <w:rPr>
                <w:bCs/>
                <w:lang w:val="lv-LV"/>
              </w:rPr>
              <w:t xml:space="preserve"> kā bija noteikts likumā „Par pievienotās vērtības nodokli” Valsts ieņēmumu dienesta </w:t>
            </w:r>
            <w:r w:rsidR="002E21BF">
              <w:rPr>
                <w:bCs/>
                <w:lang w:val="lv-LV"/>
              </w:rPr>
              <w:t>ar pievienotās vērtības nodokli apliekam</w:t>
            </w:r>
            <w:r w:rsidR="00522C0D">
              <w:rPr>
                <w:bCs/>
                <w:lang w:val="lv-LV"/>
              </w:rPr>
              <w:t>o</w:t>
            </w:r>
            <w:r w:rsidR="002E21BF">
              <w:rPr>
                <w:bCs/>
                <w:lang w:val="lv-LV"/>
              </w:rPr>
              <w:t xml:space="preserve"> personu reģistr</w:t>
            </w:r>
            <w:r w:rsidR="00522C0D">
              <w:rPr>
                <w:bCs/>
                <w:lang w:val="lv-LV"/>
              </w:rPr>
              <w:t>ā</w:t>
            </w:r>
            <w:r w:rsidR="002E21BF">
              <w:rPr>
                <w:bCs/>
                <w:lang w:val="lv-LV"/>
              </w:rPr>
              <w:t>.</w:t>
            </w:r>
            <w:r w:rsidR="0063086E">
              <w:rPr>
                <w:bCs/>
                <w:lang w:val="lv-LV"/>
              </w:rPr>
              <w:t xml:space="preserve"> </w:t>
            </w:r>
            <w:r w:rsidR="00B95CED">
              <w:rPr>
                <w:bCs/>
                <w:lang w:val="lv-LV"/>
              </w:rPr>
              <w:t>Ar noteikumu projektu tiks atrisinātas anotācijas 2.punktā minētās problēmas.</w:t>
            </w:r>
          </w:p>
        </w:tc>
      </w:tr>
      <w:tr w:rsidR="00D867A7" w:rsidRPr="00EF0879" w:rsidTr="002E21BF">
        <w:trPr>
          <w:trHeight w:val="476"/>
          <w:tblCellSpacing w:w="0" w:type="dxa"/>
        </w:trPr>
        <w:tc>
          <w:tcPr>
            <w:tcW w:w="517" w:type="dxa"/>
            <w:hideMark/>
          </w:tcPr>
          <w:p w:rsidR="00D867A7" w:rsidRPr="00035560" w:rsidRDefault="00D867A7" w:rsidP="00D867A7">
            <w:pPr>
              <w:spacing w:before="100" w:beforeAutospacing="1" w:after="100" w:afterAutospacing="1"/>
              <w:rPr>
                <w:lang w:val="lv-LV" w:eastAsia="lv-LV"/>
              </w:rPr>
            </w:pPr>
            <w:r w:rsidRPr="00035560">
              <w:rPr>
                <w:lang w:val="lv-LV" w:eastAsia="lv-LV"/>
              </w:rPr>
              <w:t> 5.</w:t>
            </w:r>
          </w:p>
        </w:tc>
        <w:tc>
          <w:tcPr>
            <w:tcW w:w="2617" w:type="dxa"/>
            <w:hideMark/>
          </w:tcPr>
          <w:p w:rsidR="00D867A7" w:rsidRPr="00035560" w:rsidRDefault="00D867A7" w:rsidP="00D867A7">
            <w:pPr>
              <w:spacing w:before="100" w:beforeAutospacing="1" w:after="100" w:afterAutospacing="1"/>
              <w:rPr>
                <w:lang w:val="lv-LV" w:eastAsia="lv-LV"/>
              </w:rPr>
            </w:pPr>
            <w:r w:rsidRPr="00035560">
              <w:rPr>
                <w:lang w:val="lv-LV" w:eastAsia="lv-LV"/>
              </w:rPr>
              <w:t>Projekta izstrādē iesaistītās institūcijas</w:t>
            </w:r>
          </w:p>
        </w:tc>
        <w:tc>
          <w:tcPr>
            <w:tcW w:w="5812" w:type="dxa"/>
          </w:tcPr>
          <w:p w:rsidR="00D867A7" w:rsidRPr="00035560" w:rsidRDefault="00041C24" w:rsidP="00041C24">
            <w:pPr>
              <w:spacing w:before="100" w:beforeAutospacing="1" w:after="100" w:afterAutospacing="1"/>
              <w:jc w:val="both"/>
              <w:rPr>
                <w:lang w:val="lv-LV" w:eastAsia="lv-LV"/>
              </w:rPr>
            </w:pPr>
            <w:r>
              <w:rPr>
                <w:lang w:val="lv-LV" w:eastAsia="lv-LV"/>
              </w:rPr>
              <w:t>Nav</w:t>
            </w:r>
          </w:p>
        </w:tc>
      </w:tr>
      <w:tr w:rsidR="00D867A7" w:rsidRPr="00356C9E" w:rsidTr="002E21BF">
        <w:trPr>
          <w:trHeight w:val="978"/>
          <w:tblCellSpacing w:w="0" w:type="dxa"/>
        </w:trPr>
        <w:tc>
          <w:tcPr>
            <w:tcW w:w="517" w:type="dxa"/>
            <w:hideMark/>
          </w:tcPr>
          <w:p w:rsidR="00D867A7" w:rsidRPr="00035560" w:rsidRDefault="00D867A7" w:rsidP="00807A10">
            <w:pPr>
              <w:spacing w:before="100" w:beforeAutospacing="1" w:after="100" w:afterAutospacing="1"/>
              <w:rPr>
                <w:lang w:val="lv-LV" w:eastAsia="lv-LV"/>
              </w:rPr>
            </w:pPr>
            <w:r w:rsidRPr="00035560">
              <w:rPr>
                <w:lang w:val="lv-LV" w:eastAsia="lv-LV"/>
              </w:rPr>
              <w:lastRenderedPageBreak/>
              <w:t> </w:t>
            </w:r>
            <w:r w:rsidRPr="00807A10">
              <w:rPr>
                <w:lang w:val="lv-LV" w:eastAsia="lv-LV"/>
              </w:rPr>
              <w:t>6.</w:t>
            </w:r>
          </w:p>
        </w:tc>
        <w:tc>
          <w:tcPr>
            <w:tcW w:w="2617" w:type="dxa"/>
            <w:hideMark/>
          </w:tcPr>
          <w:p w:rsidR="00D867A7" w:rsidRPr="00035560" w:rsidRDefault="00D867A7" w:rsidP="00D867A7">
            <w:pPr>
              <w:spacing w:before="100" w:beforeAutospacing="1" w:after="100" w:afterAutospacing="1"/>
              <w:rPr>
                <w:lang w:val="lv-LV" w:eastAsia="lv-LV"/>
              </w:rPr>
            </w:pPr>
            <w:r w:rsidRPr="00035560">
              <w:rPr>
                <w:lang w:val="lv-LV" w:eastAsia="lv-LV"/>
              </w:rPr>
              <w:t>Iemesli, kādēļ netika nodrošināta sabiedrības līdzdalība</w:t>
            </w:r>
          </w:p>
        </w:tc>
        <w:tc>
          <w:tcPr>
            <w:tcW w:w="5812" w:type="dxa"/>
          </w:tcPr>
          <w:p w:rsidR="00182859" w:rsidRPr="003C0D4F" w:rsidRDefault="00C5332E" w:rsidP="00CD086E">
            <w:pPr>
              <w:spacing w:before="100" w:beforeAutospacing="1" w:after="100" w:afterAutospacing="1"/>
              <w:jc w:val="both"/>
              <w:rPr>
                <w:lang w:val="lv-LV" w:eastAsia="lv-LV"/>
              </w:rPr>
            </w:pPr>
            <w:proofErr w:type="spellStart"/>
            <w:r>
              <w:t>Sabiedrības</w:t>
            </w:r>
            <w:proofErr w:type="spellEnd"/>
            <w:r>
              <w:t xml:space="preserve"> l</w:t>
            </w:r>
            <w:proofErr w:type="spellStart"/>
            <w:r w:rsidRPr="00C5332E">
              <w:rPr>
                <w:lang w:val="lv-LV" w:eastAsia="lv-LV"/>
              </w:rPr>
              <w:t>īdzdalība</w:t>
            </w:r>
            <w:proofErr w:type="spellEnd"/>
            <w:r w:rsidRPr="00C5332E">
              <w:rPr>
                <w:lang w:val="lv-LV" w:eastAsia="lv-LV"/>
              </w:rPr>
              <w:t xml:space="preserve"> </w:t>
            </w:r>
            <w:r w:rsidR="00CD086E" w:rsidRPr="00C5332E">
              <w:rPr>
                <w:lang w:val="lv-LV" w:eastAsia="lv-LV"/>
              </w:rPr>
              <w:t>n</w:t>
            </w:r>
            <w:r w:rsidR="00CD086E">
              <w:rPr>
                <w:lang w:val="lv-LV" w:eastAsia="lv-LV"/>
              </w:rPr>
              <w:t>av</w:t>
            </w:r>
            <w:r w:rsidR="00CD086E" w:rsidRPr="00C5332E">
              <w:rPr>
                <w:lang w:val="lv-LV" w:eastAsia="lv-LV"/>
              </w:rPr>
              <w:t xml:space="preserve"> </w:t>
            </w:r>
            <w:r w:rsidRPr="00C5332E">
              <w:rPr>
                <w:lang w:val="lv-LV" w:eastAsia="lv-LV"/>
              </w:rPr>
              <w:t xml:space="preserve">nepieciešama, jo </w:t>
            </w:r>
            <w:r w:rsidR="00CD086E">
              <w:rPr>
                <w:lang w:val="lv-LV" w:eastAsia="lv-LV"/>
              </w:rPr>
              <w:t xml:space="preserve">Ministru kabineta noteikumu projekts </w:t>
            </w:r>
            <w:r w:rsidRPr="00C5332E">
              <w:rPr>
                <w:lang w:val="lv-LV" w:eastAsia="lv-LV"/>
              </w:rPr>
              <w:t xml:space="preserve">pēc būtības nemaina informācijas par </w:t>
            </w:r>
            <w:r w:rsidR="00CD086E">
              <w:rPr>
                <w:lang w:val="lv-LV" w:eastAsia="lv-LV"/>
              </w:rPr>
              <w:t xml:space="preserve">pievienotās vērtības nodokļa </w:t>
            </w:r>
            <w:r w:rsidRPr="00C5332E">
              <w:rPr>
                <w:lang w:val="lv-LV" w:eastAsia="lv-LV"/>
              </w:rPr>
              <w:t xml:space="preserve"> </w:t>
            </w:r>
            <w:r w:rsidR="00CD086E" w:rsidRPr="00C5332E">
              <w:rPr>
                <w:lang w:val="lv-LV" w:eastAsia="lv-LV"/>
              </w:rPr>
              <w:t>E</w:t>
            </w:r>
            <w:r w:rsidR="00CD086E">
              <w:rPr>
                <w:lang w:val="lv-LV" w:eastAsia="lv-LV"/>
              </w:rPr>
              <w:t>iropas Savienības</w:t>
            </w:r>
            <w:r w:rsidR="00CD086E" w:rsidRPr="00C5332E">
              <w:rPr>
                <w:lang w:val="lv-LV" w:eastAsia="lv-LV"/>
              </w:rPr>
              <w:t xml:space="preserve"> </w:t>
            </w:r>
            <w:r w:rsidRPr="00C5332E">
              <w:rPr>
                <w:lang w:val="lv-LV" w:eastAsia="lv-LV"/>
              </w:rPr>
              <w:t>struktūrfondu projektu ietvaros sniegšanas un pārbaudīšanas, kā arī lēmuma par</w:t>
            </w:r>
            <w:r w:rsidR="00CD086E">
              <w:rPr>
                <w:lang w:val="lv-LV" w:eastAsia="lv-LV"/>
              </w:rPr>
              <w:t xml:space="preserve"> pievienotās vērtības nodokļa summu, kura iekļaujama projekta attiecināmajās izmaksās</w:t>
            </w:r>
            <w:r w:rsidR="00675AC4">
              <w:rPr>
                <w:lang w:val="lv-LV" w:eastAsia="lv-LV"/>
              </w:rPr>
              <w:t>,</w:t>
            </w:r>
            <w:r w:rsidR="00CD086E" w:rsidRPr="00C5332E">
              <w:rPr>
                <w:lang w:val="lv-LV" w:eastAsia="lv-LV"/>
              </w:rPr>
              <w:t xml:space="preserve"> </w:t>
            </w:r>
            <w:r w:rsidRPr="00C5332E">
              <w:rPr>
                <w:lang w:val="lv-LV" w:eastAsia="lv-LV"/>
              </w:rPr>
              <w:t>kārtību, bet tikai precizē atsauces uz piemērojamo likumu.</w:t>
            </w:r>
          </w:p>
        </w:tc>
      </w:tr>
      <w:tr w:rsidR="00D867A7" w:rsidRPr="00403700" w:rsidTr="002E21BF">
        <w:trPr>
          <w:trHeight w:val="432"/>
          <w:tblCellSpacing w:w="0" w:type="dxa"/>
        </w:trPr>
        <w:tc>
          <w:tcPr>
            <w:tcW w:w="517" w:type="dxa"/>
            <w:hideMark/>
          </w:tcPr>
          <w:p w:rsidR="00D867A7" w:rsidRPr="00035560" w:rsidRDefault="00D867A7" w:rsidP="00D867A7">
            <w:pPr>
              <w:spacing w:before="100" w:beforeAutospacing="1" w:after="100" w:afterAutospacing="1"/>
              <w:rPr>
                <w:lang w:val="lv-LV" w:eastAsia="lv-LV"/>
              </w:rPr>
            </w:pPr>
            <w:r w:rsidRPr="00035560">
              <w:rPr>
                <w:lang w:val="lv-LV" w:eastAsia="lv-LV"/>
              </w:rPr>
              <w:t> 7.</w:t>
            </w:r>
          </w:p>
        </w:tc>
        <w:tc>
          <w:tcPr>
            <w:tcW w:w="2617" w:type="dxa"/>
            <w:hideMark/>
          </w:tcPr>
          <w:p w:rsidR="00D867A7" w:rsidRPr="00035560" w:rsidRDefault="00D867A7" w:rsidP="00D867A7">
            <w:pPr>
              <w:spacing w:before="100" w:beforeAutospacing="1" w:after="100" w:afterAutospacing="1"/>
              <w:rPr>
                <w:lang w:val="lv-LV" w:eastAsia="lv-LV"/>
              </w:rPr>
            </w:pPr>
            <w:r w:rsidRPr="00035560">
              <w:rPr>
                <w:lang w:val="lv-LV" w:eastAsia="lv-LV"/>
              </w:rPr>
              <w:t> Cita informācija</w:t>
            </w:r>
          </w:p>
        </w:tc>
        <w:tc>
          <w:tcPr>
            <w:tcW w:w="5812" w:type="dxa"/>
          </w:tcPr>
          <w:p w:rsidR="00D867A7" w:rsidRPr="00C13E43" w:rsidRDefault="00A8674A" w:rsidP="00154770">
            <w:pPr>
              <w:jc w:val="both"/>
              <w:rPr>
                <w:lang w:val="lv-LV" w:eastAsia="lv-LV"/>
              </w:rPr>
            </w:pPr>
            <w:r w:rsidRPr="00A8674A">
              <w:rPr>
                <w:b/>
                <w:lang w:val="lv-LV" w:eastAsia="lv-LV"/>
              </w:rPr>
              <w:t xml:space="preserve"> </w:t>
            </w:r>
            <w:r w:rsidR="00C13E43" w:rsidRPr="00C13E43">
              <w:rPr>
                <w:lang w:val="lv-LV" w:eastAsia="lv-LV"/>
              </w:rPr>
              <w:t>Nav</w:t>
            </w:r>
          </w:p>
        </w:tc>
      </w:tr>
      <w:bookmarkEnd w:id="0"/>
      <w:bookmarkEnd w:id="1"/>
    </w:tbl>
    <w:p w:rsidR="00034CDC" w:rsidRDefault="00034CDC" w:rsidP="00421C80">
      <w:pPr>
        <w:rPr>
          <w:lang w:val="lv-LV"/>
        </w:rPr>
      </w:pPr>
    </w:p>
    <w:p w:rsidR="00917DF3" w:rsidRPr="00034CDC" w:rsidRDefault="00917DF3" w:rsidP="00421C80">
      <w:pPr>
        <w:rPr>
          <w:vanish/>
          <w:lang w:val="lv-LV"/>
        </w:rPr>
      </w:pPr>
    </w:p>
    <w:p w:rsidR="00412C59" w:rsidRDefault="00412C59" w:rsidP="00613168">
      <w:pPr>
        <w:rPr>
          <w:lang w:val="lv-LV"/>
        </w:rPr>
      </w:pPr>
    </w:p>
    <w:p w:rsidR="00775B0E" w:rsidRDefault="00F5103B" w:rsidP="005B52C7">
      <w:pPr>
        <w:pStyle w:val="Heading1"/>
        <w:keepNext w:val="0"/>
        <w:widowControl w:val="0"/>
        <w:jc w:val="both"/>
        <w:rPr>
          <w:b w:val="0"/>
          <w:sz w:val="24"/>
          <w:lang w:eastAsia="lv-LV"/>
        </w:rPr>
      </w:pPr>
      <w:r w:rsidRPr="00B152F1">
        <w:rPr>
          <w:b w:val="0"/>
          <w:sz w:val="24"/>
          <w:lang w:eastAsia="lv-LV"/>
        </w:rPr>
        <w:t>Anotācijas</w:t>
      </w:r>
      <w:r w:rsidR="00C65899" w:rsidRPr="00B152F1">
        <w:rPr>
          <w:b w:val="0"/>
          <w:sz w:val="24"/>
          <w:lang w:eastAsia="lv-LV"/>
        </w:rPr>
        <w:t xml:space="preserve"> </w:t>
      </w:r>
      <w:r w:rsidR="00C21F29" w:rsidRPr="00B152F1">
        <w:rPr>
          <w:b w:val="0"/>
          <w:sz w:val="24"/>
          <w:lang w:eastAsia="lv-LV"/>
        </w:rPr>
        <w:t xml:space="preserve">II, </w:t>
      </w:r>
      <w:r w:rsidR="007946F6" w:rsidRPr="00B152F1">
        <w:rPr>
          <w:b w:val="0"/>
          <w:sz w:val="24"/>
          <w:lang w:eastAsia="lv-LV"/>
        </w:rPr>
        <w:t>III</w:t>
      </w:r>
      <w:r w:rsidR="007946F6" w:rsidRPr="00035560">
        <w:rPr>
          <w:b w:val="0"/>
          <w:sz w:val="24"/>
          <w:lang w:eastAsia="lv-LV"/>
        </w:rPr>
        <w:t xml:space="preserve">, IV, </w:t>
      </w:r>
      <w:r w:rsidR="008028F6" w:rsidRPr="00035560">
        <w:rPr>
          <w:b w:val="0"/>
          <w:sz w:val="24"/>
          <w:lang w:eastAsia="lv-LV"/>
        </w:rPr>
        <w:t>V, VI</w:t>
      </w:r>
      <w:r w:rsidR="00C13E43">
        <w:rPr>
          <w:b w:val="0"/>
          <w:sz w:val="24"/>
          <w:lang w:eastAsia="lv-LV"/>
        </w:rPr>
        <w:t>, VII</w:t>
      </w:r>
      <w:r w:rsidR="008028F6" w:rsidRPr="00035560">
        <w:rPr>
          <w:b w:val="0"/>
          <w:sz w:val="24"/>
          <w:lang w:eastAsia="lv-LV"/>
        </w:rPr>
        <w:t xml:space="preserve"> sadaļa – </w:t>
      </w:r>
      <w:r w:rsidR="00830485">
        <w:rPr>
          <w:b w:val="0"/>
          <w:sz w:val="24"/>
          <w:lang w:eastAsia="lv-LV"/>
        </w:rPr>
        <w:t>projekts šo jomu neskar</w:t>
      </w:r>
      <w:r w:rsidR="008028F6" w:rsidRPr="00035560">
        <w:rPr>
          <w:b w:val="0"/>
          <w:sz w:val="24"/>
          <w:lang w:eastAsia="lv-LV"/>
        </w:rPr>
        <w:t>.</w:t>
      </w:r>
    </w:p>
    <w:p w:rsidR="005B52C7" w:rsidRDefault="005B52C7" w:rsidP="001C227F">
      <w:pPr>
        <w:pStyle w:val="Heading1"/>
        <w:keepNext w:val="0"/>
        <w:widowControl w:val="0"/>
        <w:jc w:val="left"/>
        <w:rPr>
          <w:sz w:val="24"/>
        </w:rPr>
      </w:pPr>
    </w:p>
    <w:p w:rsidR="00917DF3" w:rsidRDefault="00917DF3" w:rsidP="001C227F">
      <w:pPr>
        <w:pStyle w:val="Heading1"/>
        <w:keepNext w:val="0"/>
        <w:widowControl w:val="0"/>
        <w:jc w:val="left"/>
        <w:rPr>
          <w:b w:val="0"/>
          <w:sz w:val="24"/>
        </w:rPr>
      </w:pPr>
    </w:p>
    <w:p w:rsidR="00917DF3" w:rsidRDefault="00917DF3" w:rsidP="001C227F">
      <w:pPr>
        <w:pStyle w:val="Heading1"/>
        <w:keepNext w:val="0"/>
        <w:widowControl w:val="0"/>
        <w:jc w:val="left"/>
        <w:rPr>
          <w:b w:val="0"/>
          <w:sz w:val="24"/>
        </w:rPr>
      </w:pPr>
    </w:p>
    <w:p w:rsidR="008F62B8" w:rsidRPr="005B52C7" w:rsidRDefault="00DB6E78" w:rsidP="001C227F">
      <w:pPr>
        <w:pStyle w:val="Heading1"/>
        <w:keepNext w:val="0"/>
        <w:widowControl w:val="0"/>
        <w:jc w:val="left"/>
        <w:rPr>
          <w:rStyle w:val="Hyperlink"/>
          <w:b w:val="0"/>
          <w:color w:val="auto"/>
          <w:sz w:val="24"/>
          <w:u w:val="none"/>
        </w:rPr>
      </w:pPr>
      <w:r w:rsidRPr="005B52C7">
        <w:rPr>
          <w:b w:val="0"/>
          <w:sz w:val="24"/>
        </w:rPr>
        <w:t xml:space="preserve">Finanšu </w:t>
      </w:r>
      <w:r w:rsidR="00C35D18" w:rsidRPr="005B52C7">
        <w:rPr>
          <w:b w:val="0"/>
          <w:sz w:val="24"/>
        </w:rPr>
        <w:t>ministrs</w:t>
      </w:r>
      <w:r w:rsidR="001C227F" w:rsidRPr="005B52C7">
        <w:rPr>
          <w:b w:val="0"/>
          <w:sz w:val="24"/>
        </w:rPr>
        <w:tab/>
      </w:r>
      <w:r w:rsidR="001C227F" w:rsidRPr="005B52C7">
        <w:rPr>
          <w:b w:val="0"/>
          <w:sz w:val="24"/>
        </w:rPr>
        <w:tab/>
      </w:r>
      <w:r w:rsidR="001C227F" w:rsidRPr="005B52C7">
        <w:rPr>
          <w:b w:val="0"/>
          <w:sz w:val="24"/>
        </w:rPr>
        <w:tab/>
      </w:r>
      <w:r w:rsidR="001C227F" w:rsidRPr="005B52C7">
        <w:rPr>
          <w:b w:val="0"/>
          <w:sz w:val="24"/>
        </w:rPr>
        <w:tab/>
      </w:r>
      <w:r w:rsidR="001C227F" w:rsidRPr="005B52C7">
        <w:rPr>
          <w:b w:val="0"/>
          <w:sz w:val="24"/>
        </w:rPr>
        <w:tab/>
      </w:r>
      <w:r w:rsidR="001C227F" w:rsidRPr="005B52C7">
        <w:rPr>
          <w:b w:val="0"/>
          <w:sz w:val="24"/>
        </w:rPr>
        <w:tab/>
      </w:r>
      <w:r w:rsidR="001C227F" w:rsidRPr="005B52C7">
        <w:rPr>
          <w:b w:val="0"/>
          <w:sz w:val="24"/>
        </w:rPr>
        <w:tab/>
      </w:r>
      <w:r w:rsidR="001C227F" w:rsidRPr="005B52C7">
        <w:rPr>
          <w:b w:val="0"/>
          <w:sz w:val="24"/>
        </w:rPr>
        <w:tab/>
      </w:r>
      <w:r w:rsidR="001C227F" w:rsidRPr="005B52C7">
        <w:rPr>
          <w:b w:val="0"/>
          <w:sz w:val="24"/>
        </w:rPr>
        <w:tab/>
        <w:t>A.Vilks</w:t>
      </w:r>
    </w:p>
    <w:p w:rsidR="00002373" w:rsidRDefault="00002373" w:rsidP="00717A3E">
      <w:pPr>
        <w:pStyle w:val="NoSpacing"/>
        <w:jc w:val="both"/>
        <w:rPr>
          <w:rStyle w:val="Hyperlink"/>
          <w:rFonts w:ascii="Times New Roman" w:hAnsi="Times New Roman"/>
          <w:color w:val="auto"/>
          <w:sz w:val="18"/>
          <w:szCs w:val="18"/>
          <w:u w:val="none"/>
        </w:rPr>
      </w:pPr>
    </w:p>
    <w:p w:rsidR="00002373" w:rsidRDefault="00002373" w:rsidP="00717A3E">
      <w:pPr>
        <w:pStyle w:val="NoSpacing"/>
        <w:jc w:val="both"/>
        <w:rPr>
          <w:rStyle w:val="Hyperlink"/>
          <w:rFonts w:ascii="Times New Roman" w:hAnsi="Times New Roman"/>
          <w:color w:val="auto"/>
          <w:sz w:val="18"/>
          <w:szCs w:val="18"/>
          <w:u w:val="none"/>
        </w:rPr>
      </w:pPr>
    </w:p>
    <w:p w:rsidR="00002373" w:rsidRDefault="00002373" w:rsidP="00717A3E">
      <w:pPr>
        <w:pStyle w:val="NoSpacing"/>
        <w:jc w:val="both"/>
        <w:rPr>
          <w:rStyle w:val="Hyperlink"/>
          <w:rFonts w:ascii="Times New Roman" w:hAnsi="Times New Roman"/>
          <w:color w:val="auto"/>
          <w:sz w:val="18"/>
          <w:szCs w:val="18"/>
          <w:u w:val="none"/>
        </w:rPr>
      </w:pPr>
    </w:p>
    <w:p w:rsidR="00E46493" w:rsidRDefault="00E46493" w:rsidP="00717A3E">
      <w:pPr>
        <w:pStyle w:val="NoSpacing"/>
        <w:jc w:val="both"/>
        <w:rPr>
          <w:rStyle w:val="Hyperlink"/>
          <w:rFonts w:ascii="Times New Roman" w:hAnsi="Times New Roman"/>
          <w:color w:val="auto"/>
          <w:sz w:val="18"/>
          <w:szCs w:val="18"/>
          <w:u w:val="none"/>
        </w:rPr>
      </w:pPr>
      <w:r>
        <w:rPr>
          <w:rStyle w:val="Hyperlink"/>
          <w:rFonts w:ascii="Times New Roman" w:hAnsi="Times New Roman"/>
          <w:color w:val="auto"/>
          <w:sz w:val="18"/>
          <w:szCs w:val="18"/>
          <w:u w:val="none"/>
        </w:rPr>
        <w:t>26.03.2013 10:43</w:t>
      </w:r>
    </w:p>
    <w:p w:rsidR="008F62B8" w:rsidRPr="00BF6B07" w:rsidRDefault="00675AC4" w:rsidP="00717A3E">
      <w:pPr>
        <w:pStyle w:val="NoSpacing"/>
        <w:jc w:val="both"/>
        <w:rPr>
          <w:rStyle w:val="Hyperlink"/>
          <w:rFonts w:ascii="Times New Roman" w:hAnsi="Times New Roman"/>
          <w:color w:val="auto"/>
          <w:sz w:val="18"/>
          <w:szCs w:val="18"/>
          <w:u w:val="none"/>
        </w:rPr>
      </w:pPr>
      <w:r>
        <w:rPr>
          <w:rStyle w:val="Hyperlink"/>
          <w:rFonts w:ascii="Times New Roman" w:hAnsi="Times New Roman"/>
          <w:color w:val="auto"/>
          <w:sz w:val="18"/>
          <w:szCs w:val="18"/>
          <w:u w:val="none"/>
        </w:rPr>
        <w:t>3</w:t>
      </w:r>
      <w:r w:rsidR="005465A0">
        <w:rPr>
          <w:rStyle w:val="Hyperlink"/>
          <w:rFonts w:ascii="Times New Roman" w:hAnsi="Times New Roman"/>
          <w:color w:val="auto"/>
          <w:sz w:val="18"/>
          <w:szCs w:val="18"/>
          <w:u w:val="none"/>
        </w:rPr>
        <w:t>72</w:t>
      </w:r>
    </w:p>
    <w:p w:rsidR="005B52C7" w:rsidRPr="005B52C7" w:rsidRDefault="00071C82" w:rsidP="00717A3E">
      <w:pPr>
        <w:pStyle w:val="NoSpacing"/>
        <w:jc w:val="both"/>
        <w:rPr>
          <w:rStyle w:val="Hyperlink"/>
          <w:rFonts w:ascii="Times New Roman" w:hAnsi="Times New Roman"/>
          <w:color w:val="auto"/>
          <w:sz w:val="18"/>
          <w:szCs w:val="18"/>
          <w:u w:val="none"/>
        </w:rPr>
      </w:pPr>
      <w:r>
        <w:rPr>
          <w:rStyle w:val="Hyperlink"/>
          <w:rFonts w:ascii="Times New Roman" w:hAnsi="Times New Roman"/>
          <w:color w:val="auto"/>
          <w:sz w:val="18"/>
          <w:szCs w:val="18"/>
          <w:u w:val="none"/>
        </w:rPr>
        <w:t>G</w:t>
      </w:r>
      <w:r w:rsidR="008F62B8" w:rsidRPr="005B52C7">
        <w:rPr>
          <w:rStyle w:val="Hyperlink"/>
          <w:rFonts w:ascii="Times New Roman" w:hAnsi="Times New Roman"/>
          <w:color w:val="auto"/>
          <w:sz w:val="18"/>
          <w:szCs w:val="18"/>
          <w:u w:val="none"/>
        </w:rPr>
        <w:t>.</w:t>
      </w:r>
      <w:r>
        <w:rPr>
          <w:rStyle w:val="Hyperlink"/>
          <w:rFonts w:ascii="Times New Roman" w:hAnsi="Times New Roman"/>
          <w:color w:val="auto"/>
          <w:sz w:val="18"/>
          <w:szCs w:val="18"/>
          <w:u w:val="none"/>
        </w:rPr>
        <w:t>Morgana</w:t>
      </w:r>
      <w:r w:rsidR="005B52C7" w:rsidRPr="005B52C7">
        <w:rPr>
          <w:rStyle w:val="Hyperlink"/>
          <w:rFonts w:ascii="Times New Roman" w:hAnsi="Times New Roman"/>
          <w:color w:val="auto"/>
          <w:sz w:val="18"/>
          <w:szCs w:val="18"/>
          <w:u w:val="none"/>
        </w:rPr>
        <w:t>,</w:t>
      </w:r>
    </w:p>
    <w:p w:rsidR="008F62B8" w:rsidRPr="005B52C7" w:rsidRDefault="008F62B8" w:rsidP="00717A3E">
      <w:pPr>
        <w:pStyle w:val="NoSpacing"/>
        <w:jc w:val="both"/>
        <w:rPr>
          <w:rStyle w:val="Hyperlink"/>
          <w:rFonts w:ascii="Times New Roman" w:hAnsi="Times New Roman"/>
          <w:color w:val="auto"/>
          <w:sz w:val="18"/>
          <w:szCs w:val="18"/>
          <w:u w:val="none"/>
        </w:rPr>
      </w:pPr>
      <w:r w:rsidRPr="005B52C7">
        <w:rPr>
          <w:rStyle w:val="Hyperlink"/>
          <w:rFonts w:ascii="Times New Roman" w:hAnsi="Times New Roman"/>
          <w:color w:val="auto"/>
          <w:sz w:val="18"/>
          <w:szCs w:val="18"/>
          <w:u w:val="none"/>
        </w:rPr>
        <w:t>670</w:t>
      </w:r>
      <w:r w:rsidR="00071C82">
        <w:rPr>
          <w:rStyle w:val="Hyperlink"/>
          <w:rFonts w:ascii="Times New Roman" w:hAnsi="Times New Roman"/>
          <w:color w:val="auto"/>
          <w:sz w:val="18"/>
          <w:szCs w:val="18"/>
          <w:u w:val="none"/>
        </w:rPr>
        <w:t>95480</w:t>
      </w:r>
      <w:r w:rsidRPr="005B52C7">
        <w:rPr>
          <w:rStyle w:val="Hyperlink"/>
          <w:rFonts w:ascii="Times New Roman" w:hAnsi="Times New Roman"/>
          <w:color w:val="auto"/>
          <w:sz w:val="18"/>
          <w:szCs w:val="18"/>
          <w:u w:val="none"/>
        </w:rPr>
        <w:t xml:space="preserve">, </w:t>
      </w:r>
      <w:hyperlink r:id="rId9" w:history="1">
        <w:r w:rsidR="00071C82" w:rsidRPr="008C0119">
          <w:rPr>
            <w:rStyle w:val="Hyperlink"/>
            <w:rFonts w:ascii="Times New Roman" w:hAnsi="Times New Roman"/>
            <w:sz w:val="18"/>
            <w:szCs w:val="18"/>
          </w:rPr>
          <w:t>Gundega.Morgana@fm.gov.lv</w:t>
        </w:r>
      </w:hyperlink>
      <w:r w:rsidRPr="005B52C7">
        <w:rPr>
          <w:rStyle w:val="Hyperlink"/>
          <w:rFonts w:ascii="Times New Roman" w:hAnsi="Times New Roman"/>
          <w:color w:val="auto"/>
          <w:sz w:val="18"/>
          <w:szCs w:val="18"/>
          <w:u w:val="none"/>
        </w:rPr>
        <w:t xml:space="preserve"> </w:t>
      </w:r>
    </w:p>
    <w:p w:rsidR="008F62B8" w:rsidRPr="005B52C7" w:rsidRDefault="008F62B8" w:rsidP="00717A3E">
      <w:pPr>
        <w:pStyle w:val="NoSpacing"/>
        <w:jc w:val="both"/>
        <w:rPr>
          <w:rStyle w:val="Hyperlink"/>
          <w:rFonts w:ascii="Times New Roman" w:hAnsi="Times New Roman"/>
          <w:sz w:val="18"/>
          <w:szCs w:val="18"/>
        </w:rPr>
      </w:pPr>
    </w:p>
    <w:p w:rsidR="008F62B8" w:rsidRDefault="008F62B8" w:rsidP="00717A3E">
      <w:pPr>
        <w:pStyle w:val="NoSpacing"/>
        <w:jc w:val="both"/>
        <w:rPr>
          <w:rStyle w:val="Hyperlink"/>
          <w:rFonts w:ascii="Times New Roman" w:hAnsi="Times New Roman"/>
          <w:sz w:val="20"/>
          <w:szCs w:val="20"/>
        </w:rPr>
      </w:pPr>
    </w:p>
    <w:p w:rsidR="008F62B8" w:rsidRDefault="008F62B8" w:rsidP="00717A3E">
      <w:pPr>
        <w:pStyle w:val="NoSpacing"/>
        <w:jc w:val="both"/>
        <w:rPr>
          <w:rStyle w:val="Hyperlink"/>
          <w:rFonts w:ascii="Times New Roman" w:hAnsi="Times New Roman"/>
          <w:sz w:val="20"/>
          <w:szCs w:val="20"/>
        </w:rPr>
      </w:pPr>
    </w:p>
    <w:sectPr w:rsidR="008F62B8" w:rsidSect="00A355C3">
      <w:headerReference w:type="even" r:id="rId10"/>
      <w:headerReference w:type="default" r:id="rId11"/>
      <w:footerReference w:type="default" r:id="rId12"/>
      <w:footerReference w:type="first" r:id="rId13"/>
      <w:pgSz w:w="11906" w:h="16838" w:code="9"/>
      <w:pgMar w:top="1418" w:right="141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E43" w:rsidRDefault="00C13E43">
      <w:r>
        <w:separator/>
      </w:r>
    </w:p>
  </w:endnote>
  <w:endnote w:type="continuationSeparator" w:id="0">
    <w:p w:rsidR="00C13E43" w:rsidRDefault="00C1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E43" w:rsidRPr="00B95CED" w:rsidRDefault="00C13E43" w:rsidP="00071C82">
    <w:pPr>
      <w:pStyle w:val="Footer"/>
      <w:jc w:val="both"/>
      <w:rPr>
        <w:rFonts w:ascii="Times New Roman" w:hAnsi="Times New Roman"/>
        <w:sz w:val="18"/>
        <w:szCs w:val="18"/>
        <w:lang w:val="lv-LV"/>
      </w:rPr>
    </w:pPr>
    <w:r w:rsidRPr="00B95CED">
      <w:rPr>
        <w:rFonts w:ascii="Times New Roman" w:hAnsi="Times New Roman"/>
        <w:sz w:val="18"/>
        <w:szCs w:val="18"/>
        <w:lang w:val="lv-LV"/>
      </w:rPr>
      <w:t>F</w:t>
    </w:r>
    <w:r w:rsidR="00522C0D" w:rsidRPr="00B95CED">
      <w:rPr>
        <w:rFonts w:ascii="Times New Roman" w:hAnsi="Times New Roman"/>
        <w:sz w:val="18"/>
        <w:szCs w:val="18"/>
        <w:lang w:val="lv-LV"/>
      </w:rPr>
      <w:t>MAnot_2</w:t>
    </w:r>
    <w:r w:rsidR="003E3BCE">
      <w:rPr>
        <w:rFonts w:ascii="Times New Roman" w:hAnsi="Times New Roman"/>
        <w:sz w:val="18"/>
        <w:szCs w:val="18"/>
        <w:lang w:val="lv-LV"/>
      </w:rPr>
      <w:t>6</w:t>
    </w:r>
    <w:r w:rsidRPr="00B95CED">
      <w:rPr>
        <w:rFonts w:ascii="Times New Roman" w:hAnsi="Times New Roman"/>
        <w:sz w:val="18"/>
        <w:szCs w:val="18"/>
        <w:lang w:val="lv-LV"/>
      </w:rPr>
      <w:t>0</w:t>
    </w:r>
    <w:r w:rsidR="003E3BCE">
      <w:rPr>
        <w:rFonts w:ascii="Times New Roman" w:hAnsi="Times New Roman"/>
        <w:sz w:val="18"/>
        <w:szCs w:val="18"/>
        <w:lang w:val="lv-LV"/>
      </w:rPr>
      <w:t>3</w:t>
    </w:r>
    <w:r w:rsidRPr="00B95CED">
      <w:rPr>
        <w:rFonts w:ascii="Times New Roman" w:hAnsi="Times New Roman"/>
        <w:sz w:val="18"/>
        <w:szCs w:val="18"/>
        <w:lang w:val="lv-LV"/>
      </w:rPr>
      <w:t>13_groz952; Ministru kabineta noteikumu projekta „„Grozījumi Ministru kabineta 2009.gada 25.augusta noteikumos Nr.952 „Kārtība, kādā sniedz un pārbauda informāciju par pievienotās vērtības nodokļa piemērošanu Eiropas Savienības struktūrfondu finansēto projektu ietvaros un pieņem lēmumu par pievienotās vērtības nodokļa iekļaušanu projektu attiecināmajās izmaksās”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E43" w:rsidRPr="00B95CED" w:rsidRDefault="00C13E43" w:rsidP="001062E9">
    <w:pPr>
      <w:pStyle w:val="Footer"/>
      <w:jc w:val="both"/>
      <w:rPr>
        <w:rFonts w:ascii="Times New Roman" w:hAnsi="Times New Roman"/>
        <w:sz w:val="18"/>
        <w:szCs w:val="18"/>
        <w:lang w:val="lv-LV"/>
      </w:rPr>
    </w:pPr>
    <w:r w:rsidRPr="00B95CED">
      <w:rPr>
        <w:rFonts w:ascii="Times New Roman" w:hAnsi="Times New Roman"/>
        <w:sz w:val="18"/>
        <w:szCs w:val="18"/>
        <w:lang w:val="lv-LV"/>
      </w:rPr>
      <w:t>FMAnot_</w:t>
    </w:r>
    <w:r w:rsidR="00522C0D" w:rsidRPr="00B95CED">
      <w:rPr>
        <w:rFonts w:ascii="Times New Roman" w:hAnsi="Times New Roman"/>
        <w:sz w:val="18"/>
        <w:szCs w:val="18"/>
        <w:lang w:val="lv-LV"/>
      </w:rPr>
      <w:t>2</w:t>
    </w:r>
    <w:r w:rsidR="003E3BCE">
      <w:rPr>
        <w:rFonts w:ascii="Times New Roman" w:hAnsi="Times New Roman"/>
        <w:sz w:val="18"/>
        <w:szCs w:val="18"/>
        <w:lang w:val="lv-LV"/>
      </w:rPr>
      <w:t>6</w:t>
    </w:r>
    <w:r w:rsidRPr="00B95CED">
      <w:rPr>
        <w:rFonts w:ascii="Times New Roman" w:hAnsi="Times New Roman"/>
        <w:sz w:val="18"/>
        <w:szCs w:val="18"/>
        <w:lang w:val="lv-LV"/>
      </w:rPr>
      <w:t>0</w:t>
    </w:r>
    <w:r w:rsidR="003E3BCE">
      <w:rPr>
        <w:rFonts w:ascii="Times New Roman" w:hAnsi="Times New Roman"/>
        <w:sz w:val="18"/>
        <w:szCs w:val="18"/>
        <w:lang w:val="lv-LV"/>
      </w:rPr>
      <w:t>3</w:t>
    </w:r>
    <w:r w:rsidRPr="00B95CED">
      <w:rPr>
        <w:rFonts w:ascii="Times New Roman" w:hAnsi="Times New Roman"/>
        <w:sz w:val="18"/>
        <w:szCs w:val="18"/>
        <w:lang w:val="lv-LV"/>
      </w:rPr>
      <w:t>13_groz952; Ministru kabineta noteikumu projekta „„Grozījumi Ministru kabineta 2009.gada 25.augusta noteikumos Nr.952 „Kārtība, kādā sniedz un pārbauda informāciju par pievienotās vērtības nodokļa piemērošanu Eiropas Savienības struktūrfondu finansēto projektu ietvaros un pieņem lēmumu par pievienotās vērtības nodokļa iekļaušanu projektu attiecināmajās izmaksās”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E43" w:rsidRDefault="00C13E43">
      <w:r>
        <w:separator/>
      </w:r>
    </w:p>
  </w:footnote>
  <w:footnote w:type="continuationSeparator" w:id="0">
    <w:p w:rsidR="00C13E43" w:rsidRDefault="00C13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E43" w:rsidRDefault="00C13E4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3E43" w:rsidRDefault="00C13E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E43" w:rsidRDefault="00C13E4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3BCE">
      <w:rPr>
        <w:rStyle w:val="PageNumber"/>
        <w:noProof/>
      </w:rPr>
      <w:t>2</w:t>
    </w:r>
    <w:r>
      <w:rPr>
        <w:rStyle w:val="PageNumber"/>
      </w:rPr>
      <w:fldChar w:fldCharType="end"/>
    </w:r>
  </w:p>
  <w:p w:rsidR="00C13E43" w:rsidRDefault="00C13E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5F5"/>
    <w:multiLevelType w:val="hybridMultilevel"/>
    <w:tmpl w:val="F2E2844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05B40A31"/>
    <w:multiLevelType w:val="hybridMultilevel"/>
    <w:tmpl w:val="5CF0B99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1423A9"/>
    <w:multiLevelType w:val="hybridMultilevel"/>
    <w:tmpl w:val="9B3847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57556C2"/>
    <w:multiLevelType w:val="hybridMultilevel"/>
    <w:tmpl w:val="ABE6367A"/>
    <w:lvl w:ilvl="0" w:tplc="4EB84746">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5">
    <w:nsid w:val="17652E78"/>
    <w:multiLevelType w:val="hybridMultilevel"/>
    <w:tmpl w:val="8A2899E6"/>
    <w:lvl w:ilvl="0" w:tplc="FAD6A53C">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6">
    <w:nsid w:val="2A247289"/>
    <w:multiLevelType w:val="hybridMultilevel"/>
    <w:tmpl w:val="A4D4F6C8"/>
    <w:lvl w:ilvl="0" w:tplc="3FA4CBA8">
      <w:start w:val="1"/>
      <w:numFmt w:val="upperRoman"/>
      <w:lvlText w:val="%1."/>
      <w:lvlJc w:val="left"/>
      <w:pPr>
        <w:ind w:left="1077" w:hanging="72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7">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3CBB0164"/>
    <w:multiLevelType w:val="hybridMultilevel"/>
    <w:tmpl w:val="CD6C3BC4"/>
    <w:lvl w:ilvl="0" w:tplc="A1A82DE4">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E591D58"/>
    <w:multiLevelType w:val="hybridMultilevel"/>
    <w:tmpl w:val="55BA1C02"/>
    <w:lvl w:ilvl="0" w:tplc="FCC2594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EC96FDB"/>
    <w:multiLevelType w:val="hybridMultilevel"/>
    <w:tmpl w:val="CC4C0B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66C57D1"/>
    <w:multiLevelType w:val="hybridMultilevel"/>
    <w:tmpl w:val="DA767112"/>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88D1679"/>
    <w:multiLevelType w:val="hybridMultilevel"/>
    <w:tmpl w:val="6A9C6624"/>
    <w:lvl w:ilvl="0" w:tplc="0330877E">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15">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B8666B"/>
    <w:multiLevelType w:val="hybridMultilevel"/>
    <w:tmpl w:val="74B255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855EE9"/>
    <w:multiLevelType w:val="hybridMultilevel"/>
    <w:tmpl w:val="CCC07CEA"/>
    <w:lvl w:ilvl="0" w:tplc="04260001">
      <w:start w:val="1"/>
      <w:numFmt w:val="bullet"/>
      <w:lvlText w:val=""/>
      <w:lvlJc w:val="left"/>
      <w:pPr>
        <w:ind w:left="659"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E7B039E"/>
    <w:multiLevelType w:val="hybridMultilevel"/>
    <w:tmpl w:val="B79453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8"/>
  </w:num>
  <w:num w:numId="4">
    <w:abstractNumId w:val="15"/>
  </w:num>
  <w:num w:numId="5">
    <w:abstractNumId w:val="13"/>
  </w:num>
  <w:num w:numId="6">
    <w:abstractNumId w:val="7"/>
  </w:num>
  <w:num w:numId="7">
    <w:abstractNumId w:val="14"/>
  </w:num>
  <w:num w:numId="8">
    <w:abstractNumId w:val="5"/>
  </w:num>
  <w:num w:numId="9">
    <w:abstractNumId w:val="4"/>
  </w:num>
  <w:num w:numId="10">
    <w:abstractNumId w:val="9"/>
  </w:num>
  <w:num w:numId="11">
    <w:abstractNumId w:val="12"/>
  </w:num>
  <w:num w:numId="12">
    <w:abstractNumId w:val="1"/>
  </w:num>
  <w:num w:numId="13">
    <w:abstractNumId w:val="10"/>
  </w:num>
  <w:num w:numId="14">
    <w:abstractNumId w:val="19"/>
  </w:num>
  <w:num w:numId="15">
    <w:abstractNumId w:val="17"/>
  </w:num>
  <w:num w:numId="16">
    <w:abstractNumId w:val="20"/>
  </w:num>
  <w:num w:numId="17">
    <w:abstractNumId w:val="3"/>
  </w:num>
  <w:num w:numId="18">
    <w:abstractNumId w:val="0"/>
  </w:num>
  <w:num w:numId="19">
    <w:abstractNumId w:val="8"/>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8D"/>
    <w:rsid w:val="00000D83"/>
    <w:rsid w:val="000012AA"/>
    <w:rsid w:val="00001CFA"/>
    <w:rsid w:val="00002373"/>
    <w:rsid w:val="000030F6"/>
    <w:rsid w:val="00003470"/>
    <w:rsid w:val="000100B6"/>
    <w:rsid w:val="0001274B"/>
    <w:rsid w:val="00013F53"/>
    <w:rsid w:val="00016631"/>
    <w:rsid w:val="000168B7"/>
    <w:rsid w:val="00016CD6"/>
    <w:rsid w:val="00017CB2"/>
    <w:rsid w:val="0002330F"/>
    <w:rsid w:val="0003130D"/>
    <w:rsid w:val="000323C9"/>
    <w:rsid w:val="00034CDC"/>
    <w:rsid w:val="00034F8D"/>
    <w:rsid w:val="00035560"/>
    <w:rsid w:val="0003698D"/>
    <w:rsid w:val="00041C24"/>
    <w:rsid w:val="000525C8"/>
    <w:rsid w:val="000528B9"/>
    <w:rsid w:val="00053AD9"/>
    <w:rsid w:val="00056991"/>
    <w:rsid w:val="000576F3"/>
    <w:rsid w:val="00057C93"/>
    <w:rsid w:val="00061117"/>
    <w:rsid w:val="0006334A"/>
    <w:rsid w:val="00070B32"/>
    <w:rsid w:val="00071C82"/>
    <w:rsid w:val="00072154"/>
    <w:rsid w:val="00074D2A"/>
    <w:rsid w:val="00074E57"/>
    <w:rsid w:val="00075254"/>
    <w:rsid w:val="00075C44"/>
    <w:rsid w:val="00076367"/>
    <w:rsid w:val="00076E10"/>
    <w:rsid w:val="0007746D"/>
    <w:rsid w:val="00080701"/>
    <w:rsid w:val="00081283"/>
    <w:rsid w:val="000820A4"/>
    <w:rsid w:val="00083281"/>
    <w:rsid w:val="0008422B"/>
    <w:rsid w:val="00085B1F"/>
    <w:rsid w:val="00095D8C"/>
    <w:rsid w:val="000A07BE"/>
    <w:rsid w:val="000A081B"/>
    <w:rsid w:val="000A0CC6"/>
    <w:rsid w:val="000A2AA7"/>
    <w:rsid w:val="000A523A"/>
    <w:rsid w:val="000A5C90"/>
    <w:rsid w:val="000A67CD"/>
    <w:rsid w:val="000B32EF"/>
    <w:rsid w:val="000B3882"/>
    <w:rsid w:val="000B4AF1"/>
    <w:rsid w:val="000B7AB8"/>
    <w:rsid w:val="000C0FA7"/>
    <w:rsid w:val="000C2167"/>
    <w:rsid w:val="000C5D0D"/>
    <w:rsid w:val="000D0329"/>
    <w:rsid w:val="000D24AF"/>
    <w:rsid w:val="000D35DF"/>
    <w:rsid w:val="000D42F3"/>
    <w:rsid w:val="000E06C5"/>
    <w:rsid w:val="000E11AF"/>
    <w:rsid w:val="000E5F80"/>
    <w:rsid w:val="000E66AF"/>
    <w:rsid w:val="000F0198"/>
    <w:rsid w:val="000F01FC"/>
    <w:rsid w:val="000F2195"/>
    <w:rsid w:val="000F3CA2"/>
    <w:rsid w:val="000F5E5B"/>
    <w:rsid w:val="000F6DB0"/>
    <w:rsid w:val="00105AE2"/>
    <w:rsid w:val="001061BA"/>
    <w:rsid w:val="001062E9"/>
    <w:rsid w:val="00110DF4"/>
    <w:rsid w:val="001124CC"/>
    <w:rsid w:val="00112D44"/>
    <w:rsid w:val="00112E2A"/>
    <w:rsid w:val="00114CC1"/>
    <w:rsid w:val="00114FAC"/>
    <w:rsid w:val="00116E5A"/>
    <w:rsid w:val="001177FE"/>
    <w:rsid w:val="001178E3"/>
    <w:rsid w:val="00131D05"/>
    <w:rsid w:val="00132015"/>
    <w:rsid w:val="00133053"/>
    <w:rsid w:val="001347E9"/>
    <w:rsid w:val="00136C98"/>
    <w:rsid w:val="001466B6"/>
    <w:rsid w:val="00146A8C"/>
    <w:rsid w:val="0015096D"/>
    <w:rsid w:val="0015254E"/>
    <w:rsid w:val="001531CE"/>
    <w:rsid w:val="00154770"/>
    <w:rsid w:val="00156FE7"/>
    <w:rsid w:val="00157C95"/>
    <w:rsid w:val="0016011A"/>
    <w:rsid w:val="001608F4"/>
    <w:rsid w:val="0016261A"/>
    <w:rsid w:val="00164C5B"/>
    <w:rsid w:val="00165171"/>
    <w:rsid w:val="00170E08"/>
    <w:rsid w:val="001739AD"/>
    <w:rsid w:val="00177B09"/>
    <w:rsid w:val="00182859"/>
    <w:rsid w:val="00182C1E"/>
    <w:rsid w:val="00182EC1"/>
    <w:rsid w:val="001854F8"/>
    <w:rsid w:val="00187642"/>
    <w:rsid w:val="0019013A"/>
    <w:rsid w:val="00191B89"/>
    <w:rsid w:val="001954F4"/>
    <w:rsid w:val="001969B1"/>
    <w:rsid w:val="001A3B92"/>
    <w:rsid w:val="001B4882"/>
    <w:rsid w:val="001B4EE0"/>
    <w:rsid w:val="001C227F"/>
    <w:rsid w:val="001C2C9F"/>
    <w:rsid w:val="001C736A"/>
    <w:rsid w:val="001C7CA2"/>
    <w:rsid w:val="001D1C0F"/>
    <w:rsid w:val="001D4762"/>
    <w:rsid w:val="001D7D2B"/>
    <w:rsid w:val="001E05D9"/>
    <w:rsid w:val="001E14E1"/>
    <w:rsid w:val="001E1D36"/>
    <w:rsid w:val="001E264B"/>
    <w:rsid w:val="001E647F"/>
    <w:rsid w:val="001F04CA"/>
    <w:rsid w:val="001F1642"/>
    <w:rsid w:val="001F2AC5"/>
    <w:rsid w:val="001F4F88"/>
    <w:rsid w:val="001F585D"/>
    <w:rsid w:val="00201A7E"/>
    <w:rsid w:val="002033E1"/>
    <w:rsid w:val="002043DB"/>
    <w:rsid w:val="00205224"/>
    <w:rsid w:val="002063C4"/>
    <w:rsid w:val="00206C91"/>
    <w:rsid w:val="002133C1"/>
    <w:rsid w:val="0021364F"/>
    <w:rsid w:val="00216F5E"/>
    <w:rsid w:val="00220908"/>
    <w:rsid w:val="002234A1"/>
    <w:rsid w:val="00226D56"/>
    <w:rsid w:val="0023032B"/>
    <w:rsid w:val="0023375E"/>
    <w:rsid w:val="00237A06"/>
    <w:rsid w:val="00245026"/>
    <w:rsid w:val="00246ADE"/>
    <w:rsid w:val="00247079"/>
    <w:rsid w:val="00247D93"/>
    <w:rsid w:val="00247F23"/>
    <w:rsid w:val="00252CBC"/>
    <w:rsid w:val="00253D3B"/>
    <w:rsid w:val="0025425E"/>
    <w:rsid w:val="002568AC"/>
    <w:rsid w:val="002603DA"/>
    <w:rsid w:val="0026657D"/>
    <w:rsid w:val="00266986"/>
    <w:rsid w:val="002709D6"/>
    <w:rsid w:val="00270E29"/>
    <w:rsid w:val="0027115D"/>
    <w:rsid w:val="002740B7"/>
    <w:rsid w:val="00274350"/>
    <w:rsid w:val="002822C2"/>
    <w:rsid w:val="00283FA1"/>
    <w:rsid w:val="00284461"/>
    <w:rsid w:val="00284920"/>
    <w:rsid w:val="00286958"/>
    <w:rsid w:val="0029048C"/>
    <w:rsid w:val="00291571"/>
    <w:rsid w:val="002915A2"/>
    <w:rsid w:val="00295038"/>
    <w:rsid w:val="0029700C"/>
    <w:rsid w:val="00297244"/>
    <w:rsid w:val="002A5A94"/>
    <w:rsid w:val="002B19A4"/>
    <w:rsid w:val="002B4F76"/>
    <w:rsid w:val="002C0056"/>
    <w:rsid w:val="002C3037"/>
    <w:rsid w:val="002C5489"/>
    <w:rsid w:val="002D06D5"/>
    <w:rsid w:val="002D1A3D"/>
    <w:rsid w:val="002D41E4"/>
    <w:rsid w:val="002D4842"/>
    <w:rsid w:val="002D4981"/>
    <w:rsid w:val="002D6217"/>
    <w:rsid w:val="002D6B41"/>
    <w:rsid w:val="002E21BF"/>
    <w:rsid w:val="002E3219"/>
    <w:rsid w:val="002E3FFA"/>
    <w:rsid w:val="002E79AC"/>
    <w:rsid w:val="002F0C7E"/>
    <w:rsid w:val="002F10A4"/>
    <w:rsid w:val="002F165B"/>
    <w:rsid w:val="002F5119"/>
    <w:rsid w:val="00301220"/>
    <w:rsid w:val="003025A0"/>
    <w:rsid w:val="00306CD0"/>
    <w:rsid w:val="00311E46"/>
    <w:rsid w:val="00312457"/>
    <w:rsid w:val="003124EE"/>
    <w:rsid w:val="00313068"/>
    <w:rsid w:val="0031699C"/>
    <w:rsid w:val="0032141D"/>
    <w:rsid w:val="00322DEB"/>
    <w:rsid w:val="00332581"/>
    <w:rsid w:val="00332EC6"/>
    <w:rsid w:val="00332F3E"/>
    <w:rsid w:val="00333179"/>
    <w:rsid w:val="0033350D"/>
    <w:rsid w:val="003341C0"/>
    <w:rsid w:val="003353AA"/>
    <w:rsid w:val="00335891"/>
    <w:rsid w:val="00335D1C"/>
    <w:rsid w:val="003408C6"/>
    <w:rsid w:val="0034106C"/>
    <w:rsid w:val="003468BB"/>
    <w:rsid w:val="003477AD"/>
    <w:rsid w:val="00347989"/>
    <w:rsid w:val="00350546"/>
    <w:rsid w:val="00351EB3"/>
    <w:rsid w:val="003544B0"/>
    <w:rsid w:val="00354899"/>
    <w:rsid w:val="003568B4"/>
    <w:rsid w:val="00356C9E"/>
    <w:rsid w:val="00356DA0"/>
    <w:rsid w:val="00360905"/>
    <w:rsid w:val="00361FAB"/>
    <w:rsid w:val="0036569C"/>
    <w:rsid w:val="0036665D"/>
    <w:rsid w:val="00366C0D"/>
    <w:rsid w:val="00366D9F"/>
    <w:rsid w:val="00367F66"/>
    <w:rsid w:val="00370EAF"/>
    <w:rsid w:val="003744D4"/>
    <w:rsid w:val="003750BF"/>
    <w:rsid w:val="00375EF3"/>
    <w:rsid w:val="0038045D"/>
    <w:rsid w:val="00380C69"/>
    <w:rsid w:val="00381F72"/>
    <w:rsid w:val="0038260B"/>
    <w:rsid w:val="00384E5C"/>
    <w:rsid w:val="00386F48"/>
    <w:rsid w:val="0039464A"/>
    <w:rsid w:val="0039577F"/>
    <w:rsid w:val="00396735"/>
    <w:rsid w:val="003A3B32"/>
    <w:rsid w:val="003A434B"/>
    <w:rsid w:val="003A4522"/>
    <w:rsid w:val="003A5DF4"/>
    <w:rsid w:val="003A7459"/>
    <w:rsid w:val="003B034A"/>
    <w:rsid w:val="003B06DF"/>
    <w:rsid w:val="003B134E"/>
    <w:rsid w:val="003B30F8"/>
    <w:rsid w:val="003B3C9E"/>
    <w:rsid w:val="003B5041"/>
    <w:rsid w:val="003B56BA"/>
    <w:rsid w:val="003B6C47"/>
    <w:rsid w:val="003C0D4F"/>
    <w:rsid w:val="003C1264"/>
    <w:rsid w:val="003C2517"/>
    <w:rsid w:val="003C2B26"/>
    <w:rsid w:val="003C2C1B"/>
    <w:rsid w:val="003C30EB"/>
    <w:rsid w:val="003C4AC2"/>
    <w:rsid w:val="003C5328"/>
    <w:rsid w:val="003C62DE"/>
    <w:rsid w:val="003D0D4F"/>
    <w:rsid w:val="003D62B2"/>
    <w:rsid w:val="003D676D"/>
    <w:rsid w:val="003E1A05"/>
    <w:rsid w:val="003E394E"/>
    <w:rsid w:val="003E3BCE"/>
    <w:rsid w:val="003E58DD"/>
    <w:rsid w:val="003E6A15"/>
    <w:rsid w:val="003F10B4"/>
    <w:rsid w:val="003F29A1"/>
    <w:rsid w:val="003F2F3C"/>
    <w:rsid w:val="003F7035"/>
    <w:rsid w:val="00403700"/>
    <w:rsid w:val="0040462F"/>
    <w:rsid w:val="0040578E"/>
    <w:rsid w:val="004071C3"/>
    <w:rsid w:val="004075CF"/>
    <w:rsid w:val="00411CC0"/>
    <w:rsid w:val="00412C59"/>
    <w:rsid w:val="00415584"/>
    <w:rsid w:val="00421C80"/>
    <w:rsid w:val="00421F53"/>
    <w:rsid w:val="004249A6"/>
    <w:rsid w:val="00424AE1"/>
    <w:rsid w:val="0042565B"/>
    <w:rsid w:val="00431C60"/>
    <w:rsid w:val="0043470A"/>
    <w:rsid w:val="00436282"/>
    <w:rsid w:val="00443182"/>
    <w:rsid w:val="0044545F"/>
    <w:rsid w:val="00446165"/>
    <w:rsid w:val="004477F4"/>
    <w:rsid w:val="00456449"/>
    <w:rsid w:val="00460A93"/>
    <w:rsid w:val="00462522"/>
    <w:rsid w:val="0046366B"/>
    <w:rsid w:val="004645B8"/>
    <w:rsid w:val="00465D80"/>
    <w:rsid w:val="00467FF3"/>
    <w:rsid w:val="004709FA"/>
    <w:rsid w:val="004727CF"/>
    <w:rsid w:val="004742DC"/>
    <w:rsid w:val="00474A28"/>
    <w:rsid w:val="004751D4"/>
    <w:rsid w:val="004770CE"/>
    <w:rsid w:val="0048030D"/>
    <w:rsid w:val="00480313"/>
    <w:rsid w:val="00484DDF"/>
    <w:rsid w:val="00485EF3"/>
    <w:rsid w:val="0048641E"/>
    <w:rsid w:val="004878C7"/>
    <w:rsid w:val="00493272"/>
    <w:rsid w:val="00493C91"/>
    <w:rsid w:val="00496DA0"/>
    <w:rsid w:val="004A6071"/>
    <w:rsid w:val="004A62E4"/>
    <w:rsid w:val="004B0C51"/>
    <w:rsid w:val="004B0E22"/>
    <w:rsid w:val="004B1C72"/>
    <w:rsid w:val="004B2F05"/>
    <w:rsid w:val="004B3171"/>
    <w:rsid w:val="004C1820"/>
    <w:rsid w:val="004C5576"/>
    <w:rsid w:val="004C5C71"/>
    <w:rsid w:val="004D0202"/>
    <w:rsid w:val="004D38E8"/>
    <w:rsid w:val="004D4045"/>
    <w:rsid w:val="004D4078"/>
    <w:rsid w:val="004D414B"/>
    <w:rsid w:val="004D5547"/>
    <w:rsid w:val="004D6527"/>
    <w:rsid w:val="004D6A9E"/>
    <w:rsid w:val="004E2BB4"/>
    <w:rsid w:val="004E415F"/>
    <w:rsid w:val="004E78C9"/>
    <w:rsid w:val="004F2272"/>
    <w:rsid w:val="004F407F"/>
    <w:rsid w:val="004F6451"/>
    <w:rsid w:val="0050101C"/>
    <w:rsid w:val="00501B5F"/>
    <w:rsid w:val="00505064"/>
    <w:rsid w:val="00507E40"/>
    <w:rsid w:val="00512A7E"/>
    <w:rsid w:val="00515039"/>
    <w:rsid w:val="00515C96"/>
    <w:rsid w:val="00517985"/>
    <w:rsid w:val="00520A28"/>
    <w:rsid w:val="00522C0D"/>
    <w:rsid w:val="0052595B"/>
    <w:rsid w:val="005310AD"/>
    <w:rsid w:val="00532C13"/>
    <w:rsid w:val="005334E5"/>
    <w:rsid w:val="0053651B"/>
    <w:rsid w:val="00536EAE"/>
    <w:rsid w:val="00541ED4"/>
    <w:rsid w:val="005465A0"/>
    <w:rsid w:val="00550CD0"/>
    <w:rsid w:val="00551DD5"/>
    <w:rsid w:val="005601FE"/>
    <w:rsid w:val="0056020E"/>
    <w:rsid w:val="00561D1A"/>
    <w:rsid w:val="00562DCF"/>
    <w:rsid w:val="0056305B"/>
    <w:rsid w:val="005651EF"/>
    <w:rsid w:val="00565E5F"/>
    <w:rsid w:val="00570CF3"/>
    <w:rsid w:val="00572BC9"/>
    <w:rsid w:val="0057369F"/>
    <w:rsid w:val="00574657"/>
    <w:rsid w:val="00581754"/>
    <w:rsid w:val="00581B6D"/>
    <w:rsid w:val="005858F2"/>
    <w:rsid w:val="005944E1"/>
    <w:rsid w:val="00594E1C"/>
    <w:rsid w:val="00597398"/>
    <w:rsid w:val="005A2500"/>
    <w:rsid w:val="005A5A04"/>
    <w:rsid w:val="005A6AF8"/>
    <w:rsid w:val="005A71C2"/>
    <w:rsid w:val="005B09F1"/>
    <w:rsid w:val="005B0FC0"/>
    <w:rsid w:val="005B4287"/>
    <w:rsid w:val="005B52C7"/>
    <w:rsid w:val="005B6386"/>
    <w:rsid w:val="005C051D"/>
    <w:rsid w:val="005C25C8"/>
    <w:rsid w:val="005C3A6B"/>
    <w:rsid w:val="005C5E6D"/>
    <w:rsid w:val="005D09E6"/>
    <w:rsid w:val="005D2108"/>
    <w:rsid w:val="005D2DB1"/>
    <w:rsid w:val="005D7964"/>
    <w:rsid w:val="005E4394"/>
    <w:rsid w:val="005F0FAB"/>
    <w:rsid w:val="005F3909"/>
    <w:rsid w:val="005F4437"/>
    <w:rsid w:val="005F5191"/>
    <w:rsid w:val="005F5558"/>
    <w:rsid w:val="00602B99"/>
    <w:rsid w:val="00603D72"/>
    <w:rsid w:val="00605D01"/>
    <w:rsid w:val="006060A1"/>
    <w:rsid w:val="00613168"/>
    <w:rsid w:val="00616511"/>
    <w:rsid w:val="006240BB"/>
    <w:rsid w:val="00624B68"/>
    <w:rsid w:val="00626774"/>
    <w:rsid w:val="0063086E"/>
    <w:rsid w:val="00631362"/>
    <w:rsid w:val="0063141C"/>
    <w:rsid w:val="006338D0"/>
    <w:rsid w:val="0063413B"/>
    <w:rsid w:val="006409CE"/>
    <w:rsid w:val="00642242"/>
    <w:rsid w:val="006438C1"/>
    <w:rsid w:val="00645761"/>
    <w:rsid w:val="00651252"/>
    <w:rsid w:val="006529D8"/>
    <w:rsid w:val="006533F1"/>
    <w:rsid w:val="00653F0C"/>
    <w:rsid w:val="00655ACE"/>
    <w:rsid w:val="00656C8D"/>
    <w:rsid w:val="00657074"/>
    <w:rsid w:val="0065796E"/>
    <w:rsid w:val="0066334C"/>
    <w:rsid w:val="006677C3"/>
    <w:rsid w:val="00672F02"/>
    <w:rsid w:val="00674D5D"/>
    <w:rsid w:val="00675331"/>
    <w:rsid w:val="0067572E"/>
    <w:rsid w:val="00675AC4"/>
    <w:rsid w:val="0067667F"/>
    <w:rsid w:val="00676F2C"/>
    <w:rsid w:val="00680B20"/>
    <w:rsid w:val="00680E5A"/>
    <w:rsid w:val="00681AA8"/>
    <w:rsid w:val="00683A17"/>
    <w:rsid w:val="00686167"/>
    <w:rsid w:val="00686B22"/>
    <w:rsid w:val="0069043D"/>
    <w:rsid w:val="00693D7F"/>
    <w:rsid w:val="006A4578"/>
    <w:rsid w:val="006A699B"/>
    <w:rsid w:val="006A729F"/>
    <w:rsid w:val="006B0AC4"/>
    <w:rsid w:val="006B1642"/>
    <w:rsid w:val="006B3666"/>
    <w:rsid w:val="006B37E0"/>
    <w:rsid w:val="006C172A"/>
    <w:rsid w:val="006C21FF"/>
    <w:rsid w:val="006C586E"/>
    <w:rsid w:val="006D37F6"/>
    <w:rsid w:val="006D42DC"/>
    <w:rsid w:val="006D4AD9"/>
    <w:rsid w:val="006D5199"/>
    <w:rsid w:val="006D76F5"/>
    <w:rsid w:val="006E0CA7"/>
    <w:rsid w:val="006E34E6"/>
    <w:rsid w:val="006E3915"/>
    <w:rsid w:val="006E4A20"/>
    <w:rsid w:val="006F04E7"/>
    <w:rsid w:val="006F06E9"/>
    <w:rsid w:val="006F3A1D"/>
    <w:rsid w:val="006F4812"/>
    <w:rsid w:val="006F56D1"/>
    <w:rsid w:val="006F630C"/>
    <w:rsid w:val="006F6884"/>
    <w:rsid w:val="006F6AEE"/>
    <w:rsid w:val="007005CB"/>
    <w:rsid w:val="00700DA4"/>
    <w:rsid w:val="0070312F"/>
    <w:rsid w:val="0070428F"/>
    <w:rsid w:val="00707BD9"/>
    <w:rsid w:val="0071112B"/>
    <w:rsid w:val="00711B91"/>
    <w:rsid w:val="00712168"/>
    <w:rsid w:val="0071304E"/>
    <w:rsid w:val="00717A3E"/>
    <w:rsid w:val="007231F3"/>
    <w:rsid w:val="00723EB9"/>
    <w:rsid w:val="007264EF"/>
    <w:rsid w:val="00726C07"/>
    <w:rsid w:val="00731A73"/>
    <w:rsid w:val="00736CEE"/>
    <w:rsid w:val="007410CE"/>
    <w:rsid w:val="0074168B"/>
    <w:rsid w:val="00741F25"/>
    <w:rsid w:val="00744CBE"/>
    <w:rsid w:val="00745F17"/>
    <w:rsid w:val="00753535"/>
    <w:rsid w:val="007607B5"/>
    <w:rsid w:val="007638EB"/>
    <w:rsid w:val="00767407"/>
    <w:rsid w:val="0076750E"/>
    <w:rsid w:val="00771341"/>
    <w:rsid w:val="00772964"/>
    <w:rsid w:val="00773767"/>
    <w:rsid w:val="00774566"/>
    <w:rsid w:val="00774B90"/>
    <w:rsid w:val="0077560C"/>
    <w:rsid w:val="00775801"/>
    <w:rsid w:val="00775B0E"/>
    <w:rsid w:val="00775F62"/>
    <w:rsid w:val="00776B4F"/>
    <w:rsid w:val="00780F76"/>
    <w:rsid w:val="0078183B"/>
    <w:rsid w:val="00790499"/>
    <w:rsid w:val="0079158C"/>
    <w:rsid w:val="00793031"/>
    <w:rsid w:val="00793F4D"/>
    <w:rsid w:val="007946F6"/>
    <w:rsid w:val="00796E36"/>
    <w:rsid w:val="00797E82"/>
    <w:rsid w:val="007A1125"/>
    <w:rsid w:val="007A2810"/>
    <w:rsid w:val="007A3B9F"/>
    <w:rsid w:val="007A6FA0"/>
    <w:rsid w:val="007B5654"/>
    <w:rsid w:val="007C2813"/>
    <w:rsid w:val="007C3E31"/>
    <w:rsid w:val="007C589D"/>
    <w:rsid w:val="007C7597"/>
    <w:rsid w:val="007D0057"/>
    <w:rsid w:val="007D4BDE"/>
    <w:rsid w:val="007D6C73"/>
    <w:rsid w:val="007E0739"/>
    <w:rsid w:val="007E5323"/>
    <w:rsid w:val="007E6FC7"/>
    <w:rsid w:val="007F5789"/>
    <w:rsid w:val="007F78F9"/>
    <w:rsid w:val="008028F6"/>
    <w:rsid w:val="00802DAF"/>
    <w:rsid w:val="00807A10"/>
    <w:rsid w:val="00812B7C"/>
    <w:rsid w:val="00813764"/>
    <w:rsid w:val="00814774"/>
    <w:rsid w:val="00814E7E"/>
    <w:rsid w:val="008208D0"/>
    <w:rsid w:val="00822F01"/>
    <w:rsid w:val="008260CC"/>
    <w:rsid w:val="00827F86"/>
    <w:rsid w:val="00830485"/>
    <w:rsid w:val="00832BC7"/>
    <w:rsid w:val="00833431"/>
    <w:rsid w:val="00841419"/>
    <w:rsid w:val="00850C1F"/>
    <w:rsid w:val="008516F2"/>
    <w:rsid w:val="00852A9A"/>
    <w:rsid w:val="008530BF"/>
    <w:rsid w:val="00853218"/>
    <w:rsid w:val="008534A4"/>
    <w:rsid w:val="00854598"/>
    <w:rsid w:val="00854F6B"/>
    <w:rsid w:val="008554DC"/>
    <w:rsid w:val="008677D5"/>
    <w:rsid w:val="00872599"/>
    <w:rsid w:val="00873C58"/>
    <w:rsid w:val="008762A7"/>
    <w:rsid w:val="00881F41"/>
    <w:rsid w:val="008828B3"/>
    <w:rsid w:val="0088733F"/>
    <w:rsid w:val="0089055D"/>
    <w:rsid w:val="00896661"/>
    <w:rsid w:val="008A24D5"/>
    <w:rsid w:val="008A3765"/>
    <w:rsid w:val="008A3EC1"/>
    <w:rsid w:val="008A54A5"/>
    <w:rsid w:val="008A739F"/>
    <w:rsid w:val="008B21DD"/>
    <w:rsid w:val="008B4FA6"/>
    <w:rsid w:val="008B7443"/>
    <w:rsid w:val="008C2623"/>
    <w:rsid w:val="008C5D1E"/>
    <w:rsid w:val="008D05D4"/>
    <w:rsid w:val="008D5DC0"/>
    <w:rsid w:val="008D7C17"/>
    <w:rsid w:val="008E0C51"/>
    <w:rsid w:val="008E1179"/>
    <w:rsid w:val="008E28DC"/>
    <w:rsid w:val="008E3781"/>
    <w:rsid w:val="008E3ECC"/>
    <w:rsid w:val="008F20AC"/>
    <w:rsid w:val="008F239E"/>
    <w:rsid w:val="008F3942"/>
    <w:rsid w:val="008F4AFD"/>
    <w:rsid w:val="008F54FF"/>
    <w:rsid w:val="008F62B8"/>
    <w:rsid w:val="008F75E1"/>
    <w:rsid w:val="008F7F16"/>
    <w:rsid w:val="009003B8"/>
    <w:rsid w:val="00901A4A"/>
    <w:rsid w:val="009025B0"/>
    <w:rsid w:val="0090260F"/>
    <w:rsid w:val="00904ACD"/>
    <w:rsid w:val="00907C28"/>
    <w:rsid w:val="00912E68"/>
    <w:rsid w:val="00913FC9"/>
    <w:rsid w:val="0091545F"/>
    <w:rsid w:val="00915777"/>
    <w:rsid w:val="00917DF3"/>
    <w:rsid w:val="009227DF"/>
    <w:rsid w:val="00922924"/>
    <w:rsid w:val="00930777"/>
    <w:rsid w:val="00935A98"/>
    <w:rsid w:val="009373D2"/>
    <w:rsid w:val="0094332D"/>
    <w:rsid w:val="00943898"/>
    <w:rsid w:val="00943929"/>
    <w:rsid w:val="00943FA5"/>
    <w:rsid w:val="00945687"/>
    <w:rsid w:val="00950E20"/>
    <w:rsid w:val="00951A15"/>
    <w:rsid w:val="00952E78"/>
    <w:rsid w:val="00953D50"/>
    <w:rsid w:val="009620F4"/>
    <w:rsid w:val="00962D51"/>
    <w:rsid w:val="00964AF6"/>
    <w:rsid w:val="0096505D"/>
    <w:rsid w:val="00971F23"/>
    <w:rsid w:val="00972B2C"/>
    <w:rsid w:val="009739B8"/>
    <w:rsid w:val="009753B2"/>
    <w:rsid w:val="00975D4C"/>
    <w:rsid w:val="0097723D"/>
    <w:rsid w:val="00980955"/>
    <w:rsid w:val="009816AF"/>
    <w:rsid w:val="009823E2"/>
    <w:rsid w:val="00983556"/>
    <w:rsid w:val="00985C71"/>
    <w:rsid w:val="00991DA9"/>
    <w:rsid w:val="0099282A"/>
    <w:rsid w:val="0099390A"/>
    <w:rsid w:val="00993FBB"/>
    <w:rsid w:val="009A00A2"/>
    <w:rsid w:val="009A20DF"/>
    <w:rsid w:val="009A64C5"/>
    <w:rsid w:val="009B1C54"/>
    <w:rsid w:val="009B1FC1"/>
    <w:rsid w:val="009B3809"/>
    <w:rsid w:val="009B4F7D"/>
    <w:rsid w:val="009B6AC3"/>
    <w:rsid w:val="009C02FE"/>
    <w:rsid w:val="009C2A21"/>
    <w:rsid w:val="009D2B15"/>
    <w:rsid w:val="009D2D88"/>
    <w:rsid w:val="009D3A54"/>
    <w:rsid w:val="009D7629"/>
    <w:rsid w:val="009D7718"/>
    <w:rsid w:val="009D78DC"/>
    <w:rsid w:val="009E3E38"/>
    <w:rsid w:val="009E55A3"/>
    <w:rsid w:val="009F0667"/>
    <w:rsid w:val="009F3D1F"/>
    <w:rsid w:val="009F4C7E"/>
    <w:rsid w:val="009F577C"/>
    <w:rsid w:val="00A01405"/>
    <w:rsid w:val="00A02244"/>
    <w:rsid w:val="00A07DDC"/>
    <w:rsid w:val="00A07E47"/>
    <w:rsid w:val="00A113CA"/>
    <w:rsid w:val="00A11815"/>
    <w:rsid w:val="00A11CE8"/>
    <w:rsid w:val="00A154E9"/>
    <w:rsid w:val="00A2015F"/>
    <w:rsid w:val="00A21347"/>
    <w:rsid w:val="00A220DD"/>
    <w:rsid w:val="00A22819"/>
    <w:rsid w:val="00A22A9A"/>
    <w:rsid w:val="00A24444"/>
    <w:rsid w:val="00A257A9"/>
    <w:rsid w:val="00A26D42"/>
    <w:rsid w:val="00A33968"/>
    <w:rsid w:val="00A355C3"/>
    <w:rsid w:val="00A40717"/>
    <w:rsid w:val="00A4197D"/>
    <w:rsid w:val="00A424C0"/>
    <w:rsid w:val="00A42670"/>
    <w:rsid w:val="00A50C5E"/>
    <w:rsid w:val="00A60261"/>
    <w:rsid w:val="00A61186"/>
    <w:rsid w:val="00A61BAD"/>
    <w:rsid w:val="00A6353D"/>
    <w:rsid w:val="00A64639"/>
    <w:rsid w:val="00A66C23"/>
    <w:rsid w:val="00A7068A"/>
    <w:rsid w:val="00A74DE3"/>
    <w:rsid w:val="00A81F05"/>
    <w:rsid w:val="00A822EB"/>
    <w:rsid w:val="00A83040"/>
    <w:rsid w:val="00A8466D"/>
    <w:rsid w:val="00A84A94"/>
    <w:rsid w:val="00A8674A"/>
    <w:rsid w:val="00A867C0"/>
    <w:rsid w:val="00A902E6"/>
    <w:rsid w:val="00A90F64"/>
    <w:rsid w:val="00A92A68"/>
    <w:rsid w:val="00A95E55"/>
    <w:rsid w:val="00A97C2F"/>
    <w:rsid w:val="00AA4615"/>
    <w:rsid w:val="00AB20FD"/>
    <w:rsid w:val="00AB2571"/>
    <w:rsid w:val="00AB4C02"/>
    <w:rsid w:val="00AB7C10"/>
    <w:rsid w:val="00AC1306"/>
    <w:rsid w:val="00AC169F"/>
    <w:rsid w:val="00AD0A4F"/>
    <w:rsid w:val="00AD3AF0"/>
    <w:rsid w:val="00AE02A3"/>
    <w:rsid w:val="00AE3718"/>
    <w:rsid w:val="00AE3ECB"/>
    <w:rsid w:val="00AE6F5E"/>
    <w:rsid w:val="00AF1FCA"/>
    <w:rsid w:val="00AF3D00"/>
    <w:rsid w:val="00AF66A5"/>
    <w:rsid w:val="00B00ADB"/>
    <w:rsid w:val="00B01566"/>
    <w:rsid w:val="00B02802"/>
    <w:rsid w:val="00B03835"/>
    <w:rsid w:val="00B0490E"/>
    <w:rsid w:val="00B079FD"/>
    <w:rsid w:val="00B1178D"/>
    <w:rsid w:val="00B14912"/>
    <w:rsid w:val="00B152F1"/>
    <w:rsid w:val="00B158D4"/>
    <w:rsid w:val="00B17BB1"/>
    <w:rsid w:val="00B17EB2"/>
    <w:rsid w:val="00B204FC"/>
    <w:rsid w:val="00B2309B"/>
    <w:rsid w:val="00B23705"/>
    <w:rsid w:val="00B248E4"/>
    <w:rsid w:val="00B3454E"/>
    <w:rsid w:val="00B347BC"/>
    <w:rsid w:val="00B35F91"/>
    <w:rsid w:val="00B36CEB"/>
    <w:rsid w:val="00B40343"/>
    <w:rsid w:val="00B40B98"/>
    <w:rsid w:val="00B41F6A"/>
    <w:rsid w:val="00B461DB"/>
    <w:rsid w:val="00B5244D"/>
    <w:rsid w:val="00B53531"/>
    <w:rsid w:val="00B55F5B"/>
    <w:rsid w:val="00B60E79"/>
    <w:rsid w:val="00B61B33"/>
    <w:rsid w:val="00B63B5F"/>
    <w:rsid w:val="00B640A9"/>
    <w:rsid w:val="00B703B1"/>
    <w:rsid w:val="00B7041C"/>
    <w:rsid w:val="00B704AB"/>
    <w:rsid w:val="00B71D5E"/>
    <w:rsid w:val="00B71D8C"/>
    <w:rsid w:val="00B72884"/>
    <w:rsid w:val="00B740F4"/>
    <w:rsid w:val="00B75F5C"/>
    <w:rsid w:val="00B76ACB"/>
    <w:rsid w:val="00B8026E"/>
    <w:rsid w:val="00B82F71"/>
    <w:rsid w:val="00B83A50"/>
    <w:rsid w:val="00B841CC"/>
    <w:rsid w:val="00B84E28"/>
    <w:rsid w:val="00B85613"/>
    <w:rsid w:val="00B85F3C"/>
    <w:rsid w:val="00B860CD"/>
    <w:rsid w:val="00B868B5"/>
    <w:rsid w:val="00B87446"/>
    <w:rsid w:val="00B87ED0"/>
    <w:rsid w:val="00B936CB"/>
    <w:rsid w:val="00B94F22"/>
    <w:rsid w:val="00B95CED"/>
    <w:rsid w:val="00B972E5"/>
    <w:rsid w:val="00BA2FEA"/>
    <w:rsid w:val="00BA3C5D"/>
    <w:rsid w:val="00BA4FC6"/>
    <w:rsid w:val="00BA6631"/>
    <w:rsid w:val="00BA6D9C"/>
    <w:rsid w:val="00BA7D2A"/>
    <w:rsid w:val="00BB3559"/>
    <w:rsid w:val="00BB3B11"/>
    <w:rsid w:val="00BB7FEF"/>
    <w:rsid w:val="00BC0D6B"/>
    <w:rsid w:val="00BC15F0"/>
    <w:rsid w:val="00BC1C24"/>
    <w:rsid w:val="00BC4850"/>
    <w:rsid w:val="00BC4854"/>
    <w:rsid w:val="00BC6FF9"/>
    <w:rsid w:val="00BD19BA"/>
    <w:rsid w:val="00BD46EC"/>
    <w:rsid w:val="00BD5BD1"/>
    <w:rsid w:val="00BD6039"/>
    <w:rsid w:val="00BE2EDE"/>
    <w:rsid w:val="00BE50C4"/>
    <w:rsid w:val="00BE7270"/>
    <w:rsid w:val="00BE7D95"/>
    <w:rsid w:val="00BF0D69"/>
    <w:rsid w:val="00BF49C9"/>
    <w:rsid w:val="00BF6B07"/>
    <w:rsid w:val="00C0292C"/>
    <w:rsid w:val="00C05D62"/>
    <w:rsid w:val="00C10AF4"/>
    <w:rsid w:val="00C11E8B"/>
    <w:rsid w:val="00C135BF"/>
    <w:rsid w:val="00C13E43"/>
    <w:rsid w:val="00C20792"/>
    <w:rsid w:val="00C2098C"/>
    <w:rsid w:val="00C20ABC"/>
    <w:rsid w:val="00C21F29"/>
    <w:rsid w:val="00C2418B"/>
    <w:rsid w:val="00C25B5A"/>
    <w:rsid w:val="00C32D09"/>
    <w:rsid w:val="00C35D18"/>
    <w:rsid w:val="00C41661"/>
    <w:rsid w:val="00C44D1B"/>
    <w:rsid w:val="00C46656"/>
    <w:rsid w:val="00C47F77"/>
    <w:rsid w:val="00C50C7E"/>
    <w:rsid w:val="00C526B9"/>
    <w:rsid w:val="00C52FD3"/>
    <w:rsid w:val="00C5332E"/>
    <w:rsid w:val="00C54646"/>
    <w:rsid w:val="00C5643D"/>
    <w:rsid w:val="00C65899"/>
    <w:rsid w:val="00C715FC"/>
    <w:rsid w:val="00C7455C"/>
    <w:rsid w:val="00C74B5D"/>
    <w:rsid w:val="00C75263"/>
    <w:rsid w:val="00C82747"/>
    <w:rsid w:val="00C83495"/>
    <w:rsid w:val="00C848AA"/>
    <w:rsid w:val="00C84DB4"/>
    <w:rsid w:val="00C858E3"/>
    <w:rsid w:val="00C9293F"/>
    <w:rsid w:val="00C9394F"/>
    <w:rsid w:val="00C96DBA"/>
    <w:rsid w:val="00C9751C"/>
    <w:rsid w:val="00CA14F8"/>
    <w:rsid w:val="00CA4A28"/>
    <w:rsid w:val="00CA4DED"/>
    <w:rsid w:val="00CA5BE1"/>
    <w:rsid w:val="00CB057D"/>
    <w:rsid w:val="00CB1453"/>
    <w:rsid w:val="00CB3495"/>
    <w:rsid w:val="00CB4237"/>
    <w:rsid w:val="00CB4626"/>
    <w:rsid w:val="00CB4BD1"/>
    <w:rsid w:val="00CB6F1D"/>
    <w:rsid w:val="00CB77AE"/>
    <w:rsid w:val="00CB7FAC"/>
    <w:rsid w:val="00CC082B"/>
    <w:rsid w:val="00CC26BC"/>
    <w:rsid w:val="00CC3756"/>
    <w:rsid w:val="00CC5225"/>
    <w:rsid w:val="00CC55EC"/>
    <w:rsid w:val="00CC5F06"/>
    <w:rsid w:val="00CC6D1C"/>
    <w:rsid w:val="00CC7EBF"/>
    <w:rsid w:val="00CD086E"/>
    <w:rsid w:val="00CD4E19"/>
    <w:rsid w:val="00CD5AA6"/>
    <w:rsid w:val="00CE3F49"/>
    <w:rsid w:val="00CE401B"/>
    <w:rsid w:val="00CE4124"/>
    <w:rsid w:val="00CE6072"/>
    <w:rsid w:val="00CE73F0"/>
    <w:rsid w:val="00CF099B"/>
    <w:rsid w:val="00CF2337"/>
    <w:rsid w:val="00CF32C2"/>
    <w:rsid w:val="00CF4589"/>
    <w:rsid w:val="00CF5ADF"/>
    <w:rsid w:val="00D005C1"/>
    <w:rsid w:val="00D01D6F"/>
    <w:rsid w:val="00D03D95"/>
    <w:rsid w:val="00D042D0"/>
    <w:rsid w:val="00D04E36"/>
    <w:rsid w:val="00D05725"/>
    <w:rsid w:val="00D0715D"/>
    <w:rsid w:val="00D13732"/>
    <w:rsid w:val="00D14C7A"/>
    <w:rsid w:val="00D16474"/>
    <w:rsid w:val="00D2222F"/>
    <w:rsid w:val="00D24FAF"/>
    <w:rsid w:val="00D25A3E"/>
    <w:rsid w:val="00D32670"/>
    <w:rsid w:val="00D3507C"/>
    <w:rsid w:val="00D35215"/>
    <w:rsid w:val="00D36044"/>
    <w:rsid w:val="00D3735F"/>
    <w:rsid w:val="00D378DB"/>
    <w:rsid w:val="00D459F6"/>
    <w:rsid w:val="00D509B4"/>
    <w:rsid w:val="00D528AA"/>
    <w:rsid w:val="00D54624"/>
    <w:rsid w:val="00D57613"/>
    <w:rsid w:val="00D60B64"/>
    <w:rsid w:val="00D612E3"/>
    <w:rsid w:val="00D63AFA"/>
    <w:rsid w:val="00D6499C"/>
    <w:rsid w:val="00D67A7D"/>
    <w:rsid w:val="00D730D2"/>
    <w:rsid w:val="00D7409B"/>
    <w:rsid w:val="00D744A9"/>
    <w:rsid w:val="00D74A5B"/>
    <w:rsid w:val="00D75F9C"/>
    <w:rsid w:val="00D760D3"/>
    <w:rsid w:val="00D853F0"/>
    <w:rsid w:val="00D867A7"/>
    <w:rsid w:val="00D86FF5"/>
    <w:rsid w:val="00D87C45"/>
    <w:rsid w:val="00D93F45"/>
    <w:rsid w:val="00D94416"/>
    <w:rsid w:val="00D9475E"/>
    <w:rsid w:val="00D953C4"/>
    <w:rsid w:val="00D96580"/>
    <w:rsid w:val="00DB3347"/>
    <w:rsid w:val="00DB57D4"/>
    <w:rsid w:val="00DB6E78"/>
    <w:rsid w:val="00DC1E01"/>
    <w:rsid w:val="00DC7D92"/>
    <w:rsid w:val="00DD4A2B"/>
    <w:rsid w:val="00DE4880"/>
    <w:rsid w:val="00DE5DB1"/>
    <w:rsid w:val="00DE6046"/>
    <w:rsid w:val="00DE729C"/>
    <w:rsid w:val="00DE74D3"/>
    <w:rsid w:val="00DF011F"/>
    <w:rsid w:val="00DF062B"/>
    <w:rsid w:val="00DF162F"/>
    <w:rsid w:val="00DF30B9"/>
    <w:rsid w:val="00DF330D"/>
    <w:rsid w:val="00DF425F"/>
    <w:rsid w:val="00DF7713"/>
    <w:rsid w:val="00E01428"/>
    <w:rsid w:val="00E053A6"/>
    <w:rsid w:val="00E06E4F"/>
    <w:rsid w:val="00E06F9B"/>
    <w:rsid w:val="00E14DA5"/>
    <w:rsid w:val="00E151AF"/>
    <w:rsid w:val="00E15824"/>
    <w:rsid w:val="00E1646C"/>
    <w:rsid w:val="00E20741"/>
    <w:rsid w:val="00E2125C"/>
    <w:rsid w:val="00E21597"/>
    <w:rsid w:val="00E24975"/>
    <w:rsid w:val="00E26C38"/>
    <w:rsid w:val="00E27F21"/>
    <w:rsid w:val="00E337F7"/>
    <w:rsid w:val="00E34D2F"/>
    <w:rsid w:val="00E34F56"/>
    <w:rsid w:val="00E36952"/>
    <w:rsid w:val="00E36F11"/>
    <w:rsid w:val="00E37D82"/>
    <w:rsid w:val="00E4119E"/>
    <w:rsid w:val="00E42A35"/>
    <w:rsid w:val="00E46493"/>
    <w:rsid w:val="00E46A87"/>
    <w:rsid w:val="00E51105"/>
    <w:rsid w:val="00E52B6E"/>
    <w:rsid w:val="00E5665E"/>
    <w:rsid w:val="00E56906"/>
    <w:rsid w:val="00E5730D"/>
    <w:rsid w:val="00E63114"/>
    <w:rsid w:val="00E64DFE"/>
    <w:rsid w:val="00E66FEC"/>
    <w:rsid w:val="00E71BB2"/>
    <w:rsid w:val="00E751F7"/>
    <w:rsid w:val="00E82751"/>
    <w:rsid w:val="00E85136"/>
    <w:rsid w:val="00E9223F"/>
    <w:rsid w:val="00E92FDA"/>
    <w:rsid w:val="00E93DFC"/>
    <w:rsid w:val="00E93ED9"/>
    <w:rsid w:val="00E95F72"/>
    <w:rsid w:val="00EA4AD5"/>
    <w:rsid w:val="00EA73D5"/>
    <w:rsid w:val="00EB10E2"/>
    <w:rsid w:val="00EB201F"/>
    <w:rsid w:val="00EB58B1"/>
    <w:rsid w:val="00EC60D4"/>
    <w:rsid w:val="00EC7C43"/>
    <w:rsid w:val="00ED5E46"/>
    <w:rsid w:val="00EE0199"/>
    <w:rsid w:val="00EE0E6E"/>
    <w:rsid w:val="00EE1A80"/>
    <w:rsid w:val="00EE2E49"/>
    <w:rsid w:val="00EE418E"/>
    <w:rsid w:val="00EE6AA3"/>
    <w:rsid w:val="00EF00FE"/>
    <w:rsid w:val="00EF0879"/>
    <w:rsid w:val="00EF1763"/>
    <w:rsid w:val="00EF17DD"/>
    <w:rsid w:val="00EF22FA"/>
    <w:rsid w:val="00F00DF1"/>
    <w:rsid w:val="00F052DE"/>
    <w:rsid w:val="00F07413"/>
    <w:rsid w:val="00F10338"/>
    <w:rsid w:val="00F13546"/>
    <w:rsid w:val="00F14E76"/>
    <w:rsid w:val="00F1739C"/>
    <w:rsid w:val="00F17888"/>
    <w:rsid w:val="00F17D20"/>
    <w:rsid w:val="00F238D5"/>
    <w:rsid w:val="00F24E6C"/>
    <w:rsid w:val="00F25EDD"/>
    <w:rsid w:val="00F2763C"/>
    <w:rsid w:val="00F317CE"/>
    <w:rsid w:val="00F32B1E"/>
    <w:rsid w:val="00F378D4"/>
    <w:rsid w:val="00F43D33"/>
    <w:rsid w:val="00F476A6"/>
    <w:rsid w:val="00F47E20"/>
    <w:rsid w:val="00F5103B"/>
    <w:rsid w:val="00F53357"/>
    <w:rsid w:val="00F53ADF"/>
    <w:rsid w:val="00F54162"/>
    <w:rsid w:val="00F54CAD"/>
    <w:rsid w:val="00F558C5"/>
    <w:rsid w:val="00F57B84"/>
    <w:rsid w:val="00F635E1"/>
    <w:rsid w:val="00F64F2F"/>
    <w:rsid w:val="00F65DC7"/>
    <w:rsid w:val="00F67876"/>
    <w:rsid w:val="00F67FA1"/>
    <w:rsid w:val="00F715F7"/>
    <w:rsid w:val="00F73712"/>
    <w:rsid w:val="00F74B20"/>
    <w:rsid w:val="00F813E3"/>
    <w:rsid w:val="00F825D7"/>
    <w:rsid w:val="00F83BA3"/>
    <w:rsid w:val="00F848C5"/>
    <w:rsid w:val="00F850D8"/>
    <w:rsid w:val="00F871CD"/>
    <w:rsid w:val="00F9180B"/>
    <w:rsid w:val="00F9197C"/>
    <w:rsid w:val="00F9387F"/>
    <w:rsid w:val="00F95C7C"/>
    <w:rsid w:val="00F95F11"/>
    <w:rsid w:val="00FA1202"/>
    <w:rsid w:val="00FB0DFB"/>
    <w:rsid w:val="00FB1117"/>
    <w:rsid w:val="00FB66C8"/>
    <w:rsid w:val="00FB6B3F"/>
    <w:rsid w:val="00FC1248"/>
    <w:rsid w:val="00FC1FE1"/>
    <w:rsid w:val="00FC22D8"/>
    <w:rsid w:val="00FC25E0"/>
    <w:rsid w:val="00FC30EC"/>
    <w:rsid w:val="00FD0D5C"/>
    <w:rsid w:val="00FD1137"/>
    <w:rsid w:val="00FD51CF"/>
    <w:rsid w:val="00FD61A0"/>
    <w:rsid w:val="00FD72D8"/>
    <w:rsid w:val="00FE062B"/>
    <w:rsid w:val="00FE0B77"/>
    <w:rsid w:val="00FE4DD8"/>
    <w:rsid w:val="00FE6202"/>
    <w:rsid w:val="00FF3C5F"/>
    <w:rsid w:val="00FF40F3"/>
    <w:rsid w:val="00FF4B8D"/>
    <w:rsid w:val="00FF568C"/>
    <w:rsid w:val="00FF6013"/>
    <w:rsid w:val="00FF75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2E9"/>
    <w:rPr>
      <w:sz w:val="24"/>
      <w:szCs w:val="24"/>
      <w:lang w:val="en-GB" w:eastAsia="en-US"/>
    </w:rPr>
  </w:style>
  <w:style w:type="paragraph" w:styleId="Heading1">
    <w:name w:val="heading 1"/>
    <w:basedOn w:val="Normal"/>
    <w:next w:val="Normal"/>
    <w:qFormat/>
    <w:pPr>
      <w:keepNext/>
      <w:jc w:val="center"/>
      <w:outlineLvl w:val="0"/>
    </w:pPr>
    <w:rPr>
      <w:b/>
      <w:bCs/>
      <w:sz w:val="28"/>
      <w:lang w:val="lv-LV"/>
    </w:rPr>
  </w:style>
  <w:style w:type="paragraph" w:styleId="Heading2">
    <w:name w:val="heading 2"/>
    <w:basedOn w:val="Normal"/>
    <w:next w:val="Normal"/>
    <w:qFormat/>
    <w:pPr>
      <w:keepNext/>
      <w:outlineLvl w:val="1"/>
    </w:pPr>
    <w:rPr>
      <w:sz w:val="28"/>
      <w:lang w:val="lv-LV"/>
    </w:rPr>
  </w:style>
  <w:style w:type="paragraph" w:styleId="Heading3">
    <w:name w:val="heading 3"/>
    <w:basedOn w:val="Normal"/>
    <w:next w:val="Normal"/>
    <w:qFormat/>
    <w:pPr>
      <w:keepNext/>
      <w:jc w:val="center"/>
      <w:outlineLvl w:val="2"/>
    </w:pPr>
    <w:rPr>
      <w:sz w:val="28"/>
      <w:lang w:val="lv-LV"/>
    </w:rPr>
  </w:style>
  <w:style w:type="paragraph" w:styleId="Heading4">
    <w:name w:val="heading 4"/>
    <w:basedOn w:val="Normal"/>
    <w:next w:val="Normal"/>
    <w:qFormat/>
    <w:pPr>
      <w:keepNext/>
      <w:tabs>
        <w:tab w:val="center" w:pos="586"/>
      </w:tabs>
      <w:ind w:left="-348" w:hanging="600"/>
      <w:outlineLvl w:val="3"/>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
    </w:pPr>
    <w:rPr>
      <w:sz w:val="28"/>
      <w:lang w:val="lv-LV"/>
    </w:rPr>
  </w:style>
  <w:style w:type="paragraph" w:customStyle="1" w:styleId="naisc">
    <w:name w:val="naisc"/>
    <w:basedOn w:val="Normal"/>
    <w:pPr>
      <w:spacing w:before="100" w:beforeAutospacing="1" w:after="100" w:afterAutospacing="1"/>
      <w:jc w:val="center"/>
    </w:pPr>
    <w:rPr>
      <w:rFonts w:eastAsia="Arial Unicode MS"/>
      <w:sz w:val="26"/>
      <w:szCs w:val="26"/>
    </w:rPr>
  </w:style>
  <w:style w:type="paragraph" w:customStyle="1" w:styleId="naisf">
    <w:name w:val="naisf"/>
    <w:basedOn w:val="Normal"/>
    <w:pPr>
      <w:spacing w:before="100" w:beforeAutospacing="1" w:after="100" w:afterAutospacing="1"/>
      <w:jc w:val="both"/>
    </w:pPr>
    <w:rPr>
      <w:rFonts w:eastAsia="Arial Unicode MS"/>
    </w:rPr>
  </w:style>
  <w:style w:type="paragraph" w:styleId="NormalWeb">
    <w:name w:val="Normal (Web)"/>
    <w:basedOn w:val="Normal"/>
    <w:pPr>
      <w:spacing w:before="100" w:beforeAutospacing="1" w:after="100" w:afterAutospacing="1"/>
    </w:pPr>
    <w:rPr>
      <w:rFonts w:eastAsia="Arial Unicode MS"/>
    </w:rPr>
  </w:style>
  <w:style w:type="paragraph" w:styleId="Footer">
    <w:name w:val="footer"/>
    <w:basedOn w:val="Normal"/>
    <w:link w:val="FooterChar"/>
    <w:pPr>
      <w:tabs>
        <w:tab w:val="center" w:pos="4153"/>
        <w:tab w:val="right" w:pos="8306"/>
      </w:tabs>
      <w:snapToGrid w:val="0"/>
    </w:pPr>
    <w:rPr>
      <w:rFonts w:ascii="RimTimes" w:hAnsi="RimTimes"/>
      <w:sz w:val="28"/>
      <w:szCs w:val="20"/>
    </w:rPr>
  </w:style>
  <w:style w:type="character" w:styleId="CommentReference">
    <w:name w:val="annotation reference"/>
    <w:semiHidden/>
    <w:rPr>
      <w:sz w:val="16"/>
      <w:szCs w:val="16"/>
    </w:rPr>
  </w:style>
  <w:style w:type="paragraph" w:customStyle="1" w:styleId="naislab">
    <w:name w:val="naislab"/>
    <w:basedOn w:val="Normal"/>
    <w:pPr>
      <w:spacing w:before="100" w:beforeAutospacing="1" w:after="100" w:afterAutospacing="1"/>
      <w:jc w:val="right"/>
    </w:pPr>
    <w:rPr>
      <w:rFonts w:eastAsia="Arial Unicode MS"/>
    </w:r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CommentText">
    <w:name w:val="annotation text"/>
    <w:basedOn w:val="Normal"/>
    <w:semiHidden/>
    <w:rPr>
      <w:sz w:val="20"/>
      <w:szCs w:val="20"/>
    </w:rPr>
  </w:style>
  <w:style w:type="paragraph" w:customStyle="1" w:styleId="naiskr">
    <w:name w:val="naiskr"/>
    <w:basedOn w:val="Normal"/>
    <w:rsid w:val="00B40B98"/>
    <w:pPr>
      <w:spacing w:before="100" w:beforeAutospacing="1" w:after="100" w:afterAutospacing="1"/>
    </w:pPr>
    <w:rPr>
      <w:lang w:val="lv-LV" w:eastAsia="lv-LV"/>
    </w:rPr>
  </w:style>
  <w:style w:type="paragraph" w:styleId="BalloonText">
    <w:name w:val="Balloon Text"/>
    <w:basedOn w:val="Normal"/>
    <w:semiHidden/>
    <w:rsid w:val="003F2F3C"/>
    <w:rPr>
      <w:rFonts w:ascii="Tahoma" w:hAnsi="Tahoma" w:cs="Tahoma"/>
      <w:sz w:val="16"/>
      <w:szCs w:val="16"/>
    </w:rPr>
  </w:style>
  <w:style w:type="paragraph" w:customStyle="1" w:styleId="CharChar">
    <w:name w:val="Char Char"/>
    <w:basedOn w:val="Normal"/>
    <w:rsid w:val="001347E9"/>
    <w:rPr>
      <w:lang w:val="pl-PL" w:eastAsia="pl-PL"/>
    </w:rPr>
  </w:style>
  <w:style w:type="paragraph" w:customStyle="1" w:styleId="RakstzRakstzRakstzCharCharRakstzRakstzCharChar">
    <w:name w:val="Rakstz. Rakstz. Rakstz. Char Char Rakstz. Rakstz. Char Char"/>
    <w:basedOn w:val="Normal"/>
    <w:rsid w:val="004071C3"/>
    <w:pPr>
      <w:spacing w:before="40"/>
    </w:pPr>
    <w:rPr>
      <w:lang w:val="pl-PL" w:eastAsia="pl-PL"/>
    </w:rPr>
  </w:style>
  <w:style w:type="paragraph" w:styleId="BodyText2">
    <w:name w:val="Body Text 2"/>
    <w:basedOn w:val="Normal"/>
    <w:rsid w:val="00D730D2"/>
    <w:pPr>
      <w:spacing w:after="120" w:line="480" w:lineRule="auto"/>
    </w:pPr>
    <w:rPr>
      <w:sz w:val="28"/>
      <w:szCs w:val="20"/>
      <w:lang w:val="lv-LV" w:eastAsia="lv-LV"/>
    </w:rPr>
  </w:style>
  <w:style w:type="paragraph" w:styleId="CommentSubject">
    <w:name w:val="annotation subject"/>
    <w:basedOn w:val="CommentText"/>
    <w:next w:val="CommentText"/>
    <w:semiHidden/>
    <w:rsid w:val="00CC26BC"/>
    <w:rPr>
      <w:b/>
      <w:bCs/>
    </w:rPr>
  </w:style>
  <w:style w:type="character" w:styleId="Hyperlink">
    <w:name w:val="Hyperlink"/>
    <w:rsid w:val="0025425E"/>
    <w:rPr>
      <w:color w:val="0000FF"/>
      <w:u w:val="single"/>
    </w:rPr>
  </w:style>
  <w:style w:type="character" w:customStyle="1" w:styleId="HeaderChar">
    <w:name w:val="Header Char"/>
    <w:link w:val="Header"/>
    <w:rsid w:val="00651252"/>
    <w:rPr>
      <w:sz w:val="24"/>
      <w:szCs w:val="24"/>
      <w:lang w:val="en-GB" w:eastAsia="en-US"/>
    </w:rPr>
  </w:style>
  <w:style w:type="paragraph" w:customStyle="1" w:styleId="naisnod">
    <w:name w:val="naisnod"/>
    <w:basedOn w:val="Normal"/>
    <w:rsid w:val="00493272"/>
    <w:pPr>
      <w:spacing w:before="100" w:beforeAutospacing="1" w:after="100" w:afterAutospacing="1"/>
    </w:pPr>
    <w:rPr>
      <w:lang w:val="lv-LV" w:eastAsia="lv-LV"/>
    </w:rPr>
  </w:style>
  <w:style w:type="paragraph" w:styleId="FootnoteText">
    <w:name w:val="footnote text"/>
    <w:basedOn w:val="Normal"/>
    <w:link w:val="FootnoteTextChar"/>
    <w:rsid w:val="00493272"/>
    <w:rPr>
      <w:sz w:val="20"/>
      <w:szCs w:val="20"/>
      <w:lang w:val="lv-LV" w:eastAsia="lv-LV"/>
    </w:rPr>
  </w:style>
  <w:style w:type="character" w:customStyle="1" w:styleId="FootnoteTextChar">
    <w:name w:val="Footnote Text Char"/>
    <w:basedOn w:val="DefaultParagraphFont"/>
    <w:link w:val="FootnoteText"/>
    <w:rsid w:val="00493272"/>
  </w:style>
  <w:style w:type="character" w:customStyle="1" w:styleId="FooterChar">
    <w:name w:val="Footer Char"/>
    <w:link w:val="Footer"/>
    <w:rsid w:val="00493272"/>
    <w:rPr>
      <w:rFonts w:ascii="RimTimes" w:hAnsi="RimTimes"/>
      <w:sz w:val="28"/>
      <w:lang w:eastAsia="en-US"/>
    </w:rPr>
  </w:style>
  <w:style w:type="paragraph" w:styleId="NoSpacing">
    <w:name w:val="No Spacing"/>
    <w:uiPriority w:val="1"/>
    <w:qFormat/>
    <w:rsid w:val="007D0057"/>
    <w:rPr>
      <w:rFonts w:ascii="Calibri" w:eastAsia="Calibri" w:hAnsi="Calibri"/>
      <w:sz w:val="22"/>
      <w:szCs w:val="22"/>
      <w:lang w:eastAsia="en-US"/>
    </w:rPr>
  </w:style>
  <w:style w:type="character" w:styleId="Emphasis">
    <w:name w:val="Emphasis"/>
    <w:qFormat/>
    <w:rsid w:val="005C25C8"/>
    <w:rPr>
      <w:i/>
      <w:iCs/>
    </w:rPr>
  </w:style>
  <w:style w:type="paragraph" w:styleId="ListParagraph">
    <w:name w:val="List Paragraph"/>
    <w:basedOn w:val="Normal"/>
    <w:uiPriority w:val="34"/>
    <w:qFormat/>
    <w:rsid w:val="00034C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2E9"/>
    <w:rPr>
      <w:sz w:val="24"/>
      <w:szCs w:val="24"/>
      <w:lang w:val="en-GB" w:eastAsia="en-US"/>
    </w:rPr>
  </w:style>
  <w:style w:type="paragraph" w:styleId="Heading1">
    <w:name w:val="heading 1"/>
    <w:basedOn w:val="Normal"/>
    <w:next w:val="Normal"/>
    <w:qFormat/>
    <w:pPr>
      <w:keepNext/>
      <w:jc w:val="center"/>
      <w:outlineLvl w:val="0"/>
    </w:pPr>
    <w:rPr>
      <w:b/>
      <w:bCs/>
      <w:sz w:val="28"/>
      <w:lang w:val="lv-LV"/>
    </w:rPr>
  </w:style>
  <w:style w:type="paragraph" w:styleId="Heading2">
    <w:name w:val="heading 2"/>
    <w:basedOn w:val="Normal"/>
    <w:next w:val="Normal"/>
    <w:qFormat/>
    <w:pPr>
      <w:keepNext/>
      <w:outlineLvl w:val="1"/>
    </w:pPr>
    <w:rPr>
      <w:sz w:val="28"/>
      <w:lang w:val="lv-LV"/>
    </w:rPr>
  </w:style>
  <w:style w:type="paragraph" w:styleId="Heading3">
    <w:name w:val="heading 3"/>
    <w:basedOn w:val="Normal"/>
    <w:next w:val="Normal"/>
    <w:qFormat/>
    <w:pPr>
      <w:keepNext/>
      <w:jc w:val="center"/>
      <w:outlineLvl w:val="2"/>
    </w:pPr>
    <w:rPr>
      <w:sz w:val="28"/>
      <w:lang w:val="lv-LV"/>
    </w:rPr>
  </w:style>
  <w:style w:type="paragraph" w:styleId="Heading4">
    <w:name w:val="heading 4"/>
    <w:basedOn w:val="Normal"/>
    <w:next w:val="Normal"/>
    <w:qFormat/>
    <w:pPr>
      <w:keepNext/>
      <w:tabs>
        <w:tab w:val="center" w:pos="586"/>
      </w:tabs>
      <w:ind w:left="-348" w:hanging="600"/>
      <w:outlineLvl w:val="3"/>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
    </w:pPr>
    <w:rPr>
      <w:sz w:val="28"/>
      <w:lang w:val="lv-LV"/>
    </w:rPr>
  </w:style>
  <w:style w:type="paragraph" w:customStyle="1" w:styleId="naisc">
    <w:name w:val="naisc"/>
    <w:basedOn w:val="Normal"/>
    <w:pPr>
      <w:spacing w:before="100" w:beforeAutospacing="1" w:after="100" w:afterAutospacing="1"/>
      <w:jc w:val="center"/>
    </w:pPr>
    <w:rPr>
      <w:rFonts w:eastAsia="Arial Unicode MS"/>
      <w:sz w:val="26"/>
      <w:szCs w:val="26"/>
    </w:rPr>
  </w:style>
  <w:style w:type="paragraph" w:customStyle="1" w:styleId="naisf">
    <w:name w:val="naisf"/>
    <w:basedOn w:val="Normal"/>
    <w:pPr>
      <w:spacing w:before="100" w:beforeAutospacing="1" w:after="100" w:afterAutospacing="1"/>
      <w:jc w:val="both"/>
    </w:pPr>
    <w:rPr>
      <w:rFonts w:eastAsia="Arial Unicode MS"/>
    </w:rPr>
  </w:style>
  <w:style w:type="paragraph" w:styleId="NormalWeb">
    <w:name w:val="Normal (Web)"/>
    <w:basedOn w:val="Normal"/>
    <w:pPr>
      <w:spacing w:before="100" w:beforeAutospacing="1" w:after="100" w:afterAutospacing="1"/>
    </w:pPr>
    <w:rPr>
      <w:rFonts w:eastAsia="Arial Unicode MS"/>
    </w:rPr>
  </w:style>
  <w:style w:type="paragraph" w:styleId="Footer">
    <w:name w:val="footer"/>
    <w:basedOn w:val="Normal"/>
    <w:link w:val="FooterChar"/>
    <w:pPr>
      <w:tabs>
        <w:tab w:val="center" w:pos="4153"/>
        <w:tab w:val="right" w:pos="8306"/>
      </w:tabs>
      <w:snapToGrid w:val="0"/>
    </w:pPr>
    <w:rPr>
      <w:rFonts w:ascii="RimTimes" w:hAnsi="RimTimes"/>
      <w:sz w:val="28"/>
      <w:szCs w:val="20"/>
    </w:rPr>
  </w:style>
  <w:style w:type="character" w:styleId="CommentReference">
    <w:name w:val="annotation reference"/>
    <w:semiHidden/>
    <w:rPr>
      <w:sz w:val="16"/>
      <w:szCs w:val="16"/>
    </w:rPr>
  </w:style>
  <w:style w:type="paragraph" w:customStyle="1" w:styleId="naislab">
    <w:name w:val="naislab"/>
    <w:basedOn w:val="Normal"/>
    <w:pPr>
      <w:spacing w:before="100" w:beforeAutospacing="1" w:after="100" w:afterAutospacing="1"/>
      <w:jc w:val="right"/>
    </w:pPr>
    <w:rPr>
      <w:rFonts w:eastAsia="Arial Unicode MS"/>
    </w:r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CommentText">
    <w:name w:val="annotation text"/>
    <w:basedOn w:val="Normal"/>
    <w:semiHidden/>
    <w:rPr>
      <w:sz w:val="20"/>
      <w:szCs w:val="20"/>
    </w:rPr>
  </w:style>
  <w:style w:type="paragraph" w:customStyle="1" w:styleId="naiskr">
    <w:name w:val="naiskr"/>
    <w:basedOn w:val="Normal"/>
    <w:rsid w:val="00B40B98"/>
    <w:pPr>
      <w:spacing w:before="100" w:beforeAutospacing="1" w:after="100" w:afterAutospacing="1"/>
    </w:pPr>
    <w:rPr>
      <w:lang w:val="lv-LV" w:eastAsia="lv-LV"/>
    </w:rPr>
  </w:style>
  <w:style w:type="paragraph" w:styleId="BalloonText">
    <w:name w:val="Balloon Text"/>
    <w:basedOn w:val="Normal"/>
    <w:semiHidden/>
    <w:rsid w:val="003F2F3C"/>
    <w:rPr>
      <w:rFonts w:ascii="Tahoma" w:hAnsi="Tahoma" w:cs="Tahoma"/>
      <w:sz w:val="16"/>
      <w:szCs w:val="16"/>
    </w:rPr>
  </w:style>
  <w:style w:type="paragraph" w:customStyle="1" w:styleId="CharChar">
    <w:name w:val="Char Char"/>
    <w:basedOn w:val="Normal"/>
    <w:rsid w:val="001347E9"/>
    <w:rPr>
      <w:lang w:val="pl-PL" w:eastAsia="pl-PL"/>
    </w:rPr>
  </w:style>
  <w:style w:type="paragraph" w:customStyle="1" w:styleId="RakstzRakstzRakstzCharCharRakstzRakstzCharChar">
    <w:name w:val="Rakstz. Rakstz. Rakstz. Char Char Rakstz. Rakstz. Char Char"/>
    <w:basedOn w:val="Normal"/>
    <w:rsid w:val="004071C3"/>
    <w:pPr>
      <w:spacing w:before="40"/>
    </w:pPr>
    <w:rPr>
      <w:lang w:val="pl-PL" w:eastAsia="pl-PL"/>
    </w:rPr>
  </w:style>
  <w:style w:type="paragraph" w:styleId="BodyText2">
    <w:name w:val="Body Text 2"/>
    <w:basedOn w:val="Normal"/>
    <w:rsid w:val="00D730D2"/>
    <w:pPr>
      <w:spacing w:after="120" w:line="480" w:lineRule="auto"/>
    </w:pPr>
    <w:rPr>
      <w:sz w:val="28"/>
      <w:szCs w:val="20"/>
      <w:lang w:val="lv-LV" w:eastAsia="lv-LV"/>
    </w:rPr>
  </w:style>
  <w:style w:type="paragraph" w:styleId="CommentSubject">
    <w:name w:val="annotation subject"/>
    <w:basedOn w:val="CommentText"/>
    <w:next w:val="CommentText"/>
    <w:semiHidden/>
    <w:rsid w:val="00CC26BC"/>
    <w:rPr>
      <w:b/>
      <w:bCs/>
    </w:rPr>
  </w:style>
  <w:style w:type="character" w:styleId="Hyperlink">
    <w:name w:val="Hyperlink"/>
    <w:rsid w:val="0025425E"/>
    <w:rPr>
      <w:color w:val="0000FF"/>
      <w:u w:val="single"/>
    </w:rPr>
  </w:style>
  <w:style w:type="character" w:customStyle="1" w:styleId="HeaderChar">
    <w:name w:val="Header Char"/>
    <w:link w:val="Header"/>
    <w:rsid w:val="00651252"/>
    <w:rPr>
      <w:sz w:val="24"/>
      <w:szCs w:val="24"/>
      <w:lang w:val="en-GB" w:eastAsia="en-US"/>
    </w:rPr>
  </w:style>
  <w:style w:type="paragraph" w:customStyle="1" w:styleId="naisnod">
    <w:name w:val="naisnod"/>
    <w:basedOn w:val="Normal"/>
    <w:rsid w:val="00493272"/>
    <w:pPr>
      <w:spacing w:before="100" w:beforeAutospacing="1" w:after="100" w:afterAutospacing="1"/>
    </w:pPr>
    <w:rPr>
      <w:lang w:val="lv-LV" w:eastAsia="lv-LV"/>
    </w:rPr>
  </w:style>
  <w:style w:type="paragraph" w:styleId="FootnoteText">
    <w:name w:val="footnote text"/>
    <w:basedOn w:val="Normal"/>
    <w:link w:val="FootnoteTextChar"/>
    <w:rsid w:val="00493272"/>
    <w:rPr>
      <w:sz w:val="20"/>
      <w:szCs w:val="20"/>
      <w:lang w:val="lv-LV" w:eastAsia="lv-LV"/>
    </w:rPr>
  </w:style>
  <w:style w:type="character" w:customStyle="1" w:styleId="FootnoteTextChar">
    <w:name w:val="Footnote Text Char"/>
    <w:basedOn w:val="DefaultParagraphFont"/>
    <w:link w:val="FootnoteText"/>
    <w:rsid w:val="00493272"/>
  </w:style>
  <w:style w:type="character" w:customStyle="1" w:styleId="FooterChar">
    <w:name w:val="Footer Char"/>
    <w:link w:val="Footer"/>
    <w:rsid w:val="00493272"/>
    <w:rPr>
      <w:rFonts w:ascii="RimTimes" w:hAnsi="RimTimes"/>
      <w:sz w:val="28"/>
      <w:lang w:eastAsia="en-US"/>
    </w:rPr>
  </w:style>
  <w:style w:type="paragraph" w:styleId="NoSpacing">
    <w:name w:val="No Spacing"/>
    <w:uiPriority w:val="1"/>
    <w:qFormat/>
    <w:rsid w:val="007D0057"/>
    <w:rPr>
      <w:rFonts w:ascii="Calibri" w:eastAsia="Calibri" w:hAnsi="Calibri"/>
      <w:sz w:val="22"/>
      <w:szCs w:val="22"/>
      <w:lang w:eastAsia="en-US"/>
    </w:rPr>
  </w:style>
  <w:style w:type="character" w:styleId="Emphasis">
    <w:name w:val="Emphasis"/>
    <w:qFormat/>
    <w:rsid w:val="005C25C8"/>
    <w:rPr>
      <w:i/>
      <w:iCs/>
    </w:rPr>
  </w:style>
  <w:style w:type="paragraph" w:styleId="ListParagraph">
    <w:name w:val="List Paragraph"/>
    <w:basedOn w:val="Normal"/>
    <w:uiPriority w:val="34"/>
    <w:qFormat/>
    <w:rsid w:val="00034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18762">
      <w:bodyDiv w:val="1"/>
      <w:marLeft w:val="0"/>
      <w:marRight w:val="0"/>
      <w:marTop w:val="0"/>
      <w:marBottom w:val="0"/>
      <w:divBdr>
        <w:top w:val="none" w:sz="0" w:space="0" w:color="auto"/>
        <w:left w:val="none" w:sz="0" w:space="0" w:color="auto"/>
        <w:bottom w:val="none" w:sz="0" w:space="0" w:color="auto"/>
        <w:right w:val="none" w:sz="0" w:space="0" w:color="auto"/>
      </w:divBdr>
    </w:div>
    <w:div w:id="767391288">
      <w:bodyDiv w:val="1"/>
      <w:marLeft w:val="0"/>
      <w:marRight w:val="0"/>
      <w:marTop w:val="0"/>
      <w:marBottom w:val="0"/>
      <w:divBdr>
        <w:top w:val="none" w:sz="0" w:space="0" w:color="auto"/>
        <w:left w:val="none" w:sz="0" w:space="0" w:color="auto"/>
        <w:bottom w:val="none" w:sz="0" w:space="0" w:color="auto"/>
        <w:right w:val="none" w:sz="0" w:space="0" w:color="auto"/>
      </w:divBdr>
    </w:div>
    <w:div w:id="1098791317">
      <w:bodyDiv w:val="1"/>
      <w:marLeft w:val="0"/>
      <w:marRight w:val="0"/>
      <w:marTop w:val="0"/>
      <w:marBottom w:val="0"/>
      <w:divBdr>
        <w:top w:val="none" w:sz="0" w:space="0" w:color="auto"/>
        <w:left w:val="none" w:sz="0" w:space="0" w:color="auto"/>
        <w:bottom w:val="none" w:sz="0" w:space="0" w:color="auto"/>
        <w:right w:val="none" w:sz="0" w:space="0" w:color="auto"/>
      </w:divBdr>
    </w:div>
    <w:div w:id="1126847974">
      <w:bodyDiv w:val="1"/>
      <w:marLeft w:val="0"/>
      <w:marRight w:val="0"/>
      <w:marTop w:val="0"/>
      <w:marBottom w:val="0"/>
      <w:divBdr>
        <w:top w:val="none" w:sz="0" w:space="0" w:color="auto"/>
        <w:left w:val="none" w:sz="0" w:space="0" w:color="auto"/>
        <w:bottom w:val="none" w:sz="0" w:space="0" w:color="auto"/>
        <w:right w:val="none" w:sz="0" w:space="0" w:color="auto"/>
      </w:divBdr>
    </w:div>
    <w:div w:id="1414544387">
      <w:bodyDiv w:val="1"/>
      <w:marLeft w:val="0"/>
      <w:marRight w:val="0"/>
      <w:marTop w:val="0"/>
      <w:marBottom w:val="0"/>
      <w:divBdr>
        <w:top w:val="none" w:sz="0" w:space="0" w:color="auto"/>
        <w:left w:val="none" w:sz="0" w:space="0" w:color="auto"/>
        <w:bottom w:val="none" w:sz="0" w:space="0" w:color="auto"/>
        <w:right w:val="none" w:sz="0" w:space="0" w:color="auto"/>
      </w:divBdr>
    </w:div>
    <w:div w:id="1497527209">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61524422">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undega.Morgana@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4C1FA-BABD-4C52-956F-D48F86771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372</Words>
  <Characters>2771</Characters>
  <Application>Microsoft Office Word</Application>
  <DocSecurity>0</DocSecurity>
  <Lines>23</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2009.gada 25.augusta noteikumos Nr.952 „Kārtība, kādā sniedz un pārbauda informāciju par pievienotās vērtības nodokļa piemērošanu Eiropas Savienības struktūrfondu finansēto projektu ietvaro</vt:lpstr>
      <vt:lpstr>Anotācija Ministru kabineta noteikumu projektam „Grozījumi Ministru kabineta 2010.gada 9.novembra noteikumos Nr.1041 „Kārtība, kādā paredzami valsts budžeta līdzekļi Eiropas Savienības struktūrfondu un Kohēzijas fonda līdzfinansēto projektu īstenošanai, k</vt:lpstr>
    </vt:vector>
  </TitlesOfParts>
  <Company>LR Finanšu ministrija</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25.augusta noteikumos Nr.952 „Kārtība, kādā sniedz un pārbauda informāciju par pievienotās vērtības nodokļa piemērošanu Eiropas Savienības struktūrfondu finansēto projektu ietvaros un pieņem lēmumu par pievienotās vērtības nodokļa iekļaušanu projektu attiecināmajās izmaksās” sākotnējās ietekmes novērtējuma ziņojums (anotācija)</dc:title>
  <dc:subject>Anotācija</dc:subject>
  <dc:creator>gundega.morgana@fm.gov.lv</dc:creator>
  <dc:description>Gundega.Morgana@fm.gov.lv
Tālr. 67095480
Faksa Nr. 67095697</dc:description>
  <cp:lastModifiedBy>Gundega Morgana</cp:lastModifiedBy>
  <cp:revision>11</cp:revision>
  <cp:lastPrinted>2013-02-25T09:25:00Z</cp:lastPrinted>
  <dcterms:created xsi:type="dcterms:W3CDTF">2013-02-18T09:47:00Z</dcterms:created>
  <dcterms:modified xsi:type="dcterms:W3CDTF">2013-03-26T08:44:00Z</dcterms:modified>
</cp:coreProperties>
</file>