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11" w:rsidRPr="0030193F" w:rsidRDefault="00B03D11" w:rsidP="00B03D11">
      <w:pPr>
        <w:pStyle w:val="naisc"/>
        <w:spacing w:before="0" w:after="0"/>
        <w:rPr>
          <w:b/>
          <w:sz w:val="28"/>
          <w:szCs w:val="28"/>
        </w:rPr>
      </w:pPr>
      <w:bookmarkStart w:id="0" w:name="OLE_LINK1"/>
      <w:bookmarkStart w:id="1" w:name="_GoBack"/>
      <w:bookmarkEnd w:id="1"/>
      <w:r w:rsidRPr="0030193F">
        <w:rPr>
          <w:b/>
          <w:sz w:val="28"/>
          <w:szCs w:val="28"/>
        </w:rPr>
        <w:t xml:space="preserve">Ministru kabineta </w:t>
      </w:r>
      <w:r>
        <w:rPr>
          <w:b/>
          <w:sz w:val="28"/>
          <w:szCs w:val="28"/>
        </w:rPr>
        <w:t>rīkojuma</w:t>
      </w:r>
      <w:r w:rsidRPr="0030193F">
        <w:rPr>
          <w:b/>
          <w:sz w:val="28"/>
          <w:szCs w:val="28"/>
        </w:rPr>
        <w:t xml:space="preserve"> projekta</w:t>
      </w:r>
    </w:p>
    <w:bookmarkEnd w:id="0"/>
    <w:p w:rsidR="00B03D11" w:rsidRPr="0030193F" w:rsidRDefault="00B03D11" w:rsidP="00B03D11">
      <w:pPr>
        <w:jc w:val="center"/>
        <w:rPr>
          <w:bCs/>
          <w:sz w:val="28"/>
          <w:szCs w:val="28"/>
        </w:rPr>
      </w:pPr>
      <w:r w:rsidRPr="0030193F">
        <w:rPr>
          <w:b/>
          <w:sz w:val="28"/>
          <w:szCs w:val="28"/>
        </w:rPr>
        <w:t>„</w:t>
      </w:r>
      <w:r>
        <w:rPr>
          <w:b/>
          <w:sz w:val="28"/>
          <w:szCs w:val="28"/>
        </w:rPr>
        <w:t xml:space="preserve">Par finanšu līdzekļu piešķiršanu </w:t>
      </w:r>
      <w:r w:rsidRPr="000D0ABD">
        <w:rPr>
          <w:b/>
          <w:sz w:val="28"/>
          <w:szCs w:val="28"/>
        </w:rPr>
        <w:t>no valsts budžeta programmas „Līdzekļi neparedzētiem gadījumiem”</w:t>
      </w:r>
      <w:r w:rsidRPr="0030193F">
        <w:rPr>
          <w:b/>
          <w:sz w:val="28"/>
          <w:szCs w:val="28"/>
        </w:rPr>
        <w:t xml:space="preserve">” </w:t>
      </w:r>
      <w:r w:rsidRPr="0030193F">
        <w:rPr>
          <w:b/>
          <w:bCs/>
          <w:sz w:val="28"/>
          <w:szCs w:val="28"/>
        </w:rPr>
        <w:t>sākotnējās ietekmes novērtējuma ziņojums (anotācija</w:t>
      </w:r>
      <w:r w:rsidRPr="0030193F">
        <w:rPr>
          <w:bCs/>
          <w:sz w:val="28"/>
          <w:szCs w:val="28"/>
        </w:rPr>
        <w:t>)</w:t>
      </w:r>
    </w:p>
    <w:p w:rsidR="00B03D11" w:rsidRPr="000A0D36" w:rsidRDefault="00B03D11" w:rsidP="00B03D11">
      <w:pPr>
        <w:pStyle w:val="naisc"/>
        <w:spacing w:before="0" w:after="0"/>
        <w:rPr>
          <w:b/>
          <w:bCs/>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31"/>
        <w:gridCol w:w="3259"/>
        <w:gridCol w:w="5491"/>
      </w:tblGrid>
      <w:tr w:rsidR="00B03D11" w:rsidRPr="000A0D36" w:rsidTr="00101F22">
        <w:tc>
          <w:tcPr>
            <w:tcW w:w="0" w:type="auto"/>
            <w:gridSpan w:val="3"/>
            <w:tcBorders>
              <w:top w:val="outset" w:sz="6" w:space="0" w:color="auto"/>
              <w:left w:val="outset" w:sz="6" w:space="0" w:color="auto"/>
              <w:bottom w:val="outset" w:sz="6" w:space="0" w:color="auto"/>
              <w:right w:val="outset" w:sz="6" w:space="0" w:color="auto"/>
            </w:tcBorders>
            <w:vAlign w:val="center"/>
          </w:tcPr>
          <w:p w:rsidR="00B03D11" w:rsidRPr="000A0D36" w:rsidRDefault="00B03D11" w:rsidP="00101F22">
            <w:pPr>
              <w:pStyle w:val="naisc"/>
              <w:spacing w:before="0" w:after="0"/>
              <w:rPr>
                <w:sz w:val="24"/>
                <w:szCs w:val="24"/>
              </w:rPr>
            </w:pPr>
            <w:r w:rsidRPr="000A0D36">
              <w:rPr>
                <w:b/>
                <w:bCs/>
                <w:sz w:val="24"/>
                <w:szCs w:val="24"/>
              </w:rPr>
              <w:t xml:space="preserve">I. </w:t>
            </w:r>
            <w:r w:rsidRPr="000A0D36">
              <w:rPr>
                <w:b/>
                <w:color w:val="000000"/>
                <w:sz w:val="24"/>
                <w:szCs w:val="24"/>
              </w:rPr>
              <w:t>Tiesību akta projekta izstrādes nepieciešamība</w:t>
            </w:r>
          </w:p>
        </w:tc>
      </w:tr>
      <w:tr w:rsidR="00B03D11" w:rsidRPr="000A0D36" w:rsidTr="00101F22">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1.</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Pamatojums</w:t>
            </w:r>
          </w:p>
        </w:tc>
        <w:tc>
          <w:tcPr>
            <w:tcW w:w="2958" w:type="pct"/>
            <w:tcBorders>
              <w:top w:val="outset" w:sz="6" w:space="0" w:color="auto"/>
              <w:left w:val="outset" w:sz="6" w:space="0" w:color="auto"/>
              <w:bottom w:val="outset" w:sz="6" w:space="0" w:color="auto"/>
              <w:right w:val="outset" w:sz="6" w:space="0" w:color="auto"/>
            </w:tcBorders>
          </w:tcPr>
          <w:p w:rsidR="00B03D11" w:rsidRPr="00DE6F77" w:rsidRDefault="006F21F2" w:rsidP="00101F22">
            <w:pPr>
              <w:jc w:val="both"/>
            </w:pPr>
            <w:r>
              <w:t>Nav attiecināms.</w:t>
            </w:r>
          </w:p>
        </w:tc>
      </w:tr>
      <w:tr w:rsidR="00B03D11" w:rsidRPr="000A0D36" w:rsidTr="00101F22">
        <w:trPr>
          <w:trHeight w:val="300"/>
        </w:trPr>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2.</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Pašreizējā situācija un problēmas</w:t>
            </w:r>
          </w:p>
        </w:tc>
        <w:tc>
          <w:tcPr>
            <w:tcW w:w="2958" w:type="pct"/>
            <w:tcBorders>
              <w:top w:val="outset" w:sz="6" w:space="0" w:color="auto"/>
              <w:left w:val="outset" w:sz="6" w:space="0" w:color="auto"/>
              <w:bottom w:val="outset" w:sz="6" w:space="0" w:color="auto"/>
              <w:right w:val="outset" w:sz="6" w:space="0" w:color="auto"/>
            </w:tcBorders>
            <w:shd w:val="clear" w:color="auto" w:fill="auto"/>
          </w:tcPr>
          <w:p w:rsidR="005B2537" w:rsidRDefault="005B2537" w:rsidP="005B2537">
            <w:pPr>
              <w:ind w:firstLine="605"/>
              <w:jc w:val="both"/>
            </w:pPr>
            <w:r>
              <w:t>Saskaņā ar likuma „Par tautas nobalsošanu un likumu ierosināšanu” 7. panta pirmo daļu, 22. un 23. pantu Centrālā vēlēšanu komisija 2011.gada 11.aprīlī ir noteikusi parakstu vākšanu likuma „Grozījumi Latvijas Republikas Satversmē” ierosināšanai no 2011.gada 11. maija līdz 9.jūnijam ieskaitot.</w:t>
            </w:r>
          </w:p>
          <w:p w:rsidR="005B2537" w:rsidRDefault="005B2537" w:rsidP="005B2537">
            <w:pPr>
              <w:ind w:firstLine="605"/>
              <w:jc w:val="both"/>
            </w:pPr>
            <w:r>
              <w:t>Saskaņā ar likuma „Par tautas nobalsošanu un likumu ierosināšanu” 7.panta pirmo daļu un Valsts prezidenta 2011. gada 19. aprīļa paziņojumu Nr.9 par likumu:</w:t>
            </w:r>
          </w:p>
          <w:p w:rsidR="005B2537" w:rsidRDefault="005B2537" w:rsidP="005B2537">
            <w:pPr>
              <w:pStyle w:val="ListParagraph"/>
              <w:numPr>
                <w:ilvl w:val="0"/>
                <w:numId w:val="2"/>
              </w:numPr>
              <w:tabs>
                <w:tab w:val="clear" w:pos="1500"/>
                <w:tab w:val="num" w:pos="463"/>
              </w:tabs>
              <w:ind w:left="463" w:hanging="284"/>
              <w:jc w:val="both"/>
            </w:pPr>
            <w:r>
              <w:t xml:space="preserve">„Grozījumi likumā „Par valsts pabalstu izmaksu laika periodā no 2009. gada līdz 2012. gadam””, </w:t>
            </w:r>
          </w:p>
          <w:p w:rsidR="005B2537" w:rsidRDefault="005B2537" w:rsidP="005B2537">
            <w:pPr>
              <w:numPr>
                <w:ilvl w:val="0"/>
                <w:numId w:val="2"/>
              </w:numPr>
              <w:tabs>
                <w:tab w:val="clear" w:pos="1500"/>
                <w:tab w:val="num" w:pos="463"/>
              </w:tabs>
              <w:ind w:left="463" w:hanging="284"/>
              <w:jc w:val="both"/>
            </w:pPr>
            <w:r>
              <w:t>„Grozījums likumā „Par maternitātes un slimības apdrošināšanu””,</w:t>
            </w:r>
          </w:p>
          <w:p w:rsidR="005B2537" w:rsidRDefault="005B2537" w:rsidP="005B2537">
            <w:pPr>
              <w:numPr>
                <w:ilvl w:val="0"/>
                <w:numId w:val="2"/>
              </w:numPr>
              <w:tabs>
                <w:tab w:val="clear" w:pos="1500"/>
                <w:tab w:val="num" w:pos="463"/>
              </w:tabs>
              <w:ind w:left="463" w:hanging="284"/>
              <w:jc w:val="both"/>
            </w:pPr>
            <w:r>
              <w:t xml:space="preserve"> „Grozījumi likumā „Par apdrošināšanu bezdarba gadījumam””</w:t>
            </w:r>
          </w:p>
          <w:p w:rsidR="00B03D11" w:rsidRPr="00C06306" w:rsidRDefault="005B2537" w:rsidP="00BC05EE">
            <w:pPr>
              <w:jc w:val="both"/>
            </w:pPr>
            <w:r>
              <w:t>publicēšanas apturēšanu, Centrālā vēlēšanu komisija 2011.gada 19.aprīlī ir noteikusi, ka parakstu vākšana par šo apturēto likumu atcelšanu tautas nobalsošanā notiek no 2011. gada 18. maija līdz 16. jūnijam ieskaitot.</w:t>
            </w:r>
          </w:p>
        </w:tc>
      </w:tr>
      <w:tr w:rsidR="00B03D11" w:rsidRPr="000A0D36" w:rsidTr="00101F22">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3.</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Saistītie politikas ietekmes novērtējumi un pētījumi</w:t>
            </w:r>
          </w:p>
        </w:tc>
        <w:tc>
          <w:tcPr>
            <w:tcW w:w="295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highlight w:val="yellow"/>
              </w:rPr>
            </w:pPr>
            <w:r w:rsidRPr="000A0D36">
              <w:t>Nav attiecināms.</w:t>
            </w:r>
          </w:p>
        </w:tc>
      </w:tr>
      <w:tr w:rsidR="00B03D11" w:rsidRPr="000A0D36" w:rsidTr="00101F22">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4.</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Tiesiskā regulējuma mērķis un būtība</w:t>
            </w:r>
          </w:p>
        </w:tc>
        <w:tc>
          <w:tcPr>
            <w:tcW w:w="2958" w:type="pct"/>
            <w:tcBorders>
              <w:top w:val="outset" w:sz="6" w:space="0" w:color="auto"/>
              <w:left w:val="outset" w:sz="6" w:space="0" w:color="auto"/>
              <w:bottom w:val="outset" w:sz="6" w:space="0" w:color="auto"/>
              <w:right w:val="outset" w:sz="6" w:space="0" w:color="auto"/>
            </w:tcBorders>
          </w:tcPr>
          <w:p w:rsidR="005B2537" w:rsidRPr="00C50023" w:rsidRDefault="00BC05EE" w:rsidP="005B2537">
            <w:pPr>
              <w:ind w:firstLine="605"/>
              <w:jc w:val="both"/>
            </w:pPr>
            <w:r w:rsidRPr="00C50023">
              <w:t>Finanšu ministrija, atbilstoši Centrālās vēlēšanu komisijas lūgumam piešķirt finansējumu parakstu vākšan</w:t>
            </w:r>
            <w:r w:rsidR="005B2537" w:rsidRPr="00C50023">
              <w:t>u</w:t>
            </w:r>
            <w:r w:rsidRPr="00C50023">
              <w:t xml:space="preserve"> </w:t>
            </w:r>
            <w:r w:rsidR="005B2537" w:rsidRPr="00C50023">
              <w:t>nodrošināšanai</w:t>
            </w:r>
            <w:r w:rsidRPr="00C50023">
              <w:t>, ir sagatavojusi Ministru kabineta rīkojuma projektu</w:t>
            </w:r>
            <w:r w:rsidR="00C50023" w:rsidRPr="00C50023">
              <w:t xml:space="preserve"> „Par finanšu līdzekļu piešķiršanu no valsts budžeta programmas „Līdzekļi neparedzētiem gadījumiem””</w:t>
            </w:r>
            <w:r w:rsidR="005B2537" w:rsidRPr="00C50023">
              <w:t>.</w:t>
            </w:r>
            <w:r w:rsidRPr="00C50023">
              <w:t xml:space="preserve"> </w:t>
            </w:r>
          </w:p>
          <w:p w:rsidR="005B2537" w:rsidRPr="005B2537" w:rsidRDefault="00C50023" w:rsidP="005B2537">
            <w:pPr>
              <w:ind w:firstLine="605"/>
              <w:jc w:val="both"/>
            </w:pPr>
            <w:r>
              <w:t>L</w:t>
            </w:r>
            <w:r w:rsidR="008F3D97">
              <w:t xml:space="preserve">ai nodrošinātu parakstu vākšanu par grozījumiem Latvijas Republikas Satversmē un parakstu vākšanu par Valsts prezidenta apturētajiem likumiem, </w:t>
            </w:r>
            <w:r w:rsidR="005B2537" w:rsidRPr="005B2537">
              <w:t xml:space="preserve">Centrālajai vēlēšanu komisijai ir nepieciešams papildu finansējums </w:t>
            </w:r>
            <w:r w:rsidR="005B2537">
              <w:t>744 302</w:t>
            </w:r>
            <w:r w:rsidR="005B2537" w:rsidRPr="005B2537">
              <w:t xml:space="preserve"> latu apmērā, tajā skaitā:</w:t>
            </w:r>
          </w:p>
          <w:p w:rsidR="005B2537" w:rsidRPr="005B2537" w:rsidRDefault="005B2537" w:rsidP="005B2537">
            <w:pPr>
              <w:numPr>
                <w:ilvl w:val="0"/>
                <w:numId w:val="1"/>
              </w:numPr>
              <w:spacing w:after="120"/>
              <w:jc w:val="both"/>
            </w:pPr>
            <w:r w:rsidRPr="005B2537">
              <w:t xml:space="preserve">vēlēšanu komisiju darbinieku Latvijā, parakstu vākšanas darbinieku Latvijā un ārvalstīs, parakstu vākšanas organizatoriskai un tehniskai nodrošināšanai nepieciešamā </w:t>
            </w:r>
            <w:r w:rsidRPr="005B2537">
              <w:lastRenderedPageBreak/>
              <w:t>Centrālās vēlēšanu komisijas sekretariāta līgumdarbiniek</w:t>
            </w:r>
            <w:r w:rsidR="00E97231">
              <w:t>u,</w:t>
            </w:r>
            <w:r w:rsidRPr="005B2537">
              <w:t xml:space="preserve"> kā arī Centrālās vēlēšanu komisijas darbinieku </w:t>
            </w:r>
            <w:r w:rsidR="00C50023">
              <w:t>papildus darba un virsstundu apmaksai</w:t>
            </w:r>
            <w:r w:rsidRPr="005B2537">
              <w:t xml:space="preserve"> Ls </w:t>
            </w:r>
            <w:r w:rsidR="00E97231">
              <w:t>518 091</w:t>
            </w:r>
            <w:r w:rsidRPr="005B2537">
              <w:t>;</w:t>
            </w:r>
          </w:p>
          <w:p w:rsidR="005B2537" w:rsidRPr="005B2537" w:rsidRDefault="005B2537" w:rsidP="005B2537">
            <w:pPr>
              <w:numPr>
                <w:ilvl w:val="0"/>
                <w:numId w:val="1"/>
              </w:numPr>
              <w:spacing w:after="120"/>
              <w:jc w:val="both"/>
            </w:pPr>
            <w:r w:rsidRPr="005B2537">
              <w:t xml:space="preserve">valsts sociālās apdrošināšanas obligātajām iemaksām Ls </w:t>
            </w:r>
            <w:r w:rsidR="00E97231">
              <w:t>124 881</w:t>
            </w:r>
            <w:r w:rsidRPr="005B2537">
              <w:t>;</w:t>
            </w:r>
          </w:p>
          <w:p w:rsidR="00B03D11" w:rsidRPr="00E97231" w:rsidRDefault="005B2537" w:rsidP="00101F22">
            <w:pPr>
              <w:numPr>
                <w:ilvl w:val="0"/>
                <w:numId w:val="1"/>
              </w:numPr>
              <w:spacing w:after="120"/>
              <w:jc w:val="both"/>
            </w:pPr>
            <w:r w:rsidRPr="005B2537">
              <w:t>Centrālās vēlēšanu komisijas un vēlēšanu komisiju s</w:t>
            </w:r>
            <w:r w:rsidR="00E97231">
              <w:t>aimnieciskajiem izdevumiem Ls 101 400</w:t>
            </w:r>
            <w:r w:rsidRPr="005B2537">
              <w:t>.</w:t>
            </w:r>
          </w:p>
        </w:tc>
      </w:tr>
      <w:tr w:rsidR="00B03D11" w:rsidRPr="000A0D36" w:rsidTr="00101F22">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lastRenderedPageBreak/>
              <w:t>5.</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Projekta izstrādē iesaistītās institūcijas</w:t>
            </w:r>
          </w:p>
        </w:tc>
        <w:tc>
          <w:tcPr>
            <w:tcW w:w="295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bCs/>
                <w:color w:val="000000"/>
              </w:rPr>
            </w:pPr>
            <w:r>
              <w:rPr>
                <w:bCs/>
                <w:color w:val="000000"/>
              </w:rPr>
              <w:t xml:space="preserve">Nav attiecināms </w:t>
            </w:r>
          </w:p>
        </w:tc>
      </w:tr>
      <w:tr w:rsidR="00B03D11" w:rsidRPr="000A0D36" w:rsidTr="00101F22">
        <w:trPr>
          <w:trHeight w:val="834"/>
        </w:trPr>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6.</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Iemesli, kādēļ netika nodrošināta sabiedrības līdzdalība</w:t>
            </w:r>
          </w:p>
        </w:tc>
        <w:tc>
          <w:tcPr>
            <w:tcW w:w="295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bCs/>
                <w:color w:val="000000"/>
              </w:rPr>
            </w:pPr>
            <w:r>
              <w:rPr>
                <w:bCs/>
                <w:color w:val="000000"/>
              </w:rPr>
              <w:t xml:space="preserve">Nav attiecināms. </w:t>
            </w:r>
          </w:p>
        </w:tc>
      </w:tr>
      <w:tr w:rsidR="00B03D11" w:rsidRPr="000A0D36" w:rsidTr="00101F22">
        <w:tc>
          <w:tcPr>
            <w:tcW w:w="28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7.</w:t>
            </w:r>
          </w:p>
        </w:tc>
        <w:tc>
          <w:tcPr>
            <w:tcW w:w="1756"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Cita informācija.</w:t>
            </w:r>
          </w:p>
        </w:tc>
        <w:tc>
          <w:tcPr>
            <w:tcW w:w="2958" w:type="pct"/>
            <w:tcBorders>
              <w:top w:val="outset" w:sz="6" w:space="0" w:color="auto"/>
              <w:left w:val="outset" w:sz="6" w:space="0" w:color="auto"/>
              <w:bottom w:val="outset" w:sz="6" w:space="0" w:color="auto"/>
              <w:right w:val="outset" w:sz="6" w:space="0" w:color="auto"/>
            </w:tcBorders>
          </w:tcPr>
          <w:p w:rsidR="00B03D11" w:rsidRPr="000A0D36" w:rsidRDefault="00B03D11" w:rsidP="00101F22">
            <w:r w:rsidRPr="000A0D36">
              <w:t>Nav</w:t>
            </w:r>
            <w:r>
              <w:t xml:space="preserve"> attiecināms. </w:t>
            </w:r>
          </w:p>
        </w:tc>
      </w:tr>
    </w:tbl>
    <w:p w:rsidR="00B03D11" w:rsidRPr="000A0D36" w:rsidRDefault="00B03D11" w:rsidP="00B03D11">
      <w:pPr>
        <w:pStyle w:val="naisc"/>
        <w:spacing w:before="0" w:after="0"/>
        <w:rPr>
          <w:sz w:val="24"/>
          <w:szCs w:val="24"/>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89"/>
        <w:gridCol w:w="1273"/>
        <w:gridCol w:w="1274"/>
        <w:gridCol w:w="1274"/>
        <w:gridCol w:w="1274"/>
        <w:gridCol w:w="1272"/>
      </w:tblGrid>
      <w:tr w:rsidR="00B03D11" w:rsidRPr="00C16E58" w:rsidTr="00101F22">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rPr>
                <w:b/>
                <w:bCs/>
              </w:rPr>
            </w:pPr>
            <w:r w:rsidRPr="00C16E58">
              <w:rPr>
                <w:b/>
                <w:bCs/>
              </w:rPr>
              <w:t>III. Tiesību akta projekta ietekme uz valsts budžetu un pašvaldību budžetiem</w:t>
            </w:r>
          </w:p>
        </w:tc>
      </w:tr>
      <w:tr w:rsidR="00B03D11" w:rsidRPr="00C16E58" w:rsidTr="00101F22">
        <w:tc>
          <w:tcPr>
            <w:tcW w:w="1597" w:type="pct"/>
            <w:vMerge w:val="restar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rPr>
                <w:b/>
                <w:bCs/>
              </w:rPr>
            </w:pPr>
            <w:r w:rsidRPr="00C16E58">
              <w:rPr>
                <w:b/>
                <w:bCs/>
              </w:rPr>
              <w:t>Rādītāji</w:t>
            </w:r>
          </w:p>
        </w:tc>
        <w:tc>
          <w:tcPr>
            <w:tcW w:w="13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B03D11" w:rsidRPr="00C16E58" w:rsidRDefault="00BC05EE" w:rsidP="00BC05EE">
            <w:pPr>
              <w:pStyle w:val="naisf"/>
              <w:spacing w:before="0" w:after="0"/>
              <w:rPr>
                <w:b/>
                <w:bCs/>
              </w:rPr>
            </w:pPr>
            <w:r>
              <w:rPr>
                <w:b/>
                <w:bCs/>
              </w:rPr>
              <w:t xml:space="preserve">     </w:t>
            </w:r>
            <w:r w:rsidR="00B03D11" w:rsidRPr="00C16E58">
              <w:rPr>
                <w:b/>
                <w:bCs/>
              </w:rPr>
              <w:t>201</w:t>
            </w:r>
            <w:r w:rsidR="00B03D11">
              <w:rPr>
                <w:b/>
                <w:bCs/>
              </w:rPr>
              <w:t>1</w:t>
            </w:r>
            <w:r w:rsidR="00B03D11" w:rsidRPr="00C16E58">
              <w:rPr>
                <w:b/>
                <w:bCs/>
              </w:rPr>
              <w:t>.gads</w:t>
            </w:r>
          </w:p>
        </w:tc>
        <w:tc>
          <w:tcPr>
            <w:tcW w:w="2041" w:type="pct"/>
            <w:gridSpan w:val="3"/>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Turpmākie trīs gadi (</w:t>
            </w:r>
            <w:proofErr w:type="spellStart"/>
            <w:r w:rsidRPr="00C16E58">
              <w:t>tūkst</w:t>
            </w:r>
            <w:proofErr w:type="spellEnd"/>
            <w:smartTag w:uri="schemas-tilde-lv/tildestengine" w:element="currency2">
              <w:smartTagPr>
                <w:attr w:name="currency_text" w:val="latu"/>
                <w:attr w:name="currency_value" w:val="."/>
                <w:attr w:name="currency_key" w:val="LVL"/>
                <w:attr w:name="currency_id" w:val="48"/>
              </w:smartTagPr>
              <w:r w:rsidRPr="00C16E58">
                <w:t>. latu</w:t>
              </w:r>
            </w:smartTag>
            <w:r w:rsidRPr="00C16E58">
              <w:t>)</w:t>
            </w:r>
          </w:p>
        </w:tc>
      </w:tr>
      <w:tr w:rsidR="00B03D11" w:rsidRPr="00C16E58" w:rsidTr="00101F22">
        <w:tc>
          <w:tcPr>
            <w:tcW w:w="1597" w:type="pct"/>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rPr>
                <w:b/>
                <w:bCs/>
              </w:rPr>
            </w:pPr>
          </w:p>
        </w:tc>
        <w:tc>
          <w:tcPr>
            <w:tcW w:w="1361" w:type="pct"/>
            <w:gridSpan w:val="2"/>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rPr>
                <w:b/>
                <w:bCs/>
              </w:rPr>
            </w:pPr>
            <w:r w:rsidRPr="00C16E58">
              <w:rPr>
                <w:b/>
                <w:bCs/>
              </w:rPr>
              <w:t>201</w:t>
            </w:r>
            <w:r>
              <w:rPr>
                <w:b/>
                <w:bCs/>
              </w:rPr>
              <w:t>2</w:t>
            </w:r>
            <w:r w:rsidRPr="00C16E58">
              <w:rPr>
                <w:b/>
                <w:bCs/>
              </w:rPr>
              <w:t>.g.</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rPr>
                <w:b/>
                <w:bCs/>
              </w:rPr>
            </w:pPr>
            <w:r w:rsidRPr="00C16E58">
              <w:rPr>
                <w:b/>
                <w:bCs/>
              </w:rPr>
              <w:t>201</w:t>
            </w:r>
            <w:r>
              <w:rPr>
                <w:b/>
                <w:bCs/>
              </w:rPr>
              <w:t>3</w:t>
            </w:r>
            <w:r w:rsidRPr="00C16E58">
              <w:rPr>
                <w:b/>
                <w:bCs/>
              </w:rPr>
              <w:t>.g.</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rPr>
                <w:b/>
                <w:bCs/>
              </w:rPr>
            </w:pPr>
            <w:r w:rsidRPr="00C16E58">
              <w:rPr>
                <w:b/>
                <w:bCs/>
              </w:rPr>
              <w:t>201</w:t>
            </w:r>
            <w:r>
              <w:rPr>
                <w:b/>
                <w:bCs/>
              </w:rPr>
              <w:t>4</w:t>
            </w:r>
            <w:r w:rsidRPr="00C16E58">
              <w:rPr>
                <w:b/>
                <w:bCs/>
              </w:rPr>
              <w:t>.g.</w:t>
            </w:r>
          </w:p>
        </w:tc>
      </w:tr>
      <w:tr w:rsidR="00B03D11" w:rsidRPr="00C16E58" w:rsidTr="00101F22">
        <w:tc>
          <w:tcPr>
            <w:tcW w:w="1597" w:type="pct"/>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rPr>
                <w:b/>
                <w:bCs/>
              </w:rPr>
            </w:pP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BC05EE">
            <w:pPr>
              <w:pStyle w:val="naisf"/>
              <w:spacing w:before="0" w:after="0"/>
              <w:ind w:firstLine="0"/>
              <w:jc w:val="center"/>
            </w:pPr>
            <w:r w:rsidRPr="00C16E58">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BC05EE">
            <w:pPr>
              <w:pStyle w:val="naisf"/>
              <w:spacing w:before="0" w:after="0"/>
              <w:ind w:firstLine="0"/>
              <w:jc w:val="center"/>
            </w:pPr>
            <w:r w:rsidRPr="00C16E58">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BC05EE">
            <w:pPr>
              <w:pStyle w:val="naisf"/>
              <w:spacing w:before="0" w:after="0"/>
              <w:ind w:firstLine="0"/>
              <w:jc w:val="center"/>
            </w:pPr>
            <w:r w:rsidRPr="00C16E58">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BC05EE">
            <w:pPr>
              <w:pStyle w:val="naisf"/>
              <w:spacing w:before="0" w:after="0"/>
              <w:ind w:firstLine="0"/>
              <w:jc w:val="center"/>
            </w:pPr>
            <w:r w:rsidRPr="00C16E58">
              <w:t>Izmaiņas, salīdzinot ar kārtējo (n) gadu</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BC05EE">
            <w:pPr>
              <w:pStyle w:val="naisf"/>
              <w:spacing w:before="0" w:after="0"/>
              <w:ind w:firstLine="0"/>
              <w:jc w:val="center"/>
            </w:pPr>
            <w:r w:rsidRPr="00C16E58">
              <w:t>Izmaiņas, salīdzinot ar kārtējo (n) gadu</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1</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2</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3</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4</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5</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6</w:t>
            </w:r>
          </w:p>
        </w:tc>
      </w:tr>
      <w:tr w:rsidR="00B03D11" w:rsidRPr="00C16E58" w:rsidTr="00101F22">
        <w:trPr>
          <w:trHeight w:val="316"/>
        </w:trPr>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1. Budžeta ieņēmumi:</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1.1. valsts pamatbudžets, tai skaitā ieņēmumi no maksas pakalpojumiem un citi pašu ieņēmumi</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1.2. valsts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1.3.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2. Budžeta izdevumi:</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C05EE" w:rsidP="00101F22">
            <w:pPr>
              <w:pStyle w:val="naisf"/>
            </w:pPr>
            <w:r>
              <w:t>744,3</w:t>
            </w:r>
            <w:r w:rsidR="00B03D11" w:rsidRPr="00C16E58">
              <w:t>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rPr>
          <w:trHeight w:val="308"/>
        </w:trPr>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2.1. valsts pamatbudžets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C05EE" w:rsidP="00101F22">
            <w:pPr>
              <w:pStyle w:val="naisf"/>
            </w:pPr>
            <w:r>
              <w:t>744,3</w:t>
            </w:r>
            <w:r w:rsidRPr="00C16E58">
              <w:t>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2.2. valsts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2.3.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lastRenderedPageBreak/>
              <w:t>3. Finansiālā ietekme:</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C05EE" w:rsidP="00101F22">
            <w:pPr>
              <w:pStyle w:val="naisf"/>
            </w:pPr>
            <w:r>
              <w:t>-744,3</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3.1. valsts pamatbudžets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C05EE" w:rsidP="00101F22">
            <w:pPr>
              <w:pStyle w:val="naisf"/>
            </w:pPr>
            <w:r>
              <w:t>-744,3</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3.2. speciālais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3.3. pašvaldību budžets</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rPr>
          <w:trHeight w:val="1367"/>
        </w:trPr>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4. Finanšu līdzekļi papildu izde</w:t>
            </w:r>
            <w:r w:rsidRPr="00C16E58">
              <w:softHyphen/>
              <w:t>vumu finansēšanai (kompensējošu izdevumu samazinājumu norāda ar "+" zīmi)</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X</w:t>
            </w:r>
          </w:p>
        </w:tc>
        <w:tc>
          <w:tcPr>
            <w:tcW w:w="0" w:type="auto"/>
            <w:tcBorders>
              <w:top w:val="outset" w:sz="6" w:space="0" w:color="000000"/>
              <w:left w:val="outset" w:sz="6" w:space="0" w:color="000000"/>
              <w:right w:val="outset" w:sz="6" w:space="0" w:color="000000"/>
            </w:tcBorders>
            <w:vAlign w:val="center"/>
          </w:tcPr>
          <w:p w:rsidR="00B03D11" w:rsidRPr="00C16E58" w:rsidRDefault="00BC05EE" w:rsidP="00101F22">
            <w:pPr>
              <w:pStyle w:val="naisf"/>
            </w:pPr>
            <w:r>
              <w:t>744,3</w:t>
            </w:r>
            <w:r w:rsidRPr="00C16E58">
              <w:t> </w:t>
            </w:r>
          </w:p>
        </w:tc>
        <w:tc>
          <w:tcPr>
            <w:tcW w:w="0" w:type="auto"/>
            <w:tcBorders>
              <w:top w:val="outset" w:sz="6" w:space="0" w:color="000000"/>
              <w:left w:val="outset" w:sz="6" w:space="0" w:color="000000"/>
              <w:right w:val="outset" w:sz="6" w:space="0" w:color="000000"/>
            </w:tcBorders>
            <w:vAlign w:val="center"/>
          </w:tcPr>
          <w:p w:rsidR="00B03D11" w:rsidRPr="00C16E58" w:rsidRDefault="00B03D11" w:rsidP="00101F22">
            <w:pPr>
              <w:pStyle w:val="naisf"/>
            </w:pPr>
            <w:r w:rsidRPr="00C16E58">
              <w:t>0</w:t>
            </w:r>
          </w:p>
        </w:tc>
        <w:tc>
          <w:tcPr>
            <w:tcW w:w="0" w:type="auto"/>
            <w:tcBorders>
              <w:top w:val="outset" w:sz="6" w:space="0" w:color="000000"/>
              <w:left w:val="outset" w:sz="6" w:space="0" w:color="000000"/>
              <w:right w:val="outset" w:sz="6" w:space="0" w:color="000000"/>
            </w:tcBorders>
            <w:vAlign w:val="center"/>
          </w:tcPr>
          <w:p w:rsidR="00B03D11" w:rsidRPr="00C16E58" w:rsidRDefault="00B03D11" w:rsidP="00101F22">
            <w:pPr>
              <w:pStyle w:val="naisf"/>
            </w:pPr>
            <w:r w:rsidRPr="00C16E58">
              <w:t>0</w:t>
            </w:r>
          </w:p>
        </w:tc>
        <w:tc>
          <w:tcPr>
            <w:tcW w:w="680" w:type="pct"/>
            <w:tcBorders>
              <w:top w:val="outset" w:sz="6" w:space="0" w:color="000000"/>
              <w:left w:val="outset" w:sz="6" w:space="0" w:color="000000"/>
              <w:right w:val="outset" w:sz="6" w:space="0" w:color="000000"/>
            </w:tcBorders>
            <w:vAlign w:val="center"/>
          </w:tcPr>
          <w:p w:rsidR="00B03D11" w:rsidRPr="00C16E58" w:rsidRDefault="00B03D11" w:rsidP="00101F22">
            <w:pPr>
              <w:pStyle w:val="naisf"/>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5. Precizēta finansiālā ietekme:</w:t>
            </w:r>
          </w:p>
        </w:tc>
        <w:tc>
          <w:tcPr>
            <w:tcW w:w="680" w:type="pct"/>
            <w:vMerge w:val="restar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X</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5.1. valsts pamatbudžets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r w:rsidRPr="00C16E58">
              <w:t>0 </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5.2. speciālais 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5.3. pašvaldību budžets</w:t>
            </w:r>
          </w:p>
        </w:tc>
        <w:tc>
          <w:tcPr>
            <w:tcW w:w="680" w:type="pct"/>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0" w:type="auto"/>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c>
          <w:tcPr>
            <w:tcW w:w="680" w:type="pct"/>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spacing w:before="0" w:after="0"/>
            </w:pPr>
            <w:r w:rsidRPr="00C16E58">
              <w:t>0</w:t>
            </w: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6. Detalizēts ieņēmumu un izdevu</w:t>
            </w:r>
            <w:r w:rsidRPr="00C16E58">
              <w:softHyphen/>
              <w:t>mu aprēķins (ja nepieciešams, detalizētu ieņēmumu un izdevumu aprēķinu var pievienot anotācijas pielikumā):</w:t>
            </w:r>
          </w:p>
        </w:tc>
        <w:tc>
          <w:tcPr>
            <w:tcW w:w="3403" w:type="pct"/>
            <w:gridSpan w:val="5"/>
            <w:vMerge w:val="restart"/>
            <w:tcBorders>
              <w:top w:val="outset" w:sz="6" w:space="0" w:color="000000"/>
              <w:left w:val="outset" w:sz="6" w:space="0" w:color="000000"/>
              <w:bottom w:val="outset" w:sz="6" w:space="0" w:color="000000"/>
              <w:right w:val="outset" w:sz="6" w:space="0" w:color="000000"/>
            </w:tcBorders>
          </w:tcPr>
          <w:p w:rsidR="00B03D11" w:rsidRDefault="008F7BC6" w:rsidP="008F7BC6">
            <w:pPr>
              <w:pStyle w:val="naisf"/>
              <w:ind w:firstLine="0"/>
            </w:pPr>
            <w:r>
              <w:t>Skatīties 1.pielikumā</w:t>
            </w:r>
          </w:p>
          <w:p w:rsidR="008F7BC6" w:rsidRPr="00C16E58" w:rsidRDefault="008F7BC6" w:rsidP="008F7BC6">
            <w:pPr>
              <w:pStyle w:val="naisf"/>
              <w:ind w:firstLine="0"/>
            </w:pP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6.1. detalizēts ieņēmumu aprēķins</w:t>
            </w:r>
          </w:p>
        </w:tc>
        <w:tc>
          <w:tcPr>
            <w:tcW w:w="3403" w:type="pct"/>
            <w:gridSpan w:val="5"/>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6.2. detalizēts izdevumu aprēķins</w:t>
            </w:r>
          </w:p>
        </w:tc>
        <w:tc>
          <w:tcPr>
            <w:tcW w:w="3403" w:type="pct"/>
            <w:gridSpan w:val="5"/>
            <w:vMerge/>
            <w:tcBorders>
              <w:top w:val="outset" w:sz="6" w:space="0" w:color="000000"/>
              <w:left w:val="outset" w:sz="6" w:space="0" w:color="000000"/>
              <w:bottom w:val="outset" w:sz="6" w:space="0" w:color="000000"/>
              <w:right w:val="outset" w:sz="6" w:space="0" w:color="000000"/>
            </w:tcBorders>
            <w:vAlign w:val="center"/>
          </w:tcPr>
          <w:p w:rsidR="00B03D11" w:rsidRPr="00C16E58" w:rsidRDefault="00B03D11" w:rsidP="00101F22">
            <w:pPr>
              <w:pStyle w:val="naisf"/>
            </w:pPr>
          </w:p>
        </w:tc>
      </w:tr>
      <w:tr w:rsidR="00B03D11" w:rsidRPr="00C16E58" w:rsidTr="00101F22">
        <w:tc>
          <w:tcPr>
            <w:tcW w:w="1597" w:type="pct"/>
            <w:tcBorders>
              <w:top w:val="outset" w:sz="6" w:space="0" w:color="000000"/>
              <w:left w:val="outset" w:sz="6" w:space="0" w:color="000000"/>
              <w:bottom w:val="outset" w:sz="6" w:space="0" w:color="000000"/>
              <w:right w:val="outset" w:sz="6" w:space="0" w:color="000000"/>
            </w:tcBorders>
          </w:tcPr>
          <w:p w:rsidR="00B03D11" w:rsidRPr="00C16E58" w:rsidRDefault="00B03D11" w:rsidP="00101F22">
            <w:pPr>
              <w:pStyle w:val="naisf"/>
              <w:spacing w:before="0" w:after="0"/>
            </w:pPr>
            <w:r w:rsidRPr="00C16E58">
              <w:t>7. Cita informācija</w:t>
            </w:r>
          </w:p>
        </w:tc>
        <w:tc>
          <w:tcPr>
            <w:tcW w:w="3403" w:type="pct"/>
            <w:gridSpan w:val="5"/>
            <w:tcBorders>
              <w:top w:val="outset" w:sz="6" w:space="0" w:color="000000"/>
              <w:left w:val="outset" w:sz="6" w:space="0" w:color="000000"/>
              <w:bottom w:val="outset" w:sz="6" w:space="0" w:color="000000"/>
              <w:right w:val="outset" w:sz="6" w:space="0" w:color="000000"/>
            </w:tcBorders>
          </w:tcPr>
          <w:p w:rsidR="00B03D11" w:rsidRPr="004C3F74" w:rsidRDefault="00B03D11" w:rsidP="00B03D11">
            <w:pPr>
              <w:jc w:val="both"/>
              <w:rPr>
                <w:i/>
              </w:rPr>
            </w:pPr>
            <w:r w:rsidRPr="00C16E58">
              <w:t>Izdevumus sedz no valsts budžeta programmas 02.00.00 „Līdzekļi neparedzētiem gadījumiem”.</w:t>
            </w:r>
            <w:r>
              <w:t xml:space="preserve"> </w:t>
            </w:r>
          </w:p>
        </w:tc>
      </w:tr>
    </w:tbl>
    <w:p w:rsidR="00B03D11" w:rsidRDefault="00B03D11" w:rsidP="00B03D11">
      <w:pPr>
        <w:pStyle w:val="naisf"/>
        <w:spacing w:before="0" w:after="0"/>
      </w:pPr>
    </w:p>
    <w:p w:rsidR="00B03D11" w:rsidRPr="000A0D36" w:rsidRDefault="00B03D11" w:rsidP="00B03D11">
      <w:pPr>
        <w:pStyle w:val="NormalWeb"/>
        <w:spacing w:before="0" w:beforeAutospacing="0" w:after="0" w:afterAutospacing="0"/>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32"/>
        <w:gridCol w:w="3542"/>
        <w:gridCol w:w="5207"/>
      </w:tblGrid>
      <w:tr w:rsidR="00B03D11" w:rsidRPr="000A0D36" w:rsidTr="00101F22">
        <w:tc>
          <w:tcPr>
            <w:tcW w:w="0" w:type="auto"/>
            <w:gridSpan w:val="3"/>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c"/>
              <w:spacing w:before="0" w:after="0"/>
              <w:rPr>
                <w:b/>
                <w:bCs/>
                <w:sz w:val="24"/>
                <w:szCs w:val="24"/>
              </w:rPr>
            </w:pPr>
            <w:r w:rsidRPr="000A0D36">
              <w:rPr>
                <w:b/>
                <w:bCs/>
                <w:sz w:val="24"/>
                <w:szCs w:val="24"/>
              </w:rPr>
              <w:t>VII. Tiesību akta projekta izpildes nodrošināšana un tās ietekme uz institūcijām</w:t>
            </w:r>
          </w:p>
        </w:tc>
      </w:tr>
      <w:tr w:rsidR="00B03D11" w:rsidRPr="000A0D36" w:rsidTr="00101F22">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1.</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izpildē iesaistītās institūcijas</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8F7BC6" w:rsidP="008F7BC6">
            <w:pPr>
              <w:jc w:val="both"/>
              <w:rPr>
                <w:highlight w:val="yellow"/>
              </w:rPr>
            </w:pPr>
            <w:r>
              <w:rPr>
                <w:bCs/>
                <w:color w:val="000000"/>
              </w:rPr>
              <w:t>Centrālā vēlēšanu komisija, Finanšu ministrija</w:t>
            </w:r>
          </w:p>
        </w:tc>
      </w:tr>
      <w:tr w:rsidR="00B03D11" w:rsidRPr="000A0D36" w:rsidTr="00101F22">
        <w:trPr>
          <w:trHeight w:val="795"/>
        </w:trPr>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2.</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funkcijām</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bCs/>
                <w:color w:val="000000"/>
              </w:rPr>
            </w:pPr>
            <w:r w:rsidRPr="000A0D36">
              <w:t>Nav attiecināms.</w:t>
            </w:r>
          </w:p>
        </w:tc>
      </w:tr>
      <w:tr w:rsidR="00B03D11" w:rsidRPr="000A0D36" w:rsidTr="00101F22">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3.</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institucionālo struktūru.</w:t>
            </w:r>
          </w:p>
          <w:p w:rsidR="00B03D11" w:rsidRPr="000A0D36" w:rsidRDefault="00B03D11" w:rsidP="00101F22">
            <w:pPr>
              <w:rPr>
                <w:color w:val="000000"/>
              </w:rPr>
            </w:pPr>
            <w:r w:rsidRPr="000A0D36">
              <w:rPr>
                <w:color w:val="000000"/>
              </w:rPr>
              <w:t>Jaunu institūciju izveide</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highlight w:val="yellow"/>
              </w:rPr>
            </w:pPr>
            <w:r w:rsidRPr="000A0D36">
              <w:t>Nav attiecināms.</w:t>
            </w:r>
          </w:p>
        </w:tc>
      </w:tr>
      <w:tr w:rsidR="00B03D11" w:rsidRPr="000A0D36" w:rsidTr="00101F22">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4.</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institucionālo struktūru.</w:t>
            </w:r>
          </w:p>
          <w:p w:rsidR="00B03D11" w:rsidRPr="000A0D36" w:rsidRDefault="00B03D11" w:rsidP="00101F22">
            <w:pPr>
              <w:rPr>
                <w:color w:val="000000"/>
              </w:rPr>
            </w:pPr>
            <w:r w:rsidRPr="000A0D36">
              <w:rPr>
                <w:color w:val="000000"/>
              </w:rPr>
              <w:t>Esošu institūciju likvidācija</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pPr>
            <w:r w:rsidRPr="000A0D36">
              <w:t>Nav attiecināms.</w:t>
            </w:r>
          </w:p>
        </w:tc>
      </w:tr>
      <w:tr w:rsidR="00B03D11" w:rsidRPr="000A0D36" w:rsidTr="00101F22">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5.</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 xml:space="preserve">Projekta izpildes ietekme uz </w:t>
            </w:r>
            <w:r w:rsidRPr="000A0D36">
              <w:rPr>
                <w:color w:val="000000"/>
              </w:rPr>
              <w:lastRenderedPageBreak/>
              <w:t>pārvaldes institucionālo struktūru.</w:t>
            </w:r>
          </w:p>
          <w:p w:rsidR="00B03D11" w:rsidRPr="000A0D36" w:rsidRDefault="00B03D11" w:rsidP="00101F22">
            <w:pPr>
              <w:rPr>
                <w:color w:val="000000"/>
              </w:rPr>
            </w:pPr>
            <w:r w:rsidRPr="000A0D36">
              <w:rPr>
                <w:color w:val="000000"/>
              </w:rPr>
              <w:t>Esošu institūciju reorganizācija</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pPr>
            <w:r w:rsidRPr="000A0D36">
              <w:lastRenderedPageBreak/>
              <w:t>Nav attiecināms.</w:t>
            </w:r>
          </w:p>
        </w:tc>
      </w:tr>
      <w:tr w:rsidR="00B03D11" w:rsidRPr="000A0D36" w:rsidTr="00101F22">
        <w:tc>
          <w:tcPr>
            <w:tcW w:w="28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lastRenderedPageBreak/>
              <w:t>6.</w:t>
            </w:r>
          </w:p>
        </w:tc>
        <w:tc>
          <w:tcPr>
            <w:tcW w:w="1908"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Cita informācija</w:t>
            </w:r>
          </w:p>
        </w:tc>
        <w:tc>
          <w:tcPr>
            <w:tcW w:w="2805" w:type="pct"/>
            <w:tcBorders>
              <w:top w:val="outset" w:sz="6" w:space="0" w:color="auto"/>
              <w:left w:val="outset" w:sz="6" w:space="0" w:color="auto"/>
              <w:bottom w:val="outset" w:sz="6" w:space="0" w:color="auto"/>
              <w:right w:val="outset" w:sz="6" w:space="0" w:color="auto"/>
            </w:tcBorders>
          </w:tcPr>
          <w:p w:rsidR="00B03D11" w:rsidRPr="000A0D36" w:rsidRDefault="00B03D11" w:rsidP="00101F22">
            <w:r w:rsidRPr="000A0D36">
              <w:t>Nav</w:t>
            </w:r>
            <w:r>
              <w:t xml:space="preserve"> attiecināms. </w:t>
            </w:r>
          </w:p>
        </w:tc>
      </w:tr>
    </w:tbl>
    <w:p w:rsidR="00B03D11" w:rsidRDefault="00B03D11" w:rsidP="00B03D11">
      <w:pPr>
        <w:ind w:firstLine="720"/>
        <w:jc w:val="both"/>
        <w:rPr>
          <w:sz w:val="28"/>
          <w:szCs w:val="28"/>
        </w:rPr>
      </w:pPr>
    </w:p>
    <w:p w:rsidR="00C5732A" w:rsidRPr="00C16E58" w:rsidRDefault="00C5732A" w:rsidP="00C5732A">
      <w:pPr>
        <w:jc w:val="both"/>
        <w:rPr>
          <w:rFonts w:eastAsia="Calibri"/>
        </w:rPr>
      </w:pPr>
      <w:r w:rsidRPr="00C16E58">
        <w:rPr>
          <w:rFonts w:eastAsia="Calibri"/>
        </w:rPr>
        <w:t>Anotācijas II, IV, V, VI sadaļa – nav attiecināms.</w:t>
      </w:r>
    </w:p>
    <w:p w:rsidR="00B03D11" w:rsidRDefault="00B03D11" w:rsidP="00B03D11">
      <w:pPr>
        <w:ind w:firstLine="720"/>
        <w:jc w:val="both"/>
        <w:rPr>
          <w:sz w:val="28"/>
          <w:szCs w:val="28"/>
        </w:rPr>
      </w:pPr>
    </w:p>
    <w:p w:rsidR="00B03D11" w:rsidRDefault="00B03D11" w:rsidP="00B03D11">
      <w:pPr>
        <w:ind w:firstLine="720"/>
        <w:jc w:val="both"/>
        <w:rPr>
          <w:sz w:val="28"/>
          <w:szCs w:val="28"/>
        </w:rPr>
      </w:pPr>
    </w:p>
    <w:p w:rsidR="00B03D11" w:rsidRDefault="00B03D11" w:rsidP="00B03D11">
      <w:pPr>
        <w:ind w:firstLine="720"/>
        <w:jc w:val="both"/>
        <w:rPr>
          <w:sz w:val="28"/>
          <w:szCs w:val="28"/>
        </w:rPr>
      </w:pPr>
    </w:p>
    <w:p w:rsidR="004F39F2" w:rsidRDefault="004F39F2" w:rsidP="00B03D11">
      <w:pPr>
        <w:ind w:firstLine="720"/>
        <w:jc w:val="both"/>
        <w:rPr>
          <w:sz w:val="28"/>
          <w:szCs w:val="28"/>
        </w:rPr>
      </w:pPr>
    </w:p>
    <w:p w:rsidR="00B03D11" w:rsidRPr="00873934" w:rsidRDefault="00B03D11" w:rsidP="00B03D11">
      <w:pPr>
        <w:ind w:firstLine="720"/>
        <w:jc w:val="both"/>
        <w:rPr>
          <w:sz w:val="28"/>
          <w:szCs w:val="28"/>
        </w:rPr>
      </w:pPr>
      <w:r>
        <w:rPr>
          <w:sz w:val="28"/>
          <w:szCs w:val="28"/>
        </w:rPr>
        <w:t xml:space="preserve">Finanšu ministrs </w:t>
      </w:r>
      <w:r w:rsidRPr="00873934">
        <w:rPr>
          <w:sz w:val="28"/>
          <w:szCs w:val="28"/>
        </w:rPr>
        <w:tab/>
      </w:r>
      <w:r w:rsidRPr="00873934">
        <w:rPr>
          <w:sz w:val="28"/>
          <w:szCs w:val="28"/>
        </w:rPr>
        <w:tab/>
      </w:r>
      <w:r w:rsidRPr="00873934">
        <w:rPr>
          <w:sz w:val="28"/>
          <w:szCs w:val="28"/>
        </w:rPr>
        <w:tab/>
      </w:r>
      <w:r w:rsidRPr="00873934">
        <w:rPr>
          <w:sz w:val="28"/>
          <w:szCs w:val="28"/>
        </w:rPr>
        <w:tab/>
      </w:r>
      <w:r w:rsidR="00C5732A">
        <w:rPr>
          <w:sz w:val="28"/>
          <w:szCs w:val="28"/>
        </w:rPr>
        <w:tab/>
      </w:r>
      <w:r w:rsidR="00C5732A">
        <w:rPr>
          <w:sz w:val="28"/>
          <w:szCs w:val="28"/>
        </w:rPr>
        <w:tab/>
      </w:r>
      <w:r w:rsidR="00C5732A">
        <w:rPr>
          <w:sz w:val="28"/>
          <w:szCs w:val="28"/>
        </w:rPr>
        <w:tab/>
      </w:r>
      <w:r w:rsidR="00C5732A">
        <w:rPr>
          <w:sz w:val="28"/>
          <w:szCs w:val="28"/>
        </w:rPr>
        <w:tab/>
        <w:t>A.</w:t>
      </w:r>
      <w:r>
        <w:rPr>
          <w:sz w:val="28"/>
          <w:szCs w:val="28"/>
        </w:rPr>
        <w:t>Vilks</w:t>
      </w:r>
    </w:p>
    <w:p w:rsidR="00B03D11" w:rsidRPr="00873934" w:rsidRDefault="00B03D11" w:rsidP="00B03D11">
      <w:pPr>
        <w:pStyle w:val="Footer"/>
        <w:tabs>
          <w:tab w:val="clear" w:pos="4153"/>
          <w:tab w:val="clear" w:pos="8306"/>
        </w:tabs>
        <w:ind w:firstLine="720"/>
        <w:jc w:val="both"/>
        <w:rPr>
          <w:sz w:val="28"/>
          <w:szCs w:val="28"/>
        </w:rPr>
      </w:pPr>
    </w:p>
    <w:p w:rsidR="00B03D11" w:rsidRPr="00873934" w:rsidRDefault="00B03D11" w:rsidP="00B03D11">
      <w:pPr>
        <w:pStyle w:val="Footer"/>
        <w:tabs>
          <w:tab w:val="clear" w:pos="4153"/>
          <w:tab w:val="clear" w:pos="8306"/>
        </w:tabs>
        <w:ind w:firstLine="720"/>
        <w:jc w:val="both"/>
        <w:rPr>
          <w:sz w:val="28"/>
          <w:szCs w:val="28"/>
        </w:rPr>
      </w:pPr>
    </w:p>
    <w:p w:rsidR="00B03D11" w:rsidRDefault="00B03D11" w:rsidP="00B03D11">
      <w:pPr>
        <w:pStyle w:val="Footer"/>
        <w:jc w:val="both"/>
        <w:rPr>
          <w:szCs w:val="28"/>
        </w:rPr>
      </w:pPr>
    </w:p>
    <w:p w:rsidR="00B03D11" w:rsidRDefault="00B03D11" w:rsidP="00B03D11">
      <w:pPr>
        <w:pStyle w:val="Footer"/>
        <w:jc w:val="both"/>
        <w:rPr>
          <w:szCs w:val="28"/>
        </w:rPr>
      </w:pPr>
    </w:p>
    <w:p w:rsidR="00B03D11" w:rsidRDefault="00B03D11" w:rsidP="00B03D11">
      <w:pPr>
        <w:pStyle w:val="Footer"/>
        <w:jc w:val="both"/>
        <w:rPr>
          <w:szCs w:val="28"/>
        </w:rPr>
      </w:pPr>
    </w:p>
    <w:p w:rsidR="00B03D11" w:rsidRDefault="00B03D11" w:rsidP="00B03D11">
      <w:pPr>
        <w:pStyle w:val="Footer"/>
        <w:jc w:val="both"/>
        <w:rPr>
          <w:szCs w:val="28"/>
        </w:rPr>
      </w:pPr>
    </w:p>
    <w:p w:rsidR="00B03D11" w:rsidRDefault="00B03D11" w:rsidP="00B03D11">
      <w:pPr>
        <w:pStyle w:val="Footer"/>
        <w:jc w:val="both"/>
        <w:rPr>
          <w:szCs w:val="28"/>
        </w:rPr>
      </w:pPr>
    </w:p>
    <w:p w:rsidR="00B03D11" w:rsidRDefault="00B03D11" w:rsidP="00B03D11">
      <w:pPr>
        <w:pStyle w:val="Footer"/>
        <w:jc w:val="both"/>
        <w:rPr>
          <w:szCs w:val="28"/>
        </w:rPr>
      </w:pPr>
    </w:p>
    <w:p w:rsidR="00B03D11" w:rsidRPr="00706CC3" w:rsidRDefault="00B03D11" w:rsidP="00B03D11">
      <w:pPr>
        <w:pStyle w:val="Footer"/>
        <w:jc w:val="both"/>
        <w:rPr>
          <w:szCs w:val="28"/>
        </w:rPr>
      </w:pPr>
    </w:p>
    <w:p w:rsidR="00B03D11" w:rsidRDefault="00B03D11" w:rsidP="00B03D11">
      <w:pPr>
        <w:pStyle w:val="Footer"/>
        <w:rPr>
          <w:szCs w:val="24"/>
        </w:rPr>
      </w:pPr>
    </w:p>
    <w:p w:rsidR="00B03D11" w:rsidRDefault="00B03D11" w:rsidP="00B03D11">
      <w:pPr>
        <w:pStyle w:val="Footer"/>
        <w:rPr>
          <w:szCs w:val="24"/>
        </w:rPr>
      </w:pPr>
    </w:p>
    <w:p w:rsidR="00B03D11" w:rsidRDefault="004F39F2" w:rsidP="00B03D11">
      <w:pPr>
        <w:pStyle w:val="Footer"/>
        <w:rPr>
          <w:sz w:val="18"/>
          <w:szCs w:val="18"/>
        </w:rPr>
      </w:pPr>
      <w:r>
        <w:rPr>
          <w:sz w:val="18"/>
          <w:szCs w:val="18"/>
        </w:rPr>
        <w:t>27.04.2011. 14</w:t>
      </w:r>
      <w:r w:rsidR="00C5732A">
        <w:rPr>
          <w:sz w:val="18"/>
          <w:szCs w:val="18"/>
        </w:rPr>
        <w:t>:30</w:t>
      </w:r>
    </w:p>
    <w:p w:rsidR="00C5732A" w:rsidRPr="00C5732A" w:rsidRDefault="00C5732A" w:rsidP="00C5732A">
      <w:pPr>
        <w:pStyle w:val="Footer"/>
        <w:rPr>
          <w:sz w:val="18"/>
          <w:szCs w:val="18"/>
        </w:rPr>
      </w:pPr>
      <w:r>
        <w:rPr>
          <w:rStyle w:val="PageNumber"/>
          <w:sz w:val="18"/>
          <w:szCs w:val="18"/>
        </w:rPr>
        <w:t>6</w:t>
      </w:r>
      <w:r w:rsidR="004F39F2">
        <w:rPr>
          <w:rStyle w:val="PageNumber"/>
          <w:sz w:val="18"/>
          <w:szCs w:val="18"/>
        </w:rPr>
        <w:t>55</w:t>
      </w:r>
    </w:p>
    <w:p w:rsidR="00C5732A" w:rsidRPr="00BC3FCD" w:rsidRDefault="00C5732A" w:rsidP="00C5732A">
      <w:pPr>
        <w:pStyle w:val="BodyText"/>
        <w:jc w:val="both"/>
        <w:rPr>
          <w:sz w:val="20"/>
          <w:szCs w:val="20"/>
        </w:rPr>
      </w:pPr>
      <w:r>
        <w:rPr>
          <w:sz w:val="20"/>
          <w:szCs w:val="20"/>
        </w:rPr>
        <w:t>E.</w:t>
      </w:r>
      <w:r w:rsidRPr="00BC3FCD">
        <w:rPr>
          <w:sz w:val="20"/>
          <w:szCs w:val="20"/>
        </w:rPr>
        <w:t xml:space="preserve">Kobzeva </w:t>
      </w:r>
    </w:p>
    <w:p w:rsidR="00C5732A" w:rsidRPr="000B6A7A" w:rsidRDefault="00C5732A" w:rsidP="00C5732A">
      <w:pPr>
        <w:pStyle w:val="BodyText"/>
        <w:jc w:val="both"/>
        <w:rPr>
          <w:sz w:val="20"/>
          <w:szCs w:val="20"/>
        </w:rPr>
      </w:pPr>
      <w:r>
        <w:rPr>
          <w:sz w:val="20"/>
          <w:szCs w:val="20"/>
        </w:rPr>
        <w:t>6</w:t>
      </w:r>
      <w:r w:rsidRPr="00BC3FCD">
        <w:rPr>
          <w:sz w:val="20"/>
          <w:szCs w:val="20"/>
        </w:rPr>
        <w:t xml:space="preserve">7083885; </w:t>
      </w:r>
      <w:hyperlink r:id="rId8" w:history="1">
        <w:r w:rsidRPr="00BC3FCD">
          <w:rPr>
            <w:rStyle w:val="Hyperlink"/>
            <w:sz w:val="20"/>
            <w:szCs w:val="20"/>
          </w:rPr>
          <w:t>Elina.Kobzeva@fm.gov.lv</w:t>
        </w:r>
      </w:hyperlink>
    </w:p>
    <w:p w:rsidR="00FB6B66" w:rsidRDefault="00FB6B66"/>
    <w:sectPr w:rsidR="00FB6B66" w:rsidSect="00101F2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C7" w:rsidRDefault="005F70C7" w:rsidP="00C50023">
      <w:r>
        <w:separator/>
      </w:r>
    </w:p>
  </w:endnote>
  <w:endnote w:type="continuationSeparator" w:id="0">
    <w:p w:rsidR="005F70C7" w:rsidRDefault="005F70C7" w:rsidP="00C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Pr="00C50023" w:rsidRDefault="006F21F2" w:rsidP="00C50023">
    <w:pPr>
      <w:jc w:val="both"/>
      <w:rPr>
        <w:sz w:val="20"/>
        <w:szCs w:val="20"/>
      </w:rPr>
    </w:pPr>
    <w:r w:rsidRPr="00C50023">
      <w:rPr>
        <w:sz w:val="20"/>
        <w:szCs w:val="20"/>
      </w:rPr>
      <w:t>FMAnot_270411;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Pr="00C50023" w:rsidRDefault="006F21F2" w:rsidP="00101F22">
    <w:pPr>
      <w:jc w:val="both"/>
      <w:rPr>
        <w:sz w:val="20"/>
        <w:szCs w:val="20"/>
      </w:rPr>
    </w:pPr>
    <w:r w:rsidRPr="00C50023">
      <w:rPr>
        <w:sz w:val="20"/>
        <w:szCs w:val="20"/>
      </w:rPr>
      <w:t>FMAnot_270411;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C7" w:rsidRDefault="005F70C7" w:rsidP="00C50023">
      <w:r>
        <w:separator/>
      </w:r>
    </w:p>
  </w:footnote>
  <w:footnote w:type="continuationSeparator" w:id="0">
    <w:p w:rsidR="005F70C7" w:rsidRDefault="005F70C7" w:rsidP="00C5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rsidP="00101F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1F2" w:rsidRDefault="006F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rsidP="00101F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CD3">
      <w:rPr>
        <w:rStyle w:val="PageNumber"/>
        <w:noProof/>
      </w:rPr>
      <w:t>4</w:t>
    </w:r>
    <w:r>
      <w:rPr>
        <w:rStyle w:val="PageNumber"/>
      </w:rPr>
      <w:fldChar w:fldCharType="end"/>
    </w:r>
  </w:p>
  <w:p w:rsidR="006F21F2" w:rsidRDefault="006F2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B58"/>
    <w:multiLevelType w:val="hybridMultilevel"/>
    <w:tmpl w:val="562EBCBA"/>
    <w:lvl w:ilvl="0" w:tplc="CA26BDA0">
      <w:start w:val="1"/>
      <w:numFmt w:val="decimal"/>
      <w:lvlText w:val="%1."/>
      <w:lvlJc w:val="left"/>
      <w:pPr>
        <w:tabs>
          <w:tab w:val="num" w:pos="1500"/>
        </w:tabs>
        <w:ind w:left="1500" w:hanging="360"/>
      </w:pPr>
      <w:rPr>
        <w:rFonts w:ascii="Times New Roman" w:eastAsia="Times New Roman" w:hAnsi="Times New Roman" w:cs="Times New Roman"/>
      </w:rPr>
    </w:lvl>
    <w:lvl w:ilvl="1" w:tplc="04260003">
      <w:start w:val="1"/>
      <w:numFmt w:val="bullet"/>
      <w:lvlText w:val="o"/>
      <w:lvlJc w:val="left"/>
      <w:pPr>
        <w:tabs>
          <w:tab w:val="num" w:pos="2220"/>
        </w:tabs>
        <w:ind w:left="2220" w:hanging="360"/>
      </w:pPr>
      <w:rPr>
        <w:rFonts w:ascii="Courier New" w:hAnsi="Courier New" w:cs="Courier New" w:hint="default"/>
      </w:rPr>
    </w:lvl>
    <w:lvl w:ilvl="2" w:tplc="04260005">
      <w:start w:val="1"/>
      <w:numFmt w:val="bullet"/>
      <w:lvlText w:val=""/>
      <w:lvlJc w:val="left"/>
      <w:pPr>
        <w:tabs>
          <w:tab w:val="num" w:pos="2940"/>
        </w:tabs>
        <w:ind w:left="2940" w:hanging="360"/>
      </w:pPr>
      <w:rPr>
        <w:rFonts w:ascii="Wingdings" w:hAnsi="Wingdings" w:hint="default"/>
      </w:rPr>
    </w:lvl>
    <w:lvl w:ilvl="3" w:tplc="04260001">
      <w:start w:val="1"/>
      <w:numFmt w:val="bullet"/>
      <w:lvlText w:val=""/>
      <w:lvlJc w:val="left"/>
      <w:pPr>
        <w:tabs>
          <w:tab w:val="num" w:pos="3660"/>
        </w:tabs>
        <w:ind w:left="3660" w:hanging="360"/>
      </w:pPr>
      <w:rPr>
        <w:rFonts w:ascii="Symbol" w:hAnsi="Symbol" w:hint="default"/>
      </w:rPr>
    </w:lvl>
    <w:lvl w:ilvl="4" w:tplc="04260003">
      <w:start w:val="1"/>
      <w:numFmt w:val="bullet"/>
      <w:lvlText w:val="o"/>
      <w:lvlJc w:val="left"/>
      <w:pPr>
        <w:tabs>
          <w:tab w:val="num" w:pos="4380"/>
        </w:tabs>
        <w:ind w:left="4380" w:hanging="360"/>
      </w:pPr>
      <w:rPr>
        <w:rFonts w:ascii="Courier New" w:hAnsi="Courier New" w:cs="Courier New" w:hint="default"/>
      </w:rPr>
    </w:lvl>
    <w:lvl w:ilvl="5" w:tplc="04260005">
      <w:start w:val="1"/>
      <w:numFmt w:val="bullet"/>
      <w:lvlText w:val=""/>
      <w:lvlJc w:val="left"/>
      <w:pPr>
        <w:tabs>
          <w:tab w:val="num" w:pos="5100"/>
        </w:tabs>
        <w:ind w:left="5100" w:hanging="360"/>
      </w:pPr>
      <w:rPr>
        <w:rFonts w:ascii="Wingdings" w:hAnsi="Wingdings" w:hint="default"/>
      </w:rPr>
    </w:lvl>
    <w:lvl w:ilvl="6" w:tplc="04260001">
      <w:start w:val="1"/>
      <w:numFmt w:val="bullet"/>
      <w:lvlText w:val=""/>
      <w:lvlJc w:val="left"/>
      <w:pPr>
        <w:tabs>
          <w:tab w:val="num" w:pos="5820"/>
        </w:tabs>
        <w:ind w:left="5820" w:hanging="360"/>
      </w:pPr>
      <w:rPr>
        <w:rFonts w:ascii="Symbol" w:hAnsi="Symbol" w:hint="default"/>
      </w:rPr>
    </w:lvl>
    <w:lvl w:ilvl="7" w:tplc="04260003">
      <w:start w:val="1"/>
      <w:numFmt w:val="bullet"/>
      <w:lvlText w:val="o"/>
      <w:lvlJc w:val="left"/>
      <w:pPr>
        <w:tabs>
          <w:tab w:val="num" w:pos="6540"/>
        </w:tabs>
        <w:ind w:left="6540" w:hanging="360"/>
      </w:pPr>
      <w:rPr>
        <w:rFonts w:ascii="Courier New" w:hAnsi="Courier New" w:cs="Courier New" w:hint="default"/>
      </w:rPr>
    </w:lvl>
    <w:lvl w:ilvl="8" w:tplc="04260005">
      <w:start w:val="1"/>
      <w:numFmt w:val="bullet"/>
      <w:lvlText w:val=""/>
      <w:lvlJc w:val="left"/>
      <w:pPr>
        <w:tabs>
          <w:tab w:val="num" w:pos="7260"/>
        </w:tabs>
        <w:ind w:left="7260" w:hanging="360"/>
      </w:pPr>
      <w:rPr>
        <w:rFonts w:ascii="Wingdings" w:hAnsi="Wingdings" w:hint="default"/>
      </w:rPr>
    </w:lvl>
  </w:abstractNum>
  <w:abstractNum w:abstractNumId="1">
    <w:nsid w:val="65F064A3"/>
    <w:multiLevelType w:val="hybridMultilevel"/>
    <w:tmpl w:val="25B4E54C"/>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11"/>
    <w:rsid w:val="00020F72"/>
    <w:rsid w:val="00101F22"/>
    <w:rsid w:val="00281CD3"/>
    <w:rsid w:val="004F39F2"/>
    <w:rsid w:val="005B2537"/>
    <w:rsid w:val="005F70C7"/>
    <w:rsid w:val="006F21F2"/>
    <w:rsid w:val="008F3D97"/>
    <w:rsid w:val="008F7BC6"/>
    <w:rsid w:val="00B03D11"/>
    <w:rsid w:val="00BC05EE"/>
    <w:rsid w:val="00C50023"/>
    <w:rsid w:val="00C5732A"/>
    <w:rsid w:val="00E97231"/>
    <w:rsid w:val="00FB6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3D11"/>
    <w:pPr>
      <w:spacing w:before="100" w:beforeAutospacing="1" w:after="100" w:afterAutospacing="1"/>
    </w:pPr>
  </w:style>
  <w:style w:type="paragraph" w:customStyle="1" w:styleId="naisf">
    <w:name w:val="naisf"/>
    <w:basedOn w:val="Normal"/>
    <w:rsid w:val="00B03D11"/>
    <w:pPr>
      <w:spacing w:before="75" w:after="75"/>
      <w:ind w:firstLine="375"/>
      <w:jc w:val="both"/>
    </w:pPr>
  </w:style>
  <w:style w:type="paragraph" w:customStyle="1" w:styleId="naisc">
    <w:name w:val="naisc"/>
    <w:basedOn w:val="Normal"/>
    <w:rsid w:val="00B03D11"/>
    <w:pPr>
      <w:spacing w:before="450" w:after="300"/>
      <w:jc w:val="center"/>
    </w:pPr>
    <w:rPr>
      <w:sz w:val="26"/>
      <w:szCs w:val="26"/>
    </w:rPr>
  </w:style>
  <w:style w:type="character" w:styleId="Hyperlink">
    <w:name w:val="Hyperlink"/>
    <w:rsid w:val="00B03D11"/>
    <w:rPr>
      <w:color w:val="0000FF"/>
      <w:u w:val="single"/>
    </w:rPr>
  </w:style>
  <w:style w:type="paragraph" w:styleId="Footer">
    <w:name w:val="footer"/>
    <w:basedOn w:val="Normal"/>
    <w:link w:val="FooterChar"/>
    <w:rsid w:val="00B03D11"/>
    <w:pPr>
      <w:tabs>
        <w:tab w:val="center" w:pos="4153"/>
        <w:tab w:val="right" w:pos="8306"/>
      </w:tabs>
    </w:pPr>
    <w:rPr>
      <w:szCs w:val="20"/>
    </w:rPr>
  </w:style>
  <w:style w:type="character" w:customStyle="1" w:styleId="FooterChar">
    <w:name w:val="Footer Char"/>
    <w:basedOn w:val="DefaultParagraphFont"/>
    <w:link w:val="Footer"/>
    <w:rsid w:val="00B03D11"/>
    <w:rPr>
      <w:rFonts w:ascii="Times New Roman" w:eastAsia="Times New Roman" w:hAnsi="Times New Roman" w:cs="Times New Roman"/>
      <w:sz w:val="24"/>
      <w:szCs w:val="20"/>
      <w:lang w:eastAsia="lv-LV"/>
    </w:rPr>
  </w:style>
  <w:style w:type="paragraph" w:styleId="Header">
    <w:name w:val="header"/>
    <w:basedOn w:val="Normal"/>
    <w:link w:val="HeaderChar"/>
    <w:rsid w:val="00B03D11"/>
    <w:pPr>
      <w:tabs>
        <w:tab w:val="center" w:pos="4153"/>
        <w:tab w:val="right" w:pos="8306"/>
      </w:tabs>
    </w:pPr>
  </w:style>
  <w:style w:type="character" w:customStyle="1" w:styleId="HeaderChar">
    <w:name w:val="Header Char"/>
    <w:basedOn w:val="DefaultParagraphFont"/>
    <w:link w:val="Header"/>
    <w:rsid w:val="00B03D11"/>
    <w:rPr>
      <w:rFonts w:ascii="Times New Roman" w:eastAsia="Times New Roman" w:hAnsi="Times New Roman" w:cs="Times New Roman"/>
      <w:sz w:val="24"/>
      <w:szCs w:val="24"/>
      <w:lang w:eastAsia="lv-LV"/>
    </w:rPr>
  </w:style>
  <w:style w:type="character" w:styleId="PageNumber">
    <w:name w:val="page number"/>
    <w:basedOn w:val="DefaultParagraphFont"/>
    <w:rsid w:val="00B03D11"/>
  </w:style>
  <w:style w:type="paragraph" w:customStyle="1" w:styleId="RakstzRakstzCharCharChar">
    <w:name w:val="Rakstz. Rakstz. Char Char Char"/>
    <w:basedOn w:val="Normal"/>
    <w:next w:val="BlockText"/>
    <w:rsid w:val="00BC05E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BC05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5B2537"/>
    <w:pPr>
      <w:ind w:left="720"/>
      <w:contextualSpacing/>
    </w:pPr>
  </w:style>
  <w:style w:type="paragraph" w:styleId="BodyText">
    <w:name w:val="Body Text"/>
    <w:basedOn w:val="Normal"/>
    <w:link w:val="BodyTextChar"/>
    <w:rsid w:val="00C5732A"/>
    <w:pPr>
      <w:jc w:val="center"/>
    </w:pPr>
    <w:rPr>
      <w:sz w:val="28"/>
      <w:lang w:eastAsia="en-US"/>
    </w:rPr>
  </w:style>
  <w:style w:type="character" w:customStyle="1" w:styleId="BodyTextChar">
    <w:name w:val="Body Text Char"/>
    <w:basedOn w:val="DefaultParagraphFont"/>
    <w:link w:val="BodyText"/>
    <w:rsid w:val="00C5732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3D11"/>
    <w:pPr>
      <w:spacing w:before="100" w:beforeAutospacing="1" w:after="100" w:afterAutospacing="1"/>
    </w:pPr>
  </w:style>
  <w:style w:type="paragraph" w:customStyle="1" w:styleId="naisf">
    <w:name w:val="naisf"/>
    <w:basedOn w:val="Normal"/>
    <w:rsid w:val="00B03D11"/>
    <w:pPr>
      <w:spacing w:before="75" w:after="75"/>
      <w:ind w:firstLine="375"/>
      <w:jc w:val="both"/>
    </w:pPr>
  </w:style>
  <w:style w:type="paragraph" w:customStyle="1" w:styleId="naisc">
    <w:name w:val="naisc"/>
    <w:basedOn w:val="Normal"/>
    <w:rsid w:val="00B03D11"/>
    <w:pPr>
      <w:spacing w:before="450" w:after="300"/>
      <w:jc w:val="center"/>
    </w:pPr>
    <w:rPr>
      <w:sz w:val="26"/>
      <w:szCs w:val="26"/>
    </w:rPr>
  </w:style>
  <w:style w:type="character" w:styleId="Hyperlink">
    <w:name w:val="Hyperlink"/>
    <w:rsid w:val="00B03D11"/>
    <w:rPr>
      <w:color w:val="0000FF"/>
      <w:u w:val="single"/>
    </w:rPr>
  </w:style>
  <w:style w:type="paragraph" w:styleId="Footer">
    <w:name w:val="footer"/>
    <w:basedOn w:val="Normal"/>
    <w:link w:val="FooterChar"/>
    <w:rsid w:val="00B03D11"/>
    <w:pPr>
      <w:tabs>
        <w:tab w:val="center" w:pos="4153"/>
        <w:tab w:val="right" w:pos="8306"/>
      </w:tabs>
    </w:pPr>
    <w:rPr>
      <w:szCs w:val="20"/>
    </w:rPr>
  </w:style>
  <w:style w:type="character" w:customStyle="1" w:styleId="FooterChar">
    <w:name w:val="Footer Char"/>
    <w:basedOn w:val="DefaultParagraphFont"/>
    <w:link w:val="Footer"/>
    <w:rsid w:val="00B03D11"/>
    <w:rPr>
      <w:rFonts w:ascii="Times New Roman" w:eastAsia="Times New Roman" w:hAnsi="Times New Roman" w:cs="Times New Roman"/>
      <w:sz w:val="24"/>
      <w:szCs w:val="20"/>
      <w:lang w:eastAsia="lv-LV"/>
    </w:rPr>
  </w:style>
  <w:style w:type="paragraph" w:styleId="Header">
    <w:name w:val="header"/>
    <w:basedOn w:val="Normal"/>
    <w:link w:val="HeaderChar"/>
    <w:rsid w:val="00B03D11"/>
    <w:pPr>
      <w:tabs>
        <w:tab w:val="center" w:pos="4153"/>
        <w:tab w:val="right" w:pos="8306"/>
      </w:tabs>
    </w:pPr>
  </w:style>
  <w:style w:type="character" w:customStyle="1" w:styleId="HeaderChar">
    <w:name w:val="Header Char"/>
    <w:basedOn w:val="DefaultParagraphFont"/>
    <w:link w:val="Header"/>
    <w:rsid w:val="00B03D11"/>
    <w:rPr>
      <w:rFonts w:ascii="Times New Roman" w:eastAsia="Times New Roman" w:hAnsi="Times New Roman" w:cs="Times New Roman"/>
      <w:sz w:val="24"/>
      <w:szCs w:val="24"/>
      <w:lang w:eastAsia="lv-LV"/>
    </w:rPr>
  </w:style>
  <w:style w:type="character" w:styleId="PageNumber">
    <w:name w:val="page number"/>
    <w:basedOn w:val="DefaultParagraphFont"/>
    <w:rsid w:val="00B03D11"/>
  </w:style>
  <w:style w:type="paragraph" w:customStyle="1" w:styleId="RakstzRakstzCharCharChar">
    <w:name w:val="Rakstz. Rakstz. Char Char Char"/>
    <w:basedOn w:val="Normal"/>
    <w:next w:val="BlockText"/>
    <w:rsid w:val="00BC05E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BC05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5B2537"/>
    <w:pPr>
      <w:ind w:left="720"/>
      <w:contextualSpacing/>
    </w:pPr>
  </w:style>
  <w:style w:type="paragraph" w:styleId="BodyText">
    <w:name w:val="Body Text"/>
    <w:basedOn w:val="Normal"/>
    <w:link w:val="BodyTextChar"/>
    <w:rsid w:val="00C5732A"/>
    <w:pPr>
      <w:jc w:val="center"/>
    </w:pPr>
    <w:rPr>
      <w:sz w:val="28"/>
      <w:lang w:eastAsia="en-US"/>
    </w:rPr>
  </w:style>
  <w:style w:type="character" w:customStyle="1" w:styleId="BodyTextChar">
    <w:name w:val="Body Text Char"/>
    <w:basedOn w:val="DefaultParagraphFont"/>
    <w:link w:val="BodyText"/>
    <w:rsid w:val="00C5732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Kobzev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3128</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E.Kobzeva</dc:creator>
  <cp:keywords/>
  <dc:description>Elina.Kobzeva@fm.gov.lv
67083885</dc:description>
  <cp:lastModifiedBy>kc-sprug</cp:lastModifiedBy>
  <cp:revision>5</cp:revision>
  <dcterms:created xsi:type="dcterms:W3CDTF">2011-04-27T08:12:00Z</dcterms:created>
  <dcterms:modified xsi:type="dcterms:W3CDTF">2011-04-28T08:58:00Z</dcterms:modified>
</cp:coreProperties>
</file>