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EF" w:rsidRDefault="00030039" w:rsidP="004F2EB9">
      <w:pPr>
        <w:pStyle w:val="BodyText"/>
        <w:rPr>
          <w:b/>
          <w:sz w:val="24"/>
        </w:rPr>
      </w:pPr>
      <w:r w:rsidRPr="00030039">
        <w:rPr>
          <w:b/>
          <w:sz w:val="24"/>
        </w:rPr>
        <w:t xml:space="preserve">Ministru kabineta noteikumu projekta </w:t>
      </w:r>
      <w:r w:rsidR="009E4D20">
        <w:rPr>
          <w:b/>
          <w:sz w:val="24"/>
        </w:rPr>
        <w:t>“</w:t>
      </w:r>
      <w:r w:rsidRPr="00030039">
        <w:rPr>
          <w:b/>
          <w:sz w:val="24"/>
        </w:rPr>
        <w:t xml:space="preserve">Grozījumi Ministru kabineta 2010.gada 31.augusta noteikumos Nr.819 </w:t>
      </w:r>
      <w:r w:rsidR="009E4D20">
        <w:rPr>
          <w:b/>
          <w:sz w:val="24"/>
        </w:rPr>
        <w:t>“</w:t>
      </w:r>
      <w:r w:rsidRPr="00030039">
        <w:rPr>
          <w:b/>
          <w:sz w:val="24"/>
        </w:rPr>
        <w:t>Noteikumi par mikrouzņēmumu nodokļa deklarāciju un tās aizpildīšanas kārtību”” sākotnējās ietekmes novērtējuma ziņojums (anotācija)</w:t>
      </w:r>
    </w:p>
    <w:p w:rsidR="00030039" w:rsidRPr="004E6076" w:rsidRDefault="00030039" w:rsidP="004F2EB9">
      <w:pPr>
        <w:pStyle w:val="BodyText"/>
        <w:rPr>
          <w:b/>
          <w:color w:val="000000"/>
          <w:sz w:val="24"/>
        </w:rPr>
      </w:pPr>
    </w:p>
    <w:tbl>
      <w:tblPr>
        <w:tblStyle w:val="TableGrid"/>
        <w:tblW w:w="9513" w:type="dxa"/>
        <w:tblLook w:val="0000" w:firstRow="0" w:lastRow="0" w:firstColumn="0" w:lastColumn="0" w:noHBand="0" w:noVBand="0"/>
      </w:tblPr>
      <w:tblGrid>
        <w:gridCol w:w="528"/>
        <w:gridCol w:w="2748"/>
        <w:gridCol w:w="6237"/>
      </w:tblGrid>
      <w:tr w:rsidR="002244EF" w:rsidRPr="004E6076" w:rsidTr="004953A3">
        <w:trPr>
          <w:trHeight w:val="564"/>
        </w:trPr>
        <w:tc>
          <w:tcPr>
            <w:tcW w:w="9513" w:type="dxa"/>
            <w:gridSpan w:val="3"/>
          </w:tcPr>
          <w:p w:rsidR="002244EF" w:rsidRPr="004E6076" w:rsidRDefault="002244EF" w:rsidP="004E6076">
            <w:pPr>
              <w:pStyle w:val="naisc"/>
              <w:jc w:val="center"/>
            </w:pPr>
            <w:r w:rsidRPr="004E6076">
              <w:rPr>
                <w:b/>
                <w:bCs/>
              </w:rPr>
              <w:t>I.Tiesību akta projekta izstrādes nepieciešamība</w:t>
            </w:r>
          </w:p>
        </w:tc>
        <w:bookmarkStart w:id="0" w:name="_GoBack"/>
        <w:bookmarkEnd w:id="0"/>
      </w:tr>
      <w:tr w:rsidR="002244EF" w:rsidRPr="004E6076" w:rsidTr="004953A3">
        <w:trPr>
          <w:trHeight w:val="630"/>
        </w:trPr>
        <w:tc>
          <w:tcPr>
            <w:tcW w:w="528" w:type="dxa"/>
          </w:tcPr>
          <w:p w:rsidR="002244EF" w:rsidRPr="004E6076" w:rsidRDefault="002244EF" w:rsidP="00457486">
            <w:pPr>
              <w:pStyle w:val="naiskr"/>
            </w:pPr>
            <w:r w:rsidRPr="004E6076">
              <w:t> 1.</w:t>
            </w:r>
          </w:p>
        </w:tc>
        <w:tc>
          <w:tcPr>
            <w:tcW w:w="2748" w:type="dxa"/>
          </w:tcPr>
          <w:p w:rsidR="002244EF" w:rsidRPr="004E6076" w:rsidRDefault="002244EF" w:rsidP="00457486">
            <w:pPr>
              <w:pStyle w:val="naislab"/>
            </w:pPr>
            <w:r w:rsidRPr="004E6076">
              <w:t> Pamatojums</w:t>
            </w:r>
          </w:p>
        </w:tc>
        <w:tc>
          <w:tcPr>
            <w:tcW w:w="6237" w:type="dxa"/>
          </w:tcPr>
          <w:p w:rsidR="00677D34" w:rsidRDefault="00677D34" w:rsidP="00677D34">
            <w:pPr>
              <w:ind w:firstLine="601"/>
              <w:jc w:val="both"/>
              <w:rPr>
                <w:color w:val="2A2A2A"/>
                <w:shd w:val="clear" w:color="auto" w:fill="FFFFFF"/>
              </w:rPr>
            </w:pPr>
            <w:r w:rsidRPr="00FE0196">
              <w:t xml:space="preserve">Pamatojoties uz Ministru kabineta 2012.gada 4.septembra sēdes protokola Nr.50 44.§ </w:t>
            </w:r>
            <w:r w:rsidR="009E4D20" w:rsidRPr="00AE5BBB">
              <w:t>“</w:t>
            </w:r>
            <w:r w:rsidRPr="0013177F">
              <w:rPr>
                <w:shd w:val="clear" w:color="auto" w:fill="FFFFFF"/>
              </w:rPr>
              <w:t xml:space="preserve">Informatīvais ziņojums </w:t>
            </w:r>
            <w:r w:rsidR="009E4D20" w:rsidRPr="0013177F">
              <w:rPr>
                <w:shd w:val="clear" w:color="auto" w:fill="FFFFFF"/>
              </w:rPr>
              <w:t>“</w:t>
            </w:r>
            <w:r w:rsidRPr="0013177F">
              <w:rPr>
                <w:shd w:val="clear" w:color="auto" w:fill="FFFFFF"/>
              </w:rPr>
              <w:t>Par nodokļu ieņēmumu prognozes paaugstināšanu, īstenojot ēnu ekonomikas apkarošanas un citus pasākumus</w:t>
            </w:r>
            <w:r w:rsidR="00FE0196" w:rsidRPr="0013177F">
              <w:rPr>
                <w:shd w:val="clear" w:color="auto" w:fill="FFFFFF"/>
              </w:rPr>
              <w:t>”</w:t>
            </w:r>
            <w:r w:rsidRPr="0013177F">
              <w:rPr>
                <w:shd w:val="clear" w:color="auto" w:fill="FFFFFF"/>
              </w:rPr>
              <w:t xml:space="preserve">” (TA-2054) 4.punktu, kas nosaka, </w:t>
            </w:r>
            <w:r w:rsidR="009E4D20" w:rsidRPr="0013177F">
              <w:rPr>
                <w:shd w:val="clear" w:color="auto" w:fill="FFFFFF"/>
              </w:rPr>
              <w:t>“</w:t>
            </w:r>
            <w:r w:rsidRPr="0013177F">
              <w:rPr>
                <w:shd w:val="clear" w:color="auto" w:fill="FFFFFF"/>
              </w:rPr>
              <w:t xml:space="preserve">lai nodrošinātu informatīvā ziņojuma 2.sadaļā </w:t>
            </w:r>
            <w:r w:rsidR="009E4D20" w:rsidRPr="0013177F">
              <w:rPr>
                <w:shd w:val="clear" w:color="auto" w:fill="FFFFFF"/>
              </w:rPr>
              <w:t>“</w:t>
            </w:r>
            <w:r w:rsidRPr="0013177F">
              <w:rPr>
                <w:shd w:val="clear" w:color="auto" w:fill="FFFFFF"/>
              </w:rPr>
              <w:t xml:space="preserve">Ēnu ekonomikas apkarošanas un citi pasākumi” minētā 2.priekšlikuma īstenošanu, Labklājības ministrijai izstrādāt un noteiktā kārtībā līdz 2012.gada 1.decembrim iesniegt Ministru kabinetā nepieciešamos grozījumus Ministru kabineta 2010.gada 7.septembra noteikumos Nr.827 </w:t>
            </w:r>
            <w:r w:rsidR="009E4D20" w:rsidRPr="0013177F">
              <w:rPr>
                <w:shd w:val="clear" w:color="auto" w:fill="FFFFFF"/>
              </w:rPr>
              <w:t>“</w:t>
            </w:r>
            <w:r w:rsidRPr="0013177F">
              <w:rPr>
                <w:shd w:val="clear" w:color="auto" w:fill="FFFFFF"/>
              </w:rPr>
              <w:t>Noteikumi par valsts sociālās apdrošināšanas obligāto iemaksu veicēju reģistrāciju un ziņojumiem par valsts sociālās apdrošināšanas obligātajām iemaksām un iedzīvotāju ienākuma nodokli</w:t>
            </w:r>
            <w:r>
              <w:rPr>
                <w:color w:val="2A2A2A"/>
                <w:shd w:val="clear" w:color="auto" w:fill="FFFFFF"/>
              </w:rPr>
              <w:t>”</w:t>
            </w:r>
            <w:r w:rsidRPr="009907DE">
              <w:rPr>
                <w:color w:val="2A2A2A"/>
                <w:shd w:val="clear" w:color="auto" w:fill="FFFFFF"/>
              </w:rPr>
              <w:t>”</w:t>
            </w:r>
            <w:r w:rsidR="00641413">
              <w:rPr>
                <w:color w:val="2A2A2A"/>
                <w:shd w:val="clear" w:color="auto" w:fill="FFFFFF"/>
              </w:rPr>
              <w:t>.</w:t>
            </w:r>
          </w:p>
          <w:p w:rsidR="00DD33B5" w:rsidRPr="004E6076" w:rsidRDefault="00677D34" w:rsidP="009E4D20">
            <w:pPr>
              <w:jc w:val="both"/>
            </w:pPr>
            <w:r>
              <w:t>Ministru kabineta 2013.gada 19.februāra noteikumu Nr.95</w:t>
            </w:r>
            <w:r w:rsidRPr="00DE521C">
              <w:t xml:space="preserve"> </w:t>
            </w:r>
            <w:r w:rsidR="009E4D20">
              <w:t>“</w:t>
            </w:r>
            <w:r w:rsidRPr="009907DE">
              <w:t>Grozījumi Ministru kabineta 2010.gada 7.septembra noteikumos Nr.827 “Noteikumi par valsts sociālās apdrošināšanas obligāto iemaksu veicēju reģistrāciju un ziņojumiem par valsts sociālās apdrošināšanas obligātajām iemaksām un iedzīvotāju ienākuma nodokli”</w:t>
            </w:r>
            <w:r>
              <w:t>” 1.8.apakšpunkts</w:t>
            </w:r>
          </w:p>
        </w:tc>
      </w:tr>
      <w:tr w:rsidR="002244EF" w:rsidRPr="004E6076" w:rsidTr="004953A3">
        <w:trPr>
          <w:trHeight w:val="472"/>
        </w:trPr>
        <w:tc>
          <w:tcPr>
            <w:tcW w:w="528" w:type="dxa"/>
          </w:tcPr>
          <w:p w:rsidR="002244EF" w:rsidRPr="004E6076" w:rsidRDefault="002244EF" w:rsidP="00E40887">
            <w:pPr>
              <w:jc w:val="both"/>
            </w:pPr>
            <w:r w:rsidRPr="004E6076">
              <w:t> 2.</w:t>
            </w:r>
          </w:p>
        </w:tc>
        <w:tc>
          <w:tcPr>
            <w:tcW w:w="2748" w:type="dxa"/>
          </w:tcPr>
          <w:p w:rsidR="002244EF" w:rsidRPr="004E6076" w:rsidRDefault="002244EF" w:rsidP="00457486">
            <w:pPr>
              <w:pStyle w:val="naiskr"/>
            </w:pPr>
            <w:r w:rsidRPr="004E6076">
              <w:t>Pašreizējā situācija un problēmas</w:t>
            </w:r>
          </w:p>
        </w:tc>
        <w:tc>
          <w:tcPr>
            <w:tcW w:w="6237" w:type="dxa"/>
          </w:tcPr>
          <w:p w:rsidR="00677D34" w:rsidRPr="00677D34" w:rsidRDefault="00677D34" w:rsidP="00677D34">
            <w:pPr>
              <w:pStyle w:val="NormalWeb"/>
              <w:spacing w:before="0" w:after="0"/>
              <w:ind w:firstLine="601"/>
              <w:jc w:val="both"/>
            </w:pPr>
            <w:r w:rsidRPr="00677D34">
              <w:rPr>
                <w:iCs/>
              </w:rPr>
              <w:t xml:space="preserve">Saskaņā ar grozījumiem </w:t>
            </w:r>
            <w:r w:rsidRPr="00677D34">
              <w:t xml:space="preserve">Ministru kabineta 2013.gada 19.februāra noteikumu Nr.95 </w:t>
            </w:r>
            <w:r w:rsidR="009E4D20">
              <w:t>“</w:t>
            </w:r>
            <w:r w:rsidRPr="00677D34">
              <w:t xml:space="preserve">Grozījumi Ministru kabineta 2010.gada 7.septembra noteikumos Nr.827 “Noteikumi par valsts sociālās apdrošināšanas obligāto iemaksu veicēju reģistrāciju un ziņojumiem par valsts sociālās apdrošināšanas obligātajām iemaksām un iedzīvotāju ienākuma nodokli”” 1.8.apakšpunktā darba devēja ziņojumā jānorāda darba ņēmēja nostrādāto stundu skaits mēnesī. </w:t>
            </w:r>
          </w:p>
          <w:p w:rsidR="003A6F73" w:rsidRDefault="00677D34" w:rsidP="00272F8D">
            <w:pPr>
              <w:pStyle w:val="NormalWeb"/>
              <w:ind w:firstLine="601"/>
              <w:jc w:val="both"/>
              <w:rPr>
                <w:szCs w:val="22"/>
              </w:rPr>
            </w:pPr>
            <w:r w:rsidRPr="00677D34">
              <w:t xml:space="preserve">Lai VID efektīvāk varētu savā darbā izmantot normatīvajos aktos sniegtās iespējas </w:t>
            </w:r>
            <w:r w:rsidR="00CA3EDF">
              <w:t>“</w:t>
            </w:r>
            <w:r w:rsidRPr="00677D34">
              <w:t xml:space="preserve">aplokšņu algu” izmaksātājiem uz aprēķina pamata noteikt </w:t>
            </w:r>
            <w:r w:rsidR="00CA3EDF">
              <w:t>“</w:t>
            </w:r>
            <w:r w:rsidRPr="00677D34">
              <w:t>aploksnē” izmaksāto apjomu, nepieciešams radīt iespēju iegūt informāciju par dažādu profesiju darba samaksu stundā.</w:t>
            </w:r>
            <w:r w:rsidR="00B36009">
              <w:t xml:space="preserve"> </w:t>
            </w:r>
            <w:r w:rsidR="00CA3EDF">
              <w:rPr>
                <w:szCs w:val="22"/>
              </w:rPr>
              <w:t>Tādējādi</w:t>
            </w:r>
            <w:r w:rsidR="00272F8D" w:rsidRPr="00B25B25">
              <w:rPr>
                <w:szCs w:val="22"/>
              </w:rPr>
              <w:t xml:space="preserve"> Ministru kabineta 2010.gada 31.augusta noteikumos Nr.819 </w:t>
            </w:r>
            <w:r w:rsidR="00CA3EDF">
              <w:rPr>
                <w:szCs w:val="22"/>
              </w:rPr>
              <w:t>“</w:t>
            </w:r>
            <w:r w:rsidR="00272F8D" w:rsidRPr="00B25B25">
              <w:rPr>
                <w:szCs w:val="22"/>
              </w:rPr>
              <w:t>Noteikumi par mikrouzņēmumu nodokļa deklarāciju un tās aizpildīšanas kārtību”</w:t>
            </w:r>
            <w:r w:rsidR="003A6F73">
              <w:rPr>
                <w:szCs w:val="22"/>
              </w:rPr>
              <w:t xml:space="preserve"> nepieciešams noteikt, ka</w:t>
            </w:r>
            <w:r w:rsidR="00B25B25" w:rsidRPr="00B25B25">
              <w:rPr>
                <w:szCs w:val="22"/>
              </w:rPr>
              <w:t xml:space="preserve">, iesniedzot </w:t>
            </w:r>
            <w:r w:rsidR="00B25B25" w:rsidRPr="00B25B25">
              <w:t xml:space="preserve">mikrouzņēmumu nodokļa deklarāciju, tajā </w:t>
            </w:r>
            <w:r w:rsidR="00272F8D" w:rsidRPr="00B25B25">
              <w:rPr>
                <w:szCs w:val="22"/>
              </w:rPr>
              <w:t>ir iekļaujama informācija par mikrouzņēmumu darbinieku faktiski nostrādāto stundu skaitu katr</w:t>
            </w:r>
            <w:r w:rsidR="00272F8D" w:rsidRPr="003A6F73">
              <w:rPr>
                <w:szCs w:val="22"/>
              </w:rPr>
              <w:t xml:space="preserve">ā mēnesī. </w:t>
            </w:r>
            <w:r w:rsidR="003A6F73">
              <w:rPr>
                <w:szCs w:val="22"/>
              </w:rPr>
              <w:t>Tā kā p</w:t>
            </w:r>
            <w:r w:rsidR="00272F8D" w:rsidRPr="00272F8D">
              <w:rPr>
                <w:szCs w:val="22"/>
              </w:rPr>
              <w:t xml:space="preserve">ar </w:t>
            </w:r>
            <w:r w:rsidR="00272F8D" w:rsidRPr="00272F8D">
              <w:rPr>
                <w:bCs/>
                <w:szCs w:val="22"/>
              </w:rPr>
              <w:t xml:space="preserve">mikrouzņēmuma darbinieku var būt </w:t>
            </w:r>
            <w:r w:rsidR="00272F8D" w:rsidRPr="00272F8D">
              <w:rPr>
                <w:szCs w:val="22"/>
              </w:rPr>
              <w:t xml:space="preserve">fiziskā persona, kuru uz darba līguma pamata nodarbina mikrouzņēmums, un mikrouzņēmuma </w:t>
            </w:r>
            <w:r w:rsidR="00272F8D" w:rsidRPr="00B25B25">
              <w:rPr>
                <w:szCs w:val="22"/>
              </w:rPr>
              <w:t xml:space="preserve">īpašnieks </w:t>
            </w:r>
            <w:r w:rsidR="003A6F73">
              <w:rPr>
                <w:szCs w:val="22"/>
              </w:rPr>
              <w:t xml:space="preserve">(t.i., </w:t>
            </w:r>
            <w:r w:rsidR="003A6F73" w:rsidRPr="00B25B25">
              <w:t xml:space="preserve">sabiedrības ar ierobežotu atbildību dalībnieks, individuālā uzņēmuma, zemnieka vai zvejnieka saimniecības īpašnieks, individuālais komersants vai cita fiziskā persona, kas reģistrēta Valsts ieņēmumu </w:t>
            </w:r>
            <w:r w:rsidR="003A6F73" w:rsidRPr="00B25B25">
              <w:lastRenderedPageBreak/>
              <w:t>dienestā kā saimnieciskās darbības veicējs</w:t>
            </w:r>
            <w:r w:rsidR="003A6F73">
              <w:t xml:space="preserve">), kā </w:t>
            </w:r>
            <w:r w:rsidR="00272F8D" w:rsidRPr="00B25B25">
              <w:rPr>
                <w:szCs w:val="22"/>
              </w:rPr>
              <w:t>arī prokūrists</w:t>
            </w:r>
            <w:r w:rsidR="003A6F73">
              <w:rPr>
                <w:szCs w:val="22"/>
              </w:rPr>
              <w:t>, tad mikrouzņēmumu nodokļa deklarācijā nebūtu norādāmas nostrādātās stundas par mikrouzņēmum</w:t>
            </w:r>
            <w:r w:rsidR="00342E89">
              <w:rPr>
                <w:szCs w:val="22"/>
              </w:rPr>
              <w:t>u</w:t>
            </w:r>
            <w:r w:rsidR="003A6F73">
              <w:rPr>
                <w:szCs w:val="22"/>
              </w:rPr>
              <w:t xml:space="preserve"> īpašniekiem un prokūristiem, ar kuriem netiek nodibināt</w:t>
            </w:r>
            <w:r w:rsidR="00CD1182">
              <w:rPr>
                <w:szCs w:val="22"/>
              </w:rPr>
              <w:t>a</w:t>
            </w:r>
            <w:r w:rsidR="003A6F73">
              <w:rPr>
                <w:szCs w:val="22"/>
              </w:rPr>
              <w:t>s darba tiesiskās attiecības. Savukārt, ja mikrouzņēmumu īpašnieks tiek nodarbināts uz darba līguma un pilnvarojuma līguma pamata, tad par šo personu mikrouzņēmum</w:t>
            </w:r>
            <w:r w:rsidR="00611774">
              <w:rPr>
                <w:szCs w:val="22"/>
              </w:rPr>
              <w:t>u</w:t>
            </w:r>
            <w:r w:rsidR="003A6F73">
              <w:rPr>
                <w:szCs w:val="22"/>
              </w:rPr>
              <w:t xml:space="preserve"> nodokļa deklarācijā būtu jānorāda nostrādāto stundu skaits, kas veikts uz darba līguma pamata.</w:t>
            </w:r>
          </w:p>
          <w:p w:rsidR="00677D34" w:rsidRPr="00677D34" w:rsidRDefault="00677D34" w:rsidP="00677D34">
            <w:pPr>
              <w:pStyle w:val="NormalWeb"/>
              <w:ind w:firstLine="601"/>
              <w:jc w:val="both"/>
            </w:pPr>
            <w:r w:rsidRPr="00677D34">
              <w:t xml:space="preserve">Saskaņā ar likuma </w:t>
            </w:r>
            <w:r w:rsidR="00CA3EDF">
              <w:t>“</w:t>
            </w:r>
            <w:r w:rsidRPr="00677D34">
              <w:t xml:space="preserve">Par nodokļiem un nodevām” 23.panta septīto daļu </w:t>
            </w:r>
            <w:r w:rsidR="00272F8D">
              <w:t xml:space="preserve">Valsts ieņēmumu dienests (turpmāk – </w:t>
            </w:r>
            <w:r w:rsidRPr="00677D34">
              <w:t>VID</w:t>
            </w:r>
            <w:r w:rsidR="00272F8D">
              <w:t>)</w:t>
            </w:r>
            <w:r w:rsidRPr="00677D34">
              <w:t xml:space="preserve">, uz aprēķinu pamata nosakot nodokļu maksājumu apmēru, izmanto netiešās aprēķinu metodes, tas ir, aprēķina ar nodokļiem apliekamo objektu (ienākumu, darījumu vērtību u.tml.), pamatojoties uz savā rīcībā esošo informāciju. Tādējādi, ja darba devēji būs snieguši minēto informāciju par profesijām un nostrādāto stundu skaitu, VID rīcībā būs precīza informācija par komersantu deklarēto vidējo darba samaksu stundā katrai profesijai. </w:t>
            </w:r>
            <w:r w:rsidR="00601963">
              <w:t>Tādējādi</w:t>
            </w:r>
            <w:r w:rsidRPr="00677D34">
              <w:t xml:space="preserve"> VID nodokļu auditā varēs papildus noteikt darba samaksu no starpības starp vidējo rādītāju valstī un auditējamā komersanta deklarēto darba samaksas lielumu (starpība – iespējamā </w:t>
            </w:r>
            <w:r w:rsidR="001D4531">
              <w:t>“</w:t>
            </w:r>
            <w:r w:rsidRPr="00677D34">
              <w:t>aplokšņu alga”).</w:t>
            </w:r>
          </w:p>
          <w:p w:rsidR="002244EF" w:rsidRPr="004E6076" w:rsidRDefault="00677D34" w:rsidP="00677D34">
            <w:pPr>
              <w:jc w:val="both"/>
            </w:pPr>
            <w:r w:rsidRPr="00677D34">
              <w:t>Tādējādi, lai nodrošinātu vienveidīgu iesniedzamās informācijas uzskaiti, arī mikrouzņēmumu nodokļa deklarācijā ir jāveic izmaiņas, paredzot iespēju norādīt darba ņēmēja nostrādāto stundu skaitu mēnesī</w:t>
            </w:r>
          </w:p>
        </w:tc>
      </w:tr>
      <w:tr w:rsidR="002244EF" w:rsidRPr="004E6076" w:rsidTr="004953A3">
        <w:trPr>
          <w:trHeight w:val="616"/>
        </w:trPr>
        <w:tc>
          <w:tcPr>
            <w:tcW w:w="528" w:type="dxa"/>
          </w:tcPr>
          <w:p w:rsidR="002244EF" w:rsidRPr="004E6076" w:rsidRDefault="002244EF" w:rsidP="00457486">
            <w:pPr>
              <w:pStyle w:val="naiskr"/>
            </w:pPr>
            <w:r w:rsidRPr="004E6076">
              <w:lastRenderedPageBreak/>
              <w:t> 3.</w:t>
            </w:r>
          </w:p>
        </w:tc>
        <w:tc>
          <w:tcPr>
            <w:tcW w:w="2748" w:type="dxa"/>
          </w:tcPr>
          <w:p w:rsidR="002244EF" w:rsidRPr="004E6076" w:rsidRDefault="002244EF" w:rsidP="00457486">
            <w:pPr>
              <w:pStyle w:val="naiskr"/>
            </w:pPr>
            <w:r w:rsidRPr="004E6076">
              <w:t> Saistītie politikas ietekmes novērtējumi un pētījumi</w:t>
            </w:r>
          </w:p>
        </w:tc>
        <w:tc>
          <w:tcPr>
            <w:tcW w:w="6237" w:type="dxa"/>
          </w:tcPr>
          <w:p w:rsidR="002244EF" w:rsidRPr="004E6076" w:rsidRDefault="002244EF" w:rsidP="00C04423">
            <w:pPr>
              <w:pStyle w:val="naiskr"/>
            </w:pPr>
            <w:r w:rsidRPr="004E6076">
              <w:t> Projekts šo jomu neskar</w:t>
            </w:r>
          </w:p>
        </w:tc>
      </w:tr>
      <w:tr w:rsidR="002244EF" w:rsidRPr="004E6076" w:rsidTr="004953A3">
        <w:trPr>
          <w:trHeight w:val="525"/>
        </w:trPr>
        <w:tc>
          <w:tcPr>
            <w:tcW w:w="528" w:type="dxa"/>
          </w:tcPr>
          <w:p w:rsidR="002244EF" w:rsidRPr="004E6076" w:rsidRDefault="002244EF" w:rsidP="00457486">
            <w:pPr>
              <w:pStyle w:val="naiskr"/>
            </w:pPr>
            <w:r w:rsidRPr="004E6076">
              <w:t> 4.</w:t>
            </w:r>
          </w:p>
        </w:tc>
        <w:tc>
          <w:tcPr>
            <w:tcW w:w="2748" w:type="dxa"/>
          </w:tcPr>
          <w:p w:rsidR="002244EF" w:rsidRPr="004E6076" w:rsidRDefault="002244EF" w:rsidP="00457486">
            <w:pPr>
              <w:pStyle w:val="naiskr"/>
            </w:pPr>
            <w:r w:rsidRPr="004E6076">
              <w:t> Tiesiskā regulējuma mērķis un būtība</w:t>
            </w:r>
          </w:p>
        </w:tc>
        <w:tc>
          <w:tcPr>
            <w:tcW w:w="6237" w:type="dxa"/>
          </w:tcPr>
          <w:p w:rsidR="00B06BE8" w:rsidRPr="00677D34" w:rsidRDefault="00677D34" w:rsidP="00677D34">
            <w:pPr>
              <w:jc w:val="both"/>
            </w:pPr>
            <w:r w:rsidRPr="00677D34">
              <w:t>Noteikumu projekta grozījumu mērķis ir nodrošināt vienveidīgu iesniedzamās informācijas uzskaiti par darba ņēmēju nostrādāto stundu skaitu pārskata periodā</w:t>
            </w:r>
            <w:r w:rsidR="003F646D">
              <w:t>,</w:t>
            </w:r>
            <w:r w:rsidRPr="00677D34">
              <w:t xml:space="preserve"> tāpat kā tas ir noteikt</w:t>
            </w:r>
            <w:r w:rsidR="006A6ACF">
              <w:t>s</w:t>
            </w:r>
            <w:r w:rsidRPr="00677D34">
              <w:t xml:space="preserve"> Ministru kabineta 2010.gada 7.septembra noteikumos Nr.827 “Noteikumi par valsts sociālās apdrošināšanas obligāto iemaksu veicēju reģistrāciju un ziņojumiem par valsts sociālās apdrošināšanas obligātajām iemaksām un iedzīvotāju ienākuma nodokli”” attiecībā uz darba ņēmējiem, kuru darba devējs nav mikrouzņēmumu nodokļa maksātājs</w:t>
            </w:r>
          </w:p>
        </w:tc>
      </w:tr>
      <w:tr w:rsidR="002244EF" w:rsidRPr="004E6076" w:rsidTr="004953A3">
        <w:trPr>
          <w:trHeight w:val="476"/>
        </w:trPr>
        <w:tc>
          <w:tcPr>
            <w:tcW w:w="528" w:type="dxa"/>
          </w:tcPr>
          <w:p w:rsidR="002244EF" w:rsidRPr="004E6076" w:rsidRDefault="002244EF" w:rsidP="00457486">
            <w:pPr>
              <w:pStyle w:val="naiskr"/>
            </w:pPr>
            <w:r w:rsidRPr="004E6076">
              <w:t> 5.</w:t>
            </w:r>
          </w:p>
        </w:tc>
        <w:tc>
          <w:tcPr>
            <w:tcW w:w="2748" w:type="dxa"/>
          </w:tcPr>
          <w:p w:rsidR="002244EF" w:rsidRPr="004E6076" w:rsidRDefault="002244EF" w:rsidP="00457486">
            <w:pPr>
              <w:pStyle w:val="naiskr"/>
            </w:pPr>
            <w:r w:rsidRPr="004E6076">
              <w:t> Projekta izstrādē iesaistītās institūcijas</w:t>
            </w:r>
          </w:p>
        </w:tc>
        <w:tc>
          <w:tcPr>
            <w:tcW w:w="6237" w:type="dxa"/>
          </w:tcPr>
          <w:p w:rsidR="002244EF" w:rsidRPr="004E6076" w:rsidRDefault="002244EF" w:rsidP="0087379E">
            <w:pPr>
              <w:tabs>
                <w:tab w:val="left" w:pos="6990"/>
              </w:tabs>
              <w:jc w:val="both"/>
            </w:pPr>
            <w:r w:rsidRPr="004E6076">
              <w:t> Valsts ieņēmumu dienests</w:t>
            </w:r>
          </w:p>
        </w:tc>
      </w:tr>
      <w:tr w:rsidR="002244EF" w:rsidRPr="004E6076" w:rsidTr="004953A3">
        <w:trPr>
          <w:trHeight w:val="996"/>
        </w:trPr>
        <w:tc>
          <w:tcPr>
            <w:tcW w:w="528" w:type="dxa"/>
          </w:tcPr>
          <w:p w:rsidR="002244EF" w:rsidRPr="004E6076" w:rsidRDefault="002244EF" w:rsidP="00457486">
            <w:pPr>
              <w:pStyle w:val="naiskr"/>
            </w:pPr>
            <w:r w:rsidRPr="004E6076">
              <w:t> 6.</w:t>
            </w:r>
          </w:p>
        </w:tc>
        <w:tc>
          <w:tcPr>
            <w:tcW w:w="2748" w:type="dxa"/>
          </w:tcPr>
          <w:p w:rsidR="002244EF" w:rsidRPr="004E6076" w:rsidRDefault="002244EF" w:rsidP="00457486">
            <w:pPr>
              <w:pStyle w:val="naiskr"/>
            </w:pPr>
            <w:r w:rsidRPr="004E6076">
              <w:t> Iemesli, kādēļ netika nodrošināta sabiedrības līdzdalība</w:t>
            </w:r>
          </w:p>
        </w:tc>
        <w:tc>
          <w:tcPr>
            <w:tcW w:w="6237" w:type="dxa"/>
          </w:tcPr>
          <w:p w:rsidR="002244EF" w:rsidRPr="004E6076" w:rsidRDefault="00677D34" w:rsidP="00542892">
            <w:pPr>
              <w:tabs>
                <w:tab w:val="left" w:pos="709"/>
              </w:tabs>
              <w:jc w:val="both"/>
            </w:pPr>
            <w:r w:rsidRPr="00677D34">
              <w:t>Projekts šo jomu neskar</w:t>
            </w:r>
          </w:p>
        </w:tc>
      </w:tr>
      <w:tr w:rsidR="002244EF" w:rsidRPr="004E6076" w:rsidTr="004953A3">
        <w:tc>
          <w:tcPr>
            <w:tcW w:w="528" w:type="dxa"/>
          </w:tcPr>
          <w:p w:rsidR="002244EF" w:rsidRPr="004E6076" w:rsidRDefault="002244EF" w:rsidP="00457486">
            <w:pPr>
              <w:pStyle w:val="naiskr"/>
            </w:pPr>
            <w:r w:rsidRPr="004E6076">
              <w:t> 7.</w:t>
            </w:r>
          </w:p>
        </w:tc>
        <w:tc>
          <w:tcPr>
            <w:tcW w:w="2748" w:type="dxa"/>
          </w:tcPr>
          <w:p w:rsidR="002244EF" w:rsidRPr="004E6076" w:rsidRDefault="002244EF" w:rsidP="00457486">
            <w:pPr>
              <w:pStyle w:val="naiskr"/>
            </w:pPr>
            <w:r w:rsidRPr="004E6076">
              <w:t> Cita informācija</w:t>
            </w:r>
          </w:p>
        </w:tc>
        <w:tc>
          <w:tcPr>
            <w:tcW w:w="6237" w:type="dxa"/>
          </w:tcPr>
          <w:p w:rsidR="002244EF" w:rsidRPr="004E6076" w:rsidRDefault="002244EF" w:rsidP="006E2327">
            <w:pPr>
              <w:pStyle w:val="naiskr"/>
              <w:jc w:val="both"/>
            </w:pPr>
            <w:r w:rsidRPr="004E6076">
              <w:t> Nav</w:t>
            </w:r>
          </w:p>
        </w:tc>
      </w:tr>
    </w:tbl>
    <w:p w:rsidR="002244EF" w:rsidRPr="004E6076" w:rsidRDefault="002244EF">
      <w:pPr>
        <w:jc w:val="both"/>
      </w:pPr>
    </w:p>
    <w:tbl>
      <w:tblPr>
        <w:tblStyle w:val="TableGrid"/>
        <w:tblW w:w="9515" w:type="dxa"/>
        <w:tblLook w:val="0000" w:firstRow="0" w:lastRow="0" w:firstColumn="0" w:lastColumn="0" w:noHBand="0" w:noVBand="0"/>
      </w:tblPr>
      <w:tblGrid>
        <w:gridCol w:w="516"/>
        <w:gridCol w:w="1700"/>
        <w:gridCol w:w="1231"/>
        <w:gridCol w:w="144"/>
        <w:gridCol w:w="1148"/>
        <w:gridCol w:w="1292"/>
        <w:gridCol w:w="1292"/>
        <w:gridCol w:w="2192"/>
      </w:tblGrid>
      <w:tr w:rsidR="002244EF" w:rsidRPr="004E6076" w:rsidTr="004953A3">
        <w:tc>
          <w:tcPr>
            <w:tcW w:w="9515" w:type="dxa"/>
            <w:gridSpan w:val="8"/>
          </w:tcPr>
          <w:p w:rsidR="002244EF" w:rsidRPr="004E6076" w:rsidRDefault="002244EF" w:rsidP="004C4A10">
            <w:pPr>
              <w:pStyle w:val="naisnod"/>
              <w:jc w:val="center"/>
              <w:rPr>
                <w:b/>
                <w:bCs/>
              </w:rPr>
            </w:pPr>
            <w:r w:rsidRPr="004E6076">
              <w:rPr>
                <w:b/>
                <w:bCs/>
              </w:rPr>
              <w:t>II. Tiesību akta projekta ietekme uz sabiedrību</w:t>
            </w:r>
          </w:p>
        </w:tc>
      </w:tr>
      <w:tr w:rsidR="002244EF" w:rsidRPr="004E6076" w:rsidTr="004953A3">
        <w:trPr>
          <w:trHeight w:val="467"/>
        </w:trPr>
        <w:tc>
          <w:tcPr>
            <w:tcW w:w="516" w:type="dxa"/>
          </w:tcPr>
          <w:p w:rsidR="002244EF" w:rsidRPr="004E6076" w:rsidRDefault="002244EF" w:rsidP="00457486">
            <w:pPr>
              <w:pStyle w:val="naiskr"/>
            </w:pPr>
            <w:r w:rsidRPr="004E6076">
              <w:t> 1.</w:t>
            </w:r>
          </w:p>
        </w:tc>
        <w:tc>
          <w:tcPr>
            <w:tcW w:w="3075" w:type="dxa"/>
            <w:gridSpan w:val="3"/>
          </w:tcPr>
          <w:p w:rsidR="002244EF" w:rsidRPr="004E6076" w:rsidRDefault="002244EF" w:rsidP="002A1E83">
            <w:pPr>
              <w:pStyle w:val="naiskr"/>
            </w:pPr>
            <w:r w:rsidRPr="004E6076">
              <w:t> Sabiedrības mēr</w:t>
            </w:r>
            <w:r w:rsidR="002A1E83">
              <w:t>ķ</w:t>
            </w:r>
            <w:r w:rsidRPr="004E6076">
              <w:t>grupa</w:t>
            </w:r>
          </w:p>
        </w:tc>
        <w:tc>
          <w:tcPr>
            <w:tcW w:w="5924" w:type="dxa"/>
            <w:gridSpan w:val="4"/>
          </w:tcPr>
          <w:p w:rsidR="00677D34" w:rsidRDefault="00677D34" w:rsidP="00677D34">
            <w:pPr>
              <w:pStyle w:val="naiskr"/>
              <w:spacing w:after="0" w:afterAutospacing="0"/>
              <w:jc w:val="both"/>
            </w:pPr>
            <w:r>
              <w:t>Mikrouzņēmumu nodokļa maksātāji.</w:t>
            </w:r>
          </w:p>
          <w:p w:rsidR="002244EF" w:rsidRPr="004E6076" w:rsidRDefault="00677D34" w:rsidP="00BB44D1">
            <w:pPr>
              <w:pStyle w:val="naiskr"/>
              <w:spacing w:before="0" w:beforeAutospacing="0" w:after="0" w:afterAutospacing="0"/>
              <w:jc w:val="both"/>
              <w:rPr>
                <w:lang w:eastAsia="en-US"/>
              </w:rPr>
            </w:pPr>
            <w:r>
              <w:t>2013.gada 1.</w:t>
            </w:r>
            <w:r w:rsidR="00BB44D1">
              <w:t>jūlij</w:t>
            </w:r>
            <w:r>
              <w:t>ā reģistrēti 2</w:t>
            </w:r>
            <w:r w:rsidR="00BB44D1">
              <w:t>9</w:t>
            </w:r>
            <w:r>
              <w:t xml:space="preserve"> </w:t>
            </w:r>
            <w:r w:rsidR="00BB44D1">
              <w:t>533</w:t>
            </w:r>
            <w:r>
              <w:t xml:space="preserve"> mikrouzņēmumu </w:t>
            </w:r>
            <w:r>
              <w:lastRenderedPageBreak/>
              <w:t>nodokļa maksātāji.</w:t>
            </w:r>
          </w:p>
        </w:tc>
      </w:tr>
      <w:tr w:rsidR="002244EF" w:rsidRPr="004E6076" w:rsidTr="004953A3">
        <w:trPr>
          <w:trHeight w:val="345"/>
        </w:trPr>
        <w:tc>
          <w:tcPr>
            <w:tcW w:w="516" w:type="dxa"/>
          </w:tcPr>
          <w:p w:rsidR="002244EF" w:rsidRPr="004E6076" w:rsidRDefault="002244EF" w:rsidP="00457486">
            <w:pPr>
              <w:pStyle w:val="naiskr"/>
            </w:pPr>
            <w:r w:rsidRPr="004E6076">
              <w:lastRenderedPageBreak/>
              <w:t> 2.</w:t>
            </w:r>
          </w:p>
        </w:tc>
        <w:tc>
          <w:tcPr>
            <w:tcW w:w="3075" w:type="dxa"/>
            <w:gridSpan w:val="3"/>
          </w:tcPr>
          <w:p w:rsidR="002244EF" w:rsidRPr="004E6076" w:rsidRDefault="002244EF" w:rsidP="00457486">
            <w:pPr>
              <w:pStyle w:val="naiskr"/>
            </w:pPr>
            <w:r w:rsidRPr="004E6076">
              <w:t> Citas sabiedrības grupas (bez mērķgrupas), kuras tiesiskais regulējums arī ietekmē vai varētu ietekmēt</w:t>
            </w:r>
          </w:p>
        </w:tc>
        <w:tc>
          <w:tcPr>
            <w:tcW w:w="5924" w:type="dxa"/>
            <w:gridSpan w:val="4"/>
          </w:tcPr>
          <w:p w:rsidR="002244EF" w:rsidRPr="004E6076" w:rsidRDefault="002244EF" w:rsidP="00677D34">
            <w:pPr>
              <w:pStyle w:val="naiskr"/>
              <w:jc w:val="both"/>
            </w:pPr>
            <w:r w:rsidRPr="004E6076">
              <w:t> Projekts šo jomu neskar</w:t>
            </w:r>
          </w:p>
        </w:tc>
      </w:tr>
      <w:tr w:rsidR="002244EF" w:rsidRPr="004E6076" w:rsidTr="004953A3">
        <w:trPr>
          <w:trHeight w:val="517"/>
        </w:trPr>
        <w:tc>
          <w:tcPr>
            <w:tcW w:w="516" w:type="dxa"/>
          </w:tcPr>
          <w:p w:rsidR="002244EF" w:rsidRPr="004E6076" w:rsidRDefault="002244EF" w:rsidP="00457486">
            <w:pPr>
              <w:pStyle w:val="naiskr"/>
            </w:pPr>
            <w:r w:rsidRPr="004E6076">
              <w:t> 3.</w:t>
            </w:r>
          </w:p>
        </w:tc>
        <w:tc>
          <w:tcPr>
            <w:tcW w:w="3075" w:type="dxa"/>
            <w:gridSpan w:val="3"/>
          </w:tcPr>
          <w:p w:rsidR="002244EF" w:rsidRPr="004E6076" w:rsidRDefault="002244EF" w:rsidP="00CE10B1">
            <w:pPr>
              <w:pStyle w:val="naiskr"/>
              <w:spacing w:before="0" w:beforeAutospacing="0" w:after="0" w:afterAutospacing="0"/>
              <w:ind w:right="-556"/>
            </w:pPr>
            <w:r w:rsidRPr="004E6076">
              <w:t> Tiesiskā regulējuma</w:t>
            </w:r>
          </w:p>
          <w:p w:rsidR="002244EF" w:rsidRPr="004E6076" w:rsidRDefault="002244EF" w:rsidP="00CE10B1">
            <w:pPr>
              <w:pStyle w:val="naiskr"/>
              <w:spacing w:before="0" w:beforeAutospacing="0" w:after="0" w:afterAutospacing="0"/>
              <w:ind w:right="-556"/>
            </w:pPr>
            <w:r w:rsidRPr="004E6076">
              <w:t>finansiālā ietekme</w:t>
            </w:r>
          </w:p>
        </w:tc>
        <w:tc>
          <w:tcPr>
            <w:tcW w:w="5924" w:type="dxa"/>
            <w:gridSpan w:val="4"/>
          </w:tcPr>
          <w:p w:rsidR="002244EF" w:rsidRPr="004E6076" w:rsidRDefault="00456184" w:rsidP="004E6076">
            <w:pPr>
              <w:jc w:val="both"/>
            </w:pPr>
            <w:r w:rsidRPr="004E6076">
              <w:t>Proje</w:t>
            </w:r>
            <w:r w:rsidR="004E6076" w:rsidRPr="004E6076">
              <w:t>k</w:t>
            </w:r>
            <w:r w:rsidRPr="004E6076">
              <w:t>ts šo jomu neskar</w:t>
            </w:r>
          </w:p>
        </w:tc>
      </w:tr>
      <w:tr w:rsidR="002244EF" w:rsidRPr="004E6076" w:rsidTr="004953A3">
        <w:trPr>
          <w:trHeight w:val="517"/>
        </w:trPr>
        <w:tc>
          <w:tcPr>
            <w:tcW w:w="516" w:type="dxa"/>
          </w:tcPr>
          <w:p w:rsidR="002244EF" w:rsidRPr="004E6076" w:rsidRDefault="002244EF" w:rsidP="00457486">
            <w:pPr>
              <w:pStyle w:val="naiskr"/>
            </w:pPr>
            <w:r w:rsidRPr="004E6076">
              <w:t> 4.</w:t>
            </w:r>
          </w:p>
        </w:tc>
        <w:tc>
          <w:tcPr>
            <w:tcW w:w="3075" w:type="dxa"/>
            <w:gridSpan w:val="3"/>
          </w:tcPr>
          <w:p w:rsidR="002244EF" w:rsidRPr="004E6076" w:rsidRDefault="002244EF" w:rsidP="00457486">
            <w:pPr>
              <w:pStyle w:val="naiskr"/>
            </w:pPr>
            <w:r w:rsidRPr="004E6076">
              <w:t> Tiesiskā regulējuma nefinansiālā ietekme</w:t>
            </w:r>
          </w:p>
        </w:tc>
        <w:tc>
          <w:tcPr>
            <w:tcW w:w="5924" w:type="dxa"/>
            <w:gridSpan w:val="4"/>
          </w:tcPr>
          <w:p w:rsidR="002244EF" w:rsidRPr="004E6076" w:rsidRDefault="00456184" w:rsidP="004E6076">
            <w:pPr>
              <w:jc w:val="both"/>
            </w:pPr>
            <w:r w:rsidRPr="004E6076">
              <w:t>Proje</w:t>
            </w:r>
            <w:r w:rsidR="004E6076" w:rsidRPr="004E6076">
              <w:t>k</w:t>
            </w:r>
            <w:r w:rsidRPr="004E6076">
              <w:t>ts šo jomu neskar</w:t>
            </w:r>
          </w:p>
        </w:tc>
      </w:tr>
      <w:tr w:rsidR="002244EF" w:rsidRPr="004E6076" w:rsidTr="004953A3">
        <w:trPr>
          <w:trHeight w:val="65"/>
        </w:trPr>
        <w:tc>
          <w:tcPr>
            <w:tcW w:w="516" w:type="dxa"/>
          </w:tcPr>
          <w:p w:rsidR="002244EF" w:rsidRPr="004E6076" w:rsidRDefault="002244EF" w:rsidP="00457486">
            <w:pPr>
              <w:pStyle w:val="naiskr"/>
            </w:pPr>
            <w:r w:rsidRPr="004E6076">
              <w:t> 5.</w:t>
            </w:r>
          </w:p>
        </w:tc>
        <w:tc>
          <w:tcPr>
            <w:tcW w:w="3075" w:type="dxa"/>
            <w:gridSpan w:val="3"/>
          </w:tcPr>
          <w:p w:rsidR="002244EF" w:rsidRPr="004E6076" w:rsidRDefault="002244EF" w:rsidP="00457486">
            <w:pPr>
              <w:pStyle w:val="naiskr"/>
            </w:pPr>
            <w:r w:rsidRPr="004E6076">
              <w:t> Administratīvās procedūras raksturojums</w:t>
            </w:r>
          </w:p>
        </w:tc>
        <w:tc>
          <w:tcPr>
            <w:tcW w:w="5924" w:type="dxa"/>
            <w:gridSpan w:val="4"/>
          </w:tcPr>
          <w:p w:rsidR="002244EF" w:rsidRPr="004E6076" w:rsidRDefault="00677D34" w:rsidP="002F6909">
            <w:pPr>
              <w:tabs>
                <w:tab w:val="left" w:pos="3720"/>
              </w:tabs>
              <w:jc w:val="both"/>
            </w:pPr>
            <w:r w:rsidRPr="00677D34">
              <w:t>Projekts šo jomu neskar</w:t>
            </w:r>
          </w:p>
        </w:tc>
      </w:tr>
      <w:tr w:rsidR="002244EF" w:rsidRPr="004E6076" w:rsidTr="004953A3">
        <w:trPr>
          <w:trHeight w:val="357"/>
        </w:trPr>
        <w:tc>
          <w:tcPr>
            <w:tcW w:w="516" w:type="dxa"/>
          </w:tcPr>
          <w:p w:rsidR="002244EF" w:rsidRPr="004E6076" w:rsidRDefault="002244EF" w:rsidP="00457486">
            <w:pPr>
              <w:pStyle w:val="naiskr"/>
            </w:pPr>
            <w:r w:rsidRPr="004E6076">
              <w:t> 6.</w:t>
            </w:r>
          </w:p>
        </w:tc>
        <w:tc>
          <w:tcPr>
            <w:tcW w:w="3075" w:type="dxa"/>
            <w:gridSpan w:val="3"/>
          </w:tcPr>
          <w:p w:rsidR="002244EF" w:rsidRPr="004E6076" w:rsidRDefault="002244EF" w:rsidP="00457486">
            <w:pPr>
              <w:pStyle w:val="naiskr"/>
            </w:pPr>
            <w:r w:rsidRPr="004E6076">
              <w:t> Administratīvo izmaksu monetārs novērtējums</w:t>
            </w:r>
          </w:p>
        </w:tc>
        <w:tc>
          <w:tcPr>
            <w:tcW w:w="5924" w:type="dxa"/>
            <w:gridSpan w:val="4"/>
          </w:tcPr>
          <w:p w:rsidR="002244EF" w:rsidRPr="004E6076" w:rsidRDefault="002244EF" w:rsidP="001568F0">
            <w:pPr>
              <w:pStyle w:val="naiskr"/>
              <w:jc w:val="both"/>
            </w:pPr>
            <w:r w:rsidRPr="004E6076">
              <w:t> Projekts šo jomu neskar</w:t>
            </w:r>
          </w:p>
        </w:tc>
      </w:tr>
      <w:tr w:rsidR="002244EF" w:rsidRPr="004E6076" w:rsidTr="004953A3">
        <w:tc>
          <w:tcPr>
            <w:tcW w:w="516" w:type="dxa"/>
          </w:tcPr>
          <w:p w:rsidR="002244EF" w:rsidRPr="004E6076" w:rsidRDefault="002244EF" w:rsidP="00457486">
            <w:pPr>
              <w:pStyle w:val="naiskr"/>
            </w:pPr>
            <w:r w:rsidRPr="004E6076">
              <w:t> 7.</w:t>
            </w:r>
          </w:p>
        </w:tc>
        <w:tc>
          <w:tcPr>
            <w:tcW w:w="3075" w:type="dxa"/>
            <w:gridSpan w:val="3"/>
          </w:tcPr>
          <w:p w:rsidR="002244EF" w:rsidRPr="004E6076" w:rsidRDefault="002244EF" w:rsidP="00457486">
            <w:pPr>
              <w:pStyle w:val="naiskr"/>
            </w:pPr>
            <w:r w:rsidRPr="004E6076">
              <w:t> Cita informācija</w:t>
            </w:r>
          </w:p>
        </w:tc>
        <w:tc>
          <w:tcPr>
            <w:tcW w:w="5924" w:type="dxa"/>
            <w:gridSpan w:val="4"/>
          </w:tcPr>
          <w:p w:rsidR="002244EF" w:rsidRPr="004E6076" w:rsidRDefault="002244EF" w:rsidP="001568F0">
            <w:pPr>
              <w:pStyle w:val="naiskr"/>
              <w:jc w:val="both"/>
            </w:pPr>
            <w:r w:rsidRPr="004E6076">
              <w:t> Nav</w:t>
            </w:r>
          </w:p>
        </w:tc>
      </w:tr>
      <w:tr w:rsidR="002244EF" w:rsidRPr="004E6076" w:rsidTr="004953A3">
        <w:tc>
          <w:tcPr>
            <w:tcW w:w="516" w:type="dxa"/>
          </w:tcPr>
          <w:p w:rsidR="002244EF" w:rsidRPr="004E6076" w:rsidRDefault="002244EF" w:rsidP="00457486">
            <w:pPr>
              <w:pStyle w:val="naiskr"/>
            </w:pPr>
          </w:p>
        </w:tc>
        <w:tc>
          <w:tcPr>
            <w:tcW w:w="8999" w:type="dxa"/>
            <w:gridSpan w:val="7"/>
          </w:tcPr>
          <w:p w:rsidR="002244EF" w:rsidRPr="004E6076" w:rsidRDefault="002244EF" w:rsidP="001568F0">
            <w:pPr>
              <w:pStyle w:val="naiskr"/>
              <w:jc w:val="both"/>
            </w:pPr>
          </w:p>
        </w:tc>
      </w:tr>
      <w:tr w:rsidR="002244EF" w:rsidRPr="004E6076" w:rsidTr="004953A3">
        <w:tc>
          <w:tcPr>
            <w:tcW w:w="9515" w:type="dxa"/>
            <w:gridSpan w:val="8"/>
          </w:tcPr>
          <w:p w:rsidR="002244EF" w:rsidRPr="004E6076" w:rsidRDefault="002244EF" w:rsidP="00514811">
            <w:pPr>
              <w:ind w:left="142"/>
              <w:jc w:val="center"/>
            </w:pPr>
            <w:r w:rsidRPr="004E6076">
              <w:rPr>
                <w:sz w:val="22"/>
                <w:szCs w:val="22"/>
              </w:rPr>
              <w:br w:type="page"/>
            </w:r>
          </w:p>
          <w:p w:rsidR="002244EF" w:rsidRPr="004E6076" w:rsidRDefault="002244EF" w:rsidP="00514811">
            <w:pPr>
              <w:ind w:left="142"/>
              <w:jc w:val="center"/>
              <w:rPr>
                <w:b/>
                <w:i/>
              </w:rPr>
            </w:pPr>
            <w:r w:rsidRPr="004E6076">
              <w:rPr>
                <w:b/>
                <w:bCs/>
              </w:rPr>
              <w:t>III. Tiesību akta projekta ietekme uz valsts budžetu un pašvaldību budžetiem</w:t>
            </w:r>
          </w:p>
        </w:tc>
      </w:tr>
      <w:tr w:rsidR="002244EF" w:rsidRPr="004E6076" w:rsidTr="004953A3">
        <w:tc>
          <w:tcPr>
            <w:tcW w:w="4739" w:type="dxa"/>
            <w:gridSpan w:val="5"/>
          </w:tcPr>
          <w:p w:rsidR="002244EF" w:rsidRPr="004E6076" w:rsidRDefault="002244EF" w:rsidP="00514811">
            <w:pPr>
              <w:pStyle w:val="naisf"/>
              <w:spacing w:before="0" w:after="0"/>
              <w:ind w:left="142"/>
              <w:rPr>
                <w:b/>
                <w:i/>
              </w:rPr>
            </w:pPr>
          </w:p>
        </w:tc>
        <w:tc>
          <w:tcPr>
            <w:tcW w:w="4776" w:type="dxa"/>
            <w:gridSpan w:val="3"/>
          </w:tcPr>
          <w:p w:rsidR="002244EF" w:rsidRPr="004E6076" w:rsidRDefault="002244EF" w:rsidP="00514811">
            <w:pPr>
              <w:ind w:left="142"/>
              <w:jc w:val="center"/>
            </w:pPr>
            <w:r w:rsidRPr="004E6076">
              <w:t>(tūkst</w:t>
            </w:r>
            <w:smartTag w:uri="schemas-tilde-lv/tildestengine" w:element="phone">
              <w:smartTagPr>
                <w:attr w:name="currency_text" w:val="latu"/>
                <w:attr w:name="currency_value" w:val="."/>
                <w:attr w:name="currency_key" w:val="LVL"/>
                <w:attr w:name="currency_id" w:val="48"/>
              </w:smartTagPr>
              <w:r w:rsidRPr="004E6076">
                <w:t>. latu</w:t>
              </w:r>
            </w:smartTag>
            <w:r w:rsidRPr="004E6076">
              <w:t>)</w:t>
            </w:r>
          </w:p>
        </w:tc>
      </w:tr>
      <w:tr w:rsidR="002244EF" w:rsidRPr="004E6076" w:rsidTr="004953A3">
        <w:tc>
          <w:tcPr>
            <w:tcW w:w="2216" w:type="dxa"/>
            <w:gridSpan w:val="2"/>
            <w:vMerge w:val="restart"/>
          </w:tcPr>
          <w:p w:rsidR="002244EF" w:rsidRPr="004E6076" w:rsidRDefault="002244EF" w:rsidP="00514811">
            <w:pPr>
              <w:pStyle w:val="naisf"/>
              <w:spacing w:before="0" w:after="0"/>
              <w:ind w:left="142"/>
              <w:jc w:val="center"/>
            </w:pPr>
            <w:r w:rsidRPr="004E6076">
              <w:t>Rādītāji</w:t>
            </w:r>
          </w:p>
          <w:p w:rsidR="002244EF" w:rsidRPr="004E6076" w:rsidRDefault="002244EF" w:rsidP="00514811">
            <w:pPr>
              <w:pStyle w:val="naisf"/>
              <w:spacing w:before="0" w:after="0"/>
              <w:ind w:left="142"/>
              <w:jc w:val="center"/>
              <w:rPr>
                <w:b/>
              </w:rPr>
            </w:pPr>
          </w:p>
        </w:tc>
        <w:tc>
          <w:tcPr>
            <w:tcW w:w="2523" w:type="dxa"/>
            <w:gridSpan w:val="3"/>
            <w:vMerge w:val="restart"/>
          </w:tcPr>
          <w:p w:rsidR="002244EF" w:rsidRPr="004E6076" w:rsidRDefault="002244EF" w:rsidP="00D353F3">
            <w:pPr>
              <w:pStyle w:val="naisf"/>
              <w:spacing w:before="0" w:after="0"/>
              <w:ind w:left="142"/>
              <w:jc w:val="center"/>
            </w:pPr>
            <w:r w:rsidRPr="004E6076">
              <w:t>201</w:t>
            </w:r>
            <w:r w:rsidR="00D353F3">
              <w:t>3</w:t>
            </w:r>
          </w:p>
        </w:tc>
        <w:tc>
          <w:tcPr>
            <w:tcW w:w="4776" w:type="dxa"/>
            <w:gridSpan w:val="3"/>
          </w:tcPr>
          <w:p w:rsidR="002244EF" w:rsidRPr="004E6076" w:rsidRDefault="002244EF" w:rsidP="00514811">
            <w:pPr>
              <w:pStyle w:val="naisf"/>
              <w:spacing w:before="0" w:after="0"/>
              <w:ind w:left="142"/>
              <w:jc w:val="center"/>
              <w:rPr>
                <w:i/>
              </w:rPr>
            </w:pPr>
            <w:r w:rsidRPr="004E6076">
              <w:t>Turpmākie trīs gadi</w:t>
            </w:r>
          </w:p>
        </w:tc>
      </w:tr>
      <w:tr w:rsidR="002244EF" w:rsidRPr="004E6076" w:rsidTr="004953A3">
        <w:tc>
          <w:tcPr>
            <w:tcW w:w="2216" w:type="dxa"/>
            <w:gridSpan w:val="2"/>
            <w:vMerge/>
          </w:tcPr>
          <w:p w:rsidR="002244EF" w:rsidRPr="004E6076" w:rsidRDefault="002244EF" w:rsidP="00514811">
            <w:pPr>
              <w:ind w:left="142"/>
              <w:rPr>
                <w:b/>
              </w:rPr>
            </w:pPr>
          </w:p>
        </w:tc>
        <w:tc>
          <w:tcPr>
            <w:tcW w:w="2523" w:type="dxa"/>
            <w:gridSpan w:val="3"/>
            <w:vMerge/>
          </w:tcPr>
          <w:p w:rsidR="002244EF" w:rsidRPr="004E6076" w:rsidRDefault="002244EF" w:rsidP="00514811">
            <w:pPr>
              <w:ind w:left="142"/>
            </w:pPr>
          </w:p>
        </w:tc>
        <w:tc>
          <w:tcPr>
            <w:tcW w:w="1292" w:type="dxa"/>
          </w:tcPr>
          <w:p w:rsidR="002244EF" w:rsidRPr="004E6076" w:rsidRDefault="002244EF" w:rsidP="00D353F3">
            <w:pPr>
              <w:pStyle w:val="naisf"/>
              <w:spacing w:before="0" w:after="0"/>
              <w:ind w:left="142"/>
              <w:jc w:val="center"/>
              <w:rPr>
                <w:i/>
              </w:rPr>
            </w:pPr>
            <w:r w:rsidRPr="004E6076">
              <w:rPr>
                <w:bCs/>
              </w:rPr>
              <w:t>201</w:t>
            </w:r>
            <w:r w:rsidR="00D353F3">
              <w:rPr>
                <w:bCs/>
              </w:rPr>
              <w:t>4</w:t>
            </w:r>
          </w:p>
        </w:tc>
        <w:tc>
          <w:tcPr>
            <w:tcW w:w="1292" w:type="dxa"/>
          </w:tcPr>
          <w:p w:rsidR="002244EF" w:rsidRPr="004E6076" w:rsidRDefault="002244EF" w:rsidP="00D353F3">
            <w:pPr>
              <w:pStyle w:val="naisf"/>
              <w:spacing w:before="0" w:after="0"/>
              <w:ind w:left="142"/>
              <w:jc w:val="center"/>
              <w:rPr>
                <w:i/>
              </w:rPr>
            </w:pPr>
            <w:r w:rsidRPr="004E6076">
              <w:rPr>
                <w:bCs/>
              </w:rPr>
              <w:t>201</w:t>
            </w:r>
            <w:r w:rsidR="00D353F3">
              <w:rPr>
                <w:bCs/>
              </w:rPr>
              <w:t>5</w:t>
            </w:r>
          </w:p>
        </w:tc>
        <w:tc>
          <w:tcPr>
            <w:tcW w:w="2192" w:type="dxa"/>
          </w:tcPr>
          <w:p w:rsidR="002244EF" w:rsidRPr="004E6076" w:rsidRDefault="002244EF" w:rsidP="00D353F3">
            <w:pPr>
              <w:pStyle w:val="naisf"/>
              <w:spacing w:before="0" w:after="0"/>
              <w:ind w:left="142"/>
              <w:jc w:val="center"/>
              <w:rPr>
                <w:i/>
              </w:rPr>
            </w:pPr>
            <w:r w:rsidRPr="004E6076">
              <w:rPr>
                <w:bCs/>
              </w:rPr>
              <w:t>201</w:t>
            </w:r>
            <w:r w:rsidR="00D353F3">
              <w:rPr>
                <w:bCs/>
              </w:rPr>
              <w:t>6</w:t>
            </w:r>
          </w:p>
        </w:tc>
      </w:tr>
      <w:tr w:rsidR="002244EF" w:rsidRPr="004E6076" w:rsidTr="004953A3">
        <w:tc>
          <w:tcPr>
            <w:tcW w:w="2216" w:type="dxa"/>
            <w:gridSpan w:val="2"/>
            <w:vMerge/>
          </w:tcPr>
          <w:p w:rsidR="002244EF" w:rsidRPr="004E6076" w:rsidRDefault="002244EF" w:rsidP="00514811">
            <w:pPr>
              <w:ind w:left="142"/>
              <w:rPr>
                <w:b/>
              </w:rPr>
            </w:pPr>
          </w:p>
        </w:tc>
        <w:tc>
          <w:tcPr>
            <w:tcW w:w="1231" w:type="dxa"/>
          </w:tcPr>
          <w:p w:rsidR="002244EF" w:rsidRPr="004E6076" w:rsidRDefault="002244EF" w:rsidP="00514811">
            <w:pPr>
              <w:pStyle w:val="naisf"/>
              <w:spacing w:before="0" w:after="0"/>
              <w:ind w:left="142"/>
              <w:jc w:val="center"/>
            </w:pPr>
            <w:r w:rsidRPr="004E6076">
              <w:t>Saskaņā ar valsts budžetu kārtējam gadam</w:t>
            </w:r>
          </w:p>
          <w:p w:rsidR="002244EF" w:rsidRPr="004E6076" w:rsidRDefault="002244EF" w:rsidP="00514811">
            <w:pPr>
              <w:pStyle w:val="naisf"/>
              <w:spacing w:before="0" w:after="0"/>
              <w:ind w:left="142"/>
              <w:jc w:val="center"/>
              <w:rPr>
                <w:b/>
                <w:i/>
              </w:rPr>
            </w:pPr>
          </w:p>
        </w:tc>
        <w:tc>
          <w:tcPr>
            <w:tcW w:w="1292" w:type="dxa"/>
            <w:gridSpan w:val="2"/>
          </w:tcPr>
          <w:p w:rsidR="002244EF" w:rsidRPr="004E6076" w:rsidRDefault="002244EF" w:rsidP="00514811">
            <w:pPr>
              <w:pStyle w:val="naisf"/>
              <w:spacing w:before="0" w:after="0"/>
              <w:ind w:left="142"/>
              <w:jc w:val="center"/>
            </w:pPr>
            <w:r w:rsidRPr="004E6076">
              <w:t>Izmaiņas kārtējā gadā</w:t>
            </w:r>
            <w:r w:rsidR="00474492">
              <w:t>,</w:t>
            </w:r>
            <w:r w:rsidRPr="004E6076">
              <w:t xml:space="preserve"> salīdzinot ar budžetu kārtējam gadam</w:t>
            </w:r>
          </w:p>
          <w:p w:rsidR="002244EF" w:rsidRPr="004E6076" w:rsidRDefault="002244EF" w:rsidP="00514811">
            <w:pPr>
              <w:pStyle w:val="naisf"/>
              <w:spacing w:before="0" w:after="0"/>
              <w:ind w:left="142"/>
              <w:jc w:val="center"/>
              <w:rPr>
                <w:b/>
                <w:i/>
              </w:rPr>
            </w:pPr>
          </w:p>
        </w:tc>
        <w:tc>
          <w:tcPr>
            <w:tcW w:w="1292" w:type="dxa"/>
          </w:tcPr>
          <w:p w:rsidR="002244EF" w:rsidRPr="004E6076" w:rsidRDefault="002244EF" w:rsidP="00514811">
            <w:pPr>
              <w:pStyle w:val="naisf"/>
              <w:spacing w:before="0" w:after="0"/>
              <w:ind w:left="142"/>
              <w:jc w:val="center"/>
            </w:pPr>
            <w:r w:rsidRPr="004E6076">
              <w:t>Izmaiņas</w:t>
            </w:r>
            <w:r w:rsidR="00474492">
              <w:t>,</w:t>
            </w:r>
            <w:r w:rsidRPr="004E6076">
              <w:t xml:space="preserve"> salīdzinot ar kārtējo (n) gadu</w:t>
            </w:r>
          </w:p>
          <w:p w:rsidR="002244EF" w:rsidRPr="004E6076" w:rsidRDefault="002244EF" w:rsidP="00514811">
            <w:pPr>
              <w:pStyle w:val="naisf"/>
              <w:spacing w:before="0" w:after="0"/>
              <w:ind w:left="142"/>
              <w:jc w:val="center"/>
              <w:rPr>
                <w:b/>
                <w:i/>
              </w:rPr>
            </w:pPr>
          </w:p>
        </w:tc>
        <w:tc>
          <w:tcPr>
            <w:tcW w:w="1292" w:type="dxa"/>
          </w:tcPr>
          <w:p w:rsidR="002244EF" w:rsidRPr="004E6076" w:rsidRDefault="002244EF" w:rsidP="00514811">
            <w:pPr>
              <w:pStyle w:val="naisf"/>
              <w:spacing w:before="0" w:after="0"/>
              <w:ind w:left="142"/>
              <w:jc w:val="center"/>
            </w:pPr>
            <w:r w:rsidRPr="004E6076">
              <w:t>Izmaiņas</w:t>
            </w:r>
            <w:r w:rsidR="00474492">
              <w:t>,</w:t>
            </w:r>
            <w:r w:rsidRPr="004E6076">
              <w:t xml:space="preserve"> salīdzinot ar kārtējo (n) gadu</w:t>
            </w:r>
          </w:p>
          <w:p w:rsidR="002244EF" w:rsidRPr="004E6076" w:rsidRDefault="002244EF" w:rsidP="00514811">
            <w:pPr>
              <w:pStyle w:val="naisf"/>
              <w:spacing w:before="0" w:after="0"/>
              <w:ind w:left="142"/>
              <w:jc w:val="center"/>
              <w:rPr>
                <w:b/>
                <w:i/>
              </w:rPr>
            </w:pPr>
          </w:p>
        </w:tc>
        <w:tc>
          <w:tcPr>
            <w:tcW w:w="2192" w:type="dxa"/>
          </w:tcPr>
          <w:p w:rsidR="002244EF" w:rsidRPr="004E6076" w:rsidRDefault="002244EF" w:rsidP="00514811">
            <w:pPr>
              <w:pStyle w:val="naisf"/>
              <w:spacing w:before="0" w:after="0"/>
              <w:ind w:left="142"/>
              <w:jc w:val="center"/>
            </w:pPr>
            <w:r w:rsidRPr="004E6076">
              <w:t>Izmaiņas</w:t>
            </w:r>
            <w:r w:rsidR="00474492">
              <w:t>,</w:t>
            </w:r>
            <w:r w:rsidRPr="004E6076">
              <w:t xml:space="preserve"> salīdzinot ar kārtējo (n) gadu</w:t>
            </w:r>
          </w:p>
          <w:p w:rsidR="002244EF" w:rsidRPr="004E6076" w:rsidRDefault="002244EF" w:rsidP="00514811">
            <w:pPr>
              <w:pStyle w:val="naisf"/>
              <w:spacing w:before="0" w:after="0"/>
              <w:ind w:left="142"/>
              <w:jc w:val="center"/>
              <w:rPr>
                <w:b/>
                <w:i/>
              </w:rPr>
            </w:pPr>
          </w:p>
        </w:tc>
      </w:tr>
      <w:tr w:rsidR="002244EF" w:rsidRPr="004E6076" w:rsidTr="004953A3">
        <w:tc>
          <w:tcPr>
            <w:tcW w:w="2216" w:type="dxa"/>
            <w:gridSpan w:val="2"/>
          </w:tcPr>
          <w:p w:rsidR="002244EF" w:rsidRPr="004E6076" w:rsidRDefault="002244EF" w:rsidP="00514811">
            <w:pPr>
              <w:pStyle w:val="naisf"/>
              <w:spacing w:before="0" w:after="0"/>
              <w:ind w:left="142"/>
              <w:jc w:val="center"/>
            </w:pPr>
            <w:r w:rsidRPr="004E6076">
              <w:t>1</w:t>
            </w:r>
          </w:p>
        </w:tc>
        <w:tc>
          <w:tcPr>
            <w:tcW w:w="1231" w:type="dxa"/>
          </w:tcPr>
          <w:p w:rsidR="002244EF" w:rsidRPr="004E6076" w:rsidRDefault="002244EF" w:rsidP="00514811">
            <w:pPr>
              <w:pStyle w:val="naisf"/>
              <w:spacing w:before="0" w:after="0"/>
              <w:ind w:left="142"/>
              <w:jc w:val="center"/>
            </w:pPr>
            <w:r w:rsidRPr="004E6076">
              <w:t>2</w:t>
            </w:r>
          </w:p>
        </w:tc>
        <w:tc>
          <w:tcPr>
            <w:tcW w:w="1292" w:type="dxa"/>
            <w:gridSpan w:val="2"/>
          </w:tcPr>
          <w:p w:rsidR="002244EF" w:rsidRPr="004E6076" w:rsidRDefault="002244EF" w:rsidP="00514811">
            <w:pPr>
              <w:pStyle w:val="naisf"/>
              <w:spacing w:before="0" w:after="0"/>
              <w:ind w:left="142"/>
              <w:jc w:val="center"/>
            </w:pPr>
            <w:r w:rsidRPr="004E6076">
              <w:t>3</w:t>
            </w:r>
          </w:p>
        </w:tc>
        <w:tc>
          <w:tcPr>
            <w:tcW w:w="1292" w:type="dxa"/>
          </w:tcPr>
          <w:p w:rsidR="002244EF" w:rsidRPr="004E6076" w:rsidRDefault="002244EF" w:rsidP="00514811">
            <w:pPr>
              <w:pStyle w:val="naisf"/>
              <w:spacing w:before="0" w:after="0"/>
              <w:ind w:left="142"/>
              <w:jc w:val="center"/>
            </w:pPr>
            <w:r w:rsidRPr="004E6076">
              <w:t>4</w:t>
            </w:r>
          </w:p>
        </w:tc>
        <w:tc>
          <w:tcPr>
            <w:tcW w:w="1292" w:type="dxa"/>
          </w:tcPr>
          <w:p w:rsidR="002244EF" w:rsidRPr="004E6076" w:rsidRDefault="002244EF" w:rsidP="00514811">
            <w:pPr>
              <w:pStyle w:val="naisf"/>
              <w:spacing w:before="0" w:after="0"/>
              <w:ind w:left="142"/>
              <w:jc w:val="center"/>
            </w:pPr>
            <w:r w:rsidRPr="004E6076">
              <w:t>5</w:t>
            </w:r>
          </w:p>
        </w:tc>
        <w:tc>
          <w:tcPr>
            <w:tcW w:w="2192" w:type="dxa"/>
          </w:tcPr>
          <w:p w:rsidR="002244EF" w:rsidRPr="004E6076" w:rsidRDefault="002244EF" w:rsidP="00514811">
            <w:pPr>
              <w:pStyle w:val="naisf"/>
              <w:spacing w:before="0" w:after="0"/>
              <w:ind w:left="142"/>
              <w:jc w:val="center"/>
            </w:pPr>
            <w:r w:rsidRPr="004E6076">
              <w:t>6</w:t>
            </w:r>
          </w:p>
        </w:tc>
      </w:tr>
      <w:tr w:rsidR="002244EF" w:rsidRPr="004E6076" w:rsidTr="004953A3">
        <w:tc>
          <w:tcPr>
            <w:tcW w:w="2216" w:type="dxa"/>
            <w:gridSpan w:val="2"/>
          </w:tcPr>
          <w:p w:rsidR="002244EF" w:rsidRPr="004E6076" w:rsidRDefault="002244EF" w:rsidP="00514811">
            <w:pPr>
              <w:pStyle w:val="naisf"/>
              <w:spacing w:before="0" w:after="0"/>
              <w:ind w:left="142"/>
              <w:rPr>
                <w:i/>
              </w:rPr>
            </w:pPr>
            <w:r w:rsidRPr="004E6076">
              <w:t>1. Budžeta ieņēmumi:</w:t>
            </w:r>
          </w:p>
        </w:tc>
        <w:tc>
          <w:tcPr>
            <w:tcW w:w="1231" w:type="dxa"/>
          </w:tcPr>
          <w:p w:rsidR="002244EF" w:rsidRPr="004E6076" w:rsidRDefault="002244EF" w:rsidP="00514811">
            <w:pPr>
              <w:pStyle w:val="naisf"/>
              <w:spacing w:before="0" w:after="0"/>
              <w:ind w:left="142"/>
              <w:jc w:val="center"/>
            </w:pPr>
            <w:r w:rsidRPr="004E6076">
              <w:t>0</w:t>
            </w:r>
          </w:p>
        </w:tc>
        <w:tc>
          <w:tcPr>
            <w:tcW w:w="1292" w:type="dxa"/>
            <w:gridSpan w:val="2"/>
          </w:tcPr>
          <w:p w:rsidR="002244EF" w:rsidRPr="004E6076" w:rsidRDefault="002244EF" w:rsidP="00514811">
            <w:pPr>
              <w:pStyle w:val="naisf"/>
              <w:spacing w:before="0" w:after="0"/>
              <w:ind w:left="142"/>
              <w:jc w:val="center"/>
            </w:pPr>
            <w:r w:rsidRPr="004E6076">
              <w:t>0</w:t>
            </w:r>
          </w:p>
        </w:tc>
        <w:tc>
          <w:tcPr>
            <w:tcW w:w="1292" w:type="dxa"/>
          </w:tcPr>
          <w:p w:rsidR="002244EF" w:rsidRPr="004E6076" w:rsidRDefault="002244EF" w:rsidP="00514811">
            <w:pPr>
              <w:pStyle w:val="naisf"/>
              <w:spacing w:before="0" w:after="0"/>
              <w:ind w:left="142"/>
              <w:jc w:val="center"/>
            </w:pPr>
            <w:r w:rsidRPr="004E6076">
              <w:t>0</w:t>
            </w:r>
          </w:p>
        </w:tc>
        <w:tc>
          <w:tcPr>
            <w:tcW w:w="1292" w:type="dxa"/>
          </w:tcPr>
          <w:p w:rsidR="002244EF" w:rsidRPr="004E6076" w:rsidRDefault="002244EF" w:rsidP="00514811">
            <w:pPr>
              <w:pStyle w:val="naisf"/>
              <w:spacing w:before="0" w:after="0"/>
              <w:ind w:left="142"/>
              <w:jc w:val="center"/>
            </w:pPr>
            <w:r w:rsidRPr="004E6076">
              <w:t>0</w:t>
            </w:r>
          </w:p>
        </w:tc>
        <w:tc>
          <w:tcPr>
            <w:tcW w:w="2192" w:type="dxa"/>
          </w:tcPr>
          <w:p w:rsidR="002244EF" w:rsidRPr="004E6076" w:rsidRDefault="002244EF" w:rsidP="00514811">
            <w:pPr>
              <w:pStyle w:val="naisf"/>
              <w:spacing w:before="0" w:after="0"/>
              <w:ind w:left="142"/>
              <w:jc w:val="center"/>
            </w:pPr>
            <w:r w:rsidRPr="004E6076">
              <w:t>0</w:t>
            </w:r>
          </w:p>
        </w:tc>
      </w:tr>
      <w:tr w:rsidR="002244EF" w:rsidRPr="004E6076" w:rsidTr="004953A3">
        <w:tc>
          <w:tcPr>
            <w:tcW w:w="2216" w:type="dxa"/>
            <w:gridSpan w:val="2"/>
          </w:tcPr>
          <w:p w:rsidR="002244EF" w:rsidRPr="004E6076" w:rsidRDefault="002244EF" w:rsidP="00514811">
            <w:pPr>
              <w:pStyle w:val="naisf"/>
              <w:spacing w:before="0" w:after="0"/>
              <w:ind w:left="142"/>
              <w:rPr>
                <w:i/>
              </w:rPr>
            </w:pPr>
            <w:r w:rsidRPr="004E6076">
              <w:t>1.1. valsts pamatbudžets, tai skaitā ieņēmumi no maksas pakalpojumiem un citi pašu ieņēmumi;</w:t>
            </w:r>
          </w:p>
        </w:tc>
        <w:tc>
          <w:tcPr>
            <w:tcW w:w="1231" w:type="dxa"/>
          </w:tcPr>
          <w:p w:rsidR="002244EF" w:rsidRPr="004E6076" w:rsidRDefault="00ED5321" w:rsidP="00ED5321">
            <w:pPr>
              <w:pStyle w:val="naisf"/>
              <w:spacing w:before="0" w:after="0"/>
              <w:ind w:left="142"/>
              <w:jc w:val="center"/>
            </w:pPr>
            <w:r>
              <w:t>0</w:t>
            </w:r>
          </w:p>
        </w:tc>
        <w:tc>
          <w:tcPr>
            <w:tcW w:w="1292" w:type="dxa"/>
            <w:gridSpan w:val="2"/>
          </w:tcPr>
          <w:p w:rsidR="002244EF" w:rsidRPr="004E6076" w:rsidRDefault="00ED5321" w:rsidP="00ED5321">
            <w:pPr>
              <w:pStyle w:val="naisf"/>
              <w:spacing w:before="0" w:after="0"/>
              <w:ind w:left="142"/>
              <w:jc w:val="center"/>
            </w:pPr>
            <w:r>
              <w:t>0</w:t>
            </w:r>
          </w:p>
        </w:tc>
        <w:tc>
          <w:tcPr>
            <w:tcW w:w="1292" w:type="dxa"/>
          </w:tcPr>
          <w:p w:rsidR="002244EF" w:rsidRPr="004E6076" w:rsidRDefault="00ED5321" w:rsidP="00ED5321">
            <w:pPr>
              <w:pStyle w:val="naisf"/>
              <w:spacing w:before="0" w:after="0"/>
              <w:ind w:left="142"/>
              <w:jc w:val="center"/>
            </w:pPr>
            <w:r>
              <w:t>0</w:t>
            </w:r>
          </w:p>
        </w:tc>
        <w:tc>
          <w:tcPr>
            <w:tcW w:w="1292" w:type="dxa"/>
          </w:tcPr>
          <w:p w:rsidR="002244EF" w:rsidRPr="004E6076" w:rsidRDefault="00ED5321" w:rsidP="00ED5321">
            <w:pPr>
              <w:pStyle w:val="naisf"/>
              <w:spacing w:before="0" w:after="0"/>
              <w:ind w:left="142"/>
              <w:jc w:val="center"/>
            </w:pPr>
            <w:r>
              <w:t>0</w:t>
            </w:r>
          </w:p>
        </w:tc>
        <w:tc>
          <w:tcPr>
            <w:tcW w:w="2192" w:type="dxa"/>
          </w:tcPr>
          <w:p w:rsidR="002244EF" w:rsidRPr="004E6076" w:rsidRDefault="00ED5321" w:rsidP="00ED5321">
            <w:pPr>
              <w:pStyle w:val="naisf"/>
              <w:spacing w:before="0" w:after="0"/>
              <w:ind w:left="142"/>
              <w:jc w:val="center"/>
            </w:pPr>
            <w:r>
              <w:t>0</w:t>
            </w:r>
          </w:p>
        </w:tc>
      </w:tr>
      <w:tr w:rsidR="002244EF" w:rsidRPr="004E6076" w:rsidTr="004953A3">
        <w:tc>
          <w:tcPr>
            <w:tcW w:w="2216" w:type="dxa"/>
            <w:gridSpan w:val="2"/>
          </w:tcPr>
          <w:p w:rsidR="002244EF" w:rsidRPr="004E6076" w:rsidRDefault="002244EF" w:rsidP="00514811">
            <w:pPr>
              <w:pStyle w:val="naisf"/>
              <w:spacing w:before="0" w:after="0"/>
              <w:ind w:left="142"/>
              <w:rPr>
                <w:i/>
              </w:rPr>
            </w:pPr>
            <w:r w:rsidRPr="004E6076">
              <w:t>1.2. valsts speciālais budžets;</w:t>
            </w:r>
          </w:p>
        </w:tc>
        <w:tc>
          <w:tcPr>
            <w:tcW w:w="1231" w:type="dxa"/>
          </w:tcPr>
          <w:p w:rsidR="002244EF" w:rsidRPr="004E6076" w:rsidRDefault="00ED5321" w:rsidP="00ED5321">
            <w:pPr>
              <w:pStyle w:val="naisf"/>
              <w:spacing w:before="0" w:after="0"/>
              <w:ind w:left="142"/>
              <w:jc w:val="center"/>
            </w:pPr>
            <w:r>
              <w:t>0</w:t>
            </w:r>
          </w:p>
        </w:tc>
        <w:tc>
          <w:tcPr>
            <w:tcW w:w="1292" w:type="dxa"/>
            <w:gridSpan w:val="2"/>
          </w:tcPr>
          <w:p w:rsidR="002244EF" w:rsidRPr="004E6076" w:rsidRDefault="00ED5321" w:rsidP="00ED5321">
            <w:pPr>
              <w:pStyle w:val="naisf"/>
              <w:spacing w:before="0" w:after="0"/>
              <w:ind w:left="142"/>
              <w:jc w:val="center"/>
            </w:pPr>
            <w:r>
              <w:t>0</w:t>
            </w:r>
          </w:p>
        </w:tc>
        <w:tc>
          <w:tcPr>
            <w:tcW w:w="1292" w:type="dxa"/>
          </w:tcPr>
          <w:p w:rsidR="002244EF" w:rsidRPr="004E6076" w:rsidRDefault="00ED5321" w:rsidP="00ED5321">
            <w:pPr>
              <w:pStyle w:val="naisf"/>
              <w:spacing w:before="0" w:after="0"/>
              <w:ind w:left="142"/>
              <w:jc w:val="center"/>
            </w:pPr>
            <w:r>
              <w:t>0</w:t>
            </w:r>
          </w:p>
        </w:tc>
        <w:tc>
          <w:tcPr>
            <w:tcW w:w="1292" w:type="dxa"/>
          </w:tcPr>
          <w:p w:rsidR="002244EF" w:rsidRPr="004E6076" w:rsidRDefault="00ED5321" w:rsidP="00ED5321">
            <w:pPr>
              <w:pStyle w:val="naisf"/>
              <w:spacing w:before="0" w:after="0"/>
              <w:ind w:left="142"/>
              <w:jc w:val="center"/>
            </w:pPr>
            <w:r>
              <w:t>0</w:t>
            </w:r>
          </w:p>
        </w:tc>
        <w:tc>
          <w:tcPr>
            <w:tcW w:w="2192" w:type="dxa"/>
          </w:tcPr>
          <w:p w:rsidR="002244EF" w:rsidRPr="004E6076" w:rsidRDefault="00ED5321" w:rsidP="00ED5321">
            <w:pPr>
              <w:pStyle w:val="naisf"/>
              <w:spacing w:before="0" w:after="0"/>
              <w:ind w:left="142"/>
              <w:jc w:val="center"/>
            </w:pPr>
            <w:r>
              <w:t>0</w:t>
            </w:r>
          </w:p>
        </w:tc>
      </w:tr>
      <w:tr w:rsidR="002244EF" w:rsidRPr="004E6076" w:rsidTr="002A1E83">
        <w:trPr>
          <w:trHeight w:val="550"/>
        </w:trPr>
        <w:tc>
          <w:tcPr>
            <w:tcW w:w="2216" w:type="dxa"/>
            <w:gridSpan w:val="2"/>
          </w:tcPr>
          <w:p w:rsidR="002244EF" w:rsidRPr="004E6076" w:rsidRDefault="002244EF" w:rsidP="00514811">
            <w:pPr>
              <w:pStyle w:val="naisf"/>
              <w:spacing w:before="0" w:after="0"/>
              <w:ind w:left="142"/>
              <w:rPr>
                <w:i/>
              </w:rPr>
            </w:pPr>
            <w:r w:rsidRPr="004E6076">
              <w:t>1.3. pašvaldību budžets</w:t>
            </w:r>
          </w:p>
        </w:tc>
        <w:tc>
          <w:tcPr>
            <w:tcW w:w="1231" w:type="dxa"/>
          </w:tcPr>
          <w:p w:rsidR="002244EF" w:rsidRPr="004E6076" w:rsidRDefault="00ED5321" w:rsidP="00ED5321">
            <w:pPr>
              <w:pStyle w:val="naisf"/>
              <w:spacing w:before="0" w:after="0"/>
              <w:ind w:left="142"/>
              <w:jc w:val="center"/>
            </w:pPr>
            <w:r>
              <w:t>0</w:t>
            </w:r>
          </w:p>
        </w:tc>
        <w:tc>
          <w:tcPr>
            <w:tcW w:w="1292" w:type="dxa"/>
            <w:gridSpan w:val="2"/>
          </w:tcPr>
          <w:p w:rsidR="002244EF" w:rsidRPr="004E6076" w:rsidRDefault="00ED5321" w:rsidP="00ED5321">
            <w:pPr>
              <w:pStyle w:val="naisf"/>
              <w:spacing w:before="0" w:after="0"/>
              <w:ind w:left="142"/>
              <w:jc w:val="center"/>
            </w:pPr>
            <w:r>
              <w:t>0</w:t>
            </w:r>
          </w:p>
        </w:tc>
        <w:tc>
          <w:tcPr>
            <w:tcW w:w="1292" w:type="dxa"/>
          </w:tcPr>
          <w:p w:rsidR="002244EF" w:rsidRPr="004E6076" w:rsidRDefault="00ED5321" w:rsidP="00ED5321">
            <w:pPr>
              <w:pStyle w:val="naisf"/>
              <w:spacing w:before="0" w:after="0"/>
              <w:ind w:left="142"/>
              <w:jc w:val="center"/>
            </w:pPr>
            <w:r>
              <w:t>0</w:t>
            </w:r>
          </w:p>
        </w:tc>
        <w:tc>
          <w:tcPr>
            <w:tcW w:w="1292" w:type="dxa"/>
          </w:tcPr>
          <w:p w:rsidR="002244EF" w:rsidRPr="004E6076" w:rsidRDefault="00ED5321" w:rsidP="00ED5321">
            <w:pPr>
              <w:pStyle w:val="naisf"/>
              <w:spacing w:before="0" w:after="0"/>
              <w:ind w:left="142"/>
              <w:jc w:val="center"/>
            </w:pPr>
            <w:r>
              <w:t>0</w:t>
            </w:r>
          </w:p>
        </w:tc>
        <w:tc>
          <w:tcPr>
            <w:tcW w:w="2192" w:type="dxa"/>
          </w:tcPr>
          <w:p w:rsidR="002244EF" w:rsidRPr="004E6076" w:rsidRDefault="00ED5321" w:rsidP="00ED5321">
            <w:pPr>
              <w:pStyle w:val="naisf"/>
              <w:spacing w:before="0" w:after="0"/>
              <w:ind w:left="142"/>
              <w:jc w:val="center"/>
            </w:pPr>
            <w:r>
              <w:t>0</w:t>
            </w:r>
          </w:p>
        </w:tc>
      </w:tr>
      <w:tr w:rsidR="001E2BB3" w:rsidRPr="004E6076" w:rsidTr="004953A3">
        <w:tc>
          <w:tcPr>
            <w:tcW w:w="2216" w:type="dxa"/>
            <w:gridSpan w:val="2"/>
          </w:tcPr>
          <w:p w:rsidR="001E2BB3" w:rsidRPr="004E6076" w:rsidRDefault="001E2BB3" w:rsidP="00514811">
            <w:pPr>
              <w:ind w:left="142"/>
              <w:jc w:val="both"/>
            </w:pPr>
            <w:r w:rsidRPr="004E6076">
              <w:t>2. Budžeta izdevumi:</w:t>
            </w:r>
          </w:p>
        </w:tc>
        <w:tc>
          <w:tcPr>
            <w:tcW w:w="1231" w:type="dxa"/>
          </w:tcPr>
          <w:p w:rsidR="001E2BB3" w:rsidRPr="004E6076" w:rsidRDefault="001E2BB3" w:rsidP="00E57AE7">
            <w:pPr>
              <w:pStyle w:val="naisf"/>
              <w:spacing w:before="0" w:after="0"/>
              <w:ind w:left="142"/>
              <w:jc w:val="center"/>
            </w:pPr>
            <w:r w:rsidRPr="004E6076">
              <w:t>0</w:t>
            </w:r>
          </w:p>
        </w:tc>
        <w:tc>
          <w:tcPr>
            <w:tcW w:w="1292" w:type="dxa"/>
            <w:gridSpan w:val="2"/>
          </w:tcPr>
          <w:p w:rsidR="001E2BB3" w:rsidRPr="004E6076" w:rsidRDefault="00B55437" w:rsidP="00B1272E">
            <w:pPr>
              <w:pStyle w:val="naisf"/>
              <w:spacing w:before="0" w:after="0"/>
              <w:ind w:left="142"/>
              <w:jc w:val="center"/>
            </w:pPr>
            <w:r>
              <w:t>0</w:t>
            </w:r>
          </w:p>
        </w:tc>
        <w:tc>
          <w:tcPr>
            <w:tcW w:w="1292" w:type="dxa"/>
          </w:tcPr>
          <w:p w:rsidR="001E2BB3" w:rsidRPr="004E6076" w:rsidRDefault="00B1272E" w:rsidP="002A1E83">
            <w:pPr>
              <w:pStyle w:val="naisf"/>
              <w:spacing w:before="0" w:after="0"/>
              <w:ind w:left="142"/>
              <w:jc w:val="center"/>
            </w:pPr>
            <w:r>
              <w:t>0</w:t>
            </w:r>
          </w:p>
        </w:tc>
        <w:tc>
          <w:tcPr>
            <w:tcW w:w="1292" w:type="dxa"/>
          </w:tcPr>
          <w:p w:rsidR="001E2BB3" w:rsidRPr="004E6076" w:rsidRDefault="001E2BB3" w:rsidP="00E57AE7">
            <w:pPr>
              <w:pStyle w:val="naisf"/>
              <w:spacing w:before="0" w:after="0"/>
              <w:ind w:left="142"/>
              <w:jc w:val="center"/>
            </w:pPr>
            <w:r w:rsidRPr="004E6076">
              <w:t>0</w:t>
            </w:r>
          </w:p>
        </w:tc>
        <w:tc>
          <w:tcPr>
            <w:tcW w:w="2192" w:type="dxa"/>
          </w:tcPr>
          <w:p w:rsidR="001E2BB3" w:rsidRPr="004E6076" w:rsidRDefault="001E2BB3" w:rsidP="00E57AE7">
            <w:pPr>
              <w:pStyle w:val="naisf"/>
              <w:spacing w:before="0" w:after="0"/>
              <w:ind w:left="142"/>
              <w:jc w:val="center"/>
            </w:pPr>
            <w:r w:rsidRPr="004E6076">
              <w:t>0</w:t>
            </w:r>
          </w:p>
        </w:tc>
      </w:tr>
      <w:tr w:rsidR="001E2BB3" w:rsidRPr="004E6076" w:rsidTr="004953A3">
        <w:tc>
          <w:tcPr>
            <w:tcW w:w="2216" w:type="dxa"/>
            <w:gridSpan w:val="2"/>
          </w:tcPr>
          <w:p w:rsidR="001E2BB3" w:rsidRPr="004E6076" w:rsidRDefault="001E2BB3" w:rsidP="00514811">
            <w:pPr>
              <w:ind w:left="142"/>
              <w:jc w:val="both"/>
            </w:pPr>
            <w:r w:rsidRPr="004E6076">
              <w:t>2.1. valsts pamatbudžets;</w:t>
            </w:r>
          </w:p>
        </w:tc>
        <w:tc>
          <w:tcPr>
            <w:tcW w:w="1231" w:type="dxa"/>
          </w:tcPr>
          <w:p w:rsidR="001E2BB3" w:rsidRPr="004E6076" w:rsidRDefault="001E2BB3" w:rsidP="00E57AE7">
            <w:pPr>
              <w:pStyle w:val="naisf"/>
              <w:spacing w:before="0" w:after="0"/>
              <w:ind w:left="142"/>
              <w:jc w:val="center"/>
            </w:pPr>
            <w:r>
              <w:t>0</w:t>
            </w:r>
          </w:p>
        </w:tc>
        <w:tc>
          <w:tcPr>
            <w:tcW w:w="1292" w:type="dxa"/>
            <w:gridSpan w:val="2"/>
          </w:tcPr>
          <w:p w:rsidR="001E2BB3" w:rsidRPr="004E6076" w:rsidRDefault="00B55437" w:rsidP="00B1272E">
            <w:pPr>
              <w:pStyle w:val="naisf"/>
              <w:spacing w:before="0" w:after="0"/>
              <w:ind w:left="142"/>
              <w:jc w:val="center"/>
            </w:pPr>
            <w:r>
              <w:t>0</w:t>
            </w:r>
          </w:p>
        </w:tc>
        <w:tc>
          <w:tcPr>
            <w:tcW w:w="1292" w:type="dxa"/>
          </w:tcPr>
          <w:p w:rsidR="001E2BB3" w:rsidRPr="004E6076" w:rsidRDefault="00B55437" w:rsidP="00E57AE7">
            <w:pPr>
              <w:pStyle w:val="naisf"/>
              <w:spacing w:before="0" w:after="0"/>
              <w:ind w:left="142"/>
              <w:jc w:val="center"/>
            </w:pPr>
            <w:r>
              <w:t>0</w:t>
            </w:r>
          </w:p>
        </w:tc>
        <w:tc>
          <w:tcPr>
            <w:tcW w:w="1292" w:type="dxa"/>
          </w:tcPr>
          <w:p w:rsidR="001E2BB3" w:rsidRPr="004E6076" w:rsidRDefault="001E2BB3" w:rsidP="00E57AE7">
            <w:pPr>
              <w:pStyle w:val="naisf"/>
              <w:spacing w:before="0" w:after="0"/>
              <w:ind w:left="142"/>
              <w:jc w:val="center"/>
            </w:pPr>
            <w:r>
              <w:t>0</w:t>
            </w:r>
          </w:p>
        </w:tc>
        <w:tc>
          <w:tcPr>
            <w:tcW w:w="2192" w:type="dxa"/>
          </w:tcPr>
          <w:p w:rsidR="001E2BB3" w:rsidRPr="004E6076" w:rsidRDefault="001E2BB3" w:rsidP="00E57AE7">
            <w:pPr>
              <w:pStyle w:val="naisf"/>
              <w:spacing w:before="0" w:after="0"/>
              <w:ind w:left="142"/>
              <w:jc w:val="center"/>
            </w:pPr>
            <w:r>
              <w:t>0</w:t>
            </w:r>
          </w:p>
        </w:tc>
      </w:tr>
      <w:tr w:rsidR="001E2BB3" w:rsidRPr="004E6076" w:rsidTr="004953A3">
        <w:tc>
          <w:tcPr>
            <w:tcW w:w="2216" w:type="dxa"/>
            <w:gridSpan w:val="2"/>
          </w:tcPr>
          <w:p w:rsidR="001E2BB3" w:rsidRPr="004E6076" w:rsidRDefault="001E2BB3" w:rsidP="00514811">
            <w:pPr>
              <w:ind w:left="142"/>
              <w:jc w:val="both"/>
            </w:pPr>
            <w:r w:rsidRPr="004E6076">
              <w:t xml:space="preserve">2.2.valsts </w:t>
            </w:r>
            <w:r w:rsidRPr="004E6076">
              <w:lastRenderedPageBreak/>
              <w:t>speciālais budžets;</w:t>
            </w:r>
          </w:p>
        </w:tc>
        <w:tc>
          <w:tcPr>
            <w:tcW w:w="1231" w:type="dxa"/>
          </w:tcPr>
          <w:p w:rsidR="001E2BB3" w:rsidRPr="004E6076" w:rsidRDefault="001E2BB3" w:rsidP="00E57AE7">
            <w:pPr>
              <w:pStyle w:val="naisf"/>
              <w:spacing w:before="0" w:after="0"/>
              <w:ind w:left="142"/>
              <w:jc w:val="center"/>
            </w:pPr>
            <w:r>
              <w:lastRenderedPageBreak/>
              <w:t>0</w:t>
            </w:r>
          </w:p>
        </w:tc>
        <w:tc>
          <w:tcPr>
            <w:tcW w:w="1292" w:type="dxa"/>
            <w:gridSpan w:val="2"/>
          </w:tcPr>
          <w:p w:rsidR="001E2BB3" w:rsidRPr="004E6076" w:rsidRDefault="001E2BB3" w:rsidP="00E57AE7">
            <w:pPr>
              <w:pStyle w:val="naisf"/>
              <w:spacing w:before="0" w:after="0"/>
              <w:ind w:left="142"/>
              <w:jc w:val="center"/>
            </w:pPr>
            <w:r>
              <w:t>0</w:t>
            </w:r>
          </w:p>
        </w:tc>
        <w:tc>
          <w:tcPr>
            <w:tcW w:w="1292" w:type="dxa"/>
          </w:tcPr>
          <w:p w:rsidR="001E2BB3" w:rsidRPr="004E6076" w:rsidRDefault="001E2BB3" w:rsidP="00E57AE7">
            <w:pPr>
              <w:pStyle w:val="naisf"/>
              <w:spacing w:before="0" w:after="0"/>
              <w:ind w:left="142"/>
              <w:jc w:val="center"/>
            </w:pPr>
            <w:r>
              <w:t>0</w:t>
            </w:r>
          </w:p>
        </w:tc>
        <w:tc>
          <w:tcPr>
            <w:tcW w:w="1292" w:type="dxa"/>
          </w:tcPr>
          <w:p w:rsidR="001E2BB3" w:rsidRPr="004E6076" w:rsidRDefault="001E2BB3" w:rsidP="00E57AE7">
            <w:pPr>
              <w:pStyle w:val="naisf"/>
              <w:spacing w:before="0" w:after="0"/>
              <w:ind w:left="142"/>
              <w:jc w:val="center"/>
            </w:pPr>
            <w:r>
              <w:t>0</w:t>
            </w:r>
          </w:p>
        </w:tc>
        <w:tc>
          <w:tcPr>
            <w:tcW w:w="2192" w:type="dxa"/>
          </w:tcPr>
          <w:p w:rsidR="001E2BB3" w:rsidRPr="004E6076" w:rsidRDefault="001E2BB3" w:rsidP="00E57AE7">
            <w:pPr>
              <w:pStyle w:val="naisf"/>
              <w:spacing w:before="0" w:after="0"/>
              <w:ind w:left="142"/>
              <w:jc w:val="center"/>
            </w:pPr>
            <w:r>
              <w:t>0</w:t>
            </w:r>
          </w:p>
        </w:tc>
      </w:tr>
      <w:tr w:rsidR="001E2BB3" w:rsidRPr="004E6076" w:rsidTr="004953A3">
        <w:trPr>
          <w:trHeight w:val="585"/>
        </w:trPr>
        <w:tc>
          <w:tcPr>
            <w:tcW w:w="2216" w:type="dxa"/>
            <w:gridSpan w:val="2"/>
          </w:tcPr>
          <w:p w:rsidR="001E2BB3" w:rsidRPr="004E6076" w:rsidRDefault="001E2BB3" w:rsidP="00514811">
            <w:pPr>
              <w:ind w:left="142"/>
              <w:jc w:val="both"/>
            </w:pPr>
            <w:r w:rsidRPr="004E6076">
              <w:lastRenderedPageBreak/>
              <w:t xml:space="preserve">2.3. pašvaldību budžets </w:t>
            </w:r>
          </w:p>
        </w:tc>
        <w:tc>
          <w:tcPr>
            <w:tcW w:w="1231" w:type="dxa"/>
          </w:tcPr>
          <w:p w:rsidR="001E2BB3" w:rsidRPr="004E6076" w:rsidRDefault="001E2BB3" w:rsidP="00E57AE7">
            <w:pPr>
              <w:pStyle w:val="naisf"/>
              <w:spacing w:before="0" w:after="0"/>
              <w:ind w:left="142"/>
              <w:jc w:val="center"/>
            </w:pPr>
            <w:r>
              <w:t>0</w:t>
            </w:r>
          </w:p>
        </w:tc>
        <w:tc>
          <w:tcPr>
            <w:tcW w:w="1292" w:type="dxa"/>
            <w:gridSpan w:val="2"/>
          </w:tcPr>
          <w:p w:rsidR="001E2BB3" w:rsidRPr="004E6076" w:rsidRDefault="001E2BB3" w:rsidP="00E57AE7">
            <w:pPr>
              <w:pStyle w:val="naisf"/>
              <w:spacing w:before="0" w:after="0"/>
              <w:ind w:left="142"/>
              <w:jc w:val="center"/>
            </w:pPr>
            <w:r>
              <w:t>0</w:t>
            </w:r>
          </w:p>
        </w:tc>
        <w:tc>
          <w:tcPr>
            <w:tcW w:w="1292" w:type="dxa"/>
          </w:tcPr>
          <w:p w:rsidR="001E2BB3" w:rsidRPr="004E6076" w:rsidRDefault="001E2BB3" w:rsidP="00E57AE7">
            <w:pPr>
              <w:pStyle w:val="naisf"/>
              <w:spacing w:before="0" w:after="0"/>
              <w:ind w:left="142"/>
              <w:jc w:val="center"/>
            </w:pPr>
            <w:r>
              <w:t>0</w:t>
            </w:r>
          </w:p>
        </w:tc>
        <w:tc>
          <w:tcPr>
            <w:tcW w:w="1292" w:type="dxa"/>
          </w:tcPr>
          <w:p w:rsidR="001E2BB3" w:rsidRPr="004E6076" w:rsidRDefault="001E2BB3" w:rsidP="00E57AE7">
            <w:pPr>
              <w:pStyle w:val="naisf"/>
              <w:spacing w:before="0" w:after="0"/>
              <w:ind w:left="142"/>
              <w:jc w:val="center"/>
            </w:pPr>
            <w:r>
              <w:t>0</w:t>
            </w:r>
          </w:p>
        </w:tc>
        <w:tc>
          <w:tcPr>
            <w:tcW w:w="2192" w:type="dxa"/>
          </w:tcPr>
          <w:p w:rsidR="001E2BB3" w:rsidRPr="004E6076" w:rsidRDefault="001E2BB3" w:rsidP="00E57AE7">
            <w:pPr>
              <w:pStyle w:val="naisf"/>
              <w:spacing w:before="0" w:after="0"/>
              <w:ind w:left="142"/>
              <w:jc w:val="center"/>
            </w:pPr>
            <w:r>
              <w:t>0</w:t>
            </w:r>
          </w:p>
        </w:tc>
      </w:tr>
      <w:tr w:rsidR="001E2BB3" w:rsidRPr="004E6076" w:rsidTr="004953A3">
        <w:tc>
          <w:tcPr>
            <w:tcW w:w="2216" w:type="dxa"/>
            <w:gridSpan w:val="2"/>
          </w:tcPr>
          <w:p w:rsidR="001E2BB3" w:rsidRPr="004E6076" w:rsidRDefault="001E2BB3" w:rsidP="00514811">
            <w:pPr>
              <w:ind w:left="142"/>
              <w:jc w:val="both"/>
            </w:pPr>
            <w:r w:rsidRPr="004E6076">
              <w:t>3. Finansiālā ietekme:</w:t>
            </w:r>
          </w:p>
        </w:tc>
        <w:tc>
          <w:tcPr>
            <w:tcW w:w="1231" w:type="dxa"/>
          </w:tcPr>
          <w:p w:rsidR="001E2BB3" w:rsidRPr="004E6076" w:rsidRDefault="001E2BB3" w:rsidP="00E57AE7">
            <w:pPr>
              <w:pStyle w:val="naisf"/>
              <w:spacing w:before="0" w:after="0"/>
              <w:ind w:left="142"/>
              <w:jc w:val="center"/>
            </w:pPr>
            <w:r w:rsidRPr="004E6076">
              <w:t>0</w:t>
            </w:r>
          </w:p>
        </w:tc>
        <w:tc>
          <w:tcPr>
            <w:tcW w:w="1292" w:type="dxa"/>
            <w:gridSpan w:val="2"/>
          </w:tcPr>
          <w:p w:rsidR="001E2BB3" w:rsidRPr="004E6076" w:rsidRDefault="00B55437" w:rsidP="00B1272E">
            <w:pPr>
              <w:pStyle w:val="naisf"/>
              <w:spacing w:before="0" w:after="0"/>
              <w:ind w:left="142"/>
              <w:jc w:val="center"/>
            </w:pPr>
            <w:r>
              <w:t>0</w:t>
            </w:r>
          </w:p>
        </w:tc>
        <w:tc>
          <w:tcPr>
            <w:tcW w:w="1292" w:type="dxa"/>
          </w:tcPr>
          <w:p w:rsidR="001E2BB3" w:rsidRPr="004E6076" w:rsidRDefault="00965B47" w:rsidP="002A1E83">
            <w:pPr>
              <w:pStyle w:val="naisf"/>
              <w:spacing w:before="0" w:after="0"/>
              <w:ind w:left="142"/>
              <w:jc w:val="center"/>
            </w:pPr>
            <w:r>
              <w:t>0</w:t>
            </w:r>
          </w:p>
        </w:tc>
        <w:tc>
          <w:tcPr>
            <w:tcW w:w="1292" w:type="dxa"/>
          </w:tcPr>
          <w:p w:rsidR="001E2BB3" w:rsidRPr="004E6076" w:rsidRDefault="001E2BB3" w:rsidP="00E57AE7">
            <w:pPr>
              <w:pStyle w:val="naisf"/>
              <w:spacing w:before="0" w:after="0"/>
              <w:ind w:left="142"/>
              <w:jc w:val="center"/>
            </w:pPr>
            <w:r w:rsidRPr="004E6076">
              <w:t>0</w:t>
            </w:r>
          </w:p>
        </w:tc>
        <w:tc>
          <w:tcPr>
            <w:tcW w:w="2192" w:type="dxa"/>
          </w:tcPr>
          <w:p w:rsidR="001E2BB3" w:rsidRPr="004E6076" w:rsidRDefault="001E2BB3" w:rsidP="00E57AE7">
            <w:pPr>
              <w:pStyle w:val="naisf"/>
              <w:spacing w:before="0" w:after="0"/>
              <w:ind w:left="142"/>
              <w:jc w:val="center"/>
            </w:pPr>
            <w:r w:rsidRPr="004E6076">
              <w:t>0</w:t>
            </w:r>
          </w:p>
        </w:tc>
      </w:tr>
      <w:tr w:rsidR="001E2BB3" w:rsidRPr="004E6076" w:rsidTr="004953A3">
        <w:tc>
          <w:tcPr>
            <w:tcW w:w="2216" w:type="dxa"/>
            <w:gridSpan w:val="2"/>
          </w:tcPr>
          <w:p w:rsidR="001E2BB3" w:rsidRPr="004E6076" w:rsidRDefault="001E2BB3" w:rsidP="00514811">
            <w:pPr>
              <w:ind w:left="142"/>
              <w:jc w:val="both"/>
            </w:pPr>
            <w:r w:rsidRPr="004E6076">
              <w:t>3.1. valsts pamatbudžets;</w:t>
            </w:r>
          </w:p>
        </w:tc>
        <w:tc>
          <w:tcPr>
            <w:tcW w:w="1231" w:type="dxa"/>
          </w:tcPr>
          <w:p w:rsidR="001E2BB3" w:rsidRPr="004E6076" w:rsidRDefault="001E2BB3" w:rsidP="00E57AE7">
            <w:pPr>
              <w:pStyle w:val="naisf"/>
              <w:spacing w:before="0" w:after="0"/>
              <w:ind w:left="142"/>
              <w:jc w:val="center"/>
            </w:pPr>
            <w:r>
              <w:t>0</w:t>
            </w:r>
          </w:p>
        </w:tc>
        <w:tc>
          <w:tcPr>
            <w:tcW w:w="1292" w:type="dxa"/>
            <w:gridSpan w:val="2"/>
          </w:tcPr>
          <w:p w:rsidR="001E2BB3" w:rsidRPr="004E6076" w:rsidRDefault="00B55437" w:rsidP="00B1272E">
            <w:pPr>
              <w:pStyle w:val="naisf"/>
              <w:spacing w:before="0" w:after="0"/>
              <w:ind w:left="142"/>
              <w:jc w:val="center"/>
            </w:pPr>
            <w:r>
              <w:t>0</w:t>
            </w:r>
          </w:p>
        </w:tc>
        <w:tc>
          <w:tcPr>
            <w:tcW w:w="1292" w:type="dxa"/>
          </w:tcPr>
          <w:p w:rsidR="001E2BB3" w:rsidRPr="004E6076" w:rsidRDefault="00965B47" w:rsidP="002A1E83">
            <w:pPr>
              <w:pStyle w:val="naisf"/>
              <w:spacing w:before="0" w:after="0"/>
              <w:ind w:left="142"/>
              <w:jc w:val="center"/>
            </w:pPr>
            <w:r>
              <w:t>0</w:t>
            </w:r>
          </w:p>
        </w:tc>
        <w:tc>
          <w:tcPr>
            <w:tcW w:w="1292" w:type="dxa"/>
          </w:tcPr>
          <w:p w:rsidR="001E2BB3" w:rsidRPr="004E6076" w:rsidRDefault="001E2BB3" w:rsidP="00E57AE7">
            <w:pPr>
              <w:pStyle w:val="naisf"/>
              <w:spacing w:before="0" w:after="0"/>
              <w:ind w:left="142"/>
              <w:jc w:val="center"/>
            </w:pPr>
            <w:r>
              <w:t>0</w:t>
            </w:r>
          </w:p>
        </w:tc>
        <w:tc>
          <w:tcPr>
            <w:tcW w:w="2192" w:type="dxa"/>
          </w:tcPr>
          <w:p w:rsidR="001E2BB3" w:rsidRPr="004E6076" w:rsidRDefault="001E2BB3" w:rsidP="00E57AE7">
            <w:pPr>
              <w:pStyle w:val="naisf"/>
              <w:spacing w:before="0" w:after="0"/>
              <w:ind w:left="142"/>
              <w:jc w:val="center"/>
            </w:pPr>
            <w:r>
              <w:t>0</w:t>
            </w:r>
          </w:p>
        </w:tc>
      </w:tr>
      <w:tr w:rsidR="001E2BB3" w:rsidRPr="004E6076" w:rsidTr="004953A3">
        <w:tc>
          <w:tcPr>
            <w:tcW w:w="2216" w:type="dxa"/>
            <w:gridSpan w:val="2"/>
          </w:tcPr>
          <w:p w:rsidR="001E2BB3" w:rsidRPr="004E6076" w:rsidRDefault="001E2BB3" w:rsidP="00514811">
            <w:pPr>
              <w:ind w:left="142"/>
              <w:jc w:val="both"/>
            </w:pPr>
            <w:r w:rsidRPr="004E6076">
              <w:t>3.2. speciālais budžets;</w:t>
            </w:r>
          </w:p>
        </w:tc>
        <w:tc>
          <w:tcPr>
            <w:tcW w:w="1231" w:type="dxa"/>
          </w:tcPr>
          <w:p w:rsidR="001E2BB3" w:rsidRPr="004E6076" w:rsidRDefault="001E2BB3" w:rsidP="00E57AE7">
            <w:pPr>
              <w:pStyle w:val="naisf"/>
              <w:spacing w:before="0" w:after="0"/>
              <w:ind w:left="142"/>
              <w:jc w:val="center"/>
            </w:pPr>
            <w:r>
              <w:t>0</w:t>
            </w:r>
          </w:p>
        </w:tc>
        <w:tc>
          <w:tcPr>
            <w:tcW w:w="1292" w:type="dxa"/>
            <w:gridSpan w:val="2"/>
          </w:tcPr>
          <w:p w:rsidR="001E2BB3" w:rsidRPr="004E6076" w:rsidRDefault="001E2BB3" w:rsidP="00E57AE7">
            <w:pPr>
              <w:pStyle w:val="naisf"/>
              <w:spacing w:before="0" w:after="0"/>
              <w:ind w:left="142"/>
              <w:jc w:val="center"/>
            </w:pPr>
            <w:r>
              <w:t>0</w:t>
            </w:r>
          </w:p>
        </w:tc>
        <w:tc>
          <w:tcPr>
            <w:tcW w:w="1292" w:type="dxa"/>
          </w:tcPr>
          <w:p w:rsidR="001E2BB3" w:rsidRPr="004E6076" w:rsidRDefault="001E2BB3" w:rsidP="00E57AE7">
            <w:pPr>
              <w:pStyle w:val="naisf"/>
              <w:spacing w:before="0" w:after="0"/>
              <w:ind w:left="142"/>
              <w:jc w:val="center"/>
            </w:pPr>
            <w:r>
              <w:t>0</w:t>
            </w:r>
          </w:p>
        </w:tc>
        <w:tc>
          <w:tcPr>
            <w:tcW w:w="1292" w:type="dxa"/>
          </w:tcPr>
          <w:p w:rsidR="001E2BB3" w:rsidRPr="004E6076" w:rsidRDefault="001E2BB3" w:rsidP="00E57AE7">
            <w:pPr>
              <w:pStyle w:val="naisf"/>
              <w:spacing w:before="0" w:after="0"/>
              <w:ind w:left="142"/>
              <w:jc w:val="center"/>
            </w:pPr>
            <w:r>
              <w:t>0</w:t>
            </w:r>
          </w:p>
        </w:tc>
        <w:tc>
          <w:tcPr>
            <w:tcW w:w="2192" w:type="dxa"/>
          </w:tcPr>
          <w:p w:rsidR="001E2BB3" w:rsidRPr="004E6076" w:rsidRDefault="001E2BB3" w:rsidP="00E57AE7">
            <w:pPr>
              <w:pStyle w:val="naisf"/>
              <w:spacing w:before="0" w:after="0"/>
              <w:ind w:left="142"/>
              <w:jc w:val="center"/>
            </w:pPr>
            <w:r>
              <w:t>0</w:t>
            </w:r>
          </w:p>
        </w:tc>
      </w:tr>
      <w:tr w:rsidR="001E2BB3" w:rsidRPr="004E6076" w:rsidTr="004953A3">
        <w:tc>
          <w:tcPr>
            <w:tcW w:w="2216" w:type="dxa"/>
            <w:gridSpan w:val="2"/>
          </w:tcPr>
          <w:p w:rsidR="001E2BB3" w:rsidRPr="004E6076" w:rsidRDefault="001E2BB3" w:rsidP="00514811">
            <w:pPr>
              <w:ind w:left="142"/>
              <w:jc w:val="both"/>
              <w:rPr>
                <w:i/>
              </w:rPr>
            </w:pPr>
            <w:r w:rsidRPr="00ED5321">
              <w:t>3.3.</w:t>
            </w:r>
            <w:r w:rsidRPr="004E6076">
              <w:t xml:space="preserve"> pašvaldību budžets</w:t>
            </w:r>
            <w:r w:rsidRPr="004E6076">
              <w:rPr>
                <w:i/>
              </w:rPr>
              <w:t xml:space="preserve"> </w:t>
            </w:r>
          </w:p>
        </w:tc>
        <w:tc>
          <w:tcPr>
            <w:tcW w:w="1231" w:type="dxa"/>
          </w:tcPr>
          <w:p w:rsidR="001E2BB3" w:rsidRPr="004E6076" w:rsidRDefault="001E2BB3" w:rsidP="00E57AE7">
            <w:pPr>
              <w:pStyle w:val="naisf"/>
              <w:spacing w:before="0" w:after="0"/>
              <w:ind w:left="142"/>
              <w:jc w:val="center"/>
            </w:pPr>
            <w:r>
              <w:t>0</w:t>
            </w:r>
          </w:p>
        </w:tc>
        <w:tc>
          <w:tcPr>
            <w:tcW w:w="1292" w:type="dxa"/>
            <w:gridSpan w:val="2"/>
          </w:tcPr>
          <w:p w:rsidR="001E2BB3" w:rsidRPr="00ED5321" w:rsidRDefault="001E2BB3" w:rsidP="00E57AE7">
            <w:pPr>
              <w:pStyle w:val="naisf"/>
              <w:spacing w:before="0" w:after="0"/>
              <w:ind w:left="142"/>
              <w:jc w:val="center"/>
            </w:pPr>
            <w:r w:rsidRPr="00ED5321">
              <w:t>0</w:t>
            </w:r>
          </w:p>
        </w:tc>
        <w:tc>
          <w:tcPr>
            <w:tcW w:w="1292" w:type="dxa"/>
          </w:tcPr>
          <w:p w:rsidR="001E2BB3" w:rsidRPr="00ED5321" w:rsidRDefault="001E2BB3" w:rsidP="00E57AE7">
            <w:pPr>
              <w:pStyle w:val="naisf"/>
              <w:spacing w:before="0" w:after="0"/>
              <w:ind w:left="142"/>
              <w:jc w:val="center"/>
            </w:pPr>
            <w:r w:rsidRPr="00ED5321">
              <w:t>0</w:t>
            </w:r>
          </w:p>
        </w:tc>
        <w:tc>
          <w:tcPr>
            <w:tcW w:w="1292" w:type="dxa"/>
          </w:tcPr>
          <w:p w:rsidR="001E2BB3" w:rsidRPr="00ED5321" w:rsidRDefault="001E2BB3" w:rsidP="00E57AE7">
            <w:pPr>
              <w:pStyle w:val="naisf"/>
              <w:spacing w:before="0" w:after="0"/>
              <w:ind w:left="142"/>
              <w:jc w:val="center"/>
            </w:pPr>
            <w:r w:rsidRPr="00ED5321">
              <w:t>0</w:t>
            </w:r>
          </w:p>
        </w:tc>
        <w:tc>
          <w:tcPr>
            <w:tcW w:w="2192" w:type="dxa"/>
          </w:tcPr>
          <w:p w:rsidR="001E2BB3" w:rsidRPr="00ED5321" w:rsidRDefault="001E2BB3" w:rsidP="00E57AE7">
            <w:pPr>
              <w:pStyle w:val="naisf"/>
              <w:spacing w:before="0" w:after="0"/>
              <w:ind w:left="142"/>
              <w:jc w:val="center"/>
            </w:pPr>
            <w:r w:rsidRPr="00ED5321">
              <w:t>0</w:t>
            </w:r>
          </w:p>
        </w:tc>
      </w:tr>
      <w:tr w:rsidR="001E2BB3" w:rsidRPr="004E6076" w:rsidTr="004953A3">
        <w:tc>
          <w:tcPr>
            <w:tcW w:w="2216" w:type="dxa"/>
            <w:gridSpan w:val="2"/>
            <w:vMerge w:val="restart"/>
          </w:tcPr>
          <w:p w:rsidR="001E2BB3" w:rsidRPr="004E6076" w:rsidRDefault="001E2BB3" w:rsidP="00B12503">
            <w:pPr>
              <w:ind w:left="142"/>
            </w:pPr>
            <w:r w:rsidRPr="004E6076">
              <w:t xml:space="preserve">4. Finanšu līdzekļi papildu izdevumu finansēšanai (kompensējošu izdevumu samazinājumu norāda ar </w:t>
            </w:r>
            <w:r w:rsidR="00B12503">
              <w:t>“</w:t>
            </w:r>
            <w:r w:rsidRPr="004E6076">
              <w:t>+</w:t>
            </w:r>
            <w:r w:rsidR="00B12503">
              <w:t>”</w:t>
            </w:r>
            <w:r w:rsidRPr="004E6076">
              <w:t xml:space="preserve"> zīmi)</w:t>
            </w:r>
          </w:p>
        </w:tc>
        <w:tc>
          <w:tcPr>
            <w:tcW w:w="1231" w:type="dxa"/>
            <w:vMerge w:val="restart"/>
          </w:tcPr>
          <w:p w:rsidR="001E2BB3" w:rsidRPr="004E6076" w:rsidRDefault="001E2BB3" w:rsidP="00E57AE7">
            <w:pPr>
              <w:pStyle w:val="naisf"/>
              <w:spacing w:before="0" w:after="0"/>
              <w:ind w:left="142"/>
              <w:jc w:val="center"/>
            </w:pPr>
            <w:r w:rsidRPr="004E6076">
              <w:t>X</w:t>
            </w:r>
          </w:p>
        </w:tc>
        <w:tc>
          <w:tcPr>
            <w:tcW w:w="1292" w:type="dxa"/>
            <w:gridSpan w:val="2"/>
          </w:tcPr>
          <w:p w:rsidR="001E2BB3" w:rsidRPr="00ED5321" w:rsidRDefault="00B55437" w:rsidP="00B1272E">
            <w:pPr>
              <w:pStyle w:val="naisf"/>
              <w:spacing w:before="0" w:after="0"/>
              <w:ind w:left="142"/>
              <w:jc w:val="center"/>
            </w:pPr>
            <w:r>
              <w:t>0</w:t>
            </w:r>
          </w:p>
        </w:tc>
        <w:tc>
          <w:tcPr>
            <w:tcW w:w="1292" w:type="dxa"/>
          </w:tcPr>
          <w:p w:rsidR="001E2BB3" w:rsidRPr="00ED5321" w:rsidRDefault="00B55437" w:rsidP="00E57AE7">
            <w:pPr>
              <w:pStyle w:val="naisf"/>
              <w:spacing w:before="0" w:after="0"/>
              <w:ind w:left="142"/>
              <w:jc w:val="center"/>
            </w:pPr>
            <w:r>
              <w:t>0</w:t>
            </w:r>
          </w:p>
        </w:tc>
        <w:tc>
          <w:tcPr>
            <w:tcW w:w="1292" w:type="dxa"/>
          </w:tcPr>
          <w:p w:rsidR="001E2BB3" w:rsidRPr="00ED5321" w:rsidRDefault="001E2BB3" w:rsidP="00E57AE7">
            <w:pPr>
              <w:pStyle w:val="naisf"/>
              <w:spacing w:before="0" w:after="0"/>
              <w:ind w:left="142"/>
              <w:jc w:val="center"/>
            </w:pPr>
            <w:r w:rsidRPr="00ED5321">
              <w:t>0</w:t>
            </w:r>
          </w:p>
        </w:tc>
        <w:tc>
          <w:tcPr>
            <w:tcW w:w="2192" w:type="dxa"/>
          </w:tcPr>
          <w:p w:rsidR="001E2BB3" w:rsidRPr="00ED5321" w:rsidRDefault="001E2BB3" w:rsidP="00E57AE7">
            <w:pPr>
              <w:pStyle w:val="naisf"/>
              <w:spacing w:before="0" w:after="0"/>
              <w:ind w:left="142"/>
              <w:jc w:val="center"/>
            </w:pPr>
            <w:r w:rsidRPr="00ED5321">
              <w:t>0</w:t>
            </w:r>
          </w:p>
        </w:tc>
      </w:tr>
      <w:tr w:rsidR="001E2BB3" w:rsidRPr="004E6076" w:rsidTr="004953A3">
        <w:tc>
          <w:tcPr>
            <w:tcW w:w="2216" w:type="dxa"/>
            <w:gridSpan w:val="2"/>
            <w:vMerge/>
          </w:tcPr>
          <w:p w:rsidR="001E2BB3" w:rsidRPr="004E6076" w:rsidRDefault="001E2BB3" w:rsidP="00514811">
            <w:pPr>
              <w:ind w:left="142"/>
            </w:pPr>
          </w:p>
        </w:tc>
        <w:tc>
          <w:tcPr>
            <w:tcW w:w="1231" w:type="dxa"/>
            <w:vMerge/>
          </w:tcPr>
          <w:p w:rsidR="001E2BB3" w:rsidRPr="004E6076" w:rsidRDefault="001E2BB3" w:rsidP="00514811">
            <w:pPr>
              <w:ind w:left="142"/>
            </w:pPr>
          </w:p>
        </w:tc>
        <w:tc>
          <w:tcPr>
            <w:tcW w:w="1292" w:type="dxa"/>
            <w:gridSpan w:val="2"/>
          </w:tcPr>
          <w:p w:rsidR="001E2BB3" w:rsidRPr="00ED5321" w:rsidRDefault="001E2BB3" w:rsidP="00ED5321">
            <w:pPr>
              <w:pStyle w:val="naisf"/>
              <w:spacing w:before="0" w:after="0"/>
              <w:ind w:left="142"/>
              <w:jc w:val="center"/>
            </w:pPr>
          </w:p>
        </w:tc>
        <w:tc>
          <w:tcPr>
            <w:tcW w:w="1292" w:type="dxa"/>
          </w:tcPr>
          <w:p w:rsidR="001E2BB3" w:rsidRPr="00ED5321" w:rsidRDefault="001E2BB3" w:rsidP="00ED5321">
            <w:pPr>
              <w:pStyle w:val="naisf"/>
              <w:spacing w:before="0" w:after="0"/>
              <w:ind w:left="142"/>
              <w:jc w:val="center"/>
            </w:pPr>
          </w:p>
        </w:tc>
        <w:tc>
          <w:tcPr>
            <w:tcW w:w="1292" w:type="dxa"/>
          </w:tcPr>
          <w:p w:rsidR="001E2BB3" w:rsidRPr="00ED5321" w:rsidRDefault="001E2BB3" w:rsidP="00ED5321">
            <w:pPr>
              <w:pStyle w:val="naisf"/>
              <w:spacing w:before="0" w:after="0"/>
              <w:ind w:left="142"/>
              <w:jc w:val="center"/>
            </w:pPr>
          </w:p>
        </w:tc>
        <w:tc>
          <w:tcPr>
            <w:tcW w:w="2192" w:type="dxa"/>
          </w:tcPr>
          <w:p w:rsidR="001E2BB3" w:rsidRPr="00ED5321" w:rsidRDefault="001E2BB3" w:rsidP="00ED5321">
            <w:pPr>
              <w:pStyle w:val="naisf"/>
              <w:spacing w:before="0" w:after="0"/>
              <w:ind w:left="142"/>
              <w:jc w:val="center"/>
            </w:pPr>
          </w:p>
        </w:tc>
      </w:tr>
      <w:tr w:rsidR="001E2BB3" w:rsidRPr="004E6076" w:rsidTr="004953A3">
        <w:tc>
          <w:tcPr>
            <w:tcW w:w="2216" w:type="dxa"/>
            <w:gridSpan w:val="2"/>
            <w:vMerge/>
          </w:tcPr>
          <w:p w:rsidR="001E2BB3" w:rsidRPr="004E6076" w:rsidRDefault="001E2BB3" w:rsidP="00514811">
            <w:pPr>
              <w:ind w:left="142"/>
            </w:pPr>
          </w:p>
        </w:tc>
        <w:tc>
          <w:tcPr>
            <w:tcW w:w="1231" w:type="dxa"/>
            <w:vMerge/>
          </w:tcPr>
          <w:p w:rsidR="001E2BB3" w:rsidRPr="004E6076" w:rsidRDefault="001E2BB3" w:rsidP="00514811">
            <w:pPr>
              <w:ind w:left="142"/>
            </w:pPr>
          </w:p>
        </w:tc>
        <w:tc>
          <w:tcPr>
            <w:tcW w:w="1292" w:type="dxa"/>
            <w:gridSpan w:val="2"/>
          </w:tcPr>
          <w:p w:rsidR="001E2BB3" w:rsidRPr="004E6076" w:rsidRDefault="001E2BB3" w:rsidP="00514811">
            <w:pPr>
              <w:pStyle w:val="naisf"/>
              <w:spacing w:before="0" w:after="0"/>
              <w:ind w:left="142"/>
              <w:jc w:val="center"/>
            </w:pPr>
          </w:p>
        </w:tc>
        <w:tc>
          <w:tcPr>
            <w:tcW w:w="1292" w:type="dxa"/>
          </w:tcPr>
          <w:p w:rsidR="001E2BB3" w:rsidRPr="004E6076" w:rsidRDefault="001E2BB3" w:rsidP="00514811">
            <w:pPr>
              <w:pStyle w:val="naisf"/>
              <w:spacing w:before="0" w:after="0"/>
              <w:ind w:left="142"/>
              <w:jc w:val="center"/>
            </w:pPr>
          </w:p>
        </w:tc>
        <w:tc>
          <w:tcPr>
            <w:tcW w:w="1292" w:type="dxa"/>
          </w:tcPr>
          <w:p w:rsidR="001E2BB3" w:rsidRPr="004E6076" w:rsidRDefault="001E2BB3" w:rsidP="00514811">
            <w:pPr>
              <w:pStyle w:val="naisf"/>
              <w:spacing w:before="0" w:after="0"/>
              <w:ind w:left="142"/>
              <w:jc w:val="center"/>
            </w:pPr>
          </w:p>
        </w:tc>
        <w:tc>
          <w:tcPr>
            <w:tcW w:w="2192" w:type="dxa"/>
          </w:tcPr>
          <w:p w:rsidR="001E2BB3" w:rsidRPr="004E6076" w:rsidRDefault="001E2BB3" w:rsidP="00514811">
            <w:pPr>
              <w:pStyle w:val="naisf"/>
              <w:spacing w:before="0" w:after="0"/>
              <w:ind w:left="142"/>
              <w:jc w:val="center"/>
            </w:pPr>
          </w:p>
        </w:tc>
      </w:tr>
      <w:tr w:rsidR="001E2BB3" w:rsidRPr="004E6076" w:rsidTr="004953A3">
        <w:tc>
          <w:tcPr>
            <w:tcW w:w="2216" w:type="dxa"/>
            <w:gridSpan w:val="2"/>
          </w:tcPr>
          <w:p w:rsidR="001E2BB3" w:rsidRPr="004E6076" w:rsidRDefault="001E2BB3" w:rsidP="00514811">
            <w:pPr>
              <w:ind w:left="142"/>
              <w:jc w:val="both"/>
            </w:pPr>
            <w:r w:rsidRPr="004E6076">
              <w:t>5. Precizēta finansiālā ietekme:</w:t>
            </w:r>
          </w:p>
        </w:tc>
        <w:tc>
          <w:tcPr>
            <w:tcW w:w="1231" w:type="dxa"/>
            <w:vMerge w:val="restart"/>
          </w:tcPr>
          <w:p w:rsidR="001E2BB3" w:rsidRPr="004E6076" w:rsidRDefault="001E2BB3" w:rsidP="00E57AE7">
            <w:pPr>
              <w:pStyle w:val="naisf"/>
              <w:spacing w:before="0" w:after="0"/>
              <w:ind w:left="142"/>
              <w:jc w:val="center"/>
            </w:pPr>
            <w:r w:rsidRPr="004E6076">
              <w:t>X</w:t>
            </w:r>
          </w:p>
        </w:tc>
        <w:tc>
          <w:tcPr>
            <w:tcW w:w="1292" w:type="dxa"/>
            <w:gridSpan w:val="2"/>
          </w:tcPr>
          <w:p w:rsidR="001E2BB3" w:rsidRPr="004E6076" w:rsidRDefault="001E2BB3" w:rsidP="00E57AE7">
            <w:pPr>
              <w:pStyle w:val="naisf"/>
              <w:spacing w:before="0" w:after="0"/>
              <w:ind w:left="142"/>
              <w:jc w:val="center"/>
            </w:pPr>
            <w:r w:rsidRPr="004E6076">
              <w:t>0</w:t>
            </w:r>
          </w:p>
        </w:tc>
        <w:tc>
          <w:tcPr>
            <w:tcW w:w="1292" w:type="dxa"/>
          </w:tcPr>
          <w:p w:rsidR="001E2BB3" w:rsidRPr="004E6076" w:rsidRDefault="001E2BB3" w:rsidP="00E57AE7">
            <w:pPr>
              <w:pStyle w:val="naisf"/>
              <w:spacing w:before="0" w:after="0"/>
              <w:ind w:left="142"/>
              <w:jc w:val="center"/>
              <w:rPr>
                <w:highlight w:val="yellow"/>
              </w:rPr>
            </w:pPr>
            <w:r w:rsidRPr="004E6076">
              <w:t>0</w:t>
            </w:r>
          </w:p>
        </w:tc>
        <w:tc>
          <w:tcPr>
            <w:tcW w:w="1292" w:type="dxa"/>
          </w:tcPr>
          <w:p w:rsidR="001E2BB3" w:rsidRPr="004E6076" w:rsidRDefault="001E2BB3" w:rsidP="00E57AE7">
            <w:pPr>
              <w:pStyle w:val="naisf"/>
              <w:spacing w:before="0" w:after="0"/>
              <w:ind w:left="142"/>
              <w:jc w:val="center"/>
            </w:pPr>
            <w:r w:rsidRPr="004E6076">
              <w:t>0</w:t>
            </w:r>
          </w:p>
        </w:tc>
        <w:tc>
          <w:tcPr>
            <w:tcW w:w="2192" w:type="dxa"/>
          </w:tcPr>
          <w:p w:rsidR="001E2BB3" w:rsidRPr="004E6076" w:rsidRDefault="001E2BB3" w:rsidP="00E57AE7">
            <w:pPr>
              <w:pStyle w:val="naisf"/>
              <w:spacing w:before="0" w:after="0"/>
              <w:ind w:left="142"/>
              <w:jc w:val="center"/>
            </w:pPr>
            <w:r w:rsidRPr="004E6076">
              <w:t>0</w:t>
            </w:r>
          </w:p>
        </w:tc>
      </w:tr>
      <w:tr w:rsidR="001E2BB3" w:rsidRPr="004E6076" w:rsidTr="004953A3">
        <w:tc>
          <w:tcPr>
            <w:tcW w:w="2216" w:type="dxa"/>
            <w:gridSpan w:val="2"/>
          </w:tcPr>
          <w:p w:rsidR="001E2BB3" w:rsidRPr="004E6076" w:rsidRDefault="001E2BB3" w:rsidP="00514811">
            <w:pPr>
              <w:ind w:left="142"/>
              <w:jc w:val="both"/>
            </w:pPr>
            <w:r w:rsidRPr="004E6076">
              <w:t>5.1. valsts pamatbudžets;</w:t>
            </w:r>
          </w:p>
        </w:tc>
        <w:tc>
          <w:tcPr>
            <w:tcW w:w="1231" w:type="dxa"/>
            <w:vMerge/>
          </w:tcPr>
          <w:p w:rsidR="001E2BB3" w:rsidRPr="004E6076" w:rsidRDefault="001E2BB3" w:rsidP="00514811">
            <w:pPr>
              <w:ind w:left="142"/>
            </w:pPr>
          </w:p>
        </w:tc>
        <w:tc>
          <w:tcPr>
            <w:tcW w:w="1292" w:type="dxa"/>
            <w:gridSpan w:val="2"/>
          </w:tcPr>
          <w:p w:rsidR="001E2BB3" w:rsidRPr="00ED5321" w:rsidRDefault="001E2BB3" w:rsidP="00ED5321">
            <w:pPr>
              <w:pStyle w:val="naisf"/>
              <w:spacing w:before="0" w:after="0"/>
              <w:ind w:left="142"/>
              <w:jc w:val="center"/>
            </w:pPr>
            <w:r w:rsidRPr="00ED5321">
              <w:t>0</w:t>
            </w:r>
          </w:p>
        </w:tc>
        <w:tc>
          <w:tcPr>
            <w:tcW w:w="1292" w:type="dxa"/>
          </w:tcPr>
          <w:p w:rsidR="001E2BB3" w:rsidRPr="00ED5321" w:rsidRDefault="001E2BB3" w:rsidP="00ED5321">
            <w:pPr>
              <w:pStyle w:val="naisf"/>
              <w:spacing w:before="0" w:after="0"/>
              <w:ind w:left="142"/>
              <w:jc w:val="center"/>
            </w:pPr>
            <w:r w:rsidRPr="00ED5321">
              <w:t>0</w:t>
            </w:r>
          </w:p>
        </w:tc>
        <w:tc>
          <w:tcPr>
            <w:tcW w:w="1292" w:type="dxa"/>
          </w:tcPr>
          <w:p w:rsidR="001E2BB3" w:rsidRPr="00ED5321" w:rsidRDefault="001E2BB3" w:rsidP="00ED5321">
            <w:pPr>
              <w:pStyle w:val="naisf"/>
              <w:spacing w:before="0" w:after="0"/>
              <w:ind w:left="142"/>
              <w:jc w:val="center"/>
            </w:pPr>
            <w:r w:rsidRPr="00ED5321">
              <w:t>0</w:t>
            </w:r>
          </w:p>
        </w:tc>
        <w:tc>
          <w:tcPr>
            <w:tcW w:w="2192" w:type="dxa"/>
          </w:tcPr>
          <w:p w:rsidR="001E2BB3" w:rsidRPr="00ED5321" w:rsidRDefault="001E2BB3" w:rsidP="00ED5321">
            <w:pPr>
              <w:pStyle w:val="naisf"/>
              <w:spacing w:before="0" w:after="0"/>
              <w:ind w:left="142"/>
              <w:jc w:val="center"/>
            </w:pPr>
            <w:r w:rsidRPr="00ED5321">
              <w:t>0</w:t>
            </w:r>
          </w:p>
        </w:tc>
      </w:tr>
      <w:tr w:rsidR="001E2BB3" w:rsidRPr="004E6076" w:rsidTr="004953A3">
        <w:tc>
          <w:tcPr>
            <w:tcW w:w="2216" w:type="dxa"/>
            <w:gridSpan w:val="2"/>
          </w:tcPr>
          <w:p w:rsidR="001E2BB3" w:rsidRPr="004E6076" w:rsidRDefault="001E2BB3" w:rsidP="00514811">
            <w:pPr>
              <w:ind w:left="142"/>
              <w:jc w:val="both"/>
            </w:pPr>
            <w:r w:rsidRPr="004E6076">
              <w:t>5.2. speciālais budžets;</w:t>
            </w:r>
          </w:p>
        </w:tc>
        <w:tc>
          <w:tcPr>
            <w:tcW w:w="1231" w:type="dxa"/>
            <w:vMerge/>
          </w:tcPr>
          <w:p w:rsidR="001E2BB3" w:rsidRPr="004E6076" w:rsidRDefault="001E2BB3" w:rsidP="00514811">
            <w:pPr>
              <w:ind w:left="142"/>
            </w:pPr>
          </w:p>
        </w:tc>
        <w:tc>
          <w:tcPr>
            <w:tcW w:w="1292" w:type="dxa"/>
            <w:gridSpan w:val="2"/>
          </w:tcPr>
          <w:p w:rsidR="001E2BB3" w:rsidRPr="00ED5321" w:rsidRDefault="001E2BB3" w:rsidP="00ED5321">
            <w:pPr>
              <w:pStyle w:val="naisf"/>
              <w:spacing w:before="0" w:after="0"/>
              <w:ind w:left="142"/>
              <w:jc w:val="center"/>
            </w:pPr>
            <w:r w:rsidRPr="00ED5321">
              <w:t>0</w:t>
            </w:r>
          </w:p>
        </w:tc>
        <w:tc>
          <w:tcPr>
            <w:tcW w:w="1292" w:type="dxa"/>
          </w:tcPr>
          <w:p w:rsidR="001E2BB3" w:rsidRPr="00ED5321" w:rsidRDefault="001E2BB3" w:rsidP="00ED5321">
            <w:pPr>
              <w:pStyle w:val="naisf"/>
              <w:spacing w:before="0" w:after="0"/>
              <w:ind w:left="142"/>
              <w:jc w:val="center"/>
            </w:pPr>
            <w:r w:rsidRPr="00ED5321">
              <w:t>0</w:t>
            </w:r>
          </w:p>
        </w:tc>
        <w:tc>
          <w:tcPr>
            <w:tcW w:w="1292" w:type="dxa"/>
          </w:tcPr>
          <w:p w:rsidR="001E2BB3" w:rsidRPr="00ED5321" w:rsidRDefault="001E2BB3" w:rsidP="00ED5321">
            <w:pPr>
              <w:pStyle w:val="naisf"/>
              <w:spacing w:before="0" w:after="0"/>
              <w:ind w:left="142"/>
              <w:jc w:val="center"/>
            </w:pPr>
            <w:r w:rsidRPr="00ED5321">
              <w:t>0</w:t>
            </w:r>
          </w:p>
        </w:tc>
        <w:tc>
          <w:tcPr>
            <w:tcW w:w="2192" w:type="dxa"/>
          </w:tcPr>
          <w:p w:rsidR="001E2BB3" w:rsidRPr="00ED5321" w:rsidRDefault="001E2BB3" w:rsidP="00ED5321">
            <w:pPr>
              <w:pStyle w:val="naisf"/>
              <w:spacing w:before="0" w:after="0"/>
              <w:ind w:left="142"/>
              <w:jc w:val="center"/>
            </w:pPr>
            <w:r w:rsidRPr="00ED5321">
              <w:t>0</w:t>
            </w:r>
          </w:p>
        </w:tc>
      </w:tr>
      <w:tr w:rsidR="001E2BB3" w:rsidRPr="004E6076" w:rsidTr="004953A3">
        <w:tc>
          <w:tcPr>
            <w:tcW w:w="2216" w:type="dxa"/>
            <w:gridSpan w:val="2"/>
          </w:tcPr>
          <w:p w:rsidR="001E2BB3" w:rsidRPr="004E6076" w:rsidRDefault="001E2BB3" w:rsidP="00514811">
            <w:pPr>
              <w:ind w:left="142"/>
              <w:jc w:val="both"/>
            </w:pPr>
            <w:r w:rsidRPr="004E6076">
              <w:t xml:space="preserve">5.3. pašvaldību budžets </w:t>
            </w:r>
          </w:p>
        </w:tc>
        <w:tc>
          <w:tcPr>
            <w:tcW w:w="1231" w:type="dxa"/>
            <w:vMerge/>
          </w:tcPr>
          <w:p w:rsidR="001E2BB3" w:rsidRPr="004E6076" w:rsidRDefault="001E2BB3" w:rsidP="00514811">
            <w:pPr>
              <w:ind w:left="142"/>
            </w:pPr>
          </w:p>
        </w:tc>
        <w:tc>
          <w:tcPr>
            <w:tcW w:w="1292" w:type="dxa"/>
            <w:gridSpan w:val="2"/>
          </w:tcPr>
          <w:p w:rsidR="001E2BB3" w:rsidRPr="00ED5321" w:rsidRDefault="001E2BB3" w:rsidP="00ED5321">
            <w:pPr>
              <w:pStyle w:val="naisf"/>
              <w:spacing w:before="0" w:after="0"/>
              <w:ind w:left="142"/>
              <w:jc w:val="center"/>
            </w:pPr>
            <w:r w:rsidRPr="00ED5321">
              <w:t>0</w:t>
            </w:r>
          </w:p>
        </w:tc>
        <w:tc>
          <w:tcPr>
            <w:tcW w:w="1292" w:type="dxa"/>
          </w:tcPr>
          <w:p w:rsidR="001E2BB3" w:rsidRPr="00ED5321" w:rsidRDefault="001E2BB3" w:rsidP="00ED5321">
            <w:pPr>
              <w:pStyle w:val="naisf"/>
              <w:spacing w:before="0" w:after="0"/>
              <w:ind w:left="142"/>
              <w:jc w:val="center"/>
            </w:pPr>
            <w:r w:rsidRPr="00ED5321">
              <w:t>0</w:t>
            </w:r>
          </w:p>
        </w:tc>
        <w:tc>
          <w:tcPr>
            <w:tcW w:w="1292" w:type="dxa"/>
          </w:tcPr>
          <w:p w:rsidR="001E2BB3" w:rsidRPr="00ED5321" w:rsidRDefault="001E2BB3" w:rsidP="00ED5321">
            <w:pPr>
              <w:pStyle w:val="naisf"/>
              <w:spacing w:before="0" w:after="0"/>
              <w:ind w:left="142"/>
              <w:jc w:val="center"/>
            </w:pPr>
            <w:r w:rsidRPr="00ED5321">
              <w:t>0</w:t>
            </w:r>
          </w:p>
        </w:tc>
        <w:tc>
          <w:tcPr>
            <w:tcW w:w="2192" w:type="dxa"/>
          </w:tcPr>
          <w:p w:rsidR="001E2BB3" w:rsidRPr="00ED5321" w:rsidRDefault="001E2BB3" w:rsidP="00ED5321">
            <w:pPr>
              <w:pStyle w:val="naisf"/>
              <w:spacing w:before="0" w:after="0"/>
              <w:ind w:left="142"/>
              <w:jc w:val="center"/>
            </w:pPr>
            <w:r w:rsidRPr="00ED5321">
              <w:t>0</w:t>
            </w:r>
          </w:p>
        </w:tc>
      </w:tr>
      <w:tr w:rsidR="001E2BB3" w:rsidRPr="004E6076" w:rsidTr="00E43343">
        <w:trPr>
          <w:trHeight w:val="2277"/>
        </w:trPr>
        <w:tc>
          <w:tcPr>
            <w:tcW w:w="2216" w:type="dxa"/>
            <w:gridSpan w:val="2"/>
          </w:tcPr>
          <w:p w:rsidR="001E2BB3" w:rsidRPr="004E6076" w:rsidRDefault="001E2BB3" w:rsidP="00514811">
            <w:pPr>
              <w:ind w:left="142"/>
              <w:jc w:val="both"/>
            </w:pPr>
            <w:r w:rsidRPr="004E6076">
              <w:t>6. Detalizēts ieņēmumu un izdevumu aprēķins (ja nepieciešams, detalizētu ieņēmumu un izdevumu aprēķinu var pievienot anotācijas pielikumā):</w:t>
            </w:r>
          </w:p>
        </w:tc>
        <w:tc>
          <w:tcPr>
            <w:tcW w:w="7299" w:type="dxa"/>
            <w:gridSpan w:val="6"/>
          </w:tcPr>
          <w:p w:rsidR="001E2BB3" w:rsidRPr="004E6076" w:rsidRDefault="001E2BB3" w:rsidP="00E57AE7">
            <w:pPr>
              <w:autoSpaceDE w:val="0"/>
              <w:autoSpaceDN w:val="0"/>
              <w:adjustRightInd w:val="0"/>
              <w:jc w:val="both"/>
            </w:pPr>
          </w:p>
        </w:tc>
      </w:tr>
      <w:tr w:rsidR="00493A89" w:rsidRPr="004E6076" w:rsidTr="00493A89">
        <w:trPr>
          <w:trHeight w:val="556"/>
        </w:trPr>
        <w:tc>
          <w:tcPr>
            <w:tcW w:w="2216" w:type="dxa"/>
            <w:gridSpan w:val="2"/>
          </w:tcPr>
          <w:p w:rsidR="00493A89" w:rsidRPr="004E6076" w:rsidRDefault="00493A89" w:rsidP="00514811">
            <w:pPr>
              <w:ind w:left="142"/>
              <w:jc w:val="both"/>
            </w:pPr>
            <w:r w:rsidRPr="004E6076">
              <w:t>6.1. Detalizēts ieņēmumu aprēķins</w:t>
            </w:r>
          </w:p>
        </w:tc>
        <w:tc>
          <w:tcPr>
            <w:tcW w:w="7299" w:type="dxa"/>
            <w:gridSpan w:val="6"/>
          </w:tcPr>
          <w:p w:rsidR="00493A89" w:rsidRPr="004E6076" w:rsidRDefault="00493A89" w:rsidP="00514811">
            <w:pPr>
              <w:autoSpaceDE w:val="0"/>
              <w:autoSpaceDN w:val="0"/>
              <w:adjustRightInd w:val="0"/>
              <w:ind w:left="142"/>
              <w:jc w:val="both"/>
            </w:pPr>
          </w:p>
        </w:tc>
      </w:tr>
      <w:tr w:rsidR="00423C30" w:rsidRPr="004E6076" w:rsidTr="004953A3">
        <w:tc>
          <w:tcPr>
            <w:tcW w:w="2216" w:type="dxa"/>
            <w:gridSpan w:val="2"/>
          </w:tcPr>
          <w:p w:rsidR="00423C30" w:rsidRPr="004E6076" w:rsidRDefault="00423C30" w:rsidP="00514811">
            <w:pPr>
              <w:ind w:left="142"/>
              <w:jc w:val="both"/>
            </w:pPr>
            <w:r w:rsidRPr="004E6076">
              <w:t>6.2. Detalizēts izdevumu aprēķins</w:t>
            </w:r>
          </w:p>
        </w:tc>
        <w:tc>
          <w:tcPr>
            <w:tcW w:w="7299" w:type="dxa"/>
            <w:gridSpan w:val="6"/>
          </w:tcPr>
          <w:p w:rsidR="00423C30" w:rsidRPr="00E57AE7" w:rsidRDefault="00423C30" w:rsidP="00E57AE7">
            <w:pPr>
              <w:rPr>
                <w:b/>
              </w:rPr>
            </w:pPr>
            <w:r w:rsidRPr="00E57AE7">
              <w:rPr>
                <w:b/>
              </w:rPr>
              <w:t>VID IS izmaiņu veikšanai nepieciešamais finansējums:</w:t>
            </w:r>
          </w:p>
          <w:tbl>
            <w:tblPr>
              <w:tblW w:w="6421" w:type="dxa"/>
              <w:tblCellMar>
                <w:left w:w="0" w:type="dxa"/>
                <w:right w:w="0" w:type="dxa"/>
              </w:tblCellMar>
              <w:tblLook w:val="04A0" w:firstRow="1" w:lastRow="0" w:firstColumn="1" w:lastColumn="0" w:noHBand="0" w:noVBand="1"/>
            </w:tblPr>
            <w:tblGrid>
              <w:gridCol w:w="4153"/>
              <w:gridCol w:w="2268"/>
            </w:tblGrid>
            <w:tr w:rsidR="002A1E83" w:rsidTr="002A1E83">
              <w:trPr>
                <w:trHeight w:val="600"/>
              </w:trPr>
              <w:tc>
                <w:tcPr>
                  <w:tcW w:w="415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2A1E83" w:rsidRDefault="002A1E83" w:rsidP="00E57AE7">
                  <w:pPr>
                    <w:rPr>
                      <w:sz w:val="22"/>
                      <w:szCs w:val="22"/>
                      <w:lang w:eastAsia="lv-LV"/>
                    </w:rPr>
                  </w:pPr>
                  <w:r>
                    <w:rPr>
                      <w:lang w:eastAsia="lv-LV"/>
                    </w:rPr>
                    <w:t>VID informācijas sistēma</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2A1E83" w:rsidRDefault="002A1E83" w:rsidP="00E57AE7">
                  <w:pPr>
                    <w:rPr>
                      <w:sz w:val="22"/>
                      <w:szCs w:val="22"/>
                      <w:lang w:eastAsia="lv-LV"/>
                    </w:rPr>
                  </w:pPr>
                  <w:r>
                    <w:rPr>
                      <w:lang w:eastAsia="lv-LV"/>
                    </w:rPr>
                    <w:t>Izmaksas, Ls</w:t>
                  </w:r>
                </w:p>
              </w:tc>
            </w:tr>
            <w:tr w:rsidR="002A1E83" w:rsidTr="002A1E83">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A1E83" w:rsidRDefault="002A1E83" w:rsidP="00E57AE7">
                  <w:pPr>
                    <w:rPr>
                      <w:sz w:val="22"/>
                      <w:szCs w:val="22"/>
                      <w:lang w:eastAsia="lv-LV"/>
                    </w:rPr>
                  </w:pPr>
                  <w:r>
                    <w:rPr>
                      <w:lang w:eastAsia="lv-LV"/>
                    </w:rPr>
                    <w:t>Nodokļu informācijas sistēma</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1E83" w:rsidRDefault="002A1E83" w:rsidP="00E57AE7">
                  <w:pPr>
                    <w:jc w:val="right"/>
                    <w:rPr>
                      <w:sz w:val="22"/>
                      <w:szCs w:val="22"/>
                      <w:lang w:eastAsia="lv-LV"/>
                    </w:rPr>
                  </w:pPr>
                  <w:r>
                    <w:rPr>
                      <w:lang w:eastAsia="lv-LV"/>
                    </w:rPr>
                    <w:t>1 497</w:t>
                  </w:r>
                </w:p>
              </w:tc>
            </w:tr>
            <w:tr w:rsidR="002A1E83" w:rsidTr="002A1E83">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A1E83" w:rsidRDefault="002A1E83" w:rsidP="00E57AE7">
                  <w:pPr>
                    <w:rPr>
                      <w:sz w:val="22"/>
                      <w:szCs w:val="22"/>
                      <w:lang w:eastAsia="lv-LV"/>
                    </w:rPr>
                  </w:pPr>
                  <w:r>
                    <w:rPr>
                      <w:lang w:eastAsia="lv-LV"/>
                    </w:rPr>
                    <w:t>Elektroniskās deklarēšanas sistēma</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1E83" w:rsidRDefault="002A1E83" w:rsidP="00E57AE7">
                  <w:pPr>
                    <w:jc w:val="right"/>
                    <w:rPr>
                      <w:sz w:val="22"/>
                      <w:szCs w:val="22"/>
                      <w:lang w:eastAsia="lv-LV"/>
                    </w:rPr>
                  </w:pPr>
                  <w:r>
                    <w:rPr>
                      <w:lang w:eastAsia="lv-LV"/>
                    </w:rPr>
                    <w:t>1 497</w:t>
                  </w:r>
                </w:p>
              </w:tc>
            </w:tr>
            <w:tr w:rsidR="002A1E83" w:rsidTr="002A1E83">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A1E83" w:rsidRDefault="002A1E83" w:rsidP="00E57AE7">
                  <w:pPr>
                    <w:rPr>
                      <w:sz w:val="22"/>
                      <w:szCs w:val="22"/>
                      <w:lang w:eastAsia="lv-LV"/>
                    </w:rPr>
                  </w:pPr>
                  <w:r>
                    <w:rPr>
                      <w:lang w:eastAsia="lv-LV"/>
                    </w:rPr>
                    <w:t>Datu noliktavas sistēma</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1E83" w:rsidRDefault="002A1E83" w:rsidP="00E57AE7">
                  <w:pPr>
                    <w:jc w:val="right"/>
                    <w:rPr>
                      <w:sz w:val="22"/>
                      <w:szCs w:val="22"/>
                      <w:lang w:eastAsia="lv-LV"/>
                    </w:rPr>
                  </w:pPr>
                  <w:r>
                    <w:rPr>
                      <w:lang w:eastAsia="lv-LV"/>
                    </w:rPr>
                    <w:t>1 090</w:t>
                  </w:r>
                </w:p>
              </w:tc>
            </w:tr>
            <w:tr w:rsidR="002A1E83" w:rsidTr="002A1E83">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A1E83" w:rsidRDefault="002A1E83" w:rsidP="00E57AE7">
                  <w:pPr>
                    <w:rPr>
                      <w:sz w:val="22"/>
                      <w:szCs w:val="22"/>
                      <w:lang w:eastAsia="lv-LV"/>
                    </w:rPr>
                  </w:pPr>
                  <w:r>
                    <w:rPr>
                      <w:lang w:eastAsia="lv-LV"/>
                    </w:rPr>
                    <w:t>Audita atbalsta informācijas sistēma</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1E83" w:rsidRDefault="002A1E83" w:rsidP="00E57AE7">
                  <w:pPr>
                    <w:jc w:val="right"/>
                    <w:rPr>
                      <w:sz w:val="22"/>
                      <w:szCs w:val="22"/>
                      <w:lang w:eastAsia="lv-LV"/>
                    </w:rPr>
                  </w:pPr>
                  <w:r>
                    <w:rPr>
                      <w:lang w:eastAsia="lv-LV"/>
                    </w:rPr>
                    <w:t>1 331</w:t>
                  </w:r>
                </w:p>
              </w:tc>
            </w:tr>
            <w:tr w:rsidR="002A1E83" w:rsidTr="002A1E83">
              <w:trPr>
                <w:trHeight w:val="285"/>
              </w:trPr>
              <w:tc>
                <w:tcPr>
                  <w:tcW w:w="415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2A1E83" w:rsidRDefault="002A1E83" w:rsidP="00E57AE7">
                  <w:pPr>
                    <w:rPr>
                      <w:b/>
                      <w:bCs/>
                      <w:sz w:val="22"/>
                      <w:szCs w:val="22"/>
                      <w:lang w:eastAsia="lv-LV"/>
                    </w:rPr>
                  </w:pPr>
                  <w:r>
                    <w:rPr>
                      <w:b/>
                      <w:bCs/>
                      <w:lang w:eastAsia="lv-LV"/>
                    </w:rPr>
                    <w:t>Kopā</w:t>
                  </w:r>
                </w:p>
              </w:tc>
              <w:tc>
                <w:tcPr>
                  <w:tcW w:w="226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A1E83" w:rsidRDefault="002A1E83" w:rsidP="00E57AE7">
                  <w:pPr>
                    <w:jc w:val="right"/>
                    <w:rPr>
                      <w:b/>
                      <w:bCs/>
                      <w:sz w:val="22"/>
                      <w:szCs w:val="22"/>
                      <w:lang w:eastAsia="lv-LV"/>
                    </w:rPr>
                  </w:pPr>
                  <w:r>
                    <w:rPr>
                      <w:b/>
                      <w:bCs/>
                      <w:lang w:eastAsia="lv-LV"/>
                    </w:rPr>
                    <w:t>5 415</w:t>
                  </w:r>
                </w:p>
              </w:tc>
            </w:tr>
          </w:tbl>
          <w:p w:rsidR="00423C30" w:rsidRPr="00AE5563" w:rsidRDefault="00423C30" w:rsidP="00E57AE7">
            <w:r>
              <w:t xml:space="preserve"> </w:t>
            </w:r>
          </w:p>
        </w:tc>
      </w:tr>
      <w:tr w:rsidR="00423C30" w:rsidRPr="004E6076" w:rsidTr="004953A3">
        <w:tc>
          <w:tcPr>
            <w:tcW w:w="2216" w:type="dxa"/>
            <w:gridSpan w:val="2"/>
          </w:tcPr>
          <w:p w:rsidR="00423C30" w:rsidRPr="004E6076" w:rsidRDefault="00423C30" w:rsidP="00514811">
            <w:pPr>
              <w:ind w:left="142"/>
            </w:pPr>
            <w:r w:rsidRPr="004E6076">
              <w:lastRenderedPageBreak/>
              <w:t>7. Cita informācija</w:t>
            </w:r>
          </w:p>
        </w:tc>
        <w:tc>
          <w:tcPr>
            <w:tcW w:w="7299" w:type="dxa"/>
            <w:gridSpan w:val="6"/>
          </w:tcPr>
          <w:p w:rsidR="00423C30" w:rsidRPr="00493A89" w:rsidRDefault="00423C30" w:rsidP="00B1272E">
            <w:pPr>
              <w:ind w:left="142" w:firstLine="709"/>
              <w:jc w:val="both"/>
              <w:rPr>
                <w:bCs/>
                <w:color w:val="C00000"/>
              </w:rPr>
            </w:pPr>
            <w:r w:rsidRPr="00CF7096">
              <w:t>Noteikumu projekta realizācijai VID Informācijas sistēmās  nepieciešams finansējums Ls 5 415 apmērā, kas tiks novirzīts no VID informācijas sistēmu uzturēšanai plānotā finansējuma 201</w:t>
            </w:r>
            <w:r w:rsidR="00B1272E" w:rsidRPr="00CF7096">
              <w:t>3</w:t>
            </w:r>
            <w:r w:rsidRPr="00CF7096">
              <w:t>.gadam. VID</w:t>
            </w:r>
            <w:r w:rsidRPr="0004345B">
              <w:t xml:space="preserve"> informācijas sistēmās nepieciešams veikt izmaiņas, lai nodrošinātu</w:t>
            </w:r>
            <w:r>
              <w:t xml:space="preserve"> </w:t>
            </w:r>
            <w:r w:rsidRPr="00677D34">
              <w:t>informācijas par darba ņēmēju nostrādāto stundu skaitu pārskata periodā</w:t>
            </w:r>
            <w:r>
              <w:t xml:space="preserve"> (mēnesī) </w:t>
            </w:r>
            <w:r w:rsidRPr="00677D34">
              <w:t xml:space="preserve">uzskaiti </w:t>
            </w:r>
            <w:r w:rsidRPr="0004345B">
              <w:t>atbilstoši Ministru kabineta noteikumu projektam. Nepieciešamā finansējuma summa ir aprēķināta, balstoties uz līdzīgu darbu izmaksām, un minētajā summā ir iekļauta nepieciešamo izmaiņu projektēšana un realizācija Nodokļu informācijas sistēmā, Elektroniskā</w:t>
            </w:r>
            <w:r w:rsidR="00611774">
              <w:t>s</w:t>
            </w:r>
            <w:r w:rsidRPr="0004345B">
              <w:t xml:space="preserve"> deklarēšanas sistēmā</w:t>
            </w:r>
            <w:r>
              <w:t xml:space="preserve">, </w:t>
            </w:r>
            <w:r w:rsidRPr="0004345B">
              <w:t>Datu noliktavas sistēmā</w:t>
            </w:r>
            <w:r>
              <w:t xml:space="preserve"> un </w:t>
            </w:r>
            <w:r w:rsidRPr="002A23A5">
              <w:t>Audita atbalsta informācijas sistēmā</w:t>
            </w:r>
          </w:p>
        </w:tc>
      </w:tr>
    </w:tbl>
    <w:p w:rsidR="002244EF" w:rsidRPr="004E6076" w:rsidRDefault="002244EF" w:rsidP="00514811">
      <w:pPr>
        <w:ind w:left="142"/>
        <w:jc w:val="both"/>
      </w:pPr>
    </w:p>
    <w:tbl>
      <w:tblPr>
        <w:tblStyle w:val="TableGrid"/>
        <w:tblW w:w="9464" w:type="dxa"/>
        <w:tblLook w:val="0000" w:firstRow="0" w:lastRow="0" w:firstColumn="0" w:lastColumn="0" w:noHBand="0" w:noVBand="0"/>
      </w:tblPr>
      <w:tblGrid>
        <w:gridCol w:w="508"/>
        <w:gridCol w:w="3107"/>
        <w:gridCol w:w="5849"/>
      </w:tblGrid>
      <w:tr w:rsidR="002244EF" w:rsidRPr="004E6076" w:rsidTr="00D353F3">
        <w:tc>
          <w:tcPr>
            <w:tcW w:w="9464" w:type="dxa"/>
            <w:gridSpan w:val="3"/>
          </w:tcPr>
          <w:p w:rsidR="002244EF" w:rsidRPr="004E6076" w:rsidRDefault="002244EF" w:rsidP="006E0B6F">
            <w:pPr>
              <w:pStyle w:val="naisc"/>
              <w:jc w:val="center"/>
            </w:pPr>
            <w:r w:rsidRPr="004E6076">
              <w:rPr>
                <w:b/>
                <w:bCs/>
              </w:rPr>
              <w:t>VII. Tiesību akta projekta izpildes nodrošināšana un tās ietekme uz institūcijām</w:t>
            </w:r>
          </w:p>
        </w:tc>
      </w:tr>
      <w:tr w:rsidR="002244EF" w:rsidRPr="004E6076" w:rsidTr="00D353F3">
        <w:trPr>
          <w:trHeight w:val="427"/>
        </w:trPr>
        <w:tc>
          <w:tcPr>
            <w:tcW w:w="508" w:type="dxa"/>
          </w:tcPr>
          <w:p w:rsidR="002244EF" w:rsidRPr="004E6076" w:rsidRDefault="002244EF" w:rsidP="00457486">
            <w:pPr>
              <w:pStyle w:val="naiskr"/>
            </w:pPr>
            <w:r w:rsidRPr="004E6076">
              <w:t> 1.</w:t>
            </w:r>
          </w:p>
        </w:tc>
        <w:tc>
          <w:tcPr>
            <w:tcW w:w="3107" w:type="dxa"/>
          </w:tcPr>
          <w:p w:rsidR="002244EF" w:rsidRPr="004E6076" w:rsidRDefault="002244EF" w:rsidP="00457486">
            <w:pPr>
              <w:pStyle w:val="naiskr"/>
            </w:pPr>
            <w:r w:rsidRPr="004E6076">
              <w:t> Projekta izpildē iesaistītās institūcijas</w:t>
            </w:r>
          </w:p>
        </w:tc>
        <w:tc>
          <w:tcPr>
            <w:tcW w:w="5849" w:type="dxa"/>
          </w:tcPr>
          <w:p w:rsidR="002244EF" w:rsidRPr="004E6076" w:rsidRDefault="00677D34" w:rsidP="002F6909">
            <w:pPr>
              <w:pStyle w:val="naiskr"/>
              <w:jc w:val="both"/>
            </w:pPr>
            <w:r w:rsidRPr="006C4098">
              <w:t>Normatīvā akta izpildi nodrošinās Valsts ieņēmumu dienests</w:t>
            </w:r>
          </w:p>
        </w:tc>
      </w:tr>
      <w:tr w:rsidR="002244EF" w:rsidRPr="004E6076" w:rsidTr="00D353F3">
        <w:trPr>
          <w:trHeight w:val="463"/>
        </w:trPr>
        <w:tc>
          <w:tcPr>
            <w:tcW w:w="508" w:type="dxa"/>
          </w:tcPr>
          <w:p w:rsidR="002244EF" w:rsidRPr="004E6076" w:rsidRDefault="002244EF" w:rsidP="00457486">
            <w:pPr>
              <w:pStyle w:val="naiskr"/>
            </w:pPr>
            <w:r w:rsidRPr="004E6076">
              <w:t> 2.</w:t>
            </w:r>
          </w:p>
        </w:tc>
        <w:tc>
          <w:tcPr>
            <w:tcW w:w="3107" w:type="dxa"/>
          </w:tcPr>
          <w:p w:rsidR="002244EF" w:rsidRPr="004E6076" w:rsidRDefault="002244EF" w:rsidP="00457486">
            <w:pPr>
              <w:pStyle w:val="naiskr"/>
            </w:pPr>
            <w:r w:rsidRPr="004E6076">
              <w:t> Projekta izpildes ietekme uz pārvaldes funkcijām</w:t>
            </w:r>
          </w:p>
        </w:tc>
        <w:tc>
          <w:tcPr>
            <w:tcW w:w="5849" w:type="dxa"/>
          </w:tcPr>
          <w:p w:rsidR="002244EF" w:rsidRPr="004E6076" w:rsidRDefault="00687342" w:rsidP="002F6909">
            <w:pPr>
              <w:pStyle w:val="naiskr"/>
              <w:jc w:val="both"/>
            </w:pPr>
            <w:r w:rsidRPr="004E6076">
              <w:t>Projekts šo jomu neskar</w:t>
            </w:r>
          </w:p>
        </w:tc>
      </w:tr>
      <w:tr w:rsidR="002244EF" w:rsidRPr="004E6076" w:rsidTr="00D353F3">
        <w:trPr>
          <w:trHeight w:val="725"/>
        </w:trPr>
        <w:tc>
          <w:tcPr>
            <w:tcW w:w="508" w:type="dxa"/>
          </w:tcPr>
          <w:p w:rsidR="002244EF" w:rsidRPr="004E6076" w:rsidRDefault="002244EF" w:rsidP="00457486">
            <w:pPr>
              <w:pStyle w:val="naiskr"/>
            </w:pPr>
            <w:r w:rsidRPr="004E6076">
              <w:t> 3.</w:t>
            </w:r>
          </w:p>
        </w:tc>
        <w:tc>
          <w:tcPr>
            <w:tcW w:w="3107" w:type="dxa"/>
          </w:tcPr>
          <w:p w:rsidR="002244EF" w:rsidRPr="004E6076" w:rsidRDefault="002244EF" w:rsidP="002A1E83">
            <w:pPr>
              <w:pStyle w:val="naiskr"/>
            </w:pPr>
            <w:r w:rsidRPr="004E6076">
              <w:t> Projekta izpildes ietekme uz pārvaldes institucionālo struktūru.</w:t>
            </w:r>
            <w:r w:rsidR="002A1E83">
              <w:t xml:space="preserve"> </w:t>
            </w:r>
            <w:r w:rsidRPr="004E6076">
              <w:t>Jaunu institūciju izveide</w:t>
            </w:r>
          </w:p>
        </w:tc>
        <w:tc>
          <w:tcPr>
            <w:tcW w:w="5849" w:type="dxa"/>
          </w:tcPr>
          <w:p w:rsidR="002244EF" w:rsidRPr="004E6076" w:rsidRDefault="00677D34" w:rsidP="006E0B6F">
            <w:pPr>
              <w:pStyle w:val="naiskr"/>
              <w:jc w:val="both"/>
            </w:pPr>
            <w:r w:rsidRPr="004E6076">
              <w:t>Projekts šo jomu neskar</w:t>
            </w:r>
          </w:p>
        </w:tc>
      </w:tr>
      <w:tr w:rsidR="002244EF" w:rsidRPr="004E6076" w:rsidTr="00D353F3">
        <w:trPr>
          <w:trHeight w:val="780"/>
        </w:trPr>
        <w:tc>
          <w:tcPr>
            <w:tcW w:w="508" w:type="dxa"/>
          </w:tcPr>
          <w:p w:rsidR="002244EF" w:rsidRPr="004E6076" w:rsidRDefault="002244EF" w:rsidP="00457486">
            <w:pPr>
              <w:pStyle w:val="naiskr"/>
            </w:pPr>
            <w:r w:rsidRPr="004E6076">
              <w:t> 4.</w:t>
            </w:r>
          </w:p>
        </w:tc>
        <w:tc>
          <w:tcPr>
            <w:tcW w:w="3107" w:type="dxa"/>
          </w:tcPr>
          <w:p w:rsidR="002244EF" w:rsidRPr="004E6076" w:rsidRDefault="002244EF" w:rsidP="002A1E83">
            <w:pPr>
              <w:pStyle w:val="naiskr"/>
            </w:pPr>
            <w:r w:rsidRPr="004E6076">
              <w:t> Projekta izpildes ietekme uz pārvaldes institucionālo struktūru.</w:t>
            </w:r>
            <w:r w:rsidR="002A1E83">
              <w:t xml:space="preserve"> </w:t>
            </w:r>
            <w:r w:rsidRPr="004E6076">
              <w:t>Esošu institūciju likvidācija</w:t>
            </w:r>
          </w:p>
        </w:tc>
        <w:tc>
          <w:tcPr>
            <w:tcW w:w="5849" w:type="dxa"/>
          </w:tcPr>
          <w:p w:rsidR="002244EF" w:rsidRPr="004E6076" w:rsidRDefault="00677D34" w:rsidP="006E0B6F">
            <w:pPr>
              <w:pStyle w:val="naiskr"/>
              <w:jc w:val="both"/>
            </w:pPr>
            <w:r w:rsidRPr="004E6076">
              <w:t>Projekts šo jomu neskar</w:t>
            </w:r>
          </w:p>
        </w:tc>
      </w:tr>
      <w:tr w:rsidR="002244EF" w:rsidRPr="004E6076" w:rsidTr="00D353F3">
        <w:trPr>
          <w:trHeight w:val="703"/>
        </w:trPr>
        <w:tc>
          <w:tcPr>
            <w:tcW w:w="508" w:type="dxa"/>
          </w:tcPr>
          <w:p w:rsidR="002244EF" w:rsidRPr="004E6076" w:rsidRDefault="002244EF" w:rsidP="00457486">
            <w:pPr>
              <w:pStyle w:val="naiskr"/>
            </w:pPr>
            <w:r w:rsidRPr="004E6076">
              <w:t> 5.</w:t>
            </w:r>
          </w:p>
        </w:tc>
        <w:tc>
          <w:tcPr>
            <w:tcW w:w="3107" w:type="dxa"/>
          </w:tcPr>
          <w:p w:rsidR="002244EF" w:rsidRPr="004E6076" w:rsidRDefault="002244EF" w:rsidP="002A1E83">
            <w:pPr>
              <w:pStyle w:val="naiskr"/>
            </w:pPr>
            <w:r w:rsidRPr="004E6076">
              <w:t> Projekta izpildes ietekme uz pārvaldes institucionālo struktūru.</w:t>
            </w:r>
            <w:r w:rsidR="002A1E83">
              <w:t xml:space="preserve"> </w:t>
            </w:r>
            <w:r w:rsidRPr="004E6076">
              <w:t>Esošu institūciju reorganizācija</w:t>
            </w:r>
          </w:p>
        </w:tc>
        <w:tc>
          <w:tcPr>
            <w:tcW w:w="5849" w:type="dxa"/>
          </w:tcPr>
          <w:p w:rsidR="002244EF" w:rsidRPr="004E6076" w:rsidRDefault="00677D34" w:rsidP="00457486">
            <w:pPr>
              <w:pStyle w:val="naiskr"/>
            </w:pPr>
            <w:r w:rsidRPr="004E6076">
              <w:t>Projekts šo jomu neskar</w:t>
            </w:r>
          </w:p>
        </w:tc>
      </w:tr>
      <w:tr w:rsidR="002244EF" w:rsidRPr="004E6076" w:rsidTr="00D353F3">
        <w:trPr>
          <w:trHeight w:val="476"/>
        </w:trPr>
        <w:tc>
          <w:tcPr>
            <w:tcW w:w="508" w:type="dxa"/>
          </w:tcPr>
          <w:p w:rsidR="002244EF" w:rsidRPr="004E6076" w:rsidRDefault="002244EF" w:rsidP="00457486">
            <w:pPr>
              <w:pStyle w:val="naiskr"/>
            </w:pPr>
            <w:r w:rsidRPr="004E6076">
              <w:t> 6.</w:t>
            </w:r>
          </w:p>
        </w:tc>
        <w:tc>
          <w:tcPr>
            <w:tcW w:w="3107" w:type="dxa"/>
          </w:tcPr>
          <w:p w:rsidR="002244EF" w:rsidRPr="004E6076" w:rsidRDefault="002244EF" w:rsidP="00457486">
            <w:pPr>
              <w:pStyle w:val="naiskr"/>
            </w:pPr>
            <w:r w:rsidRPr="004E6076">
              <w:t> Cita informācija</w:t>
            </w:r>
          </w:p>
        </w:tc>
        <w:tc>
          <w:tcPr>
            <w:tcW w:w="5849" w:type="dxa"/>
          </w:tcPr>
          <w:p w:rsidR="002244EF" w:rsidRPr="004E6076" w:rsidRDefault="002244EF" w:rsidP="00457486">
            <w:pPr>
              <w:pStyle w:val="naiskr"/>
            </w:pPr>
            <w:r w:rsidRPr="004E6076">
              <w:t> Nav</w:t>
            </w:r>
          </w:p>
        </w:tc>
      </w:tr>
    </w:tbl>
    <w:p w:rsidR="002244EF" w:rsidRPr="004E6076" w:rsidRDefault="002244EF">
      <w:pPr>
        <w:jc w:val="both"/>
      </w:pPr>
    </w:p>
    <w:p w:rsidR="002244EF" w:rsidRPr="004E6076" w:rsidRDefault="002244EF">
      <w:pPr>
        <w:ind w:firstLine="720"/>
        <w:jc w:val="both"/>
      </w:pPr>
      <w:r w:rsidRPr="004E6076">
        <w:t xml:space="preserve">Anotācijas </w:t>
      </w:r>
      <w:r w:rsidR="00677D34">
        <w:t xml:space="preserve">IV, </w:t>
      </w:r>
      <w:r w:rsidRPr="004E6076">
        <w:t>V un V</w:t>
      </w:r>
      <w:r w:rsidR="00721250" w:rsidRPr="004E6076">
        <w:t>I</w:t>
      </w:r>
      <w:r w:rsidRPr="004E6076">
        <w:t xml:space="preserve"> sadaļa </w:t>
      </w:r>
      <w:r w:rsidRPr="004E6076">
        <w:sym w:font="Symbol" w:char="F02D"/>
      </w:r>
      <w:r w:rsidRPr="004E6076">
        <w:t xml:space="preserve"> projekts šīs jomas neskar.</w:t>
      </w:r>
    </w:p>
    <w:p w:rsidR="002244EF" w:rsidRPr="004E6076" w:rsidRDefault="002244EF">
      <w:pPr>
        <w:jc w:val="both"/>
      </w:pPr>
    </w:p>
    <w:p w:rsidR="002244EF" w:rsidRPr="004E6076" w:rsidRDefault="002244EF">
      <w:pPr>
        <w:jc w:val="both"/>
      </w:pPr>
    </w:p>
    <w:p w:rsidR="002244EF" w:rsidRDefault="002244EF" w:rsidP="00827310">
      <w:pPr>
        <w:tabs>
          <w:tab w:val="left" w:pos="720"/>
          <w:tab w:val="left" w:pos="7088"/>
        </w:tabs>
        <w:ind w:firstLine="720"/>
      </w:pPr>
      <w:r w:rsidRPr="004E6076">
        <w:t>Finanšu ministrs</w:t>
      </w:r>
      <w:r w:rsidRPr="004E6076">
        <w:tab/>
      </w:r>
      <w:r w:rsidRPr="004E6076">
        <w:tab/>
      </w:r>
      <w:r w:rsidRPr="004E6076">
        <w:tab/>
        <w:t>A.Vilks</w:t>
      </w:r>
    </w:p>
    <w:p w:rsidR="00D353F3" w:rsidRDefault="00D353F3" w:rsidP="00827310">
      <w:pPr>
        <w:tabs>
          <w:tab w:val="left" w:pos="720"/>
          <w:tab w:val="left" w:pos="7088"/>
        </w:tabs>
        <w:ind w:firstLine="720"/>
      </w:pPr>
    </w:p>
    <w:p w:rsidR="00D353F3" w:rsidRDefault="00D353F3" w:rsidP="00827310">
      <w:pPr>
        <w:tabs>
          <w:tab w:val="left" w:pos="720"/>
          <w:tab w:val="left" w:pos="7088"/>
        </w:tabs>
        <w:ind w:firstLine="720"/>
      </w:pPr>
    </w:p>
    <w:p w:rsidR="00D353F3" w:rsidRPr="004E6076" w:rsidRDefault="00D353F3" w:rsidP="00D353F3">
      <w:pPr>
        <w:tabs>
          <w:tab w:val="left" w:pos="720"/>
          <w:tab w:val="left" w:pos="7938"/>
        </w:tabs>
        <w:ind w:firstLine="720"/>
      </w:pPr>
      <w:r>
        <w:t>Valsts sekretāre</w:t>
      </w:r>
      <w:r>
        <w:tab/>
        <w:t>S.Bajāre</w:t>
      </w:r>
    </w:p>
    <w:p w:rsidR="00CD7D35" w:rsidRDefault="00CD7D35" w:rsidP="00D353F3">
      <w:pPr>
        <w:rPr>
          <w:sz w:val="18"/>
          <w:szCs w:val="18"/>
        </w:rPr>
      </w:pPr>
    </w:p>
    <w:p w:rsidR="00CD7D35" w:rsidRDefault="00CD7D35" w:rsidP="00D353F3">
      <w:pPr>
        <w:rPr>
          <w:sz w:val="18"/>
          <w:szCs w:val="18"/>
        </w:rPr>
      </w:pPr>
    </w:p>
    <w:p w:rsidR="00CD7D35" w:rsidRDefault="00CD7D35" w:rsidP="00D353F3">
      <w:pPr>
        <w:rPr>
          <w:sz w:val="18"/>
          <w:szCs w:val="18"/>
        </w:rPr>
      </w:pPr>
    </w:p>
    <w:p w:rsidR="00CD7D35" w:rsidRDefault="00CD7D35" w:rsidP="00D353F3">
      <w:pPr>
        <w:rPr>
          <w:sz w:val="18"/>
          <w:szCs w:val="18"/>
        </w:rPr>
      </w:pPr>
    </w:p>
    <w:p w:rsidR="00D353F3" w:rsidRPr="002576C0" w:rsidRDefault="00611774" w:rsidP="00D353F3">
      <w:pPr>
        <w:rPr>
          <w:sz w:val="20"/>
          <w:szCs w:val="20"/>
        </w:rPr>
      </w:pPr>
      <w:r>
        <w:rPr>
          <w:sz w:val="20"/>
          <w:szCs w:val="20"/>
        </w:rPr>
        <w:t>27.09.</w:t>
      </w:r>
      <w:r w:rsidR="00D353F3" w:rsidRPr="002576C0">
        <w:rPr>
          <w:sz w:val="20"/>
          <w:szCs w:val="20"/>
        </w:rPr>
        <w:t xml:space="preserve">2013. </w:t>
      </w:r>
      <w:r>
        <w:rPr>
          <w:sz w:val="20"/>
          <w:szCs w:val="20"/>
        </w:rPr>
        <w:t>10.</w:t>
      </w:r>
      <w:r w:rsidR="000469FA">
        <w:rPr>
          <w:sz w:val="20"/>
          <w:szCs w:val="20"/>
        </w:rPr>
        <w:t>24</w:t>
      </w:r>
    </w:p>
    <w:p w:rsidR="00D353F3" w:rsidRPr="005648E4" w:rsidRDefault="00611774" w:rsidP="00D353F3">
      <w:pPr>
        <w:rPr>
          <w:iCs/>
          <w:sz w:val="20"/>
          <w:szCs w:val="20"/>
        </w:rPr>
      </w:pPr>
      <w:r>
        <w:rPr>
          <w:iCs/>
          <w:sz w:val="20"/>
          <w:szCs w:val="20"/>
          <w:lang w:val="en-GB"/>
        </w:rPr>
        <w:t>1135</w:t>
      </w:r>
    </w:p>
    <w:p w:rsidR="002576C0" w:rsidRPr="002576C0" w:rsidRDefault="002576C0" w:rsidP="002576C0">
      <w:pPr>
        <w:rPr>
          <w:sz w:val="20"/>
          <w:szCs w:val="20"/>
        </w:rPr>
      </w:pPr>
      <w:r w:rsidRPr="002576C0">
        <w:rPr>
          <w:sz w:val="20"/>
          <w:szCs w:val="20"/>
        </w:rPr>
        <w:t xml:space="preserve">I.Riekstiņa </w:t>
      </w:r>
    </w:p>
    <w:p w:rsidR="002576C0" w:rsidRPr="002576C0" w:rsidRDefault="002576C0" w:rsidP="002576C0">
      <w:pPr>
        <w:rPr>
          <w:sz w:val="20"/>
          <w:szCs w:val="20"/>
          <w:u w:val="single"/>
        </w:rPr>
      </w:pPr>
      <w:r w:rsidRPr="002576C0">
        <w:rPr>
          <w:sz w:val="20"/>
          <w:szCs w:val="20"/>
        </w:rPr>
        <w:t>67028829,</w:t>
      </w:r>
      <w:r w:rsidRPr="002576C0">
        <w:rPr>
          <w:iCs/>
          <w:sz w:val="20"/>
          <w:szCs w:val="20"/>
        </w:rPr>
        <w:t xml:space="preserve"> </w:t>
      </w:r>
      <w:hyperlink r:id="rId8" w:history="1">
        <w:r w:rsidRPr="002576C0">
          <w:rPr>
            <w:rStyle w:val="Hyperlink"/>
            <w:sz w:val="20"/>
            <w:szCs w:val="20"/>
          </w:rPr>
          <w:t>Inese.Riekstiņa@vid.gov.lv</w:t>
        </w:r>
      </w:hyperlink>
    </w:p>
    <w:sectPr w:rsidR="002576C0" w:rsidRPr="002576C0" w:rsidSect="00AE5BBB">
      <w:headerReference w:type="even" r:id="rId9"/>
      <w:headerReference w:type="default" r:id="rId10"/>
      <w:footerReference w:type="default" r:id="rId11"/>
      <w:footerReference w:type="first" r:id="rId12"/>
      <w:pgSz w:w="11906" w:h="16838" w:code="9"/>
      <w:pgMar w:top="1077" w:right="1134" w:bottom="709"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EA" w:rsidRDefault="002936EA">
      <w:r>
        <w:separator/>
      </w:r>
    </w:p>
  </w:endnote>
  <w:endnote w:type="continuationSeparator" w:id="0">
    <w:p w:rsidR="002936EA" w:rsidRDefault="0029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F3" w:rsidRPr="00FB0C45" w:rsidRDefault="00D353F3" w:rsidP="0013177F">
    <w:pPr>
      <w:pStyle w:val="Footer"/>
      <w:spacing w:after="240"/>
      <w:jc w:val="both"/>
    </w:pPr>
    <w:r w:rsidRPr="00FB0C45">
      <w:rPr>
        <w:sz w:val="18"/>
        <w:szCs w:val="18"/>
      </w:rPr>
      <w:t>FMAnot_</w:t>
    </w:r>
    <w:r w:rsidR="00D065D4">
      <w:rPr>
        <w:sz w:val="18"/>
        <w:szCs w:val="18"/>
      </w:rPr>
      <w:t>270913</w:t>
    </w:r>
    <w:r w:rsidRPr="00FB0C45">
      <w:rPr>
        <w:sz w:val="18"/>
        <w:szCs w:val="18"/>
      </w:rPr>
      <w:t xml:space="preserve">_MK_819_groz; Ministru kabineta noteikumu projekts </w:t>
    </w:r>
    <w:r w:rsidR="00D065D4">
      <w:rPr>
        <w:sz w:val="18"/>
        <w:szCs w:val="18"/>
      </w:rPr>
      <w:t>“</w:t>
    </w:r>
    <w:r w:rsidRPr="00FB0C45">
      <w:rPr>
        <w:sz w:val="18"/>
        <w:szCs w:val="18"/>
      </w:rPr>
      <w:t xml:space="preserve">Grozījumi Ministru kabineta 2010.gada 31.augusta noteikumos Nr.819 </w:t>
    </w:r>
    <w:r w:rsidR="00D065D4">
      <w:rPr>
        <w:sz w:val="18"/>
        <w:szCs w:val="18"/>
      </w:rPr>
      <w:t>“</w:t>
    </w:r>
    <w:r w:rsidRPr="00FB0C45">
      <w:rPr>
        <w:sz w:val="18"/>
        <w:szCs w:val="18"/>
      </w:rPr>
      <w:t>Noteikumi par mikrouzņēmumu nodokļa deklarāciju un tās aizpildīšanas kārtību”””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EF" w:rsidRPr="00D353F3" w:rsidRDefault="00D353F3" w:rsidP="003C1EE7">
    <w:pPr>
      <w:pStyle w:val="Footer"/>
      <w:jc w:val="both"/>
      <w:rPr>
        <w:sz w:val="18"/>
        <w:szCs w:val="18"/>
      </w:rPr>
    </w:pPr>
    <w:r w:rsidRPr="00D353F3">
      <w:rPr>
        <w:sz w:val="18"/>
        <w:szCs w:val="18"/>
      </w:rPr>
      <w:t>FMAnot_</w:t>
    </w:r>
    <w:r w:rsidR="00D82486">
      <w:rPr>
        <w:sz w:val="18"/>
        <w:szCs w:val="18"/>
      </w:rPr>
      <w:t>2709</w:t>
    </w:r>
    <w:r w:rsidR="00D82486" w:rsidRPr="00D353F3">
      <w:rPr>
        <w:sz w:val="18"/>
        <w:szCs w:val="18"/>
      </w:rPr>
      <w:t>13</w:t>
    </w:r>
    <w:r w:rsidRPr="00D353F3">
      <w:rPr>
        <w:sz w:val="18"/>
        <w:szCs w:val="18"/>
      </w:rPr>
      <w:t xml:space="preserve">_MK_819_groz; Ministru kabineta noteikumu projekts </w:t>
    </w:r>
    <w:r w:rsidR="00D82486">
      <w:rPr>
        <w:sz w:val="18"/>
        <w:szCs w:val="18"/>
      </w:rPr>
      <w:t>“</w:t>
    </w:r>
    <w:r w:rsidRPr="00D353F3">
      <w:rPr>
        <w:sz w:val="18"/>
        <w:szCs w:val="18"/>
      </w:rPr>
      <w:t xml:space="preserve">Grozījumi Ministru kabineta 2010.gada 31.augusta noteikumos Nr.819 </w:t>
    </w:r>
    <w:r w:rsidR="00D82486">
      <w:rPr>
        <w:sz w:val="18"/>
        <w:szCs w:val="18"/>
      </w:rPr>
      <w:t>“</w:t>
    </w:r>
    <w:r w:rsidRPr="00D353F3">
      <w:rPr>
        <w:sz w:val="18"/>
        <w:szCs w:val="18"/>
      </w:rPr>
      <w:t>Noteikumi par mikrouzņēmumu nodokļa deklarāciju un tās aizpildīšanas kārtību”””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EA" w:rsidRDefault="002936EA">
      <w:r>
        <w:separator/>
      </w:r>
    </w:p>
  </w:footnote>
  <w:footnote w:type="continuationSeparator" w:id="0">
    <w:p w:rsidR="002936EA" w:rsidRDefault="00293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EF" w:rsidRDefault="002244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44EF" w:rsidRDefault="00224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EF" w:rsidRPr="00E60E16" w:rsidRDefault="002244EF">
    <w:pPr>
      <w:pStyle w:val="Header"/>
      <w:framePr w:wrap="around" w:vAnchor="text" w:hAnchor="margin" w:xAlign="center" w:y="1"/>
      <w:rPr>
        <w:rStyle w:val="PageNumber"/>
      </w:rPr>
    </w:pPr>
    <w:r w:rsidRPr="00E60E16">
      <w:rPr>
        <w:rStyle w:val="PageNumber"/>
      </w:rPr>
      <w:fldChar w:fldCharType="begin"/>
    </w:r>
    <w:r w:rsidRPr="00E60E16">
      <w:rPr>
        <w:rStyle w:val="PageNumber"/>
      </w:rPr>
      <w:instrText xml:space="preserve">PAGE  </w:instrText>
    </w:r>
    <w:r w:rsidRPr="00E60E16">
      <w:rPr>
        <w:rStyle w:val="PageNumber"/>
      </w:rPr>
      <w:fldChar w:fldCharType="separate"/>
    </w:r>
    <w:r w:rsidR="003C4871">
      <w:rPr>
        <w:rStyle w:val="PageNumber"/>
        <w:noProof/>
      </w:rPr>
      <w:t>3</w:t>
    </w:r>
    <w:r w:rsidRPr="00E60E16">
      <w:rPr>
        <w:rStyle w:val="PageNumber"/>
      </w:rPr>
      <w:fldChar w:fldCharType="end"/>
    </w:r>
  </w:p>
  <w:p w:rsidR="002244EF" w:rsidRDefault="00224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E7CE1"/>
    <w:multiLevelType w:val="hybridMultilevel"/>
    <w:tmpl w:val="3E0E1102"/>
    <w:lvl w:ilvl="0" w:tplc="85AA36AE">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
    <w:nsid w:val="1C7C6CA2"/>
    <w:multiLevelType w:val="hybridMultilevel"/>
    <w:tmpl w:val="F5520100"/>
    <w:lvl w:ilvl="0" w:tplc="F5929DF2">
      <w:start w:val="1"/>
      <w:numFmt w:val="decimal"/>
      <w:lvlText w:val="%1."/>
      <w:lvlJc w:val="left"/>
      <w:pPr>
        <w:ind w:left="720" w:hanging="360"/>
      </w:pPr>
      <w:rPr>
        <w:rFonts w:ascii="Times New Roman" w:hAnsi="Times New Roman" w:cs="Times New Roman" w:hint="default"/>
        <w:color w:val="auto"/>
        <w:sz w:val="28"/>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44D02CE3"/>
    <w:multiLevelType w:val="hybridMultilevel"/>
    <w:tmpl w:val="241CA1EE"/>
    <w:lvl w:ilvl="0" w:tplc="C27A4598">
      <w:start w:val="1"/>
      <w:numFmt w:val="decimal"/>
      <w:lvlText w:val="%1)"/>
      <w:lvlJc w:val="left"/>
      <w:pPr>
        <w:tabs>
          <w:tab w:val="num" w:pos="1785"/>
        </w:tabs>
        <w:ind w:left="1785" w:hanging="106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471F44C7"/>
    <w:multiLevelType w:val="hybridMultilevel"/>
    <w:tmpl w:val="AC5CDA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A423C25"/>
    <w:multiLevelType w:val="hybridMultilevel"/>
    <w:tmpl w:val="8D8CA2D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6D192275"/>
    <w:multiLevelType w:val="hybridMultilevel"/>
    <w:tmpl w:val="F7A89CF2"/>
    <w:lvl w:ilvl="0" w:tplc="A574EBB4">
      <w:start w:val="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745A64B8"/>
    <w:multiLevelType w:val="hybridMultilevel"/>
    <w:tmpl w:val="71068E40"/>
    <w:lvl w:ilvl="0" w:tplc="D61C66D2">
      <w:start w:val="1"/>
      <w:numFmt w:val="decimal"/>
      <w:pStyle w:val="Pielikumiem"/>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0C"/>
    <w:rsid w:val="00000A64"/>
    <w:rsid w:val="00001249"/>
    <w:rsid w:val="00003F13"/>
    <w:rsid w:val="0001284A"/>
    <w:rsid w:val="00012AAA"/>
    <w:rsid w:val="00014429"/>
    <w:rsid w:val="00014B64"/>
    <w:rsid w:val="00016F42"/>
    <w:rsid w:val="000174F7"/>
    <w:rsid w:val="00017E98"/>
    <w:rsid w:val="00017EEB"/>
    <w:rsid w:val="00022C31"/>
    <w:rsid w:val="00023112"/>
    <w:rsid w:val="00023DB3"/>
    <w:rsid w:val="000249F7"/>
    <w:rsid w:val="00026C7A"/>
    <w:rsid w:val="00030039"/>
    <w:rsid w:val="0003023F"/>
    <w:rsid w:val="00030D1B"/>
    <w:rsid w:val="00031692"/>
    <w:rsid w:val="0003692F"/>
    <w:rsid w:val="0003794F"/>
    <w:rsid w:val="00041A67"/>
    <w:rsid w:val="00043378"/>
    <w:rsid w:val="0004345B"/>
    <w:rsid w:val="00044C34"/>
    <w:rsid w:val="000469FA"/>
    <w:rsid w:val="00046F6E"/>
    <w:rsid w:val="00051837"/>
    <w:rsid w:val="000616DC"/>
    <w:rsid w:val="0006546A"/>
    <w:rsid w:val="000678F9"/>
    <w:rsid w:val="00067B16"/>
    <w:rsid w:val="00071EC8"/>
    <w:rsid w:val="00072FDE"/>
    <w:rsid w:val="000744D7"/>
    <w:rsid w:val="0007459B"/>
    <w:rsid w:val="0007485C"/>
    <w:rsid w:val="00074EA7"/>
    <w:rsid w:val="00074FCB"/>
    <w:rsid w:val="000804D7"/>
    <w:rsid w:val="000820C0"/>
    <w:rsid w:val="000842F2"/>
    <w:rsid w:val="0008479C"/>
    <w:rsid w:val="00084C8B"/>
    <w:rsid w:val="000869B6"/>
    <w:rsid w:val="00087324"/>
    <w:rsid w:val="0009020F"/>
    <w:rsid w:val="00091F99"/>
    <w:rsid w:val="00092ED8"/>
    <w:rsid w:val="0009319B"/>
    <w:rsid w:val="00095C3D"/>
    <w:rsid w:val="000A03E0"/>
    <w:rsid w:val="000A20DD"/>
    <w:rsid w:val="000A3271"/>
    <w:rsid w:val="000A3C19"/>
    <w:rsid w:val="000A3D13"/>
    <w:rsid w:val="000A3FD0"/>
    <w:rsid w:val="000A534F"/>
    <w:rsid w:val="000A665D"/>
    <w:rsid w:val="000A6A79"/>
    <w:rsid w:val="000A7814"/>
    <w:rsid w:val="000A7FA3"/>
    <w:rsid w:val="000B0E9D"/>
    <w:rsid w:val="000B342F"/>
    <w:rsid w:val="000B34FF"/>
    <w:rsid w:val="000B4A9A"/>
    <w:rsid w:val="000B50F4"/>
    <w:rsid w:val="000B7046"/>
    <w:rsid w:val="000C478D"/>
    <w:rsid w:val="000C54E5"/>
    <w:rsid w:val="000C59C3"/>
    <w:rsid w:val="000C5F39"/>
    <w:rsid w:val="000C691A"/>
    <w:rsid w:val="000D281B"/>
    <w:rsid w:val="000D330B"/>
    <w:rsid w:val="000D362F"/>
    <w:rsid w:val="000D3ECB"/>
    <w:rsid w:val="000D45F4"/>
    <w:rsid w:val="000D641F"/>
    <w:rsid w:val="000E041C"/>
    <w:rsid w:val="000E08C0"/>
    <w:rsid w:val="000E0E03"/>
    <w:rsid w:val="000E1851"/>
    <w:rsid w:val="000E2956"/>
    <w:rsid w:val="000E367C"/>
    <w:rsid w:val="000E5DBD"/>
    <w:rsid w:val="000E7253"/>
    <w:rsid w:val="000E75AF"/>
    <w:rsid w:val="000F58A7"/>
    <w:rsid w:val="00101053"/>
    <w:rsid w:val="00101D9D"/>
    <w:rsid w:val="00103A0D"/>
    <w:rsid w:val="00105701"/>
    <w:rsid w:val="00106D99"/>
    <w:rsid w:val="00107252"/>
    <w:rsid w:val="001102E3"/>
    <w:rsid w:val="00112319"/>
    <w:rsid w:val="00112E85"/>
    <w:rsid w:val="00113DE8"/>
    <w:rsid w:val="00114485"/>
    <w:rsid w:val="00115037"/>
    <w:rsid w:val="00115C40"/>
    <w:rsid w:val="001165DA"/>
    <w:rsid w:val="00116B5C"/>
    <w:rsid w:val="00124452"/>
    <w:rsid w:val="00127367"/>
    <w:rsid w:val="0013177F"/>
    <w:rsid w:val="00131E21"/>
    <w:rsid w:val="001323C0"/>
    <w:rsid w:val="001331D1"/>
    <w:rsid w:val="001348D2"/>
    <w:rsid w:val="001372BD"/>
    <w:rsid w:val="0015005E"/>
    <w:rsid w:val="001501C4"/>
    <w:rsid w:val="0015109D"/>
    <w:rsid w:val="00154C3E"/>
    <w:rsid w:val="00155BDF"/>
    <w:rsid w:val="00156114"/>
    <w:rsid w:val="001568F0"/>
    <w:rsid w:val="00165D51"/>
    <w:rsid w:val="0016696D"/>
    <w:rsid w:val="00167503"/>
    <w:rsid w:val="0016792E"/>
    <w:rsid w:val="00170611"/>
    <w:rsid w:val="00172C66"/>
    <w:rsid w:val="0017333B"/>
    <w:rsid w:val="00173C7A"/>
    <w:rsid w:val="001740EE"/>
    <w:rsid w:val="00174817"/>
    <w:rsid w:val="00175FB9"/>
    <w:rsid w:val="00176718"/>
    <w:rsid w:val="00177F40"/>
    <w:rsid w:val="00180981"/>
    <w:rsid w:val="001826E3"/>
    <w:rsid w:val="00183109"/>
    <w:rsid w:val="00185D80"/>
    <w:rsid w:val="00191A02"/>
    <w:rsid w:val="0019654B"/>
    <w:rsid w:val="00197DF9"/>
    <w:rsid w:val="001A1FED"/>
    <w:rsid w:val="001A22AC"/>
    <w:rsid w:val="001A3D30"/>
    <w:rsid w:val="001A447F"/>
    <w:rsid w:val="001A5201"/>
    <w:rsid w:val="001B05B2"/>
    <w:rsid w:val="001B382F"/>
    <w:rsid w:val="001B582B"/>
    <w:rsid w:val="001B6400"/>
    <w:rsid w:val="001B66D3"/>
    <w:rsid w:val="001C45E0"/>
    <w:rsid w:val="001C4D52"/>
    <w:rsid w:val="001C4E81"/>
    <w:rsid w:val="001C58ED"/>
    <w:rsid w:val="001C5D27"/>
    <w:rsid w:val="001D031D"/>
    <w:rsid w:val="001D169A"/>
    <w:rsid w:val="001D1D1D"/>
    <w:rsid w:val="001D2665"/>
    <w:rsid w:val="001D2A64"/>
    <w:rsid w:val="001D445B"/>
    <w:rsid w:val="001D4531"/>
    <w:rsid w:val="001D5EA6"/>
    <w:rsid w:val="001E1EC2"/>
    <w:rsid w:val="001E2BB3"/>
    <w:rsid w:val="001E3CF9"/>
    <w:rsid w:val="001F2E3E"/>
    <w:rsid w:val="001F3BB2"/>
    <w:rsid w:val="001F53F1"/>
    <w:rsid w:val="002015BB"/>
    <w:rsid w:val="00202284"/>
    <w:rsid w:val="00203B23"/>
    <w:rsid w:val="0020418E"/>
    <w:rsid w:val="00207B35"/>
    <w:rsid w:val="00207C43"/>
    <w:rsid w:val="0021316D"/>
    <w:rsid w:val="0022092A"/>
    <w:rsid w:val="00221688"/>
    <w:rsid w:val="00222FAC"/>
    <w:rsid w:val="002244EF"/>
    <w:rsid w:val="00225F7E"/>
    <w:rsid w:val="002277CE"/>
    <w:rsid w:val="00230A1F"/>
    <w:rsid w:val="002316D2"/>
    <w:rsid w:val="00231996"/>
    <w:rsid w:val="00231A5F"/>
    <w:rsid w:val="00231C18"/>
    <w:rsid w:val="0023524A"/>
    <w:rsid w:val="00236FDC"/>
    <w:rsid w:val="002371E9"/>
    <w:rsid w:val="00237763"/>
    <w:rsid w:val="00240C1F"/>
    <w:rsid w:val="002421C0"/>
    <w:rsid w:val="002422C8"/>
    <w:rsid w:val="00244CC6"/>
    <w:rsid w:val="00246ED2"/>
    <w:rsid w:val="00250022"/>
    <w:rsid w:val="002553B0"/>
    <w:rsid w:val="00255C4B"/>
    <w:rsid w:val="002576C0"/>
    <w:rsid w:val="002612AC"/>
    <w:rsid w:val="002641E8"/>
    <w:rsid w:val="002647ED"/>
    <w:rsid w:val="00265091"/>
    <w:rsid w:val="00270228"/>
    <w:rsid w:val="00272F8D"/>
    <w:rsid w:val="00274036"/>
    <w:rsid w:val="002755F0"/>
    <w:rsid w:val="00275721"/>
    <w:rsid w:val="0027692D"/>
    <w:rsid w:val="00277C12"/>
    <w:rsid w:val="0028015B"/>
    <w:rsid w:val="00280C99"/>
    <w:rsid w:val="00283614"/>
    <w:rsid w:val="00291BD2"/>
    <w:rsid w:val="002936EA"/>
    <w:rsid w:val="002941AF"/>
    <w:rsid w:val="00294FCA"/>
    <w:rsid w:val="002A10AC"/>
    <w:rsid w:val="002A1E83"/>
    <w:rsid w:val="002A20CD"/>
    <w:rsid w:val="002A23A5"/>
    <w:rsid w:val="002A308C"/>
    <w:rsid w:val="002A4546"/>
    <w:rsid w:val="002A75FC"/>
    <w:rsid w:val="002B0AFA"/>
    <w:rsid w:val="002B1BD4"/>
    <w:rsid w:val="002B26EF"/>
    <w:rsid w:val="002B2DC5"/>
    <w:rsid w:val="002B314A"/>
    <w:rsid w:val="002B786B"/>
    <w:rsid w:val="002C1217"/>
    <w:rsid w:val="002C48C5"/>
    <w:rsid w:val="002D039B"/>
    <w:rsid w:val="002D0626"/>
    <w:rsid w:val="002D0E96"/>
    <w:rsid w:val="002D3EC5"/>
    <w:rsid w:val="002D71F7"/>
    <w:rsid w:val="002E6377"/>
    <w:rsid w:val="002E71D5"/>
    <w:rsid w:val="002F0BC4"/>
    <w:rsid w:val="002F1EDF"/>
    <w:rsid w:val="002F346E"/>
    <w:rsid w:val="002F4FF7"/>
    <w:rsid w:val="002F5C9F"/>
    <w:rsid w:val="002F6909"/>
    <w:rsid w:val="002F6F58"/>
    <w:rsid w:val="002F7E75"/>
    <w:rsid w:val="00300E9E"/>
    <w:rsid w:val="00301817"/>
    <w:rsid w:val="00304F6A"/>
    <w:rsid w:val="00310F51"/>
    <w:rsid w:val="003139D1"/>
    <w:rsid w:val="00314708"/>
    <w:rsid w:val="00314D5C"/>
    <w:rsid w:val="00317CBD"/>
    <w:rsid w:val="00321183"/>
    <w:rsid w:val="003256F9"/>
    <w:rsid w:val="00330FB1"/>
    <w:rsid w:val="00330FE8"/>
    <w:rsid w:val="0033159C"/>
    <w:rsid w:val="0033361A"/>
    <w:rsid w:val="00335328"/>
    <w:rsid w:val="00336257"/>
    <w:rsid w:val="00341597"/>
    <w:rsid w:val="00342694"/>
    <w:rsid w:val="003427F0"/>
    <w:rsid w:val="00342E89"/>
    <w:rsid w:val="003463B2"/>
    <w:rsid w:val="0034644F"/>
    <w:rsid w:val="00351F16"/>
    <w:rsid w:val="003526A8"/>
    <w:rsid w:val="00353E30"/>
    <w:rsid w:val="00353F5C"/>
    <w:rsid w:val="00354BAF"/>
    <w:rsid w:val="00355150"/>
    <w:rsid w:val="00356710"/>
    <w:rsid w:val="00356C23"/>
    <w:rsid w:val="003608C0"/>
    <w:rsid w:val="003609C2"/>
    <w:rsid w:val="00360D26"/>
    <w:rsid w:val="00365A39"/>
    <w:rsid w:val="00365FF6"/>
    <w:rsid w:val="003664F3"/>
    <w:rsid w:val="00382207"/>
    <w:rsid w:val="00382306"/>
    <w:rsid w:val="00383879"/>
    <w:rsid w:val="00383EE9"/>
    <w:rsid w:val="00384B29"/>
    <w:rsid w:val="0038707F"/>
    <w:rsid w:val="00387743"/>
    <w:rsid w:val="00390E23"/>
    <w:rsid w:val="00393272"/>
    <w:rsid w:val="00393E47"/>
    <w:rsid w:val="00396A5D"/>
    <w:rsid w:val="003A24AE"/>
    <w:rsid w:val="003A4EF4"/>
    <w:rsid w:val="003A6F73"/>
    <w:rsid w:val="003A73A7"/>
    <w:rsid w:val="003B04EB"/>
    <w:rsid w:val="003B3550"/>
    <w:rsid w:val="003B36F7"/>
    <w:rsid w:val="003B4F2D"/>
    <w:rsid w:val="003C1EE7"/>
    <w:rsid w:val="003C2A06"/>
    <w:rsid w:val="003C33B1"/>
    <w:rsid w:val="003C4871"/>
    <w:rsid w:val="003C6688"/>
    <w:rsid w:val="003C7866"/>
    <w:rsid w:val="003D1D30"/>
    <w:rsid w:val="003D2DFA"/>
    <w:rsid w:val="003D4F3F"/>
    <w:rsid w:val="003D6C6F"/>
    <w:rsid w:val="003E1C45"/>
    <w:rsid w:val="003E44D8"/>
    <w:rsid w:val="003E6A3F"/>
    <w:rsid w:val="003F05AE"/>
    <w:rsid w:val="003F3D1E"/>
    <w:rsid w:val="003F44CE"/>
    <w:rsid w:val="003F5CDE"/>
    <w:rsid w:val="003F61A5"/>
    <w:rsid w:val="003F646D"/>
    <w:rsid w:val="003F6EA2"/>
    <w:rsid w:val="003F6F68"/>
    <w:rsid w:val="004008D8"/>
    <w:rsid w:val="00400ADC"/>
    <w:rsid w:val="00405F3D"/>
    <w:rsid w:val="00411188"/>
    <w:rsid w:val="004115AA"/>
    <w:rsid w:val="004146AB"/>
    <w:rsid w:val="00415154"/>
    <w:rsid w:val="00417AE9"/>
    <w:rsid w:val="00420A95"/>
    <w:rsid w:val="00423250"/>
    <w:rsid w:val="00423C30"/>
    <w:rsid w:val="00424823"/>
    <w:rsid w:val="00425531"/>
    <w:rsid w:val="004315AD"/>
    <w:rsid w:val="00436011"/>
    <w:rsid w:val="004413CD"/>
    <w:rsid w:val="004424F1"/>
    <w:rsid w:val="00443C8E"/>
    <w:rsid w:val="004449FD"/>
    <w:rsid w:val="00446946"/>
    <w:rsid w:val="00446A8C"/>
    <w:rsid w:val="00451752"/>
    <w:rsid w:val="0045201E"/>
    <w:rsid w:val="00456184"/>
    <w:rsid w:val="00456FF7"/>
    <w:rsid w:val="00457292"/>
    <w:rsid w:val="00457486"/>
    <w:rsid w:val="00460F00"/>
    <w:rsid w:val="004669BD"/>
    <w:rsid w:val="0047059D"/>
    <w:rsid w:val="004706BA"/>
    <w:rsid w:val="00471359"/>
    <w:rsid w:val="00472972"/>
    <w:rsid w:val="00474492"/>
    <w:rsid w:val="0047721B"/>
    <w:rsid w:val="0048630F"/>
    <w:rsid w:val="0048672B"/>
    <w:rsid w:val="00486E85"/>
    <w:rsid w:val="0048728A"/>
    <w:rsid w:val="00487CB5"/>
    <w:rsid w:val="00490FD1"/>
    <w:rsid w:val="00491A88"/>
    <w:rsid w:val="00493A89"/>
    <w:rsid w:val="004953A3"/>
    <w:rsid w:val="00496177"/>
    <w:rsid w:val="00497CE2"/>
    <w:rsid w:val="004A2020"/>
    <w:rsid w:val="004A3B29"/>
    <w:rsid w:val="004A4DDA"/>
    <w:rsid w:val="004A5AB3"/>
    <w:rsid w:val="004B036D"/>
    <w:rsid w:val="004B11D0"/>
    <w:rsid w:val="004B292A"/>
    <w:rsid w:val="004C0810"/>
    <w:rsid w:val="004C335F"/>
    <w:rsid w:val="004C4A10"/>
    <w:rsid w:val="004C53E6"/>
    <w:rsid w:val="004C605F"/>
    <w:rsid w:val="004C63C5"/>
    <w:rsid w:val="004C6410"/>
    <w:rsid w:val="004D1176"/>
    <w:rsid w:val="004D1411"/>
    <w:rsid w:val="004D2959"/>
    <w:rsid w:val="004D2E77"/>
    <w:rsid w:val="004D49D1"/>
    <w:rsid w:val="004D5EDF"/>
    <w:rsid w:val="004D600F"/>
    <w:rsid w:val="004D7462"/>
    <w:rsid w:val="004E01AB"/>
    <w:rsid w:val="004E272E"/>
    <w:rsid w:val="004E3B1A"/>
    <w:rsid w:val="004E409B"/>
    <w:rsid w:val="004E4172"/>
    <w:rsid w:val="004E42E1"/>
    <w:rsid w:val="004E49AB"/>
    <w:rsid w:val="004E5085"/>
    <w:rsid w:val="004E5908"/>
    <w:rsid w:val="004E6076"/>
    <w:rsid w:val="004E6D8E"/>
    <w:rsid w:val="004E7602"/>
    <w:rsid w:val="004F2EB9"/>
    <w:rsid w:val="004F38BE"/>
    <w:rsid w:val="004F60B4"/>
    <w:rsid w:val="004F6435"/>
    <w:rsid w:val="004F753F"/>
    <w:rsid w:val="0050216B"/>
    <w:rsid w:val="00502462"/>
    <w:rsid w:val="005035DE"/>
    <w:rsid w:val="005047A1"/>
    <w:rsid w:val="00510D60"/>
    <w:rsid w:val="005116BF"/>
    <w:rsid w:val="00511B13"/>
    <w:rsid w:val="00514811"/>
    <w:rsid w:val="00520B09"/>
    <w:rsid w:val="00523043"/>
    <w:rsid w:val="005231B5"/>
    <w:rsid w:val="005244A8"/>
    <w:rsid w:val="00526238"/>
    <w:rsid w:val="0052643C"/>
    <w:rsid w:val="00526F7A"/>
    <w:rsid w:val="00527ADF"/>
    <w:rsid w:val="00531174"/>
    <w:rsid w:val="00531F8D"/>
    <w:rsid w:val="00536998"/>
    <w:rsid w:val="00542892"/>
    <w:rsid w:val="00547CC0"/>
    <w:rsid w:val="00550B72"/>
    <w:rsid w:val="00556933"/>
    <w:rsid w:val="00557F9D"/>
    <w:rsid w:val="005648E4"/>
    <w:rsid w:val="0056622C"/>
    <w:rsid w:val="005717C1"/>
    <w:rsid w:val="00571A21"/>
    <w:rsid w:val="00572F2F"/>
    <w:rsid w:val="00574B83"/>
    <w:rsid w:val="00574D62"/>
    <w:rsid w:val="00575253"/>
    <w:rsid w:val="0057537C"/>
    <w:rsid w:val="00575ECA"/>
    <w:rsid w:val="005762EC"/>
    <w:rsid w:val="00580071"/>
    <w:rsid w:val="005804FA"/>
    <w:rsid w:val="0058113F"/>
    <w:rsid w:val="005819BD"/>
    <w:rsid w:val="00582530"/>
    <w:rsid w:val="00582F6F"/>
    <w:rsid w:val="0058746C"/>
    <w:rsid w:val="0059093C"/>
    <w:rsid w:val="00591071"/>
    <w:rsid w:val="00591654"/>
    <w:rsid w:val="00591E6B"/>
    <w:rsid w:val="00592CF6"/>
    <w:rsid w:val="00593F6B"/>
    <w:rsid w:val="00595502"/>
    <w:rsid w:val="005955CE"/>
    <w:rsid w:val="005A4E1C"/>
    <w:rsid w:val="005A679A"/>
    <w:rsid w:val="005A6882"/>
    <w:rsid w:val="005A78EF"/>
    <w:rsid w:val="005B0C14"/>
    <w:rsid w:val="005B1439"/>
    <w:rsid w:val="005B20D9"/>
    <w:rsid w:val="005B2673"/>
    <w:rsid w:val="005B2731"/>
    <w:rsid w:val="005B34B3"/>
    <w:rsid w:val="005B7480"/>
    <w:rsid w:val="005C01CA"/>
    <w:rsid w:val="005C19BB"/>
    <w:rsid w:val="005C440B"/>
    <w:rsid w:val="005C589A"/>
    <w:rsid w:val="005C6FE4"/>
    <w:rsid w:val="005D07B5"/>
    <w:rsid w:val="005D3921"/>
    <w:rsid w:val="005D4A5D"/>
    <w:rsid w:val="005D4B72"/>
    <w:rsid w:val="005D5461"/>
    <w:rsid w:val="005E2451"/>
    <w:rsid w:val="005E535C"/>
    <w:rsid w:val="005F231E"/>
    <w:rsid w:val="005F4279"/>
    <w:rsid w:val="005F4EAD"/>
    <w:rsid w:val="005F799E"/>
    <w:rsid w:val="00601963"/>
    <w:rsid w:val="00603080"/>
    <w:rsid w:val="0060537C"/>
    <w:rsid w:val="00606765"/>
    <w:rsid w:val="00606FFA"/>
    <w:rsid w:val="00607B74"/>
    <w:rsid w:val="00611774"/>
    <w:rsid w:val="00611D44"/>
    <w:rsid w:val="00611FFB"/>
    <w:rsid w:val="00612E78"/>
    <w:rsid w:val="00625446"/>
    <w:rsid w:val="00627D39"/>
    <w:rsid w:val="00631141"/>
    <w:rsid w:val="00631A7B"/>
    <w:rsid w:val="00631B8B"/>
    <w:rsid w:val="0063435F"/>
    <w:rsid w:val="0063505D"/>
    <w:rsid w:val="0063514C"/>
    <w:rsid w:val="00635F9D"/>
    <w:rsid w:val="006373CD"/>
    <w:rsid w:val="006400B9"/>
    <w:rsid w:val="00641413"/>
    <w:rsid w:val="00642A96"/>
    <w:rsid w:val="006442B7"/>
    <w:rsid w:val="00644AE2"/>
    <w:rsid w:val="006500FE"/>
    <w:rsid w:val="00650EF3"/>
    <w:rsid w:val="00652EAF"/>
    <w:rsid w:val="00654237"/>
    <w:rsid w:val="00656EE8"/>
    <w:rsid w:val="00657CF2"/>
    <w:rsid w:val="00663B19"/>
    <w:rsid w:val="006660D8"/>
    <w:rsid w:val="006660E9"/>
    <w:rsid w:val="00666598"/>
    <w:rsid w:val="00666CF2"/>
    <w:rsid w:val="00670366"/>
    <w:rsid w:val="00670EFD"/>
    <w:rsid w:val="00674F58"/>
    <w:rsid w:val="0067620E"/>
    <w:rsid w:val="0067633D"/>
    <w:rsid w:val="00677D34"/>
    <w:rsid w:val="00680233"/>
    <w:rsid w:val="00680D91"/>
    <w:rsid w:val="00680DB4"/>
    <w:rsid w:val="00680E18"/>
    <w:rsid w:val="00681E51"/>
    <w:rsid w:val="006837B9"/>
    <w:rsid w:val="00684FD0"/>
    <w:rsid w:val="00685D3D"/>
    <w:rsid w:val="006863CE"/>
    <w:rsid w:val="006868D9"/>
    <w:rsid w:val="00687342"/>
    <w:rsid w:val="006904B1"/>
    <w:rsid w:val="00691F9B"/>
    <w:rsid w:val="00692947"/>
    <w:rsid w:val="006949EB"/>
    <w:rsid w:val="006A060B"/>
    <w:rsid w:val="006A282A"/>
    <w:rsid w:val="006A5F42"/>
    <w:rsid w:val="006A6ACF"/>
    <w:rsid w:val="006A6BE7"/>
    <w:rsid w:val="006B0CB6"/>
    <w:rsid w:val="006B222A"/>
    <w:rsid w:val="006B519D"/>
    <w:rsid w:val="006B63CD"/>
    <w:rsid w:val="006B78AD"/>
    <w:rsid w:val="006C0A3D"/>
    <w:rsid w:val="006C21E8"/>
    <w:rsid w:val="006C3662"/>
    <w:rsid w:val="006C392F"/>
    <w:rsid w:val="006C4098"/>
    <w:rsid w:val="006C7090"/>
    <w:rsid w:val="006C7CD5"/>
    <w:rsid w:val="006D29DA"/>
    <w:rsid w:val="006D2F92"/>
    <w:rsid w:val="006D7BC2"/>
    <w:rsid w:val="006D7E67"/>
    <w:rsid w:val="006E0B6F"/>
    <w:rsid w:val="006E196C"/>
    <w:rsid w:val="006E2327"/>
    <w:rsid w:val="006E417E"/>
    <w:rsid w:val="006E558D"/>
    <w:rsid w:val="006E5A3A"/>
    <w:rsid w:val="006E6C9C"/>
    <w:rsid w:val="006E75C7"/>
    <w:rsid w:val="006F03FC"/>
    <w:rsid w:val="006F0D36"/>
    <w:rsid w:val="006F0EE6"/>
    <w:rsid w:val="006F2DBE"/>
    <w:rsid w:val="006F3438"/>
    <w:rsid w:val="006F5A88"/>
    <w:rsid w:val="006F5F0E"/>
    <w:rsid w:val="006F66A4"/>
    <w:rsid w:val="0070050D"/>
    <w:rsid w:val="00700C9A"/>
    <w:rsid w:val="007016C3"/>
    <w:rsid w:val="0070275A"/>
    <w:rsid w:val="00706833"/>
    <w:rsid w:val="00707A10"/>
    <w:rsid w:val="007108D7"/>
    <w:rsid w:val="007112D6"/>
    <w:rsid w:val="0071238C"/>
    <w:rsid w:val="00713E2E"/>
    <w:rsid w:val="00721250"/>
    <w:rsid w:val="00721C26"/>
    <w:rsid w:val="00722CDD"/>
    <w:rsid w:val="00730C41"/>
    <w:rsid w:val="00733A37"/>
    <w:rsid w:val="00735898"/>
    <w:rsid w:val="0073591E"/>
    <w:rsid w:val="00737FDF"/>
    <w:rsid w:val="007415AF"/>
    <w:rsid w:val="0074232E"/>
    <w:rsid w:val="00742C23"/>
    <w:rsid w:val="00743992"/>
    <w:rsid w:val="00743C35"/>
    <w:rsid w:val="00745DBA"/>
    <w:rsid w:val="00745EA4"/>
    <w:rsid w:val="00747103"/>
    <w:rsid w:val="007521EA"/>
    <w:rsid w:val="00753FF9"/>
    <w:rsid w:val="0075453C"/>
    <w:rsid w:val="007553E5"/>
    <w:rsid w:val="00755D0C"/>
    <w:rsid w:val="0076136A"/>
    <w:rsid w:val="007625C0"/>
    <w:rsid w:val="0076266F"/>
    <w:rsid w:val="00764576"/>
    <w:rsid w:val="0076560B"/>
    <w:rsid w:val="007660B6"/>
    <w:rsid w:val="00767108"/>
    <w:rsid w:val="00771F85"/>
    <w:rsid w:val="007744EF"/>
    <w:rsid w:val="00776391"/>
    <w:rsid w:val="0077724D"/>
    <w:rsid w:val="007806D7"/>
    <w:rsid w:val="00785320"/>
    <w:rsid w:val="00787FC5"/>
    <w:rsid w:val="00790FF7"/>
    <w:rsid w:val="00794A89"/>
    <w:rsid w:val="00794D1F"/>
    <w:rsid w:val="007965C3"/>
    <w:rsid w:val="00796BD9"/>
    <w:rsid w:val="00797CBF"/>
    <w:rsid w:val="007A024E"/>
    <w:rsid w:val="007A15B2"/>
    <w:rsid w:val="007A3046"/>
    <w:rsid w:val="007A373C"/>
    <w:rsid w:val="007A4814"/>
    <w:rsid w:val="007A49D4"/>
    <w:rsid w:val="007A75DB"/>
    <w:rsid w:val="007A7A42"/>
    <w:rsid w:val="007A7EAB"/>
    <w:rsid w:val="007B160A"/>
    <w:rsid w:val="007B1A39"/>
    <w:rsid w:val="007B2E7D"/>
    <w:rsid w:val="007B414D"/>
    <w:rsid w:val="007B4D90"/>
    <w:rsid w:val="007B4DB5"/>
    <w:rsid w:val="007B5DA6"/>
    <w:rsid w:val="007B6BEA"/>
    <w:rsid w:val="007B7570"/>
    <w:rsid w:val="007C2937"/>
    <w:rsid w:val="007C5247"/>
    <w:rsid w:val="007C54ED"/>
    <w:rsid w:val="007C6609"/>
    <w:rsid w:val="007D07A5"/>
    <w:rsid w:val="007D2377"/>
    <w:rsid w:val="007D4B58"/>
    <w:rsid w:val="007E09F2"/>
    <w:rsid w:val="007E27DC"/>
    <w:rsid w:val="007E4701"/>
    <w:rsid w:val="007E49C6"/>
    <w:rsid w:val="007E6E63"/>
    <w:rsid w:val="007F2FF0"/>
    <w:rsid w:val="007F5E4F"/>
    <w:rsid w:val="00802B1F"/>
    <w:rsid w:val="008036D9"/>
    <w:rsid w:val="0080441B"/>
    <w:rsid w:val="00804C1E"/>
    <w:rsid w:val="00807CF1"/>
    <w:rsid w:val="00807F2A"/>
    <w:rsid w:val="00816B79"/>
    <w:rsid w:val="008177D8"/>
    <w:rsid w:val="008200E0"/>
    <w:rsid w:val="00822DF7"/>
    <w:rsid w:val="0082429D"/>
    <w:rsid w:val="00825551"/>
    <w:rsid w:val="00825C37"/>
    <w:rsid w:val="00827310"/>
    <w:rsid w:val="00830D77"/>
    <w:rsid w:val="00832F70"/>
    <w:rsid w:val="00833311"/>
    <w:rsid w:val="008348AB"/>
    <w:rsid w:val="008350D3"/>
    <w:rsid w:val="0083558F"/>
    <w:rsid w:val="00844665"/>
    <w:rsid w:val="008455F7"/>
    <w:rsid w:val="0084565F"/>
    <w:rsid w:val="008456E2"/>
    <w:rsid w:val="0084688B"/>
    <w:rsid w:val="00850B31"/>
    <w:rsid w:val="00851AA2"/>
    <w:rsid w:val="00852D07"/>
    <w:rsid w:val="008533A0"/>
    <w:rsid w:val="00854F38"/>
    <w:rsid w:val="00856348"/>
    <w:rsid w:val="0085760E"/>
    <w:rsid w:val="00857DD3"/>
    <w:rsid w:val="00862890"/>
    <w:rsid w:val="008633F7"/>
    <w:rsid w:val="00864625"/>
    <w:rsid w:val="008649EC"/>
    <w:rsid w:val="00864AA0"/>
    <w:rsid w:val="0086636A"/>
    <w:rsid w:val="008672C7"/>
    <w:rsid w:val="00867BB9"/>
    <w:rsid w:val="008723EF"/>
    <w:rsid w:val="00873302"/>
    <w:rsid w:val="0087379E"/>
    <w:rsid w:val="00873B61"/>
    <w:rsid w:val="0087434D"/>
    <w:rsid w:val="008750A4"/>
    <w:rsid w:val="008751C7"/>
    <w:rsid w:val="00876E18"/>
    <w:rsid w:val="00880BDB"/>
    <w:rsid w:val="00881304"/>
    <w:rsid w:val="00882954"/>
    <w:rsid w:val="00882DB3"/>
    <w:rsid w:val="00883266"/>
    <w:rsid w:val="0088336C"/>
    <w:rsid w:val="0088409A"/>
    <w:rsid w:val="00884504"/>
    <w:rsid w:val="008845BD"/>
    <w:rsid w:val="00886A32"/>
    <w:rsid w:val="00893E58"/>
    <w:rsid w:val="00894045"/>
    <w:rsid w:val="008A0265"/>
    <w:rsid w:val="008A1908"/>
    <w:rsid w:val="008A1B74"/>
    <w:rsid w:val="008A28D2"/>
    <w:rsid w:val="008A3610"/>
    <w:rsid w:val="008A4EDC"/>
    <w:rsid w:val="008A7421"/>
    <w:rsid w:val="008A7634"/>
    <w:rsid w:val="008A7CF9"/>
    <w:rsid w:val="008B1182"/>
    <w:rsid w:val="008B1212"/>
    <w:rsid w:val="008B1F24"/>
    <w:rsid w:val="008B2E56"/>
    <w:rsid w:val="008B37E4"/>
    <w:rsid w:val="008B4BE9"/>
    <w:rsid w:val="008B52CA"/>
    <w:rsid w:val="008C0D7F"/>
    <w:rsid w:val="008C133B"/>
    <w:rsid w:val="008C68EC"/>
    <w:rsid w:val="008D098F"/>
    <w:rsid w:val="008D13AE"/>
    <w:rsid w:val="008D2CF3"/>
    <w:rsid w:val="008D45C8"/>
    <w:rsid w:val="008D4B97"/>
    <w:rsid w:val="008D59E6"/>
    <w:rsid w:val="008D5AA9"/>
    <w:rsid w:val="008D5AD5"/>
    <w:rsid w:val="008E2750"/>
    <w:rsid w:val="008E2FF7"/>
    <w:rsid w:val="008E7000"/>
    <w:rsid w:val="008F0158"/>
    <w:rsid w:val="008F0CC7"/>
    <w:rsid w:val="008F51E9"/>
    <w:rsid w:val="008F7BB8"/>
    <w:rsid w:val="009020A0"/>
    <w:rsid w:val="009029D0"/>
    <w:rsid w:val="0090530C"/>
    <w:rsid w:val="009113E4"/>
    <w:rsid w:val="00911870"/>
    <w:rsid w:val="00914157"/>
    <w:rsid w:val="00914F2B"/>
    <w:rsid w:val="009174B1"/>
    <w:rsid w:val="00920226"/>
    <w:rsid w:val="00920F93"/>
    <w:rsid w:val="009233FE"/>
    <w:rsid w:val="009238D5"/>
    <w:rsid w:val="00924960"/>
    <w:rsid w:val="0092642C"/>
    <w:rsid w:val="00930C7E"/>
    <w:rsid w:val="009330E9"/>
    <w:rsid w:val="009374F3"/>
    <w:rsid w:val="00941FE3"/>
    <w:rsid w:val="00943141"/>
    <w:rsid w:val="009431C7"/>
    <w:rsid w:val="009461EA"/>
    <w:rsid w:val="0095197A"/>
    <w:rsid w:val="00953E46"/>
    <w:rsid w:val="009639A9"/>
    <w:rsid w:val="00964869"/>
    <w:rsid w:val="00965B47"/>
    <w:rsid w:val="00966333"/>
    <w:rsid w:val="00966680"/>
    <w:rsid w:val="00967060"/>
    <w:rsid w:val="00972D9D"/>
    <w:rsid w:val="00975984"/>
    <w:rsid w:val="0097794D"/>
    <w:rsid w:val="00986472"/>
    <w:rsid w:val="009871C3"/>
    <w:rsid w:val="0099072F"/>
    <w:rsid w:val="009907DE"/>
    <w:rsid w:val="009967DE"/>
    <w:rsid w:val="009A060A"/>
    <w:rsid w:val="009A0C24"/>
    <w:rsid w:val="009A59EC"/>
    <w:rsid w:val="009A5F32"/>
    <w:rsid w:val="009B0BA2"/>
    <w:rsid w:val="009B2B94"/>
    <w:rsid w:val="009B60E8"/>
    <w:rsid w:val="009C1BC6"/>
    <w:rsid w:val="009C3123"/>
    <w:rsid w:val="009D0E7D"/>
    <w:rsid w:val="009D2621"/>
    <w:rsid w:val="009D2A29"/>
    <w:rsid w:val="009D2C7F"/>
    <w:rsid w:val="009D690F"/>
    <w:rsid w:val="009D6A03"/>
    <w:rsid w:val="009E0C04"/>
    <w:rsid w:val="009E0D80"/>
    <w:rsid w:val="009E2EB5"/>
    <w:rsid w:val="009E4D20"/>
    <w:rsid w:val="009F03A2"/>
    <w:rsid w:val="009F3927"/>
    <w:rsid w:val="009F4A64"/>
    <w:rsid w:val="009F5818"/>
    <w:rsid w:val="00A0015E"/>
    <w:rsid w:val="00A0033C"/>
    <w:rsid w:val="00A011F5"/>
    <w:rsid w:val="00A07F28"/>
    <w:rsid w:val="00A11A01"/>
    <w:rsid w:val="00A138B7"/>
    <w:rsid w:val="00A17081"/>
    <w:rsid w:val="00A23588"/>
    <w:rsid w:val="00A23A1F"/>
    <w:rsid w:val="00A420E9"/>
    <w:rsid w:val="00A428BB"/>
    <w:rsid w:val="00A42B7E"/>
    <w:rsid w:val="00A4365B"/>
    <w:rsid w:val="00A452D2"/>
    <w:rsid w:val="00A46E4E"/>
    <w:rsid w:val="00A50FF6"/>
    <w:rsid w:val="00A5113D"/>
    <w:rsid w:val="00A55628"/>
    <w:rsid w:val="00A558AD"/>
    <w:rsid w:val="00A5634B"/>
    <w:rsid w:val="00A60BE2"/>
    <w:rsid w:val="00A62670"/>
    <w:rsid w:val="00A636CE"/>
    <w:rsid w:val="00A637EC"/>
    <w:rsid w:val="00A6409F"/>
    <w:rsid w:val="00A64152"/>
    <w:rsid w:val="00A64AD1"/>
    <w:rsid w:val="00A65440"/>
    <w:rsid w:val="00A654C6"/>
    <w:rsid w:val="00A67EFF"/>
    <w:rsid w:val="00A73CFD"/>
    <w:rsid w:val="00A75E89"/>
    <w:rsid w:val="00A76CF1"/>
    <w:rsid w:val="00A8001A"/>
    <w:rsid w:val="00A80B67"/>
    <w:rsid w:val="00A8176A"/>
    <w:rsid w:val="00A82C3F"/>
    <w:rsid w:val="00A8515D"/>
    <w:rsid w:val="00A8693E"/>
    <w:rsid w:val="00A91952"/>
    <w:rsid w:val="00A921CA"/>
    <w:rsid w:val="00A92EC2"/>
    <w:rsid w:val="00A94422"/>
    <w:rsid w:val="00A97336"/>
    <w:rsid w:val="00AA126A"/>
    <w:rsid w:val="00AA54B9"/>
    <w:rsid w:val="00AA715B"/>
    <w:rsid w:val="00AB02C2"/>
    <w:rsid w:val="00AB02CB"/>
    <w:rsid w:val="00AB09EF"/>
    <w:rsid w:val="00AB2611"/>
    <w:rsid w:val="00AB571A"/>
    <w:rsid w:val="00AB5925"/>
    <w:rsid w:val="00AB70AC"/>
    <w:rsid w:val="00AB7AA8"/>
    <w:rsid w:val="00AB7D15"/>
    <w:rsid w:val="00AB7F87"/>
    <w:rsid w:val="00AC03D6"/>
    <w:rsid w:val="00AD07D2"/>
    <w:rsid w:val="00AD0CC6"/>
    <w:rsid w:val="00AD0F81"/>
    <w:rsid w:val="00AD1689"/>
    <w:rsid w:val="00AD41AC"/>
    <w:rsid w:val="00AD5EEF"/>
    <w:rsid w:val="00AE0FA2"/>
    <w:rsid w:val="00AE217B"/>
    <w:rsid w:val="00AE4EC7"/>
    <w:rsid w:val="00AE5563"/>
    <w:rsid w:val="00AE5BBB"/>
    <w:rsid w:val="00AE621A"/>
    <w:rsid w:val="00AF078A"/>
    <w:rsid w:val="00AF0930"/>
    <w:rsid w:val="00AF195A"/>
    <w:rsid w:val="00AF3F87"/>
    <w:rsid w:val="00AF588B"/>
    <w:rsid w:val="00AF606C"/>
    <w:rsid w:val="00AF60BC"/>
    <w:rsid w:val="00AF6DFF"/>
    <w:rsid w:val="00AF7EE1"/>
    <w:rsid w:val="00B0051F"/>
    <w:rsid w:val="00B0069A"/>
    <w:rsid w:val="00B00F67"/>
    <w:rsid w:val="00B01E9F"/>
    <w:rsid w:val="00B02F7C"/>
    <w:rsid w:val="00B05AAA"/>
    <w:rsid w:val="00B06BE8"/>
    <w:rsid w:val="00B12503"/>
    <w:rsid w:val="00B1272E"/>
    <w:rsid w:val="00B144F0"/>
    <w:rsid w:val="00B1562A"/>
    <w:rsid w:val="00B175A1"/>
    <w:rsid w:val="00B20560"/>
    <w:rsid w:val="00B2071D"/>
    <w:rsid w:val="00B23136"/>
    <w:rsid w:val="00B240DF"/>
    <w:rsid w:val="00B2426E"/>
    <w:rsid w:val="00B24F29"/>
    <w:rsid w:val="00B25B25"/>
    <w:rsid w:val="00B274FE"/>
    <w:rsid w:val="00B301FE"/>
    <w:rsid w:val="00B30E15"/>
    <w:rsid w:val="00B31507"/>
    <w:rsid w:val="00B32D24"/>
    <w:rsid w:val="00B3417D"/>
    <w:rsid w:val="00B35398"/>
    <w:rsid w:val="00B36009"/>
    <w:rsid w:val="00B36864"/>
    <w:rsid w:val="00B37741"/>
    <w:rsid w:val="00B37DE4"/>
    <w:rsid w:val="00B4157B"/>
    <w:rsid w:val="00B42502"/>
    <w:rsid w:val="00B42AD1"/>
    <w:rsid w:val="00B439E7"/>
    <w:rsid w:val="00B43D43"/>
    <w:rsid w:val="00B441DE"/>
    <w:rsid w:val="00B4461A"/>
    <w:rsid w:val="00B44EFA"/>
    <w:rsid w:val="00B457D9"/>
    <w:rsid w:val="00B51D9D"/>
    <w:rsid w:val="00B55437"/>
    <w:rsid w:val="00B5710E"/>
    <w:rsid w:val="00B577E6"/>
    <w:rsid w:val="00B6201A"/>
    <w:rsid w:val="00B657AF"/>
    <w:rsid w:val="00B65C6B"/>
    <w:rsid w:val="00B7012B"/>
    <w:rsid w:val="00B73E15"/>
    <w:rsid w:val="00B74292"/>
    <w:rsid w:val="00B76A1D"/>
    <w:rsid w:val="00B76DFE"/>
    <w:rsid w:val="00B7701B"/>
    <w:rsid w:val="00B77111"/>
    <w:rsid w:val="00B77B1F"/>
    <w:rsid w:val="00B81BB7"/>
    <w:rsid w:val="00B83A22"/>
    <w:rsid w:val="00B85027"/>
    <w:rsid w:val="00B85426"/>
    <w:rsid w:val="00B866A2"/>
    <w:rsid w:val="00B8720E"/>
    <w:rsid w:val="00B87273"/>
    <w:rsid w:val="00BA2444"/>
    <w:rsid w:val="00BA4D5A"/>
    <w:rsid w:val="00BA6F64"/>
    <w:rsid w:val="00BB107B"/>
    <w:rsid w:val="00BB3614"/>
    <w:rsid w:val="00BB3E28"/>
    <w:rsid w:val="00BB44D1"/>
    <w:rsid w:val="00BB4EA8"/>
    <w:rsid w:val="00BB6396"/>
    <w:rsid w:val="00BC0FF3"/>
    <w:rsid w:val="00BC50B7"/>
    <w:rsid w:val="00BC5C16"/>
    <w:rsid w:val="00BC6611"/>
    <w:rsid w:val="00BD1F3D"/>
    <w:rsid w:val="00BD3542"/>
    <w:rsid w:val="00BD5CFB"/>
    <w:rsid w:val="00BE030D"/>
    <w:rsid w:val="00BE183F"/>
    <w:rsid w:val="00BE3FBC"/>
    <w:rsid w:val="00BE5333"/>
    <w:rsid w:val="00BE543F"/>
    <w:rsid w:val="00BE6362"/>
    <w:rsid w:val="00BE64CA"/>
    <w:rsid w:val="00BF01FE"/>
    <w:rsid w:val="00BF087C"/>
    <w:rsid w:val="00BF159A"/>
    <w:rsid w:val="00BF3801"/>
    <w:rsid w:val="00BF452D"/>
    <w:rsid w:val="00BF6D4D"/>
    <w:rsid w:val="00C04423"/>
    <w:rsid w:val="00C04DD8"/>
    <w:rsid w:val="00C05623"/>
    <w:rsid w:val="00C07EB2"/>
    <w:rsid w:val="00C14F32"/>
    <w:rsid w:val="00C16071"/>
    <w:rsid w:val="00C160FA"/>
    <w:rsid w:val="00C16CA7"/>
    <w:rsid w:val="00C177C9"/>
    <w:rsid w:val="00C1783F"/>
    <w:rsid w:val="00C21DF8"/>
    <w:rsid w:val="00C24B50"/>
    <w:rsid w:val="00C25DB2"/>
    <w:rsid w:val="00C2698C"/>
    <w:rsid w:val="00C26DB3"/>
    <w:rsid w:val="00C30B9F"/>
    <w:rsid w:val="00C32A37"/>
    <w:rsid w:val="00C33A9D"/>
    <w:rsid w:val="00C33C92"/>
    <w:rsid w:val="00C34B0C"/>
    <w:rsid w:val="00C34D2E"/>
    <w:rsid w:val="00C37FC2"/>
    <w:rsid w:val="00C41117"/>
    <w:rsid w:val="00C413E6"/>
    <w:rsid w:val="00C44722"/>
    <w:rsid w:val="00C44CD3"/>
    <w:rsid w:val="00C45573"/>
    <w:rsid w:val="00C462D3"/>
    <w:rsid w:val="00C4657D"/>
    <w:rsid w:val="00C46892"/>
    <w:rsid w:val="00C522B3"/>
    <w:rsid w:val="00C533FA"/>
    <w:rsid w:val="00C553AB"/>
    <w:rsid w:val="00C556BF"/>
    <w:rsid w:val="00C62DF8"/>
    <w:rsid w:val="00C63F09"/>
    <w:rsid w:val="00C64B7C"/>
    <w:rsid w:val="00C7078A"/>
    <w:rsid w:val="00C71E15"/>
    <w:rsid w:val="00C73BF4"/>
    <w:rsid w:val="00C768BD"/>
    <w:rsid w:val="00C82821"/>
    <w:rsid w:val="00C82A43"/>
    <w:rsid w:val="00C849AC"/>
    <w:rsid w:val="00C84D44"/>
    <w:rsid w:val="00C872F6"/>
    <w:rsid w:val="00C876B6"/>
    <w:rsid w:val="00C92702"/>
    <w:rsid w:val="00C9478F"/>
    <w:rsid w:val="00C95EC7"/>
    <w:rsid w:val="00CA0344"/>
    <w:rsid w:val="00CA1464"/>
    <w:rsid w:val="00CA3EDF"/>
    <w:rsid w:val="00CA4EA7"/>
    <w:rsid w:val="00CA5E38"/>
    <w:rsid w:val="00CB0A91"/>
    <w:rsid w:val="00CB0C01"/>
    <w:rsid w:val="00CB1ACC"/>
    <w:rsid w:val="00CB2973"/>
    <w:rsid w:val="00CB403B"/>
    <w:rsid w:val="00CB4357"/>
    <w:rsid w:val="00CB4424"/>
    <w:rsid w:val="00CB5FD0"/>
    <w:rsid w:val="00CB6C41"/>
    <w:rsid w:val="00CB6F03"/>
    <w:rsid w:val="00CC061F"/>
    <w:rsid w:val="00CC150F"/>
    <w:rsid w:val="00CC4456"/>
    <w:rsid w:val="00CC50FE"/>
    <w:rsid w:val="00CC6A9A"/>
    <w:rsid w:val="00CC7415"/>
    <w:rsid w:val="00CD0751"/>
    <w:rsid w:val="00CD1182"/>
    <w:rsid w:val="00CD302B"/>
    <w:rsid w:val="00CD504A"/>
    <w:rsid w:val="00CD5230"/>
    <w:rsid w:val="00CD55AD"/>
    <w:rsid w:val="00CD58C0"/>
    <w:rsid w:val="00CD738C"/>
    <w:rsid w:val="00CD7D35"/>
    <w:rsid w:val="00CE10B1"/>
    <w:rsid w:val="00CE1187"/>
    <w:rsid w:val="00CE2F7C"/>
    <w:rsid w:val="00CE3BA8"/>
    <w:rsid w:val="00CE7526"/>
    <w:rsid w:val="00CF1FB9"/>
    <w:rsid w:val="00CF2797"/>
    <w:rsid w:val="00CF42F6"/>
    <w:rsid w:val="00CF4A5B"/>
    <w:rsid w:val="00CF6DD1"/>
    <w:rsid w:val="00CF7096"/>
    <w:rsid w:val="00D01765"/>
    <w:rsid w:val="00D019EF"/>
    <w:rsid w:val="00D0219F"/>
    <w:rsid w:val="00D042E2"/>
    <w:rsid w:val="00D0560B"/>
    <w:rsid w:val="00D065D4"/>
    <w:rsid w:val="00D074F2"/>
    <w:rsid w:val="00D101C6"/>
    <w:rsid w:val="00D1028F"/>
    <w:rsid w:val="00D14C6A"/>
    <w:rsid w:val="00D16E8B"/>
    <w:rsid w:val="00D23E7E"/>
    <w:rsid w:val="00D24317"/>
    <w:rsid w:val="00D25024"/>
    <w:rsid w:val="00D260F7"/>
    <w:rsid w:val="00D30F28"/>
    <w:rsid w:val="00D31180"/>
    <w:rsid w:val="00D311E0"/>
    <w:rsid w:val="00D329B3"/>
    <w:rsid w:val="00D32A03"/>
    <w:rsid w:val="00D32AC5"/>
    <w:rsid w:val="00D34129"/>
    <w:rsid w:val="00D34EAB"/>
    <w:rsid w:val="00D353F3"/>
    <w:rsid w:val="00D401CC"/>
    <w:rsid w:val="00D41135"/>
    <w:rsid w:val="00D41969"/>
    <w:rsid w:val="00D4793F"/>
    <w:rsid w:val="00D51040"/>
    <w:rsid w:val="00D52837"/>
    <w:rsid w:val="00D52850"/>
    <w:rsid w:val="00D5338E"/>
    <w:rsid w:val="00D535D7"/>
    <w:rsid w:val="00D554B0"/>
    <w:rsid w:val="00D61071"/>
    <w:rsid w:val="00D63541"/>
    <w:rsid w:val="00D6528E"/>
    <w:rsid w:val="00D67A06"/>
    <w:rsid w:val="00D70ECD"/>
    <w:rsid w:val="00D74580"/>
    <w:rsid w:val="00D74B0B"/>
    <w:rsid w:val="00D76508"/>
    <w:rsid w:val="00D7722C"/>
    <w:rsid w:val="00D80A08"/>
    <w:rsid w:val="00D82486"/>
    <w:rsid w:val="00D901F1"/>
    <w:rsid w:val="00D90AE6"/>
    <w:rsid w:val="00D90CAC"/>
    <w:rsid w:val="00D943FA"/>
    <w:rsid w:val="00D96B5A"/>
    <w:rsid w:val="00DA0930"/>
    <w:rsid w:val="00DA1A95"/>
    <w:rsid w:val="00DA1D8C"/>
    <w:rsid w:val="00DA20C5"/>
    <w:rsid w:val="00DA3246"/>
    <w:rsid w:val="00DA3AD1"/>
    <w:rsid w:val="00DB65A9"/>
    <w:rsid w:val="00DC1D73"/>
    <w:rsid w:val="00DC2038"/>
    <w:rsid w:val="00DC4126"/>
    <w:rsid w:val="00DC7552"/>
    <w:rsid w:val="00DD056D"/>
    <w:rsid w:val="00DD09F9"/>
    <w:rsid w:val="00DD33B5"/>
    <w:rsid w:val="00DD4724"/>
    <w:rsid w:val="00DE0591"/>
    <w:rsid w:val="00DE1700"/>
    <w:rsid w:val="00DE22F6"/>
    <w:rsid w:val="00DE365E"/>
    <w:rsid w:val="00DE521C"/>
    <w:rsid w:val="00DE5A1D"/>
    <w:rsid w:val="00DE7773"/>
    <w:rsid w:val="00DF0392"/>
    <w:rsid w:val="00DF5C0C"/>
    <w:rsid w:val="00DF5E9B"/>
    <w:rsid w:val="00DF689B"/>
    <w:rsid w:val="00E003D7"/>
    <w:rsid w:val="00E011AF"/>
    <w:rsid w:val="00E02037"/>
    <w:rsid w:val="00E02F0B"/>
    <w:rsid w:val="00E06E93"/>
    <w:rsid w:val="00E07D82"/>
    <w:rsid w:val="00E07DFC"/>
    <w:rsid w:val="00E07F25"/>
    <w:rsid w:val="00E12E36"/>
    <w:rsid w:val="00E14820"/>
    <w:rsid w:val="00E14F7C"/>
    <w:rsid w:val="00E151C5"/>
    <w:rsid w:val="00E15716"/>
    <w:rsid w:val="00E15C5F"/>
    <w:rsid w:val="00E16A26"/>
    <w:rsid w:val="00E23864"/>
    <w:rsid w:val="00E23CF4"/>
    <w:rsid w:val="00E253D4"/>
    <w:rsid w:val="00E259F4"/>
    <w:rsid w:val="00E25AC1"/>
    <w:rsid w:val="00E30072"/>
    <w:rsid w:val="00E3010A"/>
    <w:rsid w:val="00E3322B"/>
    <w:rsid w:val="00E3503A"/>
    <w:rsid w:val="00E35BB2"/>
    <w:rsid w:val="00E36CB9"/>
    <w:rsid w:val="00E37037"/>
    <w:rsid w:val="00E371DC"/>
    <w:rsid w:val="00E37760"/>
    <w:rsid w:val="00E40887"/>
    <w:rsid w:val="00E42390"/>
    <w:rsid w:val="00E42445"/>
    <w:rsid w:val="00E43343"/>
    <w:rsid w:val="00E45957"/>
    <w:rsid w:val="00E467EE"/>
    <w:rsid w:val="00E47508"/>
    <w:rsid w:val="00E47A01"/>
    <w:rsid w:val="00E511DA"/>
    <w:rsid w:val="00E569B8"/>
    <w:rsid w:val="00E57AE7"/>
    <w:rsid w:val="00E60673"/>
    <w:rsid w:val="00E60E16"/>
    <w:rsid w:val="00E6396F"/>
    <w:rsid w:val="00E64C91"/>
    <w:rsid w:val="00E660DE"/>
    <w:rsid w:val="00E71B06"/>
    <w:rsid w:val="00E82827"/>
    <w:rsid w:val="00E82F9C"/>
    <w:rsid w:val="00E835D9"/>
    <w:rsid w:val="00E84D97"/>
    <w:rsid w:val="00E85A8E"/>
    <w:rsid w:val="00E95E3A"/>
    <w:rsid w:val="00E95EBB"/>
    <w:rsid w:val="00E96043"/>
    <w:rsid w:val="00EA06E6"/>
    <w:rsid w:val="00EA1E73"/>
    <w:rsid w:val="00EA444B"/>
    <w:rsid w:val="00EA4844"/>
    <w:rsid w:val="00EA4E81"/>
    <w:rsid w:val="00EA6D9C"/>
    <w:rsid w:val="00EA7D63"/>
    <w:rsid w:val="00EB0EEF"/>
    <w:rsid w:val="00EB2601"/>
    <w:rsid w:val="00EB56DF"/>
    <w:rsid w:val="00EC498B"/>
    <w:rsid w:val="00EC4BE7"/>
    <w:rsid w:val="00EC53CD"/>
    <w:rsid w:val="00ED0AA2"/>
    <w:rsid w:val="00ED0D19"/>
    <w:rsid w:val="00ED13DB"/>
    <w:rsid w:val="00ED1CA3"/>
    <w:rsid w:val="00ED2A0E"/>
    <w:rsid w:val="00ED5321"/>
    <w:rsid w:val="00ED5F14"/>
    <w:rsid w:val="00ED76B3"/>
    <w:rsid w:val="00EE021D"/>
    <w:rsid w:val="00EE148C"/>
    <w:rsid w:val="00EE3112"/>
    <w:rsid w:val="00EE4056"/>
    <w:rsid w:val="00EE5DA3"/>
    <w:rsid w:val="00EE6577"/>
    <w:rsid w:val="00EE7921"/>
    <w:rsid w:val="00EF3419"/>
    <w:rsid w:val="00EF6946"/>
    <w:rsid w:val="00F00268"/>
    <w:rsid w:val="00F01685"/>
    <w:rsid w:val="00F01A18"/>
    <w:rsid w:val="00F1130E"/>
    <w:rsid w:val="00F123A1"/>
    <w:rsid w:val="00F126AF"/>
    <w:rsid w:val="00F1353D"/>
    <w:rsid w:val="00F13914"/>
    <w:rsid w:val="00F13B48"/>
    <w:rsid w:val="00F141FD"/>
    <w:rsid w:val="00F169A7"/>
    <w:rsid w:val="00F16D51"/>
    <w:rsid w:val="00F20BC5"/>
    <w:rsid w:val="00F21216"/>
    <w:rsid w:val="00F23483"/>
    <w:rsid w:val="00F23E2E"/>
    <w:rsid w:val="00F256BB"/>
    <w:rsid w:val="00F26D2A"/>
    <w:rsid w:val="00F27044"/>
    <w:rsid w:val="00F2769B"/>
    <w:rsid w:val="00F27ACF"/>
    <w:rsid w:val="00F3403C"/>
    <w:rsid w:val="00F3712F"/>
    <w:rsid w:val="00F375BE"/>
    <w:rsid w:val="00F40484"/>
    <w:rsid w:val="00F40B3D"/>
    <w:rsid w:val="00F41B81"/>
    <w:rsid w:val="00F4358C"/>
    <w:rsid w:val="00F439C5"/>
    <w:rsid w:val="00F44266"/>
    <w:rsid w:val="00F4516F"/>
    <w:rsid w:val="00F46777"/>
    <w:rsid w:val="00F5311F"/>
    <w:rsid w:val="00F54F35"/>
    <w:rsid w:val="00F55414"/>
    <w:rsid w:val="00F55FC0"/>
    <w:rsid w:val="00F57F45"/>
    <w:rsid w:val="00F63422"/>
    <w:rsid w:val="00F656B0"/>
    <w:rsid w:val="00F661E0"/>
    <w:rsid w:val="00F673BC"/>
    <w:rsid w:val="00F7055F"/>
    <w:rsid w:val="00F7266C"/>
    <w:rsid w:val="00F7566A"/>
    <w:rsid w:val="00F75B0D"/>
    <w:rsid w:val="00F76CBE"/>
    <w:rsid w:val="00F77CDE"/>
    <w:rsid w:val="00F80708"/>
    <w:rsid w:val="00F91528"/>
    <w:rsid w:val="00F97839"/>
    <w:rsid w:val="00F97FD0"/>
    <w:rsid w:val="00FA060B"/>
    <w:rsid w:val="00FA081A"/>
    <w:rsid w:val="00FA1840"/>
    <w:rsid w:val="00FB0642"/>
    <w:rsid w:val="00FB0C45"/>
    <w:rsid w:val="00FB2EFF"/>
    <w:rsid w:val="00FB403F"/>
    <w:rsid w:val="00FB45C0"/>
    <w:rsid w:val="00FB4BF6"/>
    <w:rsid w:val="00FB6DCC"/>
    <w:rsid w:val="00FB7187"/>
    <w:rsid w:val="00FC12AB"/>
    <w:rsid w:val="00FC3186"/>
    <w:rsid w:val="00FC3727"/>
    <w:rsid w:val="00FC467E"/>
    <w:rsid w:val="00FC6044"/>
    <w:rsid w:val="00FD184A"/>
    <w:rsid w:val="00FD2FAF"/>
    <w:rsid w:val="00FD356E"/>
    <w:rsid w:val="00FD3D66"/>
    <w:rsid w:val="00FD5852"/>
    <w:rsid w:val="00FD6A1F"/>
    <w:rsid w:val="00FD7EFB"/>
    <w:rsid w:val="00FE0196"/>
    <w:rsid w:val="00FE2242"/>
    <w:rsid w:val="00FE3282"/>
    <w:rsid w:val="00FE5DBE"/>
    <w:rsid w:val="00FF6B71"/>
    <w:rsid w:val="00FF75A8"/>
    <w:rsid w:val="00FF7E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2049"/>
    <o:shapelayout v:ext="edit">
      <o:idmap v:ext="edit" data="1"/>
    </o:shapelayout>
  </w:shapeDefaults>
  <w:decimalSymbol w:val=","/>
  <w:listSeparator w:val=";"/>
  <w14:defaultImageDpi w14:val="0"/>
  <w15:docId w15:val="{7307E067-1A9C-49B2-8771-622031BB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B6"/>
    <w:pPr>
      <w:spacing w:after="0" w:line="240" w:lineRule="auto"/>
    </w:pPr>
    <w:rPr>
      <w:sz w:val="24"/>
      <w:szCs w:val="24"/>
      <w:lang w:eastAsia="en-US"/>
    </w:rPr>
  </w:style>
  <w:style w:type="paragraph" w:styleId="Heading1">
    <w:name w:val="heading 1"/>
    <w:basedOn w:val="Normal"/>
    <w:next w:val="Normal"/>
    <w:link w:val="Heading1Char"/>
    <w:uiPriority w:val="99"/>
    <w:qFormat/>
    <w:rsid w:val="00816B79"/>
    <w:pPr>
      <w:keepNext/>
      <w:outlineLvl w:val="0"/>
    </w:pPr>
    <w:rPr>
      <w:sz w:val="28"/>
    </w:rPr>
  </w:style>
  <w:style w:type="paragraph" w:styleId="Heading2">
    <w:name w:val="heading 2"/>
    <w:basedOn w:val="Normal"/>
    <w:next w:val="Normal"/>
    <w:link w:val="Heading2Char"/>
    <w:uiPriority w:val="99"/>
    <w:qFormat/>
    <w:rsid w:val="003C1E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paragraph" w:styleId="BodyText">
    <w:name w:val="Body Text"/>
    <w:basedOn w:val="Normal"/>
    <w:link w:val="BodyTextChar"/>
    <w:uiPriority w:val="99"/>
    <w:rsid w:val="00816B79"/>
    <w:pPr>
      <w:jc w:val="center"/>
    </w:pPr>
    <w:rPr>
      <w:sz w:val="28"/>
    </w:rPr>
  </w:style>
  <w:style w:type="character" w:customStyle="1" w:styleId="BodyTextChar">
    <w:name w:val="Body Text Char"/>
    <w:basedOn w:val="DefaultParagraphFont"/>
    <w:link w:val="BodyText"/>
    <w:uiPriority w:val="99"/>
    <w:semiHidden/>
    <w:locked/>
    <w:rPr>
      <w:rFonts w:cs="Times New Roman"/>
      <w:sz w:val="24"/>
      <w:szCs w:val="24"/>
      <w:lang w:val="en-GB" w:eastAsia="en-US"/>
    </w:rPr>
  </w:style>
  <w:style w:type="character" w:styleId="Hyperlink">
    <w:name w:val="Hyperlink"/>
    <w:basedOn w:val="DefaultParagraphFont"/>
    <w:uiPriority w:val="99"/>
    <w:rsid w:val="00816B79"/>
    <w:rPr>
      <w:rFonts w:cs="Times New Roman"/>
      <w:color w:val="0000FF"/>
      <w:u w:val="single"/>
    </w:rPr>
  </w:style>
  <w:style w:type="paragraph" w:styleId="Footer">
    <w:name w:val="footer"/>
    <w:basedOn w:val="Normal"/>
    <w:link w:val="FooterChar"/>
    <w:uiPriority w:val="99"/>
    <w:rsid w:val="00816B79"/>
    <w:pPr>
      <w:tabs>
        <w:tab w:val="center" w:pos="4153"/>
        <w:tab w:val="right" w:pos="8306"/>
      </w:tabs>
    </w:pPr>
    <w:rPr>
      <w:szCs w:val="20"/>
    </w:rPr>
  </w:style>
  <w:style w:type="character" w:customStyle="1" w:styleId="FooterChar">
    <w:name w:val="Footer Char"/>
    <w:basedOn w:val="DefaultParagraphFont"/>
    <w:link w:val="Footer"/>
    <w:uiPriority w:val="99"/>
    <w:locked/>
    <w:rsid w:val="002B0AFA"/>
    <w:rPr>
      <w:rFonts w:cs="Times New Roman"/>
      <w:sz w:val="24"/>
      <w:lang w:val="en-GB" w:eastAsia="en-US"/>
    </w:rPr>
  </w:style>
  <w:style w:type="paragraph" w:styleId="PlainText">
    <w:name w:val="Plain Text"/>
    <w:basedOn w:val="Normal"/>
    <w:link w:val="PlainTextChar"/>
    <w:uiPriority w:val="99"/>
    <w:rsid w:val="00816B79"/>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styleId="BodyText2">
    <w:name w:val="Body Text 2"/>
    <w:basedOn w:val="Normal"/>
    <w:link w:val="BodyText2Char"/>
    <w:uiPriority w:val="99"/>
    <w:rsid w:val="00816B79"/>
    <w:pPr>
      <w:keepNext/>
      <w:widowControl w:val="0"/>
      <w:jc w:val="center"/>
    </w:pPr>
    <w:rPr>
      <w:b/>
      <w:szCs w:val="20"/>
    </w:rPr>
  </w:style>
  <w:style w:type="character" w:customStyle="1" w:styleId="BodyText2Char">
    <w:name w:val="Body Text 2 Char"/>
    <w:basedOn w:val="DefaultParagraphFont"/>
    <w:link w:val="BodyText2"/>
    <w:uiPriority w:val="99"/>
    <w:semiHidden/>
    <w:locked/>
    <w:rPr>
      <w:rFonts w:cs="Times New Roman"/>
      <w:sz w:val="24"/>
      <w:szCs w:val="24"/>
      <w:lang w:val="en-GB" w:eastAsia="en-US"/>
    </w:rPr>
  </w:style>
  <w:style w:type="character" w:styleId="FollowedHyperlink">
    <w:name w:val="FollowedHyperlink"/>
    <w:basedOn w:val="DefaultParagraphFont"/>
    <w:uiPriority w:val="99"/>
    <w:rsid w:val="00816B79"/>
    <w:rPr>
      <w:rFonts w:cs="Times New Roman"/>
      <w:color w:val="800080"/>
      <w:u w:val="single"/>
    </w:rPr>
  </w:style>
  <w:style w:type="paragraph" w:styleId="Header">
    <w:name w:val="header"/>
    <w:basedOn w:val="Normal"/>
    <w:link w:val="HeaderChar"/>
    <w:uiPriority w:val="99"/>
    <w:rsid w:val="00816B79"/>
    <w:pPr>
      <w:tabs>
        <w:tab w:val="center" w:pos="4153"/>
        <w:tab w:val="right" w:pos="8306"/>
      </w:tabs>
    </w:pPr>
  </w:style>
  <w:style w:type="character" w:customStyle="1" w:styleId="HeaderChar">
    <w:name w:val="Header Char"/>
    <w:basedOn w:val="DefaultParagraphFont"/>
    <w:link w:val="Header"/>
    <w:uiPriority w:val="99"/>
    <w:locked/>
    <w:rsid w:val="007A49D4"/>
    <w:rPr>
      <w:rFonts w:cs="Times New Roman"/>
      <w:sz w:val="24"/>
      <w:szCs w:val="24"/>
      <w:lang w:val="en-GB" w:eastAsia="en-US" w:bidi="ar-SA"/>
    </w:rPr>
  </w:style>
  <w:style w:type="paragraph" w:styleId="BodyTextIndent">
    <w:name w:val="Body Text Indent"/>
    <w:basedOn w:val="Normal"/>
    <w:link w:val="BodyTextIndentChar"/>
    <w:uiPriority w:val="99"/>
    <w:rsid w:val="00816B79"/>
    <w:pPr>
      <w:ind w:firstLine="720"/>
      <w:jc w:val="both"/>
    </w:pPr>
    <w:rPr>
      <w:sz w:val="28"/>
    </w:r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paragraph" w:styleId="BalloonText">
    <w:name w:val="Balloon Text"/>
    <w:basedOn w:val="Normal"/>
    <w:link w:val="BalloonTextChar"/>
    <w:uiPriority w:val="99"/>
    <w:semiHidden/>
    <w:rsid w:val="00816B7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paragraph" w:customStyle="1" w:styleId="RakstzCharCharRakstzCharCharRakstz">
    <w:name w:val="Rakstz. Char Char Rakstz. Char Char Rakstz."/>
    <w:basedOn w:val="Normal"/>
    <w:uiPriority w:val="99"/>
    <w:rsid w:val="00816B79"/>
    <w:pPr>
      <w:spacing w:after="160" w:line="240" w:lineRule="exact"/>
    </w:pPr>
    <w:rPr>
      <w:rFonts w:ascii="Tahoma" w:hAnsi="Tahoma"/>
      <w:sz w:val="20"/>
      <w:szCs w:val="20"/>
    </w:rPr>
  </w:style>
  <w:style w:type="paragraph" w:customStyle="1" w:styleId="naislab">
    <w:name w:val="naislab"/>
    <w:basedOn w:val="Normal"/>
    <w:uiPriority w:val="99"/>
    <w:rsid w:val="00816B79"/>
    <w:pPr>
      <w:spacing w:before="100" w:beforeAutospacing="1" w:after="100" w:afterAutospacing="1"/>
    </w:pPr>
    <w:rPr>
      <w:lang w:eastAsia="lv-LV"/>
    </w:rPr>
  </w:style>
  <w:style w:type="paragraph" w:customStyle="1" w:styleId="naisc">
    <w:name w:val="naisc"/>
    <w:basedOn w:val="Normal"/>
    <w:uiPriority w:val="99"/>
    <w:rsid w:val="00816B79"/>
    <w:pPr>
      <w:spacing w:before="100" w:beforeAutospacing="1" w:after="100" w:afterAutospacing="1"/>
    </w:pPr>
    <w:rPr>
      <w:lang w:eastAsia="lv-LV"/>
    </w:rPr>
  </w:style>
  <w:style w:type="paragraph" w:customStyle="1" w:styleId="naisnod">
    <w:name w:val="naisnod"/>
    <w:basedOn w:val="Normal"/>
    <w:uiPriority w:val="99"/>
    <w:rsid w:val="00816B79"/>
    <w:pPr>
      <w:spacing w:before="100" w:beforeAutospacing="1" w:after="100" w:afterAutospacing="1"/>
    </w:pPr>
    <w:rPr>
      <w:lang w:eastAsia="lv-LV"/>
    </w:rPr>
  </w:style>
  <w:style w:type="paragraph" w:customStyle="1" w:styleId="naiskr">
    <w:name w:val="naiskr"/>
    <w:basedOn w:val="Normal"/>
    <w:uiPriority w:val="99"/>
    <w:rsid w:val="00816B79"/>
    <w:pPr>
      <w:spacing w:before="100" w:beforeAutospacing="1" w:after="100" w:afterAutospacing="1"/>
    </w:pPr>
    <w:rPr>
      <w:lang w:eastAsia="lv-LV"/>
    </w:rPr>
  </w:style>
  <w:style w:type="paragraph" w:customStyle="1" w:styleId="naisf">
    <w:name w:val="naisf"/>
    <w:basedOn w:val="Normal"/>
    <w:uiPriority w:val="99"/>
    <w:rsid w:val="00816B79"/>
    <w:pPr>
      <w:spacing w:before="100" w:beforeAutospacing="1" w:after="100" w:afterAutospacing="1"/>
    </w:pPr>
    <w:rPr>
      <w:lang w:eastAsia="lv-LV"/>
    </w:rPr>
  </w:style>
  <w:style w:type="paragraph" w:styleId="NormalWeb">
    <w:name w:val="Normal (Web)"/>
    <w:basedOn w:val="Normal"/>
    <w:uiPriority w:val="99"/>
    <w:rsid w:val="00816B79"/>
    <w:pPr>
      <w:spacing w:before="100" w:after="100"/>
    </w:pPr>
    <w:rPr>
      <w:szCs w:val="20"/>
      <w:lang w:eastAsia="lv-LV"/>
    </w:rPr>
  </w:style>
  <w:style w:type="character" w:styleId="Strong">
    <w:name w:val="Strong"/>
    <w:basedOn w:val="DefaultParagraphFont"/>
    <w:uiPriority w:val="99"/>
    <w:qFormat/>
    <w:rsid w:val="00816B79"/>
    <w:rPr>
      <w:rFonts w:cs="Times New Roman"/>
      <w:b/>
      <w:bCs/>
    </w:rPr>
  </w:style>
  <w:style w:type="paragraph" w:customStyle="1" w:styleId="RakstzCharCharRakstzCharCharRakstz1">
    <w:name w:val="Rakstz. Char Char Rakstz. Char Char Rakstz.1"/>
    <w:basedOn w:val="Normal"/>
    <w:uiPriority w:val="99"/>
    <w:rsid w:val="00816B79"/>
    <w:pPr>
      <w:spacing w:after="160" w:line="240" w:lineRule="exact"/>
    </w:pPr>
    <w:rPr>
      <w:rFonts w:ascii="Tahoma" w:hAnsi="Tahoma"/>
      <w:sz w:val="20"/>
      <w:szCs w:val="20"/>
    </w:rPr>
  </w:style>
  <w:style w:type="character" w:styleId="PageNumber">
    <w:name w:val="page number"/>
    <w:basedOn w:val="DefaultParagraphFont"/>
    <w:uiPriority w:val="99"/>
    <w:rsid w:val="00816B79"/>
    <w:rPr>
      <w:rFonts w:cs="Times New Roman"/>
    </w:rPr>
  </w:style>
  <w:style w:type="character" w:styleId="CommentReference">
    <w:name w:val="annotation reference"/>
    <w:basedOn w:val="DefaultParagraphFont"/>
    <w:uiPriority w:val="99"/>
    <w:semiHidden/>
    <w:rsid w:val="00B37DE4"/>
    <w:rPr>
      <w:rFonts w:cs="Times New Roman"/>
      <w:sz w:val="16"/>
      <w:szCs w:val="16"/>
    </w:rPr>
  </w:style>
  <w:style w:type="paragraph" w:styleId="CommentText">
    <w:name w:val="annotation text"/>
    <w:basedOn w:val="Normal"/>
    <w:link w:val="CommentTextChar"/>
    <w:uiPriority w:val="99"/>
    <w:semiHidden/>
    <w:rsid w:val="00B37DE4"/>
    <w:rPr>
      <w:sz w:val="20"/>
      <w:szCs w:val="20"/>
    </w:rPr>
  </w:style>
  <w:style w:type="character" w:customStyle="1" w:styleId="CommentTextChar">
    <w:name w:val="Comment Text Char"/>
    <w:basedOn w:val="DefaultParagraphFont"/>
    <w:link w:val="CommentText"/>
    <w:uiPriority w:val="99"/>
    <w:semiHidden/>
    <w:locked/>
    <w:rsid w:val="0080441B"/>
    <w:rPr>
      <w:rFonts w:cs="Times New Roman"/>
      <w:lang w:val="en-GB" w:eastAsia="en-US" w:bidi="ar-SA"/>
    </w:rPr>
  </w:style>
  <w:style w:type="paragraph" w:styleId="CommentSubject">
    <w:name w:val="annotation subject"/>
    <w:basedOn w:val="CommentText"/>
    <w:next w:val="CommentText"/>
    <w:link w:val="CommentSubjectChar"/>
    <w:uiPriority w:val="99"/>
    <w:semiHidden/>
    <w:rsid w:val="00B37DE4"/>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en-US" w:bidi="ar-SA"/>
    </w:rPr>
  </w:style>
  <w:style w:type="paragraph" w:customStyle="1" w:styleId="Pielikumiem">
    <w:name w:val="Pielikumiem"/>
    <w:basedOn w:val="Heading1"/>
    <w:next w:val="BodyText"/>
    <w:uiPriority w:val="99"/>
    <w:rsid w:val="003F3D1E"/>
    <w:pPr>
      <w:numPr>
        <w:numId w:val="3"/>
      </w:numPr>
      <w:spacing w:before="240" w:after="60"/>
      <w:jc w:val="right"/>
    </w:pPr>
    <w:rPr>
      <w:rFonts w:cs="Arial"/>
      <w:b/>
      <w:bCs/>
      <w:kern w:val="32"/>
      <w:szCs w:val="32"/>
    </w:rPr>
  </w:style>
  <w:style w:type="character" w:customStyle="1" w:styleId="spelle">
    <w:name w:val="spelle"/>
    <w:basedOn w:val="DefaultParagraphFont"/>
    <w:uiPriority w:val="99"/>
    <w:rsid w:val="009020A0"/>
    <w:rPr>
      <w:rFonts w:cs="Times New Roman"/>
    </w:rPr>
  </w:style>
  <w:style w:type="character" w:customStyle="1" w:styleId="EmailStyle501">
    <w:name w:val="EmailStyle501"/>
    <w:basedOn w:val="DefaultParagraphFont"/>
    <w:uiPriority w:val="99"/>
    <w:semiHidden/>
    <w:rsid w:val="00743992"/>
    <w:rPr>
      <w:rFonts w:ascii="Arial" w:hAnsi="Arial" w:cs="Arial"/>
      <w:color w:val="000080"/>
      <w:sz w:val="20"/>
      <w:szCs w:val="20"/>
    </w:rPr>
  </w:style>
  <w:style w:type="paragraph" w:styleId="FootnoteText">
    <w:name w:val="footnote text"/>
    <w:basedOn w:val="Normal"/>
    <w:link w:val="FootnoteTextChar"/>
    <w:uiPriority w:val="99"/>
    <w:rsid w:val="00D24317"/>
    <w:pPr>
      <w:widowControl w:val="0"/>
      <w:tabs>
        <w:tab w:val="left" w:pos="567"/>
      </w:tabs>
      <w:ind w:left="567" w:hanging="567"/>
    </w:pPr>
    <w:rPr>
      <w:szCs w:val="20"/>
      <w:lang w:eastAsia="fr-BE"/>
    </w:rPr>
  </w:style>
  <w:style w:type="character" w:customStyle="1" w:styleId="FootnoteTextChar">
    <w:name w:val="Footnote Text Char"/>
    <w:basedOn w:val="DefaultParagraphFont"/>
    <w:link w:val="FootnoteText"/>
    <w:uiPriority w:val="99"/>
    <w:semiHidden/>
    <w:locked/>
    <w:rsid w:val="00D24317"/>
    <w:rPr>
      <w:rFonts w:cs="Times New Roman"/>
      <w:sz w:val="24"/>
      <w:lang w:val="lv-LV" w:eastAsia="fr-BE" w:bidi="ar-SA"/>
    </w:rPr>
  </w:style>
  <w:style w:type="paragraph" w:customStyle="1" w:styleId="rxautors">
    <w:name w:val="rx_autors"/>
    <w:basedOn w:val="Normal"/>
    <w:uiPriority w:val="99"/>
    <w:rsid w:val="000869B6"/>
    <w:pPr>
      <w:spacing w:before="100" w:beforeAutospacing="1" w:after="100" w:afterAutospacing="1"/>
      <w:jc w:val="both"/>
    </w:pPr>
    <w:rPr>
      <w:color w:val="808080"/>
      <w:sz w:val="18"/>
      <w:szCs w:val="18"/>
      <w:lang w:eastAsia="lv-LV"/>
    </w:rPr>
  </w:style>
  <w:style w:type="character" w:customStyle="1" w:styleId="c5">
    <w:name w:val="c5"/>
    <w:basedOn w:val="DefaultParagraphFont"/>
    <w:uiPriority w:val="99"/>
    <w:rsid w:val="004D2E77"/>
    <w:rPr>
      <w:rFonts w:cs="Times New Roman"/>
    </w:rPr>
  </w:style>
  <w:style w:type="table" w:styleId="TableGrid">
    <w:name w:val="Table Grid"/>
    <w:basedOn w:val="TableNormal"/>
    <w:uiPriority w:val="59"/>
    <w:locked/>
    <w:rsid w:val="00495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272F8D"/>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42363">
      <w:marLeft w:val="0"/>
      <w:marRight w:val="0"/>
      <w:marTop w:val="0"/>
      <w:marBottom w:val="0"/>
      <w:divBdr>
        <w:top w:val="none" w:sz="0" w:space="0" w:color="auto"/>
        <w:left w:val="none" w:sz="0" w:space="0" w:color="auto"/>
        <w:bottom w:val="none" w:sz="0" w:space="0" w:color="auto"/>
        <w:right w:val="none" w:sz="0" w:space="0" w:color="auto"/>
      </w:divBdr>
      <w:divsChild>
        <w:div w:id="1346442361">
          <w:marLeft w:val="0"/>
          <w:marRight w:val="0"/>
          <w:marTop w:val="0"/>
          <w:marBottom w:val="0"/>
          <w:divBdr>
            <w:top w:val="none" w:sz="0" w:space="0" w:color="auto"/>
            <w:left w:val="none" w:sz="0" w:space="0" w:color="auto"/>
            <w:bottom w:val="none" w:sz="0" w:space="0" w:color="auto"/>
            <w:right w:val="none" w:sz="0" w:space="0" w:color="auto"/>
          </w:divBdr>
          <w:divsChild>
            <w:div w:id="1346442379">
              <w:marLeft w:val="0"/>
              <w:marRight w:val="0"/>
              <w:marTop w:val="0"/>
              <w:marBottom w:val="0"/>
              <w:divBdr>
                <w:top w:val="none" w:sz="0" w:space="0" w:color="auto"/>
                <w:left w:val="none" w:sz="0" w:space="0" w:color="auto"/>
                <w:bottom w:val="none" w:sz="0" w:space="0" w:color="auto"/>
                <w:right w:val="none" w:sz="0" w:space="0" w:color="auto"/>
              </w:divBdr>
              <w:divsChild>
                <w:div w:id="1346442364">
                  <w:marLeft w:val="0"/>
                  <w:marRight w:val="0"/>
                  <w:marTop w:val="0"/>
                  <w:marBottom w:val="0"/>
                  <w:divBdr>
                    <w:top w:val="none" w:sz="0" w:space="0" w:color="auto"/>
                    <w:left w:val="none" w:sz="0" w:space="0" w:color="auto"/>
                    <w:bottom w:val="none" w:sz="0" w:space="0" w:color="auto"/>
                    <w:right w:val="none" w:sz="0" w:space="0" w:color="auto"/>
                  </w:divBdr>
                  <w:divsChild>
                    <w:div w:id="1346442383">
                      <w:marLeft w:val="0"/>
                      <w:marRight w:val="0"/>
                      <w:marTop w:val="0"/>
                      <w:marBottom w:val="0"/>
                      <w:divBdr>
                        <w:top w:val="none" w:sz="0" w:space="0" w:color="auto"/>
                        <w:left w:val="none" w:sz="0" w:space="0" w:color="auto"/>
                        <w:bottom w:val="none" w:sz="0" w:space="0" w:color="auto"/>
                        <w:right w:val="none" w:sz="0" w:space="0" w:color="auto"/>
                      </w:divBdr>
                      <w:divsChild>
                        <w:div w:id="1346442362">
                          <w:marLeft w:val="0"/>
                          <w:marRight w:val="0"/>
                          <w:marTop w:val="300"/>
                          <w:marBottom w:val="0"/>
                          <w:divBdr>
                            <w:top w:val="none" w:sz="0" w:space="0" w:color="auto"/>
                            <w:left w:val="none" w:sz="0" w:space="0" w:color="auto"/>
                            <w:bottom w:val="none" w:sz="0" w:space="0" w:color="auto"/>
                            <w:right w:val="none" w:sz="0" w:space="0" w:color="auto"/>
                          </w:divBdr>
                          <w:divsChild>
                            <w:div w:id="13464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442365">
      <w:marLeft w:val="0"/>
      <w:marRight w:val="0"/>
      <w:marTop w:val="0"/>
      <w:marBottom w:val="0"/>
      <w:divBdr>
        <w:top w:val="none" w:sz="0" w:space="0" w:color="auto"/>
        <w:left w:val="none" w:sz="0" w:space="0" w:color="auto"/>
        <w:bottom w:val="none" w:sz="0" w:space="0" w:color="auto"/>
        <w:right w:val="none" w:sz="0" w:space="0" w:color="auto"/>
      </w:divBdr>
    </w:div>
    <w:div w:id="1346442366">
      <w:marLeft w:val="0"/>
      <w:marRight w:val="0"/>
      <w:marTop w:val="0"/>
      <w:marBottom w:val="0"/>
      <w:divBdr>
        <w:top w:val="none" w:sz="0" w:space="0" w:color="auto"/>
        <w:left w:val="none" w:sz="0" w:space="0" w:color="auto"/>
        <w:bottom w:val="none" w:sz="0" w:space="0" w:color="auto"/>
        <w:right w:val="none" w:sz="0" w:space="0" w:color="auto"/>
      </w:divBdr>
    </w:div>
    <w:div w:id="1346442369">
      <w:marLeft w:val="0"/>
      <w:marRight w:val="0"/>
      <w:marTop w:val="0"/>
      <w:marBottom w:val="0"/>
      <w:divBdr>
        <w:top w:val="none" w:sz="0" w:space="0" w:color="auto"/>
        <w:left w:val="none" w:sz="0" w:space="0" w:color="auto"/>
        <w:bottom w:val="none" w:sz="0" w:space="0" w:color="auto"/>
        <w:right w:val="none" w:sz="0" w:space="0" w:color="auto"/>
      </w:divBdr>
      <w:divsChild>
        <w:div w:id="1346442371">
          <w:marLeft w:val="0"/>
          <w:marRight w:val="0"/>
          <w:marTop w:val="0"/>
          <w:marBottom w:val="0"/>
          <w:divBdr>
            <w:top w:val="none" w:sz="0" w:space="0" w:color="auto"/>
            <w:left w:val="none" w:sz="0" w:space="0" w:color="auto"/>
            <w:bottom w:val="none" w:sz="0" w:space="0" w:color="auto"/>
            <w:right w:val="none" w:sz="0" w:space="0" w:color="auto"/>
          </w:divBdr>
          <w:divsChild>
            <w:div w:id="13464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2370">
      <w:marLeft w:val="0"/>
      <w:marRight w:val="0"/>
      <w:marTop w:val="0"/>
      <w:marBottom w:val="0"/>
      <w:divBdr>
        <w:top w:val="none" w:sz="0" w:space="0" w:color="auto"/>
        <w:left w:val="none" w:sz="0" w:space="0" w:color="auto"/>
        <w:bottom w:val="none" w:sz="0" w:space="0" w:color="auto"/>
        <w:right w:val="none" w:sz="0" w:space="0" w:color="auto"/>
      </w:divBdr>
      <w:divsChild>
        <w:div w:id="1346442372">
          <w:marLeft w:val="0"/>
          <w:marRight w:val="0"/>
          <w:marTop w:val="0"/>
          <w:marBottom w:val="0"/>
          <w:divBdr>
            <w:top w:val="none" w:sz="0" w:space="0" w:color="auto"/>
            <w:left w:val="none" w:sz="0" w:space="0" w:color="auto"/>
            <w:bottom w:val="none" w:sz="0" w:space="0" w:color="auto"/>
            <w:right w:val="none" w:sz="0" w:space="0" w:color="auto"/>
          </w:divBdr>
          <w:divsChild>
            <w:div w:id="13464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2373">
      <w:marLeft w:val="0"/>
      <w:marRight w:val="0"/>
      <w:marTop w:val="0"/>
      <w:marBottom w:val="0"/>
      <w:divBdr>
        <w:top w:val="none" w:sz="0" w:space="0" w:color="auto"/>
        <w:left w:val="none" w:sz="0" w:space="0" w:color="auto"/>
        <w:bottom w:val="none" w:sz="0" w:space="0" w:color="auto"/>
        <w:right w:val="none" w:sz="0" w:space="0" w:color="auto"/>
      </w:divBdr>
    </w:div>
    <w:div w:id="1346442380">
      <w:marLeft w:val="0"/>
      <w:marRight w:val="0"/>
      <w:marTop w:val="0"/>
      <w:marBottom w:val="0"/>
      <w:divBdr>
        <w:top w:val="none" w:sz="0" w:space="0" w:color="auto"/>
        <w:left w:val="none" w:sz="0" w:space="0" w:color="auto"/>
        <w:bottom w:val="none" w:sz="0" w:space="0" w:color="auto"/>
        <w:right w:val="none" w:sz="0" w:space="0" w:color="auto"/>
      </w:divBdr>
      <w:divsChild>
        <w:div w:id="1346442374">
          <w:marLeft w:val="0"/>
          <w:marRight w:val="0"/>
          <w:marTop w:val="0"/>
          <w:marBottom w:val="0"/>
          <w:divBdr>
            <w:top w:val="none" w:sz="0" w:space="0" w:color="auto"/>
            <w:left w:val="none" w:sz="0" w:space="0" w:color="auto"/>
            <w:bottom w:val="none" w:sz="0" w:space="0" w:color="auto"/>
            <w:right w:val="none" w:sz="0" w:space="0" w:color="auto"/>
          </w:divBdr>
          <w:divsChild>
            <w:div w:id="1346442377">
              <w:marLeft w:val="0"/>
              <w:marRight w:val="0"/>
              <w:marTop w:val="0"/>
              <w:marBottom w:val="0"/>
              <w:divBdr>
                <w:top w:val="none" w:sz="0" w:space="0" w:color="auto"/>
                <w:left w:val="none" w:sz="0" w:space="0" w:color="auto"/>
                <w:bottom w:val="none" w:sz="0" w:space="0" w:color="auto"/>
                <w:right w:val="none" w:sz="0" w:space="0" w:color="auto"/>
              </w:divBdr>
              <w:divsChild>
                <w:div w:id="1346442378">
                  <w:marLeft w:val="0"/>
                  <w:marRight w:val="0"/>
                  <w:marTop w:val="0"/>
                  <w:marBottom w:val="0"/>
                  <w:divBdr>
                    <w:top w:val="none" w:sz="0" w:space="0" w:color="auto"/>
                    <w:left w:val="none" w:sz="0" w:space="0" w:color="auto"/>
                    <w:bottom w:val="none" w:sz="0" w:space="0" w:color="auto"/>
                    <w:right w:val="none" w:sz="0" w:space="0" w:color="auto"/>
                  </w:divBdr>
                  <w:divsChild>
                    <w:div w:id="1346442376">
                      <w:marLeft w:val="0"/>
                      <w:marRight w:val="0"/>
                      <w:marTop w:val="0"/>
                      <w:marBottom w:val="0"/>
                      <w:divBdr>
                        <w:top w:val="none" w:sz="0" w:space="0" w:color="auto"/>
                        <w:left w:val="none" w:sz="0" w:space="0" w:color="auto"/>
                        <w:bottom w:val="none" w:sz="0" w:space="0" w:color="auto"/>
                        <w:right w:val="none" w:sz="0" w:space="0" w:color="auto"/>
                      </w:divBdr>
                      <w:divsChild>
                        <w:div w:id="1346442382">
                          <w:marLeft w:val="0"/>
                          <w:marRight w:val="0"/>
                          <w:marTop w:val="300"/>
                          <w:marBottom w:val="0"/>
                          <w:divBdr>
                            <w:top w:val="none" w:sz="0" w:space="0" w:color="auto"/>
                            <w:left w:val="none" w:sz="0" w:space="0" w:color="auto"/>
                            <w:bottom w:val="none" w:sz="0" w:space="0" w:color="auto"/>
                            <w:right w:val="none" w:sz="0" w:space="0" w:color="auto"/>
                          </w:divBdr>
                          <w:divsChild>
                            <w:div w:id="13464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Rieksti&#326;a@vi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15CE-47C0-49FC-8EDE-4CD0C98F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5695</Words>
  <Characters>3247</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31.augusta noteikumos Nr.819 “Noteikumi par mikrouzņēmumu nodokļa deklarāciju un tās aizpildīšanas kārtību”” sākotnējās ietekmes novērtējuma ziņojums (anotācija)</vt:lpstr>
    </vt:vector>
  </TitlesOfParts>
  <Company>VID</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31.augusta noteikumos Nr.819 “Noteikumi par mikrouzņēmumu nodokļa deklarāciju un tās aizpildīšanas kārtību”” sākotnējās ietekmes novērtējuma ziņojums (anotācija)</dc:title>
  <dc:subject>Anotācija</dc:subject>
  <dc:creator>I.Riekstiņa</dc:creator>
  <dc:description>Inese.Riekstiņa@vid.gov.lv_x000d_
67028829</dc:description>
  <cp:lastModifiedBy>Sprūģe Veronika</cp:lastModifiedBy>
  <cp:revision>8</cp:revision>
  <cp:lastPrinted>2013-06-10T06:45:00Z</cp:lastPrinted>
  <dcterms:created xsi:type="dcterms:W3CDTF">2013-09-27T07:46:00Z</dcterms:created>
  <dcterms:modified xsi:type="dcterms:W3CDTF">2013-10-22T07:22:00Z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0x010100DCCDF33E56B45A4A89FE5FF83C9B2D54</vt:lpwstr>
  </property>
  <property fmtid="{D5CDD505-2E9C-101B-9397-08002B2CF9AE}" pid="3" name="Vadītājs">
    <vt:lpwstr>D.Pelēkā/VID</vt:lpwstr>
  </property>
  <property fmtid="{D5CDD505-2E9C-101B-9397-08002B2CF9AE}" pid="4" name="Kategorija">
    <vt:lpwstr>Anotācija</vt:lpwstr>
  </property>
  <property fmtid="{D5CDD505-2E9C-101B-9397-08002B2CF9AE}" pid="5" name="DKP">
    <vt:lpwstr>21</vt:lpwstr>
  </property>
</Properties>
</file>