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11" w:rsidRPr="00BB4573" w:rsidRDefault="00B03D11" w:rsidP="00BB4573">
      <w:pPr>
        <w:pStyle w:val="naisc"/>
        <w:spacing w:before="0" w:after="0"/>
        <w:rPr>
          <w:b/>
          <w:sz w:val="28"/>
          <w:szCs w:val="28"/>
        </w:rPr>
      </w:pPr>
      <w:bookmarkStart w:id="0" w:name="OLE_LINK1"/>
      <w:r w:rsidRPr="0030193F">
        <w:rPr>
          <w:b/>
          <w:sz w:val="28"/>
          <w:szCs w:val="28"/>
        </w:rPr>
        <w:t xml:space="preserve">Ministru kabineta </w:t>
      </w:r>
      <w:r>
        <w:rPr>
          <w:b/>
          <w:sz w:val="28"/>
          <w:szCs w:val="28"/>
        </w:rPr>
        <w:t>rīkojuma</w:t>
      </w:r>
      <w:r w:rsidRPr="0030193F">
        <w:rPr>
          <w:b/>
          <w:sz w:val="28"/>
          <w:szCs w:val="28"/>
        </w:rPr>
        <w:t xml:space="preserve"> projekta</w:t>
      </w:r>
      <w:bookmarkEnd w:id="0"/>
      <w:r w:rsidR="00BB4573">
        <w:rPr>
          <w:b/>
          <w:sz w:val="28"/>
          <w:szCs w:val="28"/>
        </w:rPr>
        <w:t xml:space="preserve"> </w:t>
      </w:r>
      <w:r w:rsidRPr="0030193F">
        <w:rPr>
          <w:b/>
          <w:sz w:val="28"/>
          <w:szCs w:val="28"/>
        </w:rPr>
        <w:t>„</w:t>
      </w:r>
      <w:r>
        <w:rPr>
          <w:b/>
          <w:sz w:val="28"/>
          <w:szCs w:val="28"/>
        </w:rPr>
        <w:t>Par</w:t>
      </w:r>
      <w:r w:rsidR="00E93E80">
        <w:rPr>
          <w:b/>
          <w:sz w:val="28"/>
          <w:szCs w:val="28"/>
        </w:rPr>
        <w:t xml:space="preserve"> </w:t>
      </w:r>
      <w:r w:rsidR="00BB4573">
        <w:rPr>
          <w:b/>
          <w:sz w:val="28"/>
          <w:szCs w:val="28"/>
        </w:rPr>
        <w:t>līdzekļu novirzīšanu parakstu vākšanai</w:t>
      </w:r>
      <w:r w:rsidR="00E93E80">
        <w:rPr>
          <w:b/>
          <w:sz w:val="28"/>
          <w:szCs w:val="28"/>
        </w:rPr>
        <w:t xml:space="preserve"> likuma „Grozījumi Latvijas Republikas Satversmē</w:t>
      </w:r>
      <w:r w:rsidRPr="0030193F">
        <w:rPr>
          <w:b/>
          <w:sz w:val="28"/>
          <w:szCs w:val="28"/>
        </w:rPr>
        <w:t xml:space="preserve">” </w:t>
      </w:r>
      <w:r w:rsidR="00E93E80">
        <w:rPr>
          <w:b/>
          <w:sz w:val="28"/>
          <w:szCs w:val="28"/>
        </w:rPr>
        <w:t xml:space="preserve">ierosināšanai” </w:t>
      </w:r>
      <w:r w:rsidRPr="0030193F">
        <w:rPr>
          <w:b/>
          <w:bCs/>
          <w:sz w:val="28"/>
          <w:szCs w:val="28"/>
        </w:rPr>
        <w:t>sākotnējās ietekmes novērtējuma ziņojums (anotācija</w:t>
      </w:r>
      <w:r w:rsidRPr="0030193F">
        <w:rPr>
          <w:bCs/>
          <w:sz w:val="28"/>
          <w:szCs w:val="28"/>
        </w:rPr>
        <w:t>)</w:t>
      </w:r>
    </w:p>
    <w:p w:rsidR="00B03D11" w:rsidRPr="000A0D36" w:rsidRDefault="00B03D11" w:rsidP="00B03D11">
      <w:pPr>
        <w:pStyle w:val="naisc"/>
        <w:spacing w:before="0" w:after="0"/>
        <w:rPr>
          <w:b/>
          <w:bCs/>
          <w:sz w:val="24"/>
          <w:szCs w:val="24"/>
        </w:rPr>
      </w:pPr>
    </w:p>
    <w:tbl>
      <w:tblPr>
        <w:tblW w:w="5173"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26"/>
        <w:gridCol w:w="2543"/>
        <w:gridCol w:w="6533"/>
      </w:tblGrid>
      <w:tr w:rsidR="00B03D11" w:rsidRPr="000A0D36" w:rsidTr="004041F5">
        <w:tc>
          <w:tcPr>
            <w:tcW w:w="5000" w:type="pct"/>
            <w:gridSpan w:val="3"/>
            <w:tcBorders>
              <w:top w:val="outset" w:sz="6" w:space="0" w:color="auto"/>
              <w:left w:val="outset" w:sz="6" w:space="0" w:color="auto"/>
              <w:bottom w:val="outset" w:sz="6" w:space="0" w:color="auto"/>
              <w:right w:val="outset" w:sz="6" w:space="0" w:color="auto"/>
            </w:tcBorders>
            <w:vAlign w:val="center"/>
          </w:tcPr>
          <w:p w:rsidR="00B03D11" w:rsidRPr="000A0D36" w:rsidRDefault="00B03D11" w:rsidP="00101F22">
            <w:pPr>
              <w:pStyle w:val="naisc"/>
              <w:spacing w:before="0" w:after="0"/>
              <w:rPr>
                <w:sz w:val="24"/>
                <w:szCs w:val="24"/>
              </w:rPr>
            </w:pPr>
            <w:r w:rsidRPr="000A0D36">
              <w:rPr>
                <w:b/>
                <w:bCs/>
                <w:sz w:val="24"/>
                <w:szCs w:val="24"/>
              </w:rPr>
              <w:t xml:space="preserve">I. </w:t>
            </w:r>
            <w:r w:rsidRPr="000A0D36">
              <w:rPr>
                <w:b/>
                <w:color w:val="000000"/>
                <w:sz w:val="24"/>
                <w:szCs w:val="24"/>
              </w:rPr>
              <w:t>Tiesību akta projekta izstrādes nepieciešamība</w:t>
            </w:r>
          </w:p>
        </w:tc>
      </w:tr>
      <w:tr w:rsidR="00B03D11" w:rsidRPr="000A0D36" w:rsidTr="004041F5">
        <w:tc>
          <w:tcPr>
            <w:tcW w:w="274"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1.</w:t>
            </w:r>
          </w:p>
        </w:tc>
        <w:tc>
          <w:tcPr>
            <w:tcW w:w="1324"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Pamatojums</w:t>
            </w:r>
          </w:p>
        </w:tc>
        <w:tc>
          <w:tcPr>
            <w:tcW w:w="3402" w:type="pct"/>
            <w:tcBorders>
              <w:top w:val="outset" w:sz="6" w:space="0" w:color="auto"/>
              <w:left w:val="outset" w:sz="6" w:space="0" w:color="auto"/>
              <w:bottom w:val="outset" w:sz="6" w:space="0" w:color="auto"/>
              <w:right w:val="outset" w:sz="6" w:space="0" w:color="auto"/>
            </w:tcBorders>
          </w:tcPr>
          <w:p w:rsidR="00B03D11" w:rsidRPr="00DE6F77" w:rsidRDefault="006F21F2" w:rsidP="00101F22">
            <w:pPr>
              <w:jc w:val="both"/>
            </w:pPr>
            <w:r>
              <w:t>Nav attiecināms.</w:t>
            </w:r>
          </w:p>
        </w:tc>
      </w:tr>
      <w:tr w:rsidR="00B03D11" w:rsidRPr="000A0D36" w:rsidTr="004041F5">
        <w:trPr>
          <w:trHeight w:val="300"/>
        </w:trPr>
        <w:tc>
          <w:tcPr>
            <w:tcW w:w="274"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2.</w:t>
            </w:r>
          </w:p>
        </w:tc>
        <w:tc>
          <w:tcPr>
            <w:tcW w:w="1324"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Pašreizējā situācija un problēmas</w:t>
            </w:r>
          </w:p>
        </w:tc>
        <w:tc>
          <w:tcPr>
            <w:tcW w:w="3402" w:type="pct"/>
            <w:tcBorders>
              <w:top w:val="outset" w:sz="6" w:space="0" w:color="auto"/>
              <w:left w:val="outset" w:sz="6" w:space="0" w:color="auto"/>
              <w:bottom w:val="outset" w:sz="6" w:space="0" w:color="auto"/>
              <w:right w:val="outset" w:sz="6" w:space="0" w:color="auto"/>
            </w:tcBorders>
            <w:shd w:val="clear" w:color="auto" w:fill="auto"/>
          </w:tcPr>
          <w:p w:rsidR="00B03D11" w:rsidRPr="00C06306" w:rsidRDefault="005B2537" w:rsidP="00E93E80">
            <w:pPr>
              <w:ind w:firstLine="605"/>
              <w:jc w:val="both"/>
            </w:pPr>
            <w:r>
              <w:t>Saskaņā ar likuma „Par tautas nobalsošanu un likumu ierosināšanu” 7. panta pirmo daļu, 22. un 23. pantu Centrāl</w:t>
            </w:r>
            <w:r w:rsidR="00A37D04">
              <w:t>ā vēlēšanu komisija 2011.gada 13.oktobr</w:t>
            </w:r>
            <w:r>
              <w:t>ī ir noteikusi parakstu vākšanu likuma „Grozījumi Latvijas Republikas Satvers</w:t>
            </w:r>
            <w:r w:rsidR="00A37D04">
              <w:t>mē” ierosināšanai no 2011.gada 1. līdz 30</w:t>
            </w:r>
            <w:r>
              <w:t>.</w:t>
            </w:r>
            <w:r w:rsidR="00A37D04">
              <w:t>novembrim</w:t>
            </w:r>
            <w:r w:rsidR="004041F5">
              <w:t xml:space="preserve"> ieskaitot, jo Centrālajā vēlēšanu komisijā iesniegto likumprojektu parakstījuši 12 533 balsstiesīgie Latvijas pilsoņi.</w:t>
            </w:r>
          </w:p>
        </w:tc>
      </w:tr>
      <w:tr w:rsidR="00B03D11" w:rsidRPr="000A0D36" w:rsidTr="004041F5">
        <w:tc>
          <w:tcPr>
            <w:tcW w:w="274"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3.</w:t>
            </w:r>
          </w:p>
        </w:tc>
        <w:tc>
          <w:tcPr>
            <w:tcW w:w="1324"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Saistītie politikas ietekmes novērtējumi un pētījumi</w:t>
            </w:r>
          </w:p>
        </w:tc>
        <w:tc>
          <w:tcPr>
            <w:tcW w:w="3402"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aisf"/>
              <w:spacing w:before="0" w:after="0"/>
              <w:ind w:firstLine="0"/>
              <w:rPr>
                <w:highlight w:val="yellow"/>
              </w:rPr>
            </w:pPr>
            <w:r w:rsidRPr="000A0D36">
              <w:t>Nav attiecināms.</w:t>
            </w:r>
          </w:p>
        </w:tc>
      </w:tr>
      <w:tr w:rsidR="00B03D11" w:rsidRPr="000A0D36" w:rsidTr="004041F5">
        <w:tc>
          <w:tcPr>
            <w:tcW w:w="274"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4.</w:t>
            </w:r>
          </w:p>
        </w:tc>
        <w:tc>
          <w:tcPr>
            <w:tcW w:w="1324"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Tiesiskā regulējuma mērķis un būtība</w:t>
            </w:r>
          </w:p>
        </w:tc>
        <w:tc>
          <w:tcPr>
            <w:tcW w:w="3402" w:type="pct"/>
            <w:tcBorders>
              <w:top w:val="outset" w:sz="6" w:space="0" w:color="auto"/>
              <w:left w:val="outset" w:sz="6" w:space="0" w:color="auto"/>
              <w:bottom w:val="outset" w:sz="6" w:space="0" w:color="auto"/>
              <w:right w:val="outset" w:sz="6" w:space="0" w:color="auto"/>
            </w:tcBorders>
          </w:tcPr>
          <w:p w:rsidR="00A37D04" w:rsidRPr="004041F5" w:rsidRDefault="00A37D04" w:rsidP="00A37D04">
            <w:pPr>
              <w:ind w:firstLine="605"/>
              <w:jc w:val="both"/>
            </w:pPr>
            <w:r w:rsidRPr="004041F5">
              <w:t xml:space="preserve">Lai nodrošinātu parakstu vākšanu likuma „Grozījumi Latvijas Republikas Satversmē” ierosināšanai, Centrālajai vēlēšanu komisijai </w:t>
            </w:r>
            <w:r w:rsidR="00E93E80" w:rsidRPr="004041F5">
              <w:t xml:space="preserve">2011.gadā </w:t>
            </w:r>
            <w:r w:rsidRPr="004041F5">
              <w:t xml:space="preserve">ir nepieciešams finansējums </w:t>
            </w:r>
            <w:r w:rsidR="00187B24">
              <w:t xml:space="preserve">     </w:t>
            </w:r>
            <w:r w:rsidRPr="004041F5">
              <w:t xml:space="preserve">426 </w:t>
            </w:r>
            <w:r w:rsidR="00924502" w:rsidRPr="004041F5">
              <w:t>63</w:t>
            </w:r>
            <w:r w:rsidRPr="004041F5">
              <w:t>0 latu apmērā, tajā skaitā:</w:t>
            </w:r>
          </w:p>
          <w:p w:rsidR="00A37D04" w:rsidRPr="004041F5" w:rsidRDefault="00A37D04" w:rsidP="00A37D04">
            <w:pPr>
              <w:numPr>
                <w:ilvl w:val="0"/>
                <w:numId w:val="1"/>
              </w:numPr>
              <w:spacing w:after="120"/>
              <w:jc w:val="both"/>
            </w:pPr>
            <w:r w:rsidRPr="004041F5">
              <w:t xml:space="preserve">vēlēšanu komisiju darbinieku Latvijā, parakstu vākšanas darbinieku Latvijā un ārvalstīs, parakstu vākšanas organizatoriskai un tehniskai nodrošināšanai nepieciešamā Centrālās vēlēšanu komisijas sekretariāta līgumdarbinieku, kā arī Centrālās vēlēšanu komisijas darbinieku papildus darba apmaksai Ls </w:t>
            </w:r>
            <w:r w:rsidR="00924502" w:rsidRPr="004041F5">
              <w:t>285 782</w:t>
            </w:r>
            <w:r w:rsidRPr="004041F5">
              <w:t>;</w:t>
            </w:r>
          </w:p>
          <w:p w:rsidR="00A37D04" w:rsidRPr="004041F5" w:rsidRDefault="00A37D04" w:rsidP="00A37D04">
            <w:pPr>
              <w:numPr>
                <w:ilvl w:val="0"/>
                <w:numId w:val="1"/>
              </w:numPr>
              <w:spacing w:after="120"/>
              <w:jc w:val="both"/>
            </w:pPr>
            <w:r w:rsidRPr="004041F5">
              <w:t xml:space="preserve">valsts sociālās apdrošināšanas obligātajām iemaksām Ls </w:t>
            </w:r>
            <w:r w:rsidR="00924502" w:rsidRPr="004041F5">
              <w:t>68 848</w:t>
            </w:r>
            <w:r w:rsidRPr="004041F5">
              <w:t>;</w:t>
            </w:r>
          </w:p>
          <w:p w:rsidR="00A37D04" w:rsidRPr="004041F5" w:rsidRDefault="00A37D04" w:rsidP="00A37D04">
            <w:pPr>
              <w:numPr>
                <w:ilvl w:val="0"/>
                <w:numId w:val="1"/>
              </w:numPr>
              <w:spacing w:after="120"/>
              <w:jc w:val="both"/>
            </w:pPr>
            <w:r w:rsidRPr="004041F5">
              <w:t xml:space="preserve">Centrālās vēlēšanu komisijas un vēlēšanu komisiju saimnieciskajiem izdevumiem Ls </w:t>
            </w:r>
            <w:r w:rsidR="00924502" w:rsidRPr="004041F5">
              <w:t xml:space="preserve">   72 000</w:t>
            </w:r>
            <w:r w:rsidRPr="004041F5">
              <w:t>.</w:t>
            </w:r>
          </w:p>
          <w:p w:rsidR="00924502" w:rsidRPr="004041F5" w:rsidRDefault="00BB4573" w:rsidP="00924502">
            <w:pPr>
              <w:ind w:firstLine="605"/>
              <w:jc w:val="both"/>
            </w:pPr>
            <w:r>
              <w:t>Atbilstoši Centrālās</w:t>
            </w:r>
            <w:r w:rsidR="00E93E80" w:rsidRPr="004041F5">
              <w:t xml:space="preserve"> vēlēšanu komisijas </w:t>
            </w:r>
            <w:proofErr w:type="spellStart"/>
            <w:r>
              <w:t>š.g</w:t>
            </w:r>
            <w:proofErr w:type="spellEnd"/>
            <w:r>
              <w:t>. 27</w:t>
            </w:r>
            <w:r w:rsidR="00E93E80" w:rsidRPr="004041F5">
              <w:t>.</w:t>
            </w:r>
            <w:r w:rsidR="00924502" w:rsidRPr="004041F5">
              <w:t>oktobra</w:t>
            </w:r>
            <w:r w:rsidR="00E93E80" w:rsidRPr="004041F5">
              <w:t xml:space="preserve"> vēstulē </w:t>
            </w:r>
            <w:r>
              <w:t xml:space="preserve">Nr.02-01.7/396 </w:t>
            </w:r>
            <w:r w:rsidR="00E93E80" w:rsidRPr="004041F5">
              <w:t>sniegtajai informācijai,</w:t>
            </w:r>
            <w:r w:rsidR="00A37D04" w:rsidRPr="004041F5">
              <w:t xml:space="preserve"> saskaņā ar Ministru kabineta 2011.gada 6.maija rīkojumu Nr.181 „Par finanšu līdzekļu piešķiršanu no valsts budžeta programmas „Līdzekļi neparedzētiem gadījumiem””</w:t>
            </w:r>
            <w:r w:rsidR="004041F5" w:rsidRPr="004041F5">
              <w:t xml:space="preserve"> divu parakstu vākšanu nodrošināšanai, 2011.gada 14.jūnija rīkojumu</w:t>
            </w:r>
            <w:r w:rsidR="00A37D04" w:rsidRPr="004041F5">
              <w:t xml:space="preserve"> Nr.241 „Par finanšu līdzekļu piešķiršanu no valsts budžeta programmas „Līdzekļi neparedzētiem </w:t>
            </w:r>
            <w:r w:rsidR="004041F5">
              <w:t xml:space="preserve">gadījumiem”” </w:t>
            </w:r>
            <w:r w:rsidR="004041F5" w:rsidRPr="004041F5">
              <w:t xml:space="preserve">tautas nobalsošanas par ierosinājumu atlaist 10.Saeimu nodrošināšanai, kā arī </w:t>
            </w:r>
            <w:r w:rsidR="00A37D04" w:rsidRPr="004041F5">
              <w:t xml:space="preserve">2011.gada 17.augusta rīkojumu Nr.388 „Par finanšu līdzekļu piešķiršanu no valsts budžeta programmas „Līdzekļi neparedzētiem gadījumiem”” </w:t>
            </w:r>
            <w:r w:rsidR="004041F5" w:rsidRPr="004041F5">
              <w:t xml:space="preserve">11.Saeimas vēlēšanu nodrošināšanai </w:t>
            </w:r>
            <w:r w:rsidR="00A37D04" w:rsidRPr="004041F5">
              <w:t>piešķirt</w:t>
            </w:r>
            <w:r w:rsidR="00924502" w:rsidRPr="004041F5">
              <w:t xml:space="preserve">ie līdzekļi </w:t>
            </w:r>
            <w:r w:rsidR="004041F5" w:rsidRPr="004041F5">
              <w:t>nebūs nepieciešami</w:t>
            </w:r>
            <w:r w:rsidR="00924502" w:rsidRPr="004041F5">
              <w:t xml:space="preserve"> plānotajā apmērā, līdz ar to </w:t>
            </w:r>
            <w:r w:rsidR="004041F5" w:rsidRPr="004041F5">
              <w:t>šos līdzekļus</w:t>
            </w:r>
            <w:r w:rsidR="00A37D04" w:rsidRPr="004041F5">
              <w:t xml:space="preserve"> </w:t>
            </w:r>
            <w:r w:rsidR="00924502" w:rsidRPr="004041F5">
              <w:t xml:space="preserve">var novirzīt </w:t>
            </w:r>
            <w:r w:rsidR="00E93E80" w:rsidRPr="004041F5">
              <w:t>minētās parakstu vākšanas nodrošināšanai</w:t>
            </w:r>
            <w:r w:rsidR="00924502" w:rsidRPr="004041F5">
              <w:t>.</w:t>
            </w:r>
          </w:p>
          <w:p w:rsidR="00B03D11" w:rsidRPr="00E97231" w:rsidRDefault="00E93E80" w:rsidP="00BB4573">
            <w:pPr>
              <w:ind w:firstLine="605"/>
              <w:jc w:val="both"/>
            </w:pPr>
            <w:r w:rsidRPr="004041F5">
              <w:lastRenderedPageBreak/>
              <w:t>Lai Centrālā velēšanu komisija varētu izman</w:t>
            </w:r>
            <w:r w:rsidR="004041F5" w:rsidRPr="004041F5">
              <w:t>t</w:t>
            </w:r>
            <w:r w:rsidRPr="004041F5">
              <w:t xml:space="preserve">ot tai jau ar Ministru kabineta rīkojumiem piešķirto </w:t>
            </w:r>
            <w:r w:rsidR="00AA0DCA">
              <w:t>finansējumu arī parakstu vākšanas</w:t>
            </w:r>
            <w:r w:rsidRPr="004041F5">
              <w:t xml:space="preserve"> </w:t>
            </w:r>
            <w:r w:rsidR="00483659">
              <w:t xml:space="preserve">nodrošināšanai </w:t>
            </w:r>
            <w:r w:rsidRPr="004041F5">
              <w:t xml:space="preserve">likuma „Grozījumi Latvijas Republikas Satversmē” ierosināšanai, </w:t>
            </w:r>
            <w:r w:rsidR="00BC05EE" w:rsidRPr="004041F5">
              <w:t>Finanšu ministrija, atbilstoši komisijas lūgumam</w:t>
            </w:r>
            <w:r w:rsidR="0087640E">
              <w:t>,</w:t>
            </w:r>
            <w:bookmarkStart w:id="1" w:name="_GoBack"/>
            <w:bookmarkEnd w:id="1"/>
            <w:r w:rsidR="00BC05EE" w:rsidRPr="004041F5">
              <w:t xml:space="preserve"> ir sagatavojusi Ministru kabineta rīkojuma projektu</w:t>
            </w:r>
            <w:r w:rsidR="00C50023" w:rsidRPr="004041F5">
              <w:t xml:space="preserve"> „Par </w:t>
            </w:r>
            <w:r w:rsidR="00BB4573">
              <w:t xml:space="preserve">līdzekļu novirzīšanu </w:t>
            </w:r>
            <w:r w:rsidR="00924502" w:rsidRPr="004041F5">
              <w:t>parakstu vākšan</w:t>
            </w:r>
            <w:r w:rsidR="00BB4573">
              <w:t>ai</w:t>
            </w:r>
            <w:r w:rsidR="00924502" w:rsidRPr="004041F5">
              <w:t xml:space="preserve"> likuma „Grozījumi Latvijas Republikas Satversmē” ierosināšanai</w:t>
            </w:r>
            <w:r w:rsidR="00C50023" w:rsidRPr="004041F5">
              <w:t>”</w:t>
            </w:r>
            <w:r w:rsidR="005B2537" w:rsidRPr="004041F5">
              <w:t>.</w:t>
            </w:r>
            <w:r w:rsidR="00BC05EE" w:rsidRPr="00A37D04">
              <w:t xml:space="preserve"> </w:t>
            </w:r>
          </w:p>
        </w:tc>
      </w:tr>
      <w:tr w:rsidR="00B03D11" w:rsidRPr="000A0D36" w:rsidTr="004041F5">
        <w:tc>
          <w:tcPr>
            <w:tcW w:w="274"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lastRenderedPageBreak/>
              <w:t>5.</w:t>
            </w:r>
          </w:p>
        </w:tc>
        <w:tc>
          <w:tcPr>
            <w:tcW w:w="1324"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Projekta izstrādē iesaistītās institūcijas</w:t>
            </w:r>
          </w:p>
        </w:tc>
        <w:tc>
          <w:tcPr>
            <w:tcW w:w="3402"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aisf"/>
              <w:spacing w:before="0" w:after="0"/>
              <w:ind w:firstLine="0"/>
              <w:rPr>
                <w:bCs/>
                <w:color w:val="000000"/>
              </w:rPr>
            </w:pPr>
            <w:r>
              <w:rPr>
                <w:bCs/>
                <w:color w:val="000000"/>
              </w:rPr>
              <w:t xml:space="preserve">Nav attiecināms </w:t>
            </w:r>
          </w:p>
        </w:tc>
      </w:tr>
      <w:tr w:rsidR="00B03D11" w:rsidRPr="000A0D36" w:rsidTr="004041F5">
        <w:trPr>
          <w:trHeight w:val="834"/>
        </w:trPr>
        <w:tc>
          <w:tcPr>
            <w:tcW w:w="274"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6.</w:t>
            </w:r>
          </w:p>
        </w:tc>
        <w:tc>
          <w:tcPr>
            <w:tcW w:w="1324"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color w:val="000000"/>
              </w:rPr>
            </w:pPr>
            <w:r w:rsidRPr="000A0D36">
              <w:rPr>
                <w:color w:val="000000"/>
              </w:rPr>
              <w:t>Iemesli, kādēļ netika nodrošināta sabiedrības līdzdalība</w:t>
            </w:r>
          </w:p>
        </w:tc>
        <w:tc>
          <w:tcPr>
            <w:tcW w:w="3402"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aisf"/>
              <w:spacing w:before="0" w:after="0"/>
              <w:ind w:firstLine="0"/>
              <w:rPr>
                <w:bCs/>
                <w:color w:val="000000"/>
              </w:rPr>
            </w:pPr>
            <w:r>
              <w:rPr>
                <w:bCs/>
                <w:color w:val="000000"/>
              </w:rPr>
              <w:t xml:space="preserve">Nav attiecināms. </w:t>
            </w:r>
          </w:p>
        </w:tc>
      </w:tr>
      <w:tr w:rsidR="00B03D11" w:rsidRPr="000A0D36" w:rsidTr="004041F5">
        <w:tc>
          <w:tcPr>
            <w:tcW w:w="274"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7.</w:t>
            </w:r>
          </w:p>
        </w:tc>
        <w:tc>
          <w:tcPr>
            <w:tcW w:w="1324"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Cita informācija.</w:t>
            </w:r>
          </w:p>
        </w:tc>
        <w:tc>
          <w:tcPr>
            <w:tcW w:w="3402" w:type="pct"/>
            <w:tcBorders>
              <w:top w:val="outset" w:sz="6" w:space="0" w:color="auto"/>
              <w:left w:val="outset" w:sz="6" w:space="0" w:color="auto"/>
              <w:bottom w:val="outset" w:sz="6" w:space="0" w:color="auto"/>
              <w:right w:val="outset" w:sz="6" w:space="0" w:color="auto"/>
            </w:tcBorders>
          </w:tcPr>
          <w:p w:rsidR="00B03D11" w:rsidRPr="000A0D36" w:rsidRDefault="00B03D11" w:rsidP="00101F22">
            <w:r w:rsidRPr="000A0D36">
              <w:t>Nav</w:t>
            </w:r>
            <w:r>
              <w:t xml:space="preserve"> attiecināms. </w:t>
            </w:r>
          </w:p>
        </w:tc>
      </w:tr>
    </w:tbl>
    <w:p w:rsidR="00B03D11" w:rsidRPr="000A0D36" w:rsidRDefault="00B03D11" w:rsidP="00B03D11">
      <w:pPr>
        <w:pStyle w:val="NormalWeb"/>
        <w:spacing w:before="0" w:beforeAutospacing="0" w:after="0" w:afterAutospacing="0"/>
      </w:pPr>
    </w:p>
    <w:tbl>
      <w:tblPr>
        <w:tblW w:w="5161"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31"/>
        <w:gridCol w:w="3261"/>
        <w:gridCol w:w="5788"/>
      </w:tblGrid>
      <w:tr w:rsidR="00B03D11" w:rsidRPr="000A0D36" w:rsidTr="004041F5">
        <w:tc>
          <w:tcPr>
            <w:tcW w:w="5000" w:type="pct"/>
            <w:gridSpan w:val="3"/>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aisc"/>
              <w:spacing w:before="0" w:after="0"/>
              <w:rPr>
                <w:b/>
                <w:bCs/>
                <w:sz w:val="24"/>
                <w:szCs w:val="24"/>
              </w:rPr>
            </w:pPr>
            <w:r w:rsidRPr="000A0D36">
              <w:rPr>
                <w:b/>
                <w:bCs/>
                <w:sz w:val="24"/>
                <w:szCs w:val="24"/>
              </w:rPr>
              <w:t>VII. Tiesību akta projekta izpildes nodrošināšana un tās ietekme uz institūcijām</w:t>
            </w:r>
          </w:p>
        </w:tc>
      </w:tr>
      <w:tr w:rsidR="00B03D11" w:rsidRPr="000A0D36" w:rsidTr="004041F5">
        <w:trPr>
          <w:trHeight w:val="600"/>
        </w:trPr>
        <w:tc>
          <w:tcPr>
            <w:tcW w:w="277"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1.</w:t>
            </w:r>
          </w:p>
        </w:tc>
        <w:tc>
          <w:tcPr>
            <w:tcW w:w="1702"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rPr>
                <w:color w:val="000000"/>
              </w:rPr>
            </w:pPr>
            <w:r w:rsidRPr="000A0D36">
              <w:rPr>
                <w:color w:val="000000"/>
              </w:rPr>
              <w:t>Projekta izpildē iesaistītās institūcijas</w:t>
            </w:r>
          </w:p>
        </w:tc>
        <w:tc>
          <w:tcPr>
            <w:tcW w:w="3021" w:type="pct"/>
            <w:tcBorders>
              <w:top w:val="outset" w:sz="6" w:space="0" w:color="auto"/>
              <w:left w:val="outset" w:sz="6" w:space="0" w:color="auto"/>
              <w:bottom w:val="outset" w:sz="6" w:space="0" w:color="auto"/>
              <w:right w:val="outset" w:sz="6" w:space="0" w:color="auto"/>
            </w:tcBorders>
          </w:tcPr>
          <w:p w:rsidR="00B03D11" w:rsidRPr="000A0D36" w:rsidRDefault="008F7BC6" w:rsidP="008F7BC6">
            <w:pPr>
              <w:jc w:val="both"/>
              <w:rPr>
                <w:highlight w:val="yellow"/>
              </w:rPr>
            </w:pPr>
            <w:r>
              <w:rPr>
                <w:bCs/>
                <w:color w:val="000000"/>
              </w:rPr>
              <w:t>Centrālā vēlēšanu komisija, Finanšu ministrija</w:t>
            </w:r>
          </w:p>
        </w:tc>
      </w:tr>
      <w:tr w:rsidR="00B03D11" w:rsidRPr="000A0D36" w:rsidTr="004041F5">
        <w:trPr>
          <w:trHeight w:val="515"/>
        </w:trPr>
        <w:tc>
          <w:tcPr>
            <w:tcW w:w="277"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2.</w:t>
            </w:r>
          </w:p>
        </w:tc>
        <w:tc>
          <w:tcPr>
            <w:tcW w:w="1702"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rPr>
                <w:color w:val="000000"/>
              </w:rPr>
            </w:pPr>
            <w:r w:rsidRPr="000A0D36">
              <w:rPr>
                <w:color w:val="000000"/>
              </w:rPr>
              <w:t>Projekta izpildes ietekme uz pārvaldes funkcijām</w:t>
            </w:r>
          </w:p>
        </w:tc>
        <w:tc>
          <w:tcPr>
            <w:tcW w:w="3021"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bCs/>
                <w:color w:val="000000"/>
              </w:rPr>
            </w:pPr>
            <w:r w:rsidRPr="000A0D36">
              <w:t>Nav attiecināms.</w:t>
            </w:r>
          </w:p>
        </w:tc>
      </w:tr>
      <w:tr w:rsidR="00B03D11" w:rsidRPr="000A0D36" w:rsidTr="004041F5">
        <w:tc>
          <w:tcPr>
            <w:tcW w:w="277"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3.</w:t>
            </w:r>
          </w:p>
        </w:tc>
        <w:tc>
          <w:tcPr>
            <w:tcW w:w="1702"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rPr>
                <w:color w:val="000000"/>
              </w:rPr>
            </w:pPr>
            <w:r w:rsidRPr="000A0D36">
              <w:rPr>
                <w:color w:val="000000"/>
              </w:rPr>
              <w:t>Projekta izpildes ietekme uz pārvaldes institucionālo struktūru.</w:t>
            </w:r>
          </w:p>
          <w:p w:rsidR="00B03D11" w:rsidRPr="000A0D36" w:rsidRDefault="00B03D11" w:rsidP="00101F22">
            <w:pPr>
              <w:rPr>
                <w:color w:val="000000"/>
              </w:rPr>
            </w:pPr>
            <w:r w:rsidRPr="000A0D36">
              <w:rPr>
                <w:color w:val="000000"/>
              </w:rPr>
              <w:t>Jaunu institūciju izveide</w:t>
            </w:r>
          </w:p>
        </w:tc>
        <w:tc>
          <w:tcPr>
            <w:tcW w:w="3021"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rPr>
                <w:highlight w:val="yellow"/>
              </w:rPr>
            </w:pPr>
            <w:r w:rsidRPr="000A0D36">
              <w:t>Nav attiecināms.</w:t>
            </w:r>
          </w:p>
        </w:tc>
      </w:tr>
      <w:tr w:rsidR="00B03D11" w:rsidRPr="000A0D36" w:rsidTr="004041F5">
        <w:tc>
          <w:tcPr>
            <w:tcW w:w="277"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4.</w:t>
            </w:r>
          </w:p>
        </w:tc>
        <w:tc>
          <w:tcPr>
            <w:tcW w:w="1702"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rPr>
                <w:color w:val="000000"/>
              </w:rPr>
            </w:pPr>
            <w:r w:rsidRPr="000A0D36">
              <w:rPr>
                <w:color w:val="000000"/>
              </w:rPr>
              <w:t>Projekta izpildes ietekme uz pārvaldes institucionālo struktūru.</w:t>
            </w:r>
          </w:p>
          <w:p w:rsidR="00B03D11" w:rsidRPr="000A0D36" w:rsidRDefault="00B03D11" w:rsidP="00101F22">
            <w:pPr>
              <w:rPr>
                <w:color w:val="000000"/>
              </w:rPr>
            </w:pPr>
            <w:r w:rsidRPr="000A0D36">
              <w:rPr>
                <w:color w:val="000000"/>
              </w:rPr>
              <w:t>Esošu institūciju likvidācija</w:t>
            </w:r>
          </w:p>
        </w:tc>
        <w:tc>
          <w:tcPr>
            <w:tcW w:w="3021"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pPr>
            <w:r w:rsidRPr="000A0D36">
              <w:t>Nav attiecināms.</w:t>
            </w:r>
          </w:p>
        </w:tc>
      </w:tr>
      <w:tr w:rsidR="00B03D11" w:rsidRPr="000A0D36" w:rsidTr="004041F5">
        <w:tc>
          <w:tcPr>
            <w:tcW w:w="277"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5.</w:t>
            </w:r>
          </w:p>
        </w:tc>
        <w:tc>
          <w:tcPr>
            <w:tcW w:w="1702"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rPr>
                <w:color w:val="000000"/>
              </w:rPr>
            </w:pPr>
            <w:r w:rsidRPr="000A0D36">
              <w:rPr>
                <w:color w:val="000000"/>
              </w:rPr>
              <w:t>Projekta izpildes ietekme uz pārvaldes institucionālo struktūru.</w:t>
            </w:r>
          </w:p>
          <w:p w:rsidR="00B03D11" w:rsidRPr="000A0D36" w:rsidRDefault="00B03D11" w:rsidP="00101F22">
            <w:pPr>
              <w:rPr>
                <w:color w:val="000000"/>
              </w:rPr>
            </w:pPr>
            <w:r w:rsidRPr="000A0D36">
              <w:rPr>
                <w:color w:val="000000"/>
              </w:rPr>
              <w:t>Esošu institūciju reorganizācija</w:t>
            </w:r>
          </w:p>
        </w:tc>
        <w:tc>
          <w:tcPr>
            <w:tcW w:w="3021"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jc w:val="both"/>
            </w:pPr>
            <w:r w:rsidRPr="000A0D36">
              <w:t>Nav attiecināms.</w:t>
            </w:r>
          </w:p>
        </w:tc>
      </w:tr>
      <w:tr w:rsidR="00B03D11" w:rsidRPr="000A0D36" w:rsidTr="004041F5">
        <w:tc>
          <w:tcPr>
            <w:tcW w:w="277"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6.</w:t>
            </w:r>
          </w:p>
        </w:tc>
        <w:tc>
          <w:tcPr>
            <w:tcW w:w="1702" w:type="pct"/>
            <w:tcBorders>
              <w:top w:val="outset" w:sz="6" w:space="0" w:color="auto"/>
              <w:left w:val="outset" w:sz="6" w:space="0" w:color="auto"/>
              <w:bottom w:val="outset" w:sz="6" w:space="0" w:color="auto"/>
              <w:right w:val="outset" w:sz="6" w:space="0" w:color="auto"/>
            </w:tcBorders>
          </w:tcPr>
          <w:p w:rsidR="00B03D11" w:rsidRPr="000A0D36" w:rsidRDefault="00B03D11" w:rsidP="00101F22">
            <w:pPr>
              <w:pStyle w:val="NormalWeb"/>
              <w:spacing w:before="0" w:beforeAutospacing="0" w:after="0" w:afterAutospacing="0"/>
            </w:pPr>
            <w:r w:rsidRPr="000A0D36">
              <w:t>Cita informācija</w:t>
            </w:r>
          </w:p>
        </w:tc>
        <w:tc>
          <w:tcPr>
            <w:tcW w:w="3021" w:type="pct"/>
            <w:tcBorders>
              <w:top w:val="outset" w:sz="6" w:space="0" w:color="auto"/>
              <w:left w:val="outset" w:sz="6" w:space="0" w:color="auto"/>
              <w:bottom w:val="outset" w:sz="6" w:space="0" w:color="auto"/>
              <w:right w:val="outset" w:sz="6" w:space="0" w:color="auto"/>
            </w:tcBorders>
          </w:tcPr>
          <w:p w:rsidR="00B03D11" w:rsidRPr="000A0D36" w:rsidRDefault="00B03D11" w:rsidP="00101F22">
            <w:r w:rsidRPr="000A0D36">
              <w:t>Nav</w:t>
            </w:r>
            <w:r>
              <w:t xml:space="preserve"> attiecināms. </w:t>
            </w:r>
          </w:p>
        </w:tc>
      </w:tr>
    </w:tbl>
    <w:p w:rsidR="00B03D11" w:rsidRDefault="00B03D11" w:rsidP="00B03D11">
      <w:pPr>
        <w:ind w:firstLine="720"/>
        <w:jc w:val="both"/>
        <w:rPr>
          <w:sz w:val="28"/>
          <w:szCs w:val="28"/>
        </w:rPr>
      </w:pPr>
    </w:p>
    <w:p w:rsidR="00B03D11" w:rsidRPr="00924502" w:rsidRDefault="00C5732A" w:rsidP="00924502">
      <w:pPr>
        <w:jc w:val="both"/>
        <w:rPr>
          <w:rFonts w:eastAsia="Calibri"/>
        </w:rPr>
      </w:pPr>
      <w:r w:rsidRPr="00C16E58">
        <w:rPr>
          <w:rFonts w:eastAsia="Calibri"/>
        </w:rPr>
        <w:t xml:space="preserve">Anotācijas II, </w:t>
      </w:r>
      <w:r w:rsidR="00A37D04">
        <w:rPr>
          <w:rFonts w:eastAsia="Calibri"/>
        </w:rPr>
        <w:t xml:space="preserve">III, </w:t>
      </w:r>
      <w:r w:rsidRPr="00C16E58">
        <w:rPr>
          <w:rFonts w:eastAsia="Calibri"/>
        </w:rPr>
        <w:t xml:space="preserve">IV, </w:t>
      </w:r>
      <w:r w:rsidR="00924502">
        <w:rPr>
          <w:rFonts w:eastAsia="Calibri"/>
        </w:rPr>
        <w:t>V, VI sadaļa – nav attiecināms.</w:t>
      </w:r>
    </w:p>
    <w:p w:rsidR="004F39F2" w:rsidRDefault="004F39F2" w:rsidP="00E93E80">
      <w:pPr>
        <w:jc w:val="both"/>
        <w:rPr>
          <w:sz w:val="28"/>
          <w:szCs w:val="28"/>
        </w:rPr>
      </w:pPr>
    </w:p>
    <w:p w:rsidR="00B03D11" w:rsidRPr="00873934" w:rsidRDefault="00B03D11" w:rsidP="00B03D11">
      <w:pPr>
        <w:ind w:firstLine="720"/>
        <w:jc w:val="both"/>
        <w:rPr>
          <w:sz w:val="28"/>
          <w:szCs w:val="28"/>
        </w:rPr>
      </w:pPr>
      <w:r>
        <w:rPr>
          <w:sz w:val="28"/>
          <w:szCs w:val="28"/>
        </w:rPr>
        <w:t xml:space="preserve">Finanšu ministrs </w:t>
      </w:r>
      <w:r w:rsidRPr="00873934">
        <w:rPr>
          <w:sz w:val="28"/>
          <w:szCs w:val="28"/>
        </w:rPr>
        <w:tab/>
      </w:r>
      <w:r w:rsidRPr="00873934">
        <w:rPr>
          <w:sz w:val="28"/>
          <w:szCs w:val="28"/>
        </w:rPr>
        <w:tab/>
      </w:r>
      <w:r w:rsidRPr="00873934">
        <w:rPr>
          <w:sz w:val="28"/>
          <w:szCs w:val="28"/>
        </w:rPr>
        <w:tab/>
      </w:r>
      <w:r w:rsidRPr="00873934">
        <w:rPr>
          <w:sz w:val="28"/>
          <w:szCs w:val="28"/>
        </w:rPr>
        <w:tab/>
      </w:r>
      <w:r w:rsidR="00C5732A">
        <w:rPr>
          <w:sz w:val="28"/>
          <w:szCs w:val="28"/>
        </w:rPr>
        <w:tab/>
      </w:r>
      <w:r w:rsidR="00C5732A">
        <w:rPr>
          <w:sz w:val="28"/>
          <w:szCs w:val="28"/>
        </w:rPr>
        <w:tab/>
      </w:r>
      <w:r w:rsidR="00C5732A">
        <w:rPr>
          <w:sz w:val="28"/>
          <w:szCs w:val="28"/>
        </w:rPr>
        <w:tab/>
      </w:r>
      <w:r w:rsidR="00C5732A">
        <w:rPr>
          <w:sz w:val="28"/>
          <w:szCs w:val="28"/>
        </w:rPr>
        <w:tab/>
        <w:t>A.</w:t>
      </w:r>
      <w:r>
        <w:rPr>
          <w:sz w:val="28"/>
          <w:szCs w:val="28"/>
        </w:rPr>
        <w:t>Vilks</w:t>
      </w:r>
    </w:p>
    <w:p w:rsidR="00B03D11" w:rsidRDefault="00B03D11" w:rsidP="00B03D11">
      <w:pPr>
        <w:pStyle w:val="Footer"/>
        <w:rPr>
          <w:szCs w:val="24"/>
        </w:rPr>
      </w:pPr>
    </w:p>
    <w:p w:rsidR="00924502" w:rsidRDefault="00924502" w:rsidP="00B03D11">
      <w:pPr>
        <w:pStyle w:val="Footer"/>
        <w:rPr>
          <w:sz w:val="18"/>
          <w:szCs w:val="18"/>
        </w:rPr>
      </w:pPr>
    </w:p>
    <w:p w:rsidR="00B03D11" w:rsidRDefault="00BB4573" w:rsidP="00B03D11">
      <w:pPr>
        <w:pStyle w:val="Footer"/>
        <w:rPr>
          <w:sz w:val="18"/>
          <w:szCs w:val="18"/>
        </w:rPr>
      </w:pPr>
      <w:r>
        <w:rPr>
          <w:sz w:val="18"/>
          <w:szCs w:val="18"/>
        </w:rPr>
        <w:t>27</w:t>
      </w:r>
      <w:r w:rsidR="00924502">
        <w:rPr>
          <w:sz w:val="18"/>
          <w:szCs w:val="18"/>
        </w:rPr>
        <w:t>.10</w:t>
      </w:r>
      <w:r>
        <w:rPr>
          <w:sz w:val="18"/>
          <w:szCs w:val="18"/>
        </w:rPr>
        <w:t>.2011. 15</w:t>
      </w:r>
      <w:r w:rsidR="00C5732A">
        <w:rPr>
          <w:sz w:val="18"/>
          <w:szCs w:val="18"/>
        </w:rPr>
        <w:t>:30</w:t>
      </w:r>
    </w:p>
    <w:p w:rsidR="00C5732A" w:rsidRPr="00C5732A" w:rsidRDefault="00483659" w:rsidP="00C5732A">
      <w:pPr>
        <w:pStyle w:val="Footer"/>
        <w:rPr>
          <w:sz w:val="18"/>
          <w:szCs w:val="18"/>
        </w:rPr>
      </w:pPr>
      <w:r>
        <w:rPr>
          <w:rStyle w:val="PageNumber"/>
          <w:sz w:val="18"/>
          <w:szCs w:val="18"/>
        </w:rPr>
        <w:t>430</w:t>
      </w:r>
    </w:p>
    <w:p w:rsidR="00924502" w:rsidRDefault="00C5732A" w:rsidP="00E93E80">
      <w:pPr>
        <w:pStyle w:val="BodyText"/>
        <w:jc w:val="both"/>
        <w:rPr>
          <w:sz w:val="20"/>
          <w:szCs w:val="20"/>
        </w:rPr>
      </w:pPr>
      <w:r>
        <w:rPr>
          <w:sz w:val="20"/>
          <w:szCs w:val="20"/>
        </w:rPr>
        <w:t>E.</w:t>
      </w:r>
      <w:r w:rsidRPr="00BC3FCD">
        <w:rPr>
          <w:sz w:val="20"/>
          <w:szCs w:val="20"/>
        </w:rPr>
        <w:t xml:space="preserve">Kobzeva </w:t>
      </w:r>
    </w:p>
    <w:p w:rsidR="00FB6B66" w:rsidRPr="00E93E80" w:rsidRDefault="00C5732A" w:rsidP="00E93E80">
      <w:pPr>
        <w:pStyle w:val="BodyText"/>
        <w:jc w:val="both"/>
        <w:rPr>
          <w:sz w:val="20"/>
          <w:szCs w:val="20"/>
        </w:rPr>
      </w:pPr>
      <w:r>
        <w:rPr>
          <w:sz w:val="20"/>
          <w:szCs w:val="20"/>
        </w:rPr>
        <w:t>6</w:t>
      </w:r>
      <w:r w:rsidRPr="00BC3FCD">
        <w:rPr>
          <w:sz w:val="20"/>
          <w:szCs w:val="20"/>
        </w:rPr>
        <w:t xml:space="preserve">7083885; </w:t>
      </w:r>
      <w:hyperlink r:id="rId8" w:history="1">
        <w:r w:rsidRPr="00BC3FCD">
          <w:rPr>
            <w:rStyle w:val="Hyperlink"/>
            <w:sz w:val="20"/>
            <w:szCs w:val="20"/>
          </w:rPr>
          <w:t>Elina.Kobzeva@fm.gov.lv</w:t>
        </w:r>
      </w:hyperlink>
    </w:p>
    <w:sectPr w:rsidR="00FB6B66" w:rsidRPr="00E93E80" w:rsidSect="004041F5">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24" w:rsidRDefault="00187B24" w:rsidP="00C50023">
      <w:r>
        <w:separator/>
      </w:r>
    </w:p>
  </w:endnote>
  <w:endnote w:type="continuationSeparator" w:id="0">
    <w:p w:rsidR="00187B24" w:rsidRDefault="00187B24" w:rsidP="00C5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24" w:rsidRPr="00BB4573" w:rsidRDefault="00187B24" w:rsidP="00BB4573">
    <w:pPr>
      <w:jc w:val="both"/>
      <w:rPr>
        <w:sz w:val="20"/>
        <w:szCs w:val="20"/>
      </w:rPr>
    </w:pPr>
    <w:r>
      <w:rPr>
        <w:sz w:val="20"/>
        <w:szCs w:val="20"/>
      </w:rPr>
      <w:t>FMAnot_27</w:t>
    </w:r>
    <w:r w:rsidRPr="00924502">
      <w:rPr>
        <w:sz w:val="20"/>
        <w:szCs w:val="20"/>
      </w:rPr>
      <w:t xml:space="preserve">1011; Ministru kabineta rīkojuma projekta „Par </w:t>
    </w:r>
    <w:r>
      <w:rPr>
        <w:sz w:val="20"/>
        <w:szCs w:val="20"/>
      </w:rPr>
      <w:t xml:space="preserve">līdzekļu novirzīšanu </w:t>
    </w:r>
    <w:r w:rsidRPr="00924502">
      <w:rPr>
        <w:sz w:val="20"/>
        <w:szCs w:val="20"/>
      </w:rPr>
      <w:t>parakstu v</w:t>
    </w:r>
    <w:r>
      <w:rPr>
        <w:sz w:val="20"/>
        <w:szCs w:val="20"/>
      </w:rPr>
      <w:t>ākšanai</w:t>
    </w:r>
    <w:r w:rsidRPr="00924502">
      <w:rPr>
        <w:sz w:val="20"/>
        <w:szCs w:val="20"/>
      </w:rPr>
      <w:t xml:space="preserve"> likuma „Grozījumi Latvijas Repu</w:t>
    </w:r>
    <w:r>
      <w:rPr>
        <w:sz w:val="20"/>
        <w:szCs w:val="20"/>
      </w:rPr>
      <w:t>blikas Satversmē” ierosināšanai</w:t>
    </w:r>
    <w:r w:rsidRPr="00924502">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24" w:rsidRPr="00924502" w:rsidRDefault="00187B24" w:rsidP="00101F22">
    <w:pPr>
      <w:jc w:val="both"/>
      <w:rPr>
        <w:sz w:val="20"/>
        <w:szCs w:val="20"/>
      </w:rPr>
    </w:pPr>
    <w:r>
      <w:rPr>
        <w:sz w:val="20"/>
        <w:szCs w:val="20"/>
      </w:rPr>
      <w:t>FMAnot_27</w:t>
    </w:r>
    <w:r w:rsidRPr="00924502">
      <w:rPr>
        <w:sz w:val="20"/>
        <w:szCs w:val="20"/>
      </w:rPr>
      <w:t xml:space="preserve">1011; Ministru kabineta rīkojuma projekta „Par </w:t>
    </w:r>
    <w:r>
      <w:rPr>
        <w:sz w:val="20"/>
        <w:szCs w:val="20"/>
      </w:rPr>
      <w:t xml:space="preserve">līdzekļu novirzīšanu </w:t>
    </w:r>
    <w:r w:rsidRPr="00924502">
      <w:rPr>
        <w:sz w:val="20"/>
        <w:szCs w:val="20"/>
      </w:rPr>
      <w:t>parakstu v</w:t>
    </w:r>
    <w:r>
      <w:rPr>
        <w:sz w:val="20"/>
        <w:szCs w:val="20"/>
      </w:rPr>
      <w:t>ākšanai</w:t>
    </w:r>
    <w:r w:rsidRPr="00924502">
      <w:rPr>
        <w:sz w:val="20"/>
        <w:szCs w:val="20"/>
      </w:rPr>
      <w:t xml:space="preserve"> likuma „Grozījumi Latvijas Repu</w:t>
    </w:r>
    <w:r>
      <w:rPr>
        <w:sz w:val="20"/>
        <w:szCs w:val="20"/>
      </w:rPr>
      <w:t>blikas Satversmē” ierosināšanai</w:t>
    </w:r>
    <w:r w:rsidRPr="00924502">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24" w:rsidRDefault="00187B24" w:rsidP="00C50023">
      <w:r>
        <w:separator/>
      </w:r>
    </w:p>
  </w:footnote>
  <w:footnote w:type="continuationSeparator" w:id="0">
    <w:p w:rsidR="00187B24" w:rsidRDefault="00187B24" w:rsidP="00C50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24" w:rsidRDefault="00187B24" w:rsidP="00101F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B24" w:rsidRDefault="00187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24" w:rsidRDefault="00187B24" w:rsidP="00101F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640E">
      <w:rPr>
        <w:rStyle w:val="PageNumber"/>
        <w:noProof/>
      </w:rPr>
      <w:t>2</w:t>
    </w:r>
    <w:r>
      <w:rPr>
        <w:rStyle w:val="PageNumber"/>
      </w:rPr>
      <w:fldChar w:fldCharType="end"/>
    </w:r>
  </w:p>
  <w:p w:rsidR="00187B24" w:rsidRDefault="00187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7B58"/>
    <w:multiLevelType w:val="hybridMultilevel"/>
    <w:tmpl w:val="562EBCBA"/>
    <w:lvl w:ilvl="0" w:tplc="CA26BDA0">
      <w:start w:val="1"/>
      <w:numFmt w:val="decimal"/>
      <w:lvlText w:val="%1."/>
      <w:lvlJc w:val="left"/>
      <w:pPr>
        <w:tabs>
          <w:tab w:val="num" w:pos="1500"/>
        </w:tabs>
        <w:ind w:left="1500" w:hanging="360"/>
      </w:pPr>
      <w:rPr>
        <w:rFonts w:ascii="Times New Roman" w:eastAsia="Times New Roman" w:hAnsi="Times New Roman" w:cs="Times New Roman"/>
      </w:rPr>
    </w:lvl>
    <w:lvl w:ilvl="1" w:tplc="04260003">
      <w:start w:val="1"/>
      <w:numFmt w:val="bullet"/>
      <w:lvlText w:val="o"/>
      <w:lvlJc w:val="left"/>
      <w:pPr>
        <w:tabs>
          <w:tab w:val="num" w:pos="2220"/>
        </w:tabs>
        <w:ind w:left="2220" w:hanging="360"/>
      </w:pPr>
      <w:rPr>
        <w:rFonts w:ascii="Courier New" w:hAnsi="Courier New" w:cs="Courier New" w:hint="default"/>
      </w:rPr>
    </w:lvl>
    <w:lvl w:ilvl="2" w:tplc="04260005">
      <w:start w:val="1"/>
      <w:numFmt w:val="bullet"/>
      <w:lvlText w:val=""/>
      <w:lvlJc w:val="left"/>
      <w:pPr>
        <w:tabs>
          <w:tab w:val="num" w:pos="2940"/>
        </w:tabs>
        <w:ind w:left="2940" w:hanging="360"/>
      </w:pPr>
      <w:rPr>
        <w:rFonts w:ascii="Wingdings" w:hAnsi="Wingdings" w:hint="default"/>
      </w:rPr>
    </w:lvl>
    <w:lvl w:ilvl="3" w:tplc="04260001">
      <w:start w:val="1"/>
      <w:numFmt w:val="bullet"/>
      <w:lvlText w:val=""/>
      <w:lvlJc w:val="left"/>
      <w:pPr>
        <w:tabs>
          <w:tab w:val="num" w:pos="3660"/>
        </w:tabs>
        <w:ind w:left="3660" w:hanging="360"/>
      </w:pPr>
      <w:rPr>
        <w:rFonts w:ascii="Symbol" w:hAnsi="Symbol" w:hint="default"/>
      </w:rPr>
    </w:lvl>
    <w:lvl w:ilvl="4" w:tplc="04260003">
      <w:start w:val="1"/>
      <w:numFmt w:val="bullet"/>
      <w:lvlText w:val="o"/>
      <w:lvlJc w:val="left"/>
      <w:pPr>
        <w:tabs>
          <w:tab w:val="num" w:pos="4380"/>
        </w:tabs>
        <w:ind w:left="4380" w:hanging="360"/>
      </w:pPr>
      <w:rPr>
        <w:rFonts w:ascii="Courier New" w:hAnsi="Courier New" w:cs="Courier New" w:hint="default"/>
      </w:rPr>
    </w:lvl>
    <w:lvl w:ilvl="5" w:tplc="04260005">
      <w:start w:val="1"/>
      <w:numFmt w:val="bullet"/>
      <w:lvlText w:val=""/>
      <w:lvlJc w:val="left"/>
      <w:pPr>
        <w:tabs>
          <w:tab w:val="num" w:pos="5100"/>
        </w:tabs>
        <w:ind w:left="5100" w:hanging="360"/>
      </w:pPr>
      <w:rPr>
        <w:rFonts w:ascii="Wingdings" w:hAnsi="Wingdings" w:hint="default"/>
      </w:rPr>
    </w:lvl>
    <w:lvl w:ilvl="6" w:tplc="04260001">
      <w:start w:val="1"/>
      <w:numFmt w:val="bullet"/>
      <w:lvlText w:val=""/>
      <w:lvlJc w:val="left"/>
      <w:pPr>
        <w:tabs>
          <w:tab w:val="num" w:pos="5820"/>
        </w:tabs>
        <w:ind w:left="5820" w:hanging="360"/>
      </w:pPr>
      <w:rPr>
        <w:rFonts w:ascii="Symbol" w:hAnsi="Symbol" w:hint="default"/>
      </w:rPr>
    </w:lvl>
    <w:lvl w:ilvl="7" w:tplc="04260003">
      <w:start w:val="1"/>
      <w:numFmt w:val="bullet"/>
      <w:lvlText w:val="o"/>
      <w:lvlJc w:val="left"/>
      <w:pPr>
        <w:tabs>
          <w:tab w:val="num" w:pos="6540"/>
        </w:tabs>
        <w:ind w:left="6540" w:hanging="360"/>
      </w:pPr>
      <w:rPr>
        <w:rFonts w:ascii="Courier New" w:hAnsi="Courier New" w:cs="Courier New" w:hint="default"/>
      </w:rPr>
    </w:lvl>
    <w:lvl w:ilvl="8" w:tplc="04260005">
      <w:start w:val="1"/>
      <w:numFmt w:val="bullet"/>
      <w:lvlText w:val=""/>
      <w:lvlJc w:val="left"/>
      <w:pPr>
        <w:tabs>
          <w:tab w:val="num" w:pos="7260"/>
        </w:tabs>
        <w:ind w:left="7260" w:hanging="360"/>
      </w:pPr>
      <w:rPr>
        <w:rFonts w:ascii="Wingdings" w:hAnsi="Wingdings" w:hint="default"/>
      </w:rPr>
    </w:lvl>
  </w:abstractNum>
  <w:abstractNum w:abstractNumId="1">
    <w:nsid w:val="65F064A3"/>
    <w:multiLevelType w:val="hybridMultilevel"/>
    <w:tmpl w:val="25B4E54C"/>
    <w:lvl w:ilvl="0" w:tplc="0426000F">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11"/>
    <w:rsid w:val="00020F72"/>
    <w:rsid w:val="00101F22"/>
    <w:rsid w:val="00155983"/>
    <w:rsid w:val="00187B24"/>
    <w:rsid w:val="004041F5"/>
    <w:rsid w:val="00483659"/>
    <w:rsid w:val="004F39F2"/>
    <w:rsid w:val="005B2537"/>
    <w:rsid w:val="006F21F2"/>
    <w:rsid w:val="0087640E"/>
    <w:rsid w:val="008F3D97"/>
    <w:rsid w:val="008F7BC6"/>
    <w:rsid w:val="00924502"/>
    <w:rsid w:val="009F6D4E"/>
    <w:rsid w:val="00A37D04"/>
    <w:rsid w:val="00AA0DCA"/>
    <w:rsid w:val="00B03D11"/>
    <w:rsid w:val="00BB4573"/>
    <w:rsid w:val="00BC05EE"/>
    <w:rsid w:val="00C50023"/>
    <w:rsid w:val="00C5732A"/>
    <w:rsid w:val="00E93E80"/>
    <w:rsid w:val="00E97231"/>
    <w:rsid w:val="00FB6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3D11"/>
    <w:pPr>
      <w:spacing w:before="100" w:beforeAutospacing="1" w:after="100" w:afterAutospacing="1"/>
    </w:pPr>
  </w:style>
  <w:style w:type="paragraph" w:customStyle="1" w:styleId="naisf">
    <w:name w:val="naisf"/>
    <w:basedOn w:val="Normal"/>
    <w:rsid w:val="00B03D11"/>
    <w:pPr>
      <w:spacing w:before="75" w:after="75"/>
      <w:ind w:firstLine="375"/>
      <w:jc w:val="both"/>
    </w:pPr>
  </w:style>
  <w:style w:type="paragraph" w:customStyle="1" w:styleId="naisc">
    <w:name w:val="naisc"/>
    <w:basedOn w:val="Normal"/>
    <w:rsid w:val="00B03D11"/>
    <w:pPr>
      <w:spacing w:before="450" w:after="300"/>
      <w:jc w:val="center"/>
    </w:pPr>
    <w:rPr>
      <w:sz w:val="26"/>
      <w:szCs w:val="26"/>
    </w:rPr>
  </w:style>
  <w:style w:type="character" w:styleId="Hyperlink">
    <w:name w:val="Hyperlink"/>
    <w:rsid w:val="00B03D11"/>
    <w:rPr>
      <w:color w:val="0000FF"/>
      <w:u w:val="single"/>
    </w:rPr>
  </w:style>
  <w:style w:type="paragraph" w:styleId="Footer">
    <w:name w:val="footer"/>
    <w:basedOn w:val="Normal"/>
    <w:link w:val="FooterChar"/>
    <w:rsid w:val="00B03D11"/>
    <w:pPr>
      <w:tabs>
        <w:tab w:val="center" w:pos="4153"/>
        <w:tab w:val="right" w:pos="8306"/>
      </w:tabs>
    </w:pPr>
    <w:rPr>
      <w:szCs w:val="20"/>
    </w:rPr>
  </w:style>
  <w:style w:type="character" w:customStyle="1" w:styleId="FooterChar">
    <w:name w:val="Footer Char"/>
    <w:basedOn w:val="DefaultParagraphFont"/>
    <w:link w:val="Footer"/>
    <w:rsid w:val="00B03D11"/>
    <w:rPr>
      <w:rFonts w:ascii="Times New Roman" w:eastAsia="Times New Roman" w:hAnsi="Times New Roman" w:cs="Times New Roman"/>
      <w:sz w:val="24"/>
      <w:szCs w:val="20"/>
      <w:lang w:eastAsia="lv-LV"/>
    </w:rPr>
  </w:style>
  <w:style w:type="paragraph" w:styleId="Header">
    <w:name w:val="header"/>
    <w:basedOn w:val="Normal"/>
    <w:link w:val="HeaderChar"/>
    <w:rsid w:val="00B03D11"/>
    <w:pPr>
      <w:tabs>
        <w:tab w:val="center" w:pos="4153"/>
        <w:tab w:val="right" w:pos="8306"/>
      </w:tabs>
    </w:pPr>
  </w:style>
  <w:style w:type="character" w:customStyle="1" w:styleId="HeaderChar">
    <w:name w:val="Header Char"/>
    <w:basedOn w:val="DefaultParagraphFont"/>
    <w:link w:val="Header"/>
    <w:rsid w:val="00B03D11"/>
    <w:rPr>
      <w:rFonts w:ascii="Times New Roman" w:eastAsia="Times New Roman" w:hAnsi="Times New Roman" w:cs="Times New Roman"/>
      <w:sz w:val="24"/>
      <w:szCs w:val="24"/>
      <w:lang w:eastAsia="lv-LV"/>
    </w:rPr>
  </w:style>
  <w:style w:type="character" w:styleId="PageNumber">
    <w:name w:val="page number"/>
    <w:basedOn w:val="DefaultParagraphFont"/>
    <w:rsid w:val="00B03D11"/>
  </w:style>
  <w:style w:type="paragraph" w:customStyle="1" w:styleId="RakstzRakstzCharCharChar">
    <w:name w:val="Rakstz. Rakstz. Char Char Char"/>
    <w:basedOn w:val="Normal"/>
    <w:next w:val="BlockText"/>
    <w:rsid w:val="00BC05EE"/>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BC05E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istParagraph">
    <w:name w:val="List Paragraph"/>
    <w:basedOn w:val="Normal"/>
    <w:uiPriority w:val="34"/>
    <w:qFormat/>
    <w:rsid w:val="005B2537"/>
    <w:pPr>
      <w:ind w:left="720"/>
      <w:contextualSpacing/>
    </w:pPr>
  </w:style>
  <w:style w:type="paragraph" w:styleId="BodyText">
    <w:name w:val="Body Text"/>
    <w:basedOn w:val="Normal"/>
    <w:link w:val="BodyTextChar"/>
    <w:rsid w:val="00C5732A"/>
    <w:pPr>
      <w:jc w:val="center"/>
    </w:pPr>
    <w:rPr>
      <w:sz w:val="28"/>
      <w:lang w:eastAsia="en-US"/>
    </w:rPr>
  </w:style>
  <w:style w:type="character" w:customStyle="1" w:styleId="BodyTextChar">
    <w:name w:val="Body Text Char"/>
    <w:basedOn w:val="DefaultParagraphFont"/>
    <w:link w:val="BodyText"/>
    <w:rsid w:val="00C5732A"/>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3D11"/>
    <w:pPr>
      <w:spacing w:before="100" w:beforeAutospacing="1" w:after="100" w:afterAutospacing="1"/>
    </w:pPr>
  </w:style>
  <w:style w:type="paragraph" w:customStyle="1" w:styleId="naisf">
    <w:name w:val="naisf"/>
    <w:basedOn w:val="Normal"/>
    <w:rsid w:val="00B03D11"/>
    <w:pPr>
      <w:spacing w:before="75" w:after="75"/>
      <w:ind w:firstLine="375"/>
      <w:jc w:val="both"/>
    </w:pPr>
  </w:style>
  <w:style w:type="paragraph" w:customStyle="1" w:styleId="naisc">
    <w:name w:val="naisc"/>
    <w:basedOn w:val="Normal"/>
    <w:rsid w:val="00B03D11"/>
    <w:pPr>
      <w:spacing w:before="450" w:after="300"/>
      <w:jc w:val="center"/>
    </w:pPr>
    <w:rPr>
      <w:sz w:val="26"/>
      <w:szCs w:val="26"/>
    </w:rPr>
  </w:style>
  <w:style w:type="character" w:styleId="Hyperlink">
    <w:name w:val="Hyperlink"/>
    <w:rsid w:val="00B03D11"/>
    <w:rPr>
      <w:color w:val="0000FF"/>
      <w:u w:val="single"/>
    </w:rPr>
  </w:style>
  <w:style w:type="paragraph" w:styleId="Footer">
    <w:name w:val="footer"/>
    <w:basedOn w:val="Normal"/>
    <w:link w:val="FooterChar"/>
    <w:rsid w:val="00B03D11"/>
    <w:pPr>
      <w:tabs>
        <w:tab w:val="center" w:pos="4153"/>
        <w:tab w:val="right" w:pos="8306"/>
      </w:tabs>
    </w:pPr>
    <w:rPr>
      <w:szCs w:val="20"/>
    </w:rPr>
  </w:style>
  <w:style w:type="character" w:customStyle="1" w:styleId="FooterChar">
    <w:name w:val="Footer Char"/>
    <w:basedOn w:val="DefaultParagraphFont"/>
    <w:link w:val="Footer"/>
    <w:rsid w:val="00B03D11"/>
    <w:rPr>
      <w:rFonts w:ascii="Times New Roman" w:eastAsia="Times New Roman" w:hAnsi="Times New Roman" w:cs="Times New Roman"/>
      <w:sz w:val="24"/>
      <w:szCs w:val="20"/>
      <w:lang w:eastAsia="lv-LV"/>
    </w:rPr>
  </w:style>
  <w:style w:type="paragraph" w:styleId="Header">
    <w:name w:val="header"/>
    <w:basedOn w:val="Normal"/>
    <w:link w:val="HeaderChar"/>
    <w:rsid w:val="00B03D11"/>
    <w:pPr>
      <w:tabs>
        <w:tab w:val="center" w:pos="4153"/>
        <w:tab w:val="right" w:pos="8306"/>
      </w:tabs>
    </w:pPr>
  </w:style>
  <w:style w:type="character" w:customStyle="1" w:styleId="HeaderChar">
    <w:name w:val="Header Char"/>
    <w:basedOn w:val="DefaultParagraphFont"/>
    <w:link w:val="Header"/>
    <w:rsid w:val="00B03D11"/>
    <w:rPr>
      <w:rFonts w:ascii="Times New Roman" w:eastAsia="Times New Roman" w:hAnsi="Times New Roman" w:cs="Times New Roman"/>
      <w:sz w:val="24"/>
      <w:szCs w:val="24"/>
      <w:lang w:eastAsia="lv-LV"/>
    </w:rPr>
  </w:style>
  <w:style w:type="character" w:styleId="PageNumber">
    <w:name w:val="page number"/>
    <w:basedOn w:val="DefaultParagraphFont"/>
    <w:rsid w:val="00B03D11"/>
  </w:style>
  <w:style w:type="paragraph" w:customStyle="1" w:styleId="RakstzRakstzCharCharChar">
    <w:name w:val="Rakstz. Rakstz. Char Char Char"/>
    <w:basedOn w:val="Normal"/>
    <w:next w:val="BlockText"/>
    <w:rsid w:val="00BC05EE"/>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BC05E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istParagraph">
    <w:name w:val="List Paragraph"/>
    <w:basedOn w:val="Normal"/>
    <w:uiPriority w:val="34"/>
    <w:qFormat/>
    <w:rsid w:val="005B2537"/>
    <w:pPr>
      <w:ind w:left="720"/>
      <w:contextualSpacing/>
    </w:pPr>
  </w:style>
  <w:style w:type="paragraph" w:styleId="BodyText">
    <w:name w:val="Body Text"/>
    <w:basedOn w:val="Normal"/>
    <w:link w:val="BodyTextChar"/>
    <w:rsid w:val="00C5732A"/>
    <w:pPr>
      <w:jc w:val="center"/>
    </w:pPr>
    <w:rPr>
      <w:sz w:val="28"/>
      <w:lang w:eastAsia="en-US"/>
    </w:rPr>
  </w:style>
  <w:style w:type="character" w:customStyle="1" w:styleId="BodyTextChar">
    <w:name w:val="Body Text Char"/>
    <w:basedOn w:val="DefaultParagraphFont"/>
    <w:link w:val="BodyText"/>
    <w:rsid w:val="00C5732A"/>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Kobzeva@f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2401</Words>
  <Characters>1370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rīkojuma projekta„Par parakstu vākšanu likuma „Grozījumi Latvijas Republikas Satversmē” ierosināšanai” sākotnējās ietekmes novērtējuma ziņojums (anotācija)</vt:lpstr>
    </vt:vector>
  </TitlesOfParts>
  <Company>Finanšu ministrija</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parakstu vākšanu likuma „Grozījumi Latvijas Republikas Satversmē” ierosināšanai” sākotnējās ietekmes novērtējuma ziņojums (anotācija)</dc:title>
  <dc:subject/>
  <dc:creator>E.Kobzeva</dc:creator>
  <cp:keywords/>
  <dc:description>Elina.Kobzeva@fm.gov.lv
67083885</dc:description>
  <cp:lastModifiedBy>E.Kobzeva</cp:lastModifiedBy>
  <cp:revision>8</cp:revision>
  <cp:lastPrinted>2011-10-27T12:37:00Z</cp:lastPrinted>
  <dcterms:created xsi:type="dcterms:W3CDTF">2011-04-27T08:12:00Z</dcterms:created>
  <dcterms:modified xsi:type="dcterms:W3CDTF">2011-10-27T12:38:00Z</dcterms:modified>
</cp:coreProperties>
</file>