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31570" w14:textId="77777777" w:rsidR="00F06FE2" w:rsidRPr="004468E0" w:rsidRDefault="00F06FE2" w:rsidP="00F06FE2">
      <w:pPr>
        <w:pStyle w:val="BodyText"/>
        <w:rPr>
          <w:b/>
          <w:sz w:val="26"/>
          <w:szCs w:val="26"/>
        </w:rPr>
      </w:pPr>
      <w:bookmarkStart w:id="0" w:name="OLE_LINK1"/>
      <w:bookmarkStart w:id="1" w:name="OLE_LINK2"/>
      <w:bookmarkStart w:id="2" w:name="OLE_LINK6"/>
      <w:bookmarkStart w:id="3" w:name="OLE_LINK7"/>
      <w:r w:rsidRPr="004468E0">
        <w:rPr>
          <w:b/>
          <w:sz w:val="26"/>
          <w:szCs w:val="26"/>
        </w:rPr>
        <w:t xml:space="preserve">Likumprojekta </w:t>
      </w:r>
      <w:r w:rsidRPr="004468E0">
        <w:rPr>
          <w:b/>
          <w:bCs/>
          <w:sz w:val="26"/>
          <w:szCs w:val="26"/>
        </w:rPr>
        <w:t>"</w:t>
      </w:r>
      <w:r w:rsidRPr="004468E0">
        <w:rPr>
          <w:b/>
          <w:sz w:val="26"/>
          <w:szCs w:val="26"/>
        </w:rPr>
        <w:t xml:space="preserve">Grozījumi </w:t>
      </w:r>
      <w:bookmarkStart w:id="4" w:name="OLE_LINK3"/>
      <w:bookmarkStart w:id="5" w:name="OLE_LINK4"/>
      <w:r w:rsidRPr="004468E0">
        <w:rPr>
          <w:b/>
          <w:sz w:val="26"/>
          <w:szCs w:val="26"/>
        </w:rPr>
        <w:t>likumā "Par nodokļiem un nodevām"</w:t>
      </w:r>
      <w:bookmarkEnd w:id="4"/>
      <w:bookmarkEnd w:id="5"/>
      <w:r w:rsidRPr="004468E0">
        <w:rPr>
          <w:b/>
          <w:sz w:val="26"/>
          <w:szCs w:val="26"/>
        </w:rPr>
        <w:t>"</w:t>
      </w:r>
      <w:bookmarkEnd w:id="0"/>
      <w:bookmarkEnd w:id="1"/>
      <w:r w:rsidRPr="004468E0">
        <w:rPr>
          <w:b/>
          <w:sz w:val="26"/>
          <w:szCs w:val="26"/>
        </w:rPr>
        <w:t xml:space="preserve"> sākotnējās ietekmes novērtējuma ziņojums (anotācija</w:t>
      </w:r>
      <w:bookmarkEnd w:id="2"/>
      <w:bookmarkEnd w:id="3"/>
      <w:r w:rsidRPr="004468E0">
        <w:rPr>
          <w:b/>
          <w:sz w:val="26"/>
          <w:szCs w:val="26"/>
        </w:rPr>
        <w:t>)</w:t>
      </w:r>
    </w:p>
    <w:p w14:paraId="558A3FA1" w14:textId="77777777" w:rsidR="00F06FE2" w:rsidRPr="004468E0" w:rsidRDefault="00F06FE2" w:rsidP="00F06FE2">
      <w:pPr>
        <w:pStyle w:val="BodyText"/>
        <w:rPr>
          <w:color w:val="000000"/>
          <w:sz w:val="26"/>
          <w:szCs w:val="26"/>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356"/>
      </w:tblGrid>
      <w:tr w:rsidR="00F06FE2" w:rsidRPr="004468E0" w14:paraId="31A9BA8E" w14:textId="77777777" w:rsidTr="002A69C0">
        <w:trPr>
          <w:trHeight w:val="564"/>
          <w:tblCellSpacing w:w="0" w:type="dxa"/>
        </w:trPr>
        <w:tc>
          <w:tcPr>
            <w:tcW w:w="8781" w:type="dxa"/>
            <w:gridSpan w:val="3"/>
            <w:tcBorders>
              <w:top w:val="outset" w:sz="6" w:space="0" w:color="auto"/>
              <w:left w:val="outset" w:sz="6" w:space="0" w:color="auto"/>
              <w:bottom w:val="outset" w:sz="6" w:space="0" w:color="auto"/>
              <w:right w:val="outset" w:sz="6" w:space="0" w:color="auto"/>
            </w:tcBorders>
            <w:vAlign w:val="center"/>
          </w:tcPr>
          <w:p w14:paraId="33B7EA71" w14:textId="77777777" w:rsidR="00F06FE2" w:rsidRPr="004468E0" w:rsidRDefault="00F06FE2" w:rsidP="00BD4854">
            <w:pPr>
              <w:pStyle w:val="naisc"/>
              <w:jc w:val="center"/>
              <w:rPr>
                <w:sz w:val="26"/>
                <w:szCs w:val="26"/>
              </w:rPr>
            </w:pPr>
            <w:r w:rsidRPr="004468E0">
              <w:rPr>
                <w:bCs/>
                <w:sz w:val="26"/>
                <w:szCs w:val="26"/>
              </w:rPr>
              <w:t>I. Tiesību akta projekta izstrādes nepieciešamība</w:t>
            </w:r>
          </w:p>
        </w:tc>
      </w:tr>
      <w:tr w:rsidR="00F06FE2" w:rsidRPr="004468E0" w14:paraId="061D4867" w14:textId="77777777" w:rsidTr="002A69C0">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14:paraId="5766BAB1" w14:textId="77777777" w:rsidR="00F06FE2" w:rsidRPr="004468E0" w:rsidRDefault="00F06FE2" w:rsidP="00BD4854">
            <w:pPr>
              <w:pStyle w:val="naiskr"/>
              <w:jc w:val="both"/>
              <w:rPr>
                <w:sz w:val="26"/>
                <w:szCs w:val="26"/>
              </w:rPr>
            </w:pPr>
            <w:r w:rsidRPr="004468E0">
              <w:rPr>
                <w:sz w:val="26"/>
                <w:szCs w:val="26"/>
              </w:rPr>
              <w:t> 1.</w:t>
            </w:r>
          </w:p>
        </w:tc>
        <w:tc>
          <w:tcPr>
            <w:tcW w:w="1897" w:type="dxa"/>
            <w:tcBorders>
              <w:top w:val="outset" w:sz="6" w:space="0" w:color="auto"/>
              <w:left w:val="outset" w:sz="6" w:space="0" w:color="auto"/>
              <w:bottom w:val="outset" w:sz="6" w:space="0" w:color="auto"/>
              <w:right w:val="outset" w:sz="6" w:space="0" w:color="auto"/>
            </w:tcBorders>
          </w:tcPr>
          <w:p w14:paraId="1B1501BA" w14:textId="77777777" w:rsidR="00F06FE2" w:rsidRPr="004468E0" w:rsidRDefault="00F06FE2" w:rsidP="00BD4854">
            <w:pPr>
              <w:pStyle w:val="naislab"/>
              <w:jc w:val="both"/>
              <w:rPr>
                <w:sz w:val="26"/>
                <w:szCs w:val="26"/>
              </w:rPr>
            </w:pPr>
            <w:r w:rsidRPr="004468E0">
              <w:rPr>
                <w:sz w:val="26"/>
                <w:szCs w:val="26"/>
              </w:rPr>
              <w:t>Pamatojums</w:t>
            </w:r>
          </w:p>
        </w:tc>
        <w:tc>
          <w:tcPr>
            <w:tcW w:w="6356" w:type="dxa"/>
            <w:tcBorders>
              <w:top w:val="outset" w:sz="6" w:space="0" w:color="auto"/>
              <w:left w:val="outset" w:sz="6" w:space="0" w:color="auto"/>
              <w:bottom w:val="outset" w:sz="6" w:space="0" w:color="auto"/>
              <w:right w:val="outset" w:sz="6" w:space="0" w:color="auto"/>
            </w:tcBorders>
          </w:tcPr>
          <w:p w14:paraId="0FF005DA" w14:textId="63537F20" w:rsidR="00F06FE2" w:rsidRPr="004468E0" w:rsidRDefault="00F06FE2" w:rsidP="002D4DD5">
            <w:pPr>
              <w:jc w:val="both"/>
              <w:rPr>
                <w:bCs/>
                <w:sz w:val="26"/>
                <w:szCs w:val="26"/>
                <w:lang w:val="lv-LV"/>
              </w:rPr>
            </w:pPr>
            <w:r w:rsidRPr="004468E0">
              <w:rPr>
                <w:sz w:val="26"/>
                <w:szCs w:val="26"/>
                <w:lang w:val="lv-LV"/>
              </w:rPr>
              <w:t xml:space="preserve">Likumprojekts sagatavots, izpildot Ministru kabineta 2013.gada </w:t>
            </w:r>
            <w:r w:rsidR="00316778" w:rsidRPr="004468E0">
              <w:rPr>
                <w:sz w:val="26"/>
                <w:szCs w:val="26"/>
                <w:lang w:val="lv-LV"/>
              </w:rPr>
              <w:t>27</w:t>
            </w:r>
            <w:r w:rsidR="002A69C0" w:rsidRPr="004468E0">
              <w:rPr>
                <w:sz w:val="26"/>
                <w:szCs w:val="26"/>
                <w:lang w:val="lv-LV"/>
              </w:rPr>
              <w:t xml:space="preserve">.augusta </w:t>
            </w:r>
            <w:r w:rsidR="00B72183" w:rsidRPr="004468E0">
              <w:rPr>
                <w:sz w:val="26"/>
                <w:szCs w:val="26"/>
                <w:lang w:val="lv-LV"/>
              </w:rPr>
              <w:t xml:space="preserve">sēdes </w:t>
            </w:r>
            <w:r w:rsidR="002D4DD5" w:rsidRPr="004468E0">
              <w:rPr>
                <w:sz w:val="26"/>
                <w:szCs w:val="26"/>
                <w:lang w:val="lv-LV"/>
              </w:rPr>
              <w:t xml:space="preserve">protokola Nr.46 100 § 2.1.3.apakšpunktu, kurā dots uzdevums </w:t>
            </w:r>
            <w:r w:rsidR="002D4DD5" w:rsidRPr="004468E0">
              <w:rPr>
                <w:rStyle w:val="spelle"/>
                <w:sz w:val="26"/>
                <w:szCs w:val="26"/>
                <w:lang w:val="lv-LV"/>
              </w:rPr>
              <w:t>Finanšu ministrijai sagatavot un finanšu ministram</w:t>
            </w:r>
            <w:r w:rsidR="002D4DD5" w:rsidRPr="004468E0">
              <w:rPr>
                <w:sz w:val="26"/>
                <w:szCs w:val="26"/>
                <w:lang w:val="lv-LV"/>
              </w:rPr>
              <w:t xml:space="preserve"> iesniegt </w:t>
            </w:r>
            <w:r w:rsidR="002D4DD5" w:rsidRPr="004468E0">
              <w:rPr>
                <w:rStyle w:val="spelle"/>
                <w:sz w:val="26"/>
                <w:szCs w:val="26"/>
                <w:lang w:val="lv-LV"/>
              </w:rPr>
              <w:t>iekļaušanai 2014.gada budžeta likumprojektu paketē grozījumus normatīvajos aktos, ar ko tiktu ieviesta nodokļu nodrošinājuma piemērošanas iespēja arī attiecībā uz pievienotās vērtības nodokli nodokļu maksātājiem, kas ir saņēmuši speciālo atļauju (licenci) apstiprināta noliktavas turētāja darbībai ar naftas produktiem, reģistrēta saņēmēja darbībai ar naftas produktiem vai reģistrēta nosūtītāja darbībai ar naftas produktiem.</w:t>
            </w:r>
          </w:p>
        </w:tc>
      </w:tr>
      <w:tr w:rsidR="00F06FE2" w:rsidRPr="004468E0" w14:paraId="00401325" w14:textId="77777777" w:rsidTr="002A69C0">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14:paraId="2C6F407B" w14:textId="77777777" w:rsidR="00F06FE2" w:rsidRPr="004468E0" w:rsidRDefault="00F06FE2" w:rsidP="00BD4854">
            <w:pPr>
              <w:pStyle w:val="naiskr"/>
              <w:jc w:val="both"/>
              <w:rPr>
                <w:sz w:val="26"/>
                <w:szCs w:val="26"/>
              </w:rPr>
            </w:pPr>
            <w:r w:rsidRPr="004468E0">
              <w:rPr>
                <w:sz w:val="26"/>
                <w:szCs w:val="26"/>
              </w:rPr>
              <w:t> 2.</w:t>
            </w:r>
          </w:p>
        </w:tc>
        <w:tc>
          <w:tcPr>
            <w:tcW w:w="1897" w:type="dxa"/>
            <w:tcBorders>
              <w:top w:val="outset" w:sz="6" w:space="0" w:color="auto"/>
              <w:left w:val="outset" w:sz="6" w:space="0" w:color="auto"/>
              <w:bottom w:val="outset" w:sz="6" w:space="0" w:color="auto"/>
              <w:right w:val="outset" w:sz="6" w:space="0" w:color="auto"/>
            </w:tcBorders>
          </w:tcPr>
          <w:p w14:paraId="430976D7" w14:textId="77777777" w:rsidR="00F06FE2" w:rsidRPr="004468E0" w:rsidRDefault="00F06FE2" w:rsidP="00BD4854">
            <w:pPr>
              <w:pStyle w:val="naiskr"/>
              <w:jc w:val="both"/>
              <w:rPr>
                <w:sz w:val="26"/>
                <w:szCs w:val="26"/>
              </w:rPr>
            </w:pPr>
            <w:r w:rsidRPr="004468E0">
              <w:rPr>
                <w:sz w:val="26"/>
                <w:szCs w:val="26"/>
              </w:rPr>
              <w:t>Pašreizējā situācija un problēmas</w:t>
            </w:r>
          </w:p>
          <w:p w14:paraId="5D20ECDF" w14:textId="77777777" w:rsidR="00F06FE2" w:rsidRPr="004468E0" w:rsidRDefault="00F06FE2" w:rsidP="00BD4854">
            <w:pPr>
              <w:ind w:firstLine="720"/>
              <w:rPr>
                <w:sz w:val="26"/>
                <w:szCs w:val="26"/>
                <w:lang w:val="lv-LV" w:eastAsia="lv-LV"/>
              </w:rPr>
            </w:pPr>
          </w:p>
        </w:tc>
        <w:tc>
          <w:tcPr>
            <w:tcW w:w="6356" w:type="dxa"/>
            <w:tcBorders>
              <w:top w:val="outset" w:sz="6" w:space="0" w:color="auto"/>
              <w:left w:val="outset" w:sz="6" w:space="0" w:color="auto"/>
              <w:bottom w:val="outset" w:sz="6" w:space="0" w:color="auto"/>
              <w:right w:val="outset" w:sz="6" w:space="0" w:color="auto"/>
            </w:tcBorders>
          </w:tcPr>
          <w:p w14:paraId="532C0DE3" w14:textId="77777777" w:rsidR="00D065CB" w:rsidRPr="004468E0" w:rsidRDefault="00D065CB" w:rsidP="00470E0B">
            <w:pPr>
              <w:jc w:val="both"/>
              <w:rPr>
                <w:bCs/>
                <w:color w:val="000000"/>
                <w:sz w:val="26"/>
                <w:szCs w:val="26"/>
                <w:lang w:val="lv-LV"/>
              </w:rPr>
            </w:pPr>
            <w:r w:rsidRPr="004468E0">
              <w:rPr>
                <w:bCs/>
                <w:sz w:val="26"/>
                <w:szCs w:val="26"/>
                <w:lang w:val="lv-LV"/>
              </w:rPr>
              <w:t xml:space="preserve">Šobrīd </w:t>
            </w:r>
            <w:r w:rsidRPr="004468E0">
              <w:rPr>
                <w:bCs/>
                <w:color w:val="000000"/>
                <w:sz w:val="26"/>
                <w:szCs w:val="26"/>
                <w:lang w:val="lv-LV"/>
              </w:rPr>
              <w:t xml:space="preserve">saskaņā ar akcīzes nodokli regulējošajiem normatīvajiem aktiem </w:t>
            </w:r>
            <w:r w:rsidR="00817B62" w:rsidRPr="004468E0">
              <w:rPr>
                <w:bCs/>
                <w:color w:val="000000"/>
                <w:sz w:val="26"/>
                <w:szCs w:val="26"/>
                <w:lang w:val="lv-LV"/>
              </w:rPr>
              <w:t xml:space="preserve">nodokļu maksātājam, </w:t>
            </w:r>
            <w:r w:rsidR="009155D9" w:rsidRPr="004468E0">
              <w:rPr>
                <w:bCs/>
                <w:color w:val="000000"/>
                <w:sz w:val="26"/>
                <w:szCs w:val="26"/>
                <w:lang w:val="lv-LV"/>
              </w:rPr>
              <w:t xml:space="preserve">kas </w:t>
            </w:r>
            <w:r w:rsidR="009155D9" w:rsidRPr="004468E0">
              <w:rPr>
                <w:sz w:val="26"/>
                <w:szCs w:val="26"/>
                <w:lang w:val="lv-LV"/>
              </w:rPr>
              <w:t>paredzējis veikt darbības ar naftas produktiem, piemērojot atlikto</w:t>
            </w:r>
            <w:r w:rsidR="00CF180C" w:rsidRPr="004468E0">
              <w:rPr>
                <w:sz w:val="26"/>
                <w:szCs w:val="26"/>
                <w:lang w:val="lv-LV"/>
              </w:rPr>
              <w:t xml:space="preserve"> akcīzes</w:t>
            </w:r>
            <w:r w:rsidR="009155D9" w:rsidRPr="004468E0">
              <w:rPr>
                <w:sz w:val="26"/>
                <w:szCs w:val="26"/>
                <w:lang w:val="lv-LV"/>
              </w:rPr>
              <w:t xml:space="preserve"> nodokļa maksāšanu</w:t>
            </w:r>
            <w:r w:rsidR="00FB201F" w:rsidRPr="004468E0">
              <w:rPr>
                <w:sz w:val="26"/>
                <w:szCs w:val="26"/>
                <w:lang w:val="lv-LV"/>
              </w:rPr>
              <w:t>,</w:t>
            </w:r>
            <w:r w:rsidR="009155D9" w:rsidRPr="004468E0">
              <w:rPr>
                <w:sz w:val="26"/>
                <w:szCs w:val="26"/>
                <w:lang w:val="lv-LV"/>
              </w:rPr>
              <w:t xml:space="preserve"> ir jāuzņemas atbildība par iespējamā nodokļa parāda samaksu</w:t>
            </w:r>
            <w:r w:rsidR="00FB201F" w:rsidRPr="004468E0">
              <w:rPr>
                <w:sz w:val="26"/>
                <w:szCs w:val="26"/>
                <w:lang w:val="lv-LV"/>
              </w:rPr>
              <w:t>,</w:t>
            </w:r>
            <w:r w:rsidRPr="004468E0">
              <w:rPr>
                <w:bCs/>
                <w:color w:val="000000"/>
                <w:sz w:val="26"/>
                <w:szCs w:val="26"/>
                <w:lang w:val="lv-LV"/>
              </w:rPr>
              <w:t xml:space="preserve"> </w:t>
            </w:r>
            <w:r w:rsidR="009155D9" w:rsidRPr="004468E0">
              <w:rPr>
                <w:bCs/>
                <w:color w:val="000000"/>
                <w:sz w:val="26"/>
                <w:szCs w:val="26"/>
                <w:lang w:val="lv-LV"/>
              </w:rPr>
              <w:t xml:space="preserve">iesniedzot Valsts ieņēmumu dienestam nodrošinājumu. Tādējādi </w:t>
            </w:r>
            <w:r w:rsidRPr="004468E0">
              <w:rPr>
                <w:bCs/>
                <w:color w:val="000000"/>
                <w:sz w:val="26"/>
                <w:szCs w:val="26"/>
                <w:lang w:val="lv-LV"/>
              </w:rPr>
              <w:t>gadījumos, kad tiek konstatēti pārkāpumi atliktā akc</w:t>
            </w:r>
            <w:r w:rsidR="00817B62" w:rsidRPr="004468E0">
              <w:rPr>
                <w:bCs/>
                <w:color w:val="000000"/>
                <w:sz w:val="26"/>
                <w:szCs w:val="26"/>
                <w:lang w:val="lv-LV"/>
              </w:rPr>
              <w:t xml:space="preserve">īzes nodokļa </w:t>
            </w:r>
            <w:r w:rsidR="00CF180C" w:rsidRPr="004468E0">
              <w:rPr>
                <w:bCs/>
                <w:color w:val="000000"/>
                <w:sz w:val="26"/>
                <w:szCs w:val="26"/>
                <w:lang w:val="lv-LV"/>
              </w:rPr>
              <w:t xml:space="preserve">maksāšanas </w:t>
            </w:r>
            <w:r w:rsidR="00817B62" w:rsidRPr="004468E0">
              <w:rPr>
                <w:bCs/>
                <w:color w:val="000000"/>
                <w:sz w:val="26"/>
                <w:szCs w:val="26"/>
                <w:lang w:val="lv-LV"/>
              </w:rPr>
              <w:t>piemērošanā</w:t>
            </w:r>
            <w:r w:rsidR="00FB201F" w:rsidRPr="004468E0">
              <w:rPr>
                <w:bCs/>
                <w:color w:val="000000"/>
                <w:sz w:val="26"/>
                <w:szCs w:val="26"/>
                <w:lang w:val="lv-LV"/>
              </w:rPr>
              <w:t>,</w:t>
            </w:r>
            <w:r w:rsidRPr="004468E0">
              <w:rPr>
                <w:bCs/>
                <w:color w:val="000000"/>
                <w:sz w:val="26"/>
                <w:szCs w:val="26"/>
                <w:lang w:val="lv-LV"/>
              </w:rPr>
              <w:t xml:space="preserve"> un nodokļu maksātājam ir uzrēķināts ak</w:t>
            </w:r>
            <w:r w:rsidR="00817B62" w:rsidRPr="004468E0">
              <w:rPr>
                <w:bCs/>
                <w:color w:val="000000"/>
                <w:sz w:val="26"/>
                <w:szCs w:val="26"/>
                <w:lang w:val="lv-LV"/>
              </w:rPr>
              <w:t>cīzes nodoklis,</w:t>
            </w:r>
            <w:r w:rsidRPr="004468E0">
              <w:rPr>
                <w:bCs/>
                <w:color w:val="000000"/>
                <w:sz w:val="26"/>
                <w:szCs w:val="26"/>
                <w:lang w:val="lv-LV"/>
              </w:rPr>
              <w:t xml:space="preserve"> ir iespēja</w:t>
            </w:r>
            <w:r w:rsidR="00817B62" w:rsidRPr="004468E0">
              <w:rPr>
                <w:bCs/>
                <w:color w:val="000000"/>
                <w:sz w:val="26"/>
                <w:szCs w:val="26"/>
                <w:lang w:val="lv-LV"/>
              </w:rPr>
              <w:t xml:space="preserve"> pieprasīt, lai</w:t>
            </w:r>
            <w:r w:rsidRPr="004468E0">
              <w:rPr>
                <w:bCs/>
                <w:color w:val="000000"/>
                <w:sz w:val="26"/>
                <w:szCs w:val="26"/>
                <w:lang w:val="lv-LV"/>
              </w:rPr>
              <w:t xml:space="preserve"> akcīzes nodokļa </w:t>
            </w:r>
            <w:r w:rsidR="00817B62" w:rsidRPr="004468E0">
              <w:rPr>
                <w:bCs/>
                <w:color w:val="000000"/>
                <w:sz w:val="26"/>
                <w:szCs w:val="26"/>
                <w:lang w:val="lv-LV"/>
              </w:rPr>
              <w:t>parādu</w:t>
            </w:r>
            <w:r w:rsidR="009155D9" w:rsidRPr="004468E0">
              <w:rPr>
                <w:bCs/>
                <w:color w:val="000000"/>
                <w:sz w:val="26"/>
                <w:szCs w:val="26"/>
                <w:lang w:val="lv-LV"/>
              </w:rPr>
              <w:t>, ja pats nodokļu maksātājs to nesamaksā,</w:t>
            </w:r>
            <w:r w:rsidR="00817B62" w:rsidRPr="004468E0">
              <w:rPr>
                <w:bCs/>
                <w:color w:val="000000"/>
                <w:sz w:val="26"/>
                <w:szCs w:val="26"/>
                <w:lang w:val="lv-LV"/>
              </w:rPr>
              <w:t xml:space="preserve"> sedz nodrošinātājs</w:t>
            </w:r>
            <w:r w:rsidR="009155D9" w:rsidRPr="004468E0">
              <w:rPr>
                <w:bCs/>
                <w:color w:val="000000"/>
                <w:sz w:val="26"/>
                <w:szCs w:val="26"/>
                <w:lang w:val="lv-LV"/>
              </w:rPr>
              <w:t>.</w:t>
            </w:r>
            <w:r w:rsidRPr="004468E0">
              <w:rPr>
                <w:bCs/>
                <w:color w:val="000000"/>
                <w:sz w:val="26"/>
                <w:szCs w:val="26"/>
                <w:lang w:val="lv-LV"/>
              </w:rPr>
              <w:t xml:space="preserve"> </w:t>
            </w:r>
            <w:r w:rsidR="00FB201F" w:rsidRPr="004468E0">
              <w:rPr>
                <w:bCs/>
                <w:color w:val="000000"/>
                <w:sz w:val="26"/>
                <w:szCs w:val="26"/>
                <w:lang w:val="lv-LV"/>
              </w:rPr>
              <w:t>Minētajos</w:t>
            </w:r>
            <w:r w:rsidR="009155D9" w:rsidRPr="004468E0">
              <w:rPr>
                <w:bCs/>
                <w:color w:val="000000"/>
                <w:sz w:val="26"/>
                <w:szCs w:val="26"/>
                <w:lang w:val="lv-LV"/>
              </w:rPr>
              <w:t xml:space="preserve"> gadījumos nodokļu maksātājam var tikt uzrēķināts arī pievienotās vērtības nodoklis, ko gadījumos, kad nodokļu maksātājs neveic tā samaksu, nav iespējams pieprasīt segt nodrošinātājam, jo normatīvie akti paredz iespēju </w:t>
            </w:r>
            <w:r w:rsidR="009A5830" w:rsidRPr="004468E0">
              <w:rPr>
                <w:bCs/>
                <w:color w:val="000000"/>
                <w:sz w:val="26"/>
                <w:szCs w:val="26"/>
                <w:lang w:val="lv-LV"/>
              </w:rPr>
              <w:t>prasīt no nodokļu maksātāja nodrošinājumu tikai iespējam</w:t>
            </w:r>
            <w:r w:rsidR="00FB201F" w:rsidRPr="004468E0">
              <w:rPr>
                <w:bCs/>
                <w:color w:val="000000"/>
                <w:sz w:val="26"/>
                <w:szCs w:val="26"/>
                <w:lang w:val="lv-LV"/>
              </w:rPr>
              <w:t>ā</w:t>
            </w:r>
            <w:r w:rsidR="009A5830" w:rsidRPr="004468E0">
              <w:rPr>
                <w:bCs/>
                <w:color w:val="000000"/>
                <w:sz w:val="26"/>
                <w:szCs w:val="26"/>
                <w:lang w:val="lv-LV"/>
              </w:rPr>
              <w:t xml:space="preserve"> akcīzes nodokļa parād</w:t>
            </w:r>
            <w:r w:rsidR="00FB201F" w:rsidRPr="004468E0">
              <w:rPr>
                <w:bCs/>
                <w:color w:val="000000"/>
                <w:sz w:val="26"/>
                <w:szCs w:val="26"/>
                <w:lang w:val="lv-LV"/>
              </w:rPr>
              <w:t>a nomaksu</w:t>
            </w:r>
            <w:r w:rsidR="009A5830" w:rsidRPr="004468E0">
              <w:rPr>
                <w:bCs/>
                <w:color w:val="000000"/>
                <w:sz w:val="26"/>
                <w:szCs w:val="26"/>
                <w:lang w:val="lv-LV"/>
              </w:rPr>
              <w:t>.</w:t>
            </w:r>
          </w:p>
          <w:p w14:paraId="32DA0A38" w14:textId="73AD7299" w:rsidR="009C67E2" w:rsidRPr="004468E0" w:rsidRDefault="009C67E2" w:rsidP="00470E0B">
            <w:pPr>
              <w:jc w:val="both"/>
              <w:rPr>
                <w:color w:val="000000" w:themeColor="text1"/>
                <w:sz w:val="26"/>
                <w:szCs w:val="26"/>
                <w:lang w:val="lv-LV"/>
              </w:rPr>
            </w:pPr>
            <w:r w:rsidRPr="004468E0">
              <w:rPr>
                <w:color w:val="000000" w:themeColor="text1"/>
                <w:sz w:val="26"/>
                <w:szCs w:val="26"/>
                <w:lang w:val="lv-LV"/>
              </w:rPr>
              <w:t>2012. un 2013.gada 7 mēnešos Valsts ieņēmumu dienests, veicot nodokļu auditus naftas akcīzes nodokļa maksātājiem, papildus nomaksai budžetā 43 nodokļu maksātājiem ir aprēķinājis maksājumus budžetā  Ls 22,66 milj. apmērā, no tā pievienotās vērtības nodokli 24 nodokļu maksātājiem  Ls 7,90 milj. apmērā.</w:t>
            </w:r>
          </w:p>
          <w:p w14:paraId="78842303" w14:textId="40F96289" w:rsidR="00F06FE2" w:rsidRPr="004468E0" w:rsidRDefault="009C67E2" w:rsidP="009E4A77">
            <w:pPr>
              <w:jc w:val="both"/>
              <w:rPr>
                <w:color w:val="000000" w:themeColor="text1"/>
                <w:sz w:val="26"/>
                <w:szCs w:val="26"/>
                <w:lang w:val="lv-LV" w:eastAsia="lv-LV"/>
              </w:rPr>
            </w:pPr>
            <w:r w:rsidRPr="004468E0">
              <w:rPr>
                <w:color w:val="000000" w:themeColor="text1"/>
                <w:sz w:val="26"/>
                <w:szCs w:val="26"/>
                <w:lang w:val="lv-LV"/>
              </w:rPr>
              <w:t>Uz 2013.gada 1.augustu  pievienotās vērtības nodokļa</w:t>
            </w:r>
            <w:r w:rsidRPr="004468E0" w:rsidDel="009E4A77">
              <w:rPr>
                <w:color w:val="000000" w:themeColor="text1"/>
                <w:sz w:val="26"/>
                <w:szCs w:val="26"/>
                <w:lang w:val="lv-LV"/>
              </w:rPr>
              <w:t xml:space="preserve"> </w:t>
            </w:r>
            <w:r w:rsidRPr="004468E0">
              <w:rPr>
                <w:color w:val="000000" w:themeColor="text1"/>
                <w:sz w:val="26"/>
                <w:szCs w:val="26"/>
                <w:lang w:val="lv-LV"/>
              </w:rPr>
              <w:t xml:space="preserve"> parāds bija 45 naftas akcīzes nodokļa maksātājiem Ls 7,47 milj. apmērā, no tā piedziņu nav iespējams vērst pret Ls  5,10 milj. Bez tam  piedziņu nebūs iespējams vērst arī pret šobrīd vēl apstrīdēšanas procesā esošajos nodokļu audita lēmumos papildus aprēķinātajām summām, gadījumā,  ja tie paliks spēkā, Ls 4,3 milj</w:t>
            </w:r>
            <w:r w:rsidR="004468E0" w:rsidRPr="004468E0">
              <w:rPr>
                <w:color w:val="000000" w:themeColor="text1"/>
                <w:sz w:val="26"/>
                <w:szCs w:val="26"/>
                <w:lang w:val="lv-LV"/>
              </w:rPr>
              <w:t>.</w:t>
            </w:r>
            <w:r w:rsidRPr="004468E0">
              <w:rPr>
                <w:color w:val="000000" w:themeColor="text1"/>
                <w:sz w:val="26"/>
                <w:szCs w:val="26"/>
                <w:lang w:val="lv-LV"/>
              </w:rPr>
              <w:t xml:space="preserve"> apmērā. </w:t>
            </w:r>
            <w:r w:rsidRPr="004468E0">
              <w:rPr>
                <w:color w:val="000000" w:themeColor="text1"/>
                <w:sz w:val="26"/>
                <w:szCs w:val="26"/>
                <w:lang w:val="lv-LV" w:eastAsia="lv-LV"/>
              </w:rPr>
              <w:t xml:space="preserve">  Kopā nepiedzenamais nodokļa parāda apjoms ir vismaz Ls  9,4 milj.</w:t>
            </w:r>
          </w:p>
        </w:tc>
      </w:tr>
      <w:tr w:rsidR="00F06FE2" w:rsidRPr="004468E0" w14:paraId="2537957C" w14:textId="77777777" w:rsidTr="002A69C0">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14:paraId="352B1908" w14:textId="77777777" w:rsidR="00F06FE2" w:rsidRPr="004468E0" w:rsidRDefault="00F06FE2" w:rsidP="00BD4854">
            <w:pPr>
              <w:pStyle w:val="naiskr"/>
              <w:jc w:val="both"/>
              <w:rPr>
                <w:sz w:val="26"/>
                <w:szCs w:val="26"/>
              </w:rPr>
            </w:pPr>
            <w:r w:rsidRPr="004468E0">
              <w:rPr>
                <w:sz w:val="26"/>
                <w:szCs w:val="26"/>
              </w:rPr>
              <w:lastRenderedPageBreak/>
              <w:t> 3.</w:t>
            </w:r>
          </w:p>
        </w:tc>
        <w:tc>
          <w:tcPr>
            <w:tcW w:w="1897" w:type="dxa"/>
            <w:tcBorders>
              <w:top w:val="outset" w:sz="6" w:space="0" w:color="auto"/>
              <w:left w:val="outset" w:sz="6" w:space="0" w:color="auto"/>
              <w:bottom w:val="outset" w:sz="6" w:space="0" w:color="auto"/>
              <w:right w:val="outset" w:sz="6" w:space="0" w:color="auto"/>
            </w:tcBorders>
          </w:tcPr>
          <w:p w14:paraId="516C104A" w14:textId="77777777" w:rsidR="00F06FE2" w:rsidRPr="004468E0" w:rsidRDefault="00F06FE2" w:rsidP="00BD4854">
            <w:pPr>
              <w:pStyle w:val="naiskr"/>
              <w:jc w:val="both"/>
              <w:rPr>
                <w:sz w:val="26"/>
                <w:szCs w:val="26"/>
              </w:rPr>
            </w:pPr>
            <w:r w:rsidRPr="004468E0">
              <w:rPr>
                <w:sz w:val="26"/>
                <w:szCs w:val="26"/>
              </w:rPr>
              <w:t>Saistītie politikas ietekmes novērtējumi un pētījumi</w:t>
            </w:r>
          </w:p>
        </w:tc>
        <w:tc>
          <w:tcPr>
            <w:tcW w:w="6356" w:type="dxa"/>
            <w:tcBorders>
              <w:top w:val="outset" w:sz="6" w:space="0" w:color="auto"/>
              <w:left w:val="outset" w:sz="6" w:space="0" w:color="auto"/>
              <w:bottom w:val="outset" w:sz="6" w:space="0" w:color="auto"/>
              <w:right w:val="outset" w:sz="6" w:space="0" w:color="auto"/>
            </w:tcBorders>
          </w:tcPr>
          <w:p w14:paraId="39B9BA94" w14:textId="77777777" w:rsidR="00F06FE2" w:rsidRPr="004468E0" w:rsidRDefault="00F06FE2" w:rsidP="00470E0B">
            <w:pPr>
              <w:pStyle w:val="naiskr"/>
              <w:jc w:val="both"/>
              <w:rPr>
                <w:sz w:val="26"/>
                <w:szCs w:val="26"/>
              </w:rPr>
            </w:pPr>
            <w:r w:rsidRPr="004468E0">
              <w:rPr>
                <w:sz w:val="26"/>
                <w:szCs w:val="26"/>
              </w:rPr>
              <w:t> Nav attiecināms.</w:t>
            </w:r>
          </w:p>
        </w:tc>
      </w:tr>
      <w:tr w:rsidR="00F06FE2" w:rsidRPr="004468E0" w14:paraId="4EC85291" w14:textId="77777777" w:rsidTr="002A69C0">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14:paraId="606E8817" w14:textId="77777777" w:rsidR="00F06FE2" w:rsidRPr="004468E0" w:rsidRDefault="00F06FE2" w:rsidP="00BD4854">
            <w:pPr>
              <w:pStyle w:val="naiskr"/>
              <w:jc w:val="both"/>
              <w:rPr>
                <w:sz w:val="26"/>
                <w:szCs w:val="26"/>
              </w:rPr>
            </w:pPr>
            <w:r w:rsidRPr="004468E0">
              <w:rPr>
                <w:sz w:val="26"/>
                <w:szCs w:val="26"/>
              </w:rPr>
              <w:t> 4.</w:t>
            </w:r>
          </w:p>
        </w:tc>
        <w:tc>
          <w:tcPr>
            <w:tcW w:w="1897" w:type="dxa"/>
            <w:tcBorders>
              <w:top w:val="outset" w:sz="6" w:space="0" w:color="auto"/>
              <w:left w:val="outset" w:sz="6" w:space="0" w:color="auto"/>
              <w:bottom w:val="outset" w:sz="6" w:space="0" w:color="auto"/>
              <w:right w:val="outset" w:sz="6" w:space="0" w:color="auto"/>
            </w:tcBorders>
          </w:tcPr>
          <w:p w14:paraId="0B67D697" w14:textId="77777777" w:rsidR="00F06FE2" w:rsidRPr="004468E0" w:rsidRDefault="00F06FE2" w:rsidP="00BD4854">
            <w:pPr>
              <w:pStyle w:val="naiskr"/>
              <w:jc w:val="both"/>
              <w:rPr>
                <w:sz w:val="26"/>
                <w:szCs w:val="26"/>
              </w:rPr>
            </w:pPr>
            <w:r w:rsidRPr="004468E0">
              <w:rPr>
                <w:sz w:val="26"/>
                <w:szCs w:val="26"/>
              </w:rPr>
              <w:t>Tiesiskā regulējuma mērķis un būtība</w:t>
            </w:r>
          </w:p>
        </w:tc>
        <w:tc>
          <w:tcPr>
            <w:tcW w:w="6356" w:type="dxa"/>
            <w:tcBorders>
              <w:top w:val="outset" w:sz="6" w:space="0" w:color="auto"/>
              <w:left w:val="outset" w:sz="6" w:space="0" w:color="auto"/>
              <w:bottom w:val="outset" w:sz="6" w:space="0" w:color="auto"/>
              <w:right w:val="outset" w:sz="6" w:space="0" w:color="auto"/>
            </w:tcBorders>
          </w:tcPr>
          <w:p w14:paraId="29A0187A" w14:textId="67D44661" w:rsidR="00F06FE2" w:rsidRPr="004468E0" w:rsidRDefault="00F06FE2" w:rsidP="00470E0B">
            <w:pPr>
              <w:jc w:val="both"/>
              <w:rPr>
                <w:color w:val="FF0000"/>
                <w:sz w:val="26"/>
                <w:szCs w:val="26"/>
                <w:lang w:val="lv-LV"/>
              </w:rPr>
            </w:pPr>
            <w:r w:rsidRPr="004468E0">
              <w:rPr>
                <w:sz w:val="26"/>
                <w:szCs w:val="26"/>
                <w:lang w:val="lv-LV"/>
              </w:rPr>
              <w:t xml:space="preserve">Likumprojekta mērķis ir paaugstināt nodokļu kontroles un administrēšanas efektivitāti, lai novērstu </w:t>
            </w:r>
            <w:r w:rsidR="00B00C81" w:rsidRPr="004468E0">
              <w:rPr>
                <w:sz w:val="26"/>
                <w:szCs w:val="26"/>
                <w:lang w:val="lv-LV"/>
              </w:rPr>
              <w:t>pievienotās vērtības nodokļa</w:t>
            </w:r>
            <w:r w:rsidR="005D3C1F" w:rsidRPr="004468E0">
              <w:rPr>
                <w:sz w:val="26"/>
                <w:szCs w:val="26"/>
                <w:lang w:val="lv-LV"/>
              </w:rPr>
              <w:t xml:space="preserve"> nemaksāšanas riskus</w:t>
            </w:r>
            <w:r w:rsidRPr="004468E0">
              <w:rPr>
                <w:sz w:val="26"/>
                <w:szCs w:val="26"/>
                <w:lang w:val="lv-LV"/>
              </w:rPr>
              <w:t>.</w:t>
            </w:r>
            <w:r w:rsidR="00F56C24" w:rsidRPr="004468E0">
              <w:rPr>
                <w:sz w:val="26"/>
                <w:szCs w:val="26"/>
                <w:lang w:val="lv-LV"/>
              </w:rPr>
              <w:t xml:space="preserve"> </w:t>
            </w:r>
          </w:p>
          <w:p w14:paraId="7DD7CDF1" w14:textId="77777777" w:rsidR="009A5830" w:rsidRPr="004468E0" w:rsidRDefault="00F24E3B" w:rsidP="009A5830">
            <w:pPr>
              <w:jc w:val="both"/>
              <w:rPr>
                <w:sz w:val="26"/>
                <w:szCs w:val="26"/>
                <w:lang w:val="lv-LV"/>
              </w:rPr>
            </w:pPr>
            <w:r w:rsidRPr="004468E0">
              <w:rPr>
                <w:sz w:val="26"/>
                <w:szCs w:val="26"/>
                <w:lang w:val="lv-LV"/>
              </w:rPr>
              <w:t>Likumprojekta 1.pantā l</w:t>
            </w:r>
            <w:r w:rsidR="002709B7" w:rsidRPr="004468E0">
              <w:rPr>
                <w:sz w:val="26"/>
                <w:szCs w:val="26"/>
                <w:lang w:val="lv-LV"/>
              </w:rPr>
              <w:t xml:space="preserve">ikums tiek papildināts ar jaunu </w:t>
            </w:r>
            <w:r w:rsidR="009A5830" w:rsidRPr="004468E0">
              <w:rPr>
                <w:bCs/>
                <w:sz w:val="26"/>
                <w:szCs w:val="26"/>
                <w:lang w:val="lv-LV"/>
              </w:rPr>
              <w:t>2</w:t>
            </w:r>
            <w:r w:rsidR="002709B7" w:rsidRPr="004468E0">
              <w:rPr>
                <w:bCs/>
                <w:sz w:val="26"/>
                <w:szCs w:val="26"/>
                <w:lang w:val="lv-LV"/>
              </w:rPr>
              <w:t>6</w:t>
            </w:r>
            <w:r w:rsidR="009A5830" w:rsidRPr="004468E0">
              <w:rPr>
                <w:bCs/>
                <w:sz w:val="26"/>
                <w:szCs w:val="26"/>
                <w:lang w:val="lv-LV"/>
              </w:rPr>
              <w:t>.</w:t>
            </w:r>
            <w:r w:rsidR="002709B7" w:rsidRPr="004468E0">
              <w:rPr>
                <w:bCs/>
                <w:sz w:val="26"/>
                <w:szCs w:val="26"/>
                <w:vertAlign w:val="superscript"/>
                <w:lang w:val="lv-LV"/>
              </w:rPr>
              <w:t>2</w:t>
            </w:r>
            <w:r w:rsidR="009A5830" w:rsidRPr="004468E0">
              <w:rPr>
                <w:bCs/>
                <w:sz w:val="26"/>
                <w:szCs w:val="26"/>
                <w:lang w:val="lv-LV"/>
              </w:rPr>
              <w:t>pantu</w:t>
            </w:r>
            <w:r w:rsidR="002709B7" w:rsidRPr="004468E0">
              <w:rPr>
                <w:bCs/>
                <w:sz w:val="26"/>
                <w:szCs w:val="26"/>
                <w:lang w:val="lv-LV"/>
              </w:rPr>
              <w:t>.</w:t>
            </w:r>
            <w:r w:rsidR="009A5830" w:rsidRPr="004468E0">
              <w:rPr>
                <w:bCs/>
                <w:sz w:val="26"/>
                <w:szCs w:val="26"/>
                <w:lang w:val="lv-LV"/>
              </w:rPr>
              <w:t xml:space="preserve"> </w:t>
            </w:r>
            <w:r w:rsidR="002709B7" w:rsidRPr="004468E0">
              <w:rPr>
                <w:bCs/>
                <w:sz w:val="26"/>
                <w:szCs w:val="26"/>
                <w:lang w:val="lv-LV"/>
              </w:rPr>
              <w:t xml:space="preserve">Ar šo pantu </w:t>
            </w:r>
            <w:r w:rsidR="009A5830" w:rsidRPr="004468E0">
              <w:rPr>
                <w:bCs/>
                <w:sz w:val="26"/>
                <w:szCs w:val="26"/>
                <w:lang w:val="lv-LV"/>
              </w:rPr>
              <w:t xml:space="preserve">tiek ieviests jauns nodrošinājuma veids par </w:t>
            </w:r>
            <w:r w:rsidR="009A5830" w:rsidRPr="004468E0">
              <w:rPr>
                <w:sz w:val="26"/>
                <w:szCs w:val="26"/>
                <w:lang w:val="lv-LV"/>
              </w:rPr>
              <w:t>iespējamo pievienotās vērtības nodokļa parāda samaksu</w:t>
            </w:r>
            <w:r w:rsidR="002709B7" w:rsidRPr="004468E0">
              <w:rPr>
                <w:sz w:val="26"/>
                <w:szCs w:val="26"/>
                <w:lang w:val="lv-LV"/>
              </w:rPr>
              <w:t xml:space="preserve"> darījumos ar naftas produktiem</w:t>
            </w:r>
            <w:r w:rsidR="00E65D86" w:rsidRPr="004468E0">
              <w:rPr>
                <w:sz w:val="26"/>
                <w:szCs w:val="26"/>
                <w:lang w:val="lv-LV"/>
              </w:rPr>
              <w:t xml:space="preserve"> (turpmāk – Nodrošinājums)</w:t>
            </w:r>
            <w:r w:rsidR="009A5830" w:rsidRPr="004468E0">
              <w:rPr>
                <w:sz w:val="26"/>
                <w:szCs w:val="26"/>
                <w:lang w:val="lv-LV"/>
              </w:rPr>
              <w:t>.</w:t>
            </w:r>
            <w:r w:rsidR="00FD6DB7" w:rsidRPr="004468E0">
              <w:rPr>
                <w:sz w:val="26"/>
                <w:szCs w:val="26"/>
                <w:lang w:val="lv-LV"/>
              </w:rPr>
              <w:t xml:space="preserve"> </w:t>
            </w:r>
            <w:r w:rsidR="00E65D86" w:rsidRPr="004468E0">
              <w:rPr>
                <w:sz w:val="26"/>
                <w:szCs w:val="26"/>
                <w:lang w:val="lv-LV"/>
              </w:rPr>
              <w:t>N</w:t>
            </w:r>
            <w:r w:rsidR="009A5830" w:rsidRPr="004468E0">
              <w:rPr>
                <w:sz w:val="26"/>
                <w:szCs w:val="26"/>
                <w:lang w:val="lv-LV"/>
              </w:rPr>
              <w:t>odrošinājumu Valsts ieņēmumu dienest</w:t>
            </w:r>
            <w:r w:rsidR="002709B7" w:rsidRPr="004468E0">
              <w:rPr>
                <w:sz w:val="26"/>
                <w:szCs w:val="26"/>
                <w:lang w:val="lv-LV"/>
              </w:rPr>
              <w:t>ā iesniegs</w:t>
            </w:r>
            <w:r w:rsidR="009A5830" w:rsidRPr="004468E0">
              <w:rPr>
                <w:sz w:val="26"/>
                <w:szCs w:val="26"/>
                <w:lang w:val="lv-LV"/>
              </w:rPr>
              <w:t xml:space="preserve"> nodokļu maksātājs</w:t>
            </w:r>
            <w:r w:rsidR="000F26EF" w:rsidRPr="004468E0">
              <w:rPr>
                <w:sz w:val="26"/>
                <w:szCs w:val="26"/>
                <w:lang w:val="lv-LV"/>
              </w:rPr>
              <w:t xml:space="preserve">, </w:t>
            </w:r>
            <w:r w:rsidR="009A5830" w:rsidRPr="004468E0">
              <w:rPr>
                <w:sz w:val="26"/>
                <w:szCs w:val="26"/>
                <w:lang w:val="lv-LV"/>
              </w:rPr>
              <w:t>kas saņēmis speciālo atļauju (licenci) apstiprināta noliktavas turētāja darbībai ar naftas produktiem, reģistrēta saņēmēja darbībai ar naftas produktiem vai reģistrēta nosūtītāja darbībai ar naftas produktiem, un ir reģistrēts pievienotās vērtības nodokļa maksātājs saskaņā ar pievienotās vērtības nodokļa jomu reglamentējošo normatīvo aktu prasībām, uzņemoties atbildību par iespējamā pievienotās vērtības nodokļa parāda samaksu attiecībā uz naftas produktiem, kam saskaņā ar likumu „Par</w:t>
            </w:r>
            <w:r w:rsidR="00CF180C" w:rsidRPr="004468E0">
              <w:rPr>
                <w:sz w:val="26"/>
                <w:szCs w:val="26"/>
                <w:lang w:val="lv-LV"/>
              </w:rPr>
              <w:t xml:space="preserve"> akcīzes nodokli” tiek piemērota atliktā</w:t>
            </w:r>
            <w:r w:rsidR="009A5830" w:rsidRPr="004468E0">
              <w:rPr>
                <w:sz w:val="26"/>
                <w:szCs w:val="26"/>
                <w:lang w:val="lv-LV"/>
              </w:rPr>
              <w:t xml:space="preserve"> akcīzes nodokļ</w:t>
            </w:r>
            <w:r w:rsidR="00CF180C" w:rsidRPr="004468E0">
              <w:rPr>
                <w:sz w:val="26"/>
                <w:szCs w:val="26"/>
                <w:lang w:val="lv-LV"/>
              </w:rPr>
              <w:t>a maksāšana</w:t>
            </w:r>
            <w:r w:rsidR="009A5830" w:rsidRPr="004468E0">
              <w:rPr>
                <w:sz w:val="26"/>
                <w:szCs w:val="26"/>
                <w:lang w:val="lv-LV"/>
              </w:rPr>
              <w:t>.</w:t>
            </w:r>
            <w:r w:rsidR="00B00C81" w:rsidRPr="004468E0">
              <w:rPr>
                <w:sz w:val="26"/>
                <w:szCs w:val="26"/>
                <w:lang w:val="lv-LV"/>
              </w:rPr>
              <w:t xml:space="preserve"> Tādējādi tiek risināta šīs a</w:t>
            </w:r>
            <w:r w:rsidR="000F26EF" w:rsidRPr="004468E0">
              <w:rPr>
                <w:sz w:val="26"/>
                <w:szCs w:val="26"/>
                <w:lang w:val="lv-LV"/>
              </w:rPr>
              <w:t xml:space="preserve">notācijas </w:t>
            </w:r>
            <w:r w:rsidR="00CF180C" w:rsidRPr="004468E0">
              <w:rPr>
                <w:sz w:val="26"/>
                <w:szCs w:val="26"/>
                <w:lang w:val="lv-LV"/>
              </w:rPr>
              <w:t xml:space="preserve">I sadaļas </w:t>
            </w:r>
            <w:r w:rsidR="000F26EF" w:rsidRPr="004468E0">
              <w:rPr>
                <w:sz w:val="26"/>
                <w:szCs w:val="26"/>
                <w:lang w:val="lv-LV"/>
              </w:rPr>
              <w:t xml:space="preserve">2.punktā minētā problēma, ka nodokļu administrācijai nav tiesību nodrošinātājam </w:t>
            </w:r>
            <w:r w:rsidR="00B00C81" w:rsidRPr="004468E0">
              <w:rPr>
                <w:sz w:val="26"/>
                <w:szCs w:val="26"/>
                <w:lang w:val="lv-LV"/>
              </w:rPr>
              <w:t>vienlaikus</w:t>
            </w:r>
            <w:r w:rsidR="000F26EF" w:rsidRPr="004468E0">
              <w:rPr>
                <w:sz w:val="26"/>
                <w:szCs w:val="26"/>
                <w:lang w:val="lv-LV"/>
              </w:rPr>
              <w:t xml:space="preserve"> ar akcīzes nodokļa parādu pieprasīt samaksāt arī radušos pievienotās vērtības nodokļa parādu vai šo parādu segt no nodokļu maksātāja iemaksātās drošības naudas.</w:t>
            </w:r>
          </w:p>
          <w:p w14:paraId="47289BE2" w14:textId="2A484C8D" w:rsidR="002B48A4" w:rsidRPr="004468E0" w:rsidRDefault="000F26EF" w:rsidP="00F24E3B">
            <w:pPr>
              <w:jc w:val="both"/>
              <w:rPr>
                <w:sz w:val="26"/>
                <w:szCs w:val="26"/>
                <w:lang w:val="lv-LV"/>
              </w:rPr>
            </w:pPr>
            <w:r w:rsidRPr="004468E0">
              <w:rPr>
                <w:sz w:val="26"/>
                <w:szCs w:val="26"/>
                <w:lang w:val="lv-LV"/>
              </w:rPr>
              <w:t>Šajā gadījumā, tāpat kā attiecībā uz akcīzes nodokļa parāda nodrošinājumu, kā nodrošinājums ir izmantojam</w:t>
            </w:r>
            <w:r w:rsidR="005D3C1F" w:rsidRPr="004468E0">
              <w:rPr>
                <w:sz w:val="26"/>
                <w:szCs w:val="26"/>
                <w:lang w:val="lv-LV"/>
              </w:rPr>
              <w:t>a:</w:t>
            </w:r>
            <w:r w:rsidRPr="004468E0">
              <w:rPr>
                <w:sz w:val="26"/>
                <w:szCs w:val="26"/>
                <w:lang w:val="lv-LV"/>
              </w:rPr>
              <w:t xml:space="preserve"> drošības nauda, saistību izpildes apdrošināšanas polise vai kredītiestādes galvojums.</w:t>
            </w:r>
            <w:r w:rsidR="00CC5574" w:rsidRPr="004468E0">
              <w:rPr>
                <w:sz w:val="26"/>
                <w:szCs w:val="26"/>
                <w:lang w:val="lv-LV"/>
              </w:rPr>
              <w:t xml:space="preserve"> </w:t>
            </w:r>
            <w:r w:rsidR="00551107" w:rsidRPr="004468E0">
              <w:rPr>
                <w:sz w:val="26"/>
                <w:szCs w:val="26"/>
                <w:lang w:val="lv-LV"/>
              </w:rPr>
              <w:t>Nodrošinājums tiek dots uz 12 mēne</w:t>
            </w:r>
            <w:r w:rsidR="002709B7" w:rsidRPr="004468E0">
              <w:rPr>
                <w:sz w:val="26"/>
                <w:szCs w:val="26"/>
                <w:lang w:val="lv-LV"/>
              </w:rPr>
              <w:t>šiem</w:t>
            </w:r>
            <w:r w:rsidR="00F24E3B" w:rsidRPr="004468E0">
              <w:rPr>
                <w:sz w:val="26"/>
                <w:szCs w:val="26"/>
                <w:lang w:val="lv-LV"/>
              </w:rPr>
              <w:t xml:space="preserve"> 1 miljona</w:t>
            </w:r>
            <w:r w:rsidR="00551107" w:rsidRPr="004468E0">
              <w:rPr>
                <w:sz w:val="26"/>
                <w:szCs w:val="26"/>
                <w:lang w:val="lv-LV"/>
              </w:rPr>
              <w:t xml:space="preserve"> </w:t>
            </w:r>
            <w:proofErr w:type="spellStart"/>
            <w:r w:rsidR="00551107" w:rsidRPr="004468E0">
              <w:rPr>
                <w:sz w:val="26"/>
                <w:szCs w:val="26"/>
                <w:lang w:val="lv-LV"/>
              </w:rPr>
              <w:t>euro</w:t>
            </w:r>
            <w:proofErr w:type="spellEnd"/>
            <w:r w:rsidR="002709B7" w:rsidRPr="004468E0">
              <w:rPr>
                <w:sz w:val="26"/>
                <w:szCs w:val="26"/>
                <w:lang w:val="lv-LV"/>
              </w:rPr>
              <w:t xml:space="preserve"> apmērā</w:t>
            </w:r>
            <w:r w:rsidR="00551107" w:rsidRPr="004468E0">
              <w:rPr>
                <w:sz w:val="26"/>
                <w:szCs w:val="26"/>
                <w:lang w:val="lv-LV"/>
              </w:rPr>
              <w:t>. Summa ir noteikta kā fiksēts lielums, nevis atkarībā no konkrētā nodokļu maksātāja naftas produktu, kam tiek piemērots atliktais akcīzes nodokļa maksājums,  apgrozījuma, lai personai, kuras mērķis ir ļaunprātīga nodokļu nemaksāšana, nebūtu iespējas</w:t>
            </w:r>
            <w:r w:rsidR="00F24E3B" w:rsidRPr="004468E0">
              <w:rPr>
                <w:sz w:val="26"/>
                <w:szCs w:val="26"/>
                <w:lang w:val="lv-LV"/>
              </w:rPr>
              <w:t>,</w:t>
            </w:r>
            <w:r w:rsidR="00551107" w:rsidRPr="004468E0">
              <w:rPr>
                <w:sz w:val="26"/>
                <w:szCs w:val="26"/>
                <w:lang w:val="lv-LV"/>
              </w:rPr>
              <w:t xml:space="preserve"> mākslīgi manipulējot ar </w:t>
            </w:r>
            <w:r w:rsidR="00E65D86" w:rsidRPr="004468E0">
              <w:rPr>
                <w:sz w:val="26"/>
                <w:szCs w:val="26"/>
                <w:lang w:val="lv-LV"/>
              </w:rPr>
              <w:t>šo preču apgrozījuma apjomiem, N</w:t>
            </w:r>
            <w:r w:rsidR="00551107" w:rsidRPr="004468E0">
              <w:rPr>
                <w:sz w:val="26"/>
                <w:szCs w:val="26"/>
                <w:lang w:val="lv-LV"/>
              </w:rPr>
              <w:t xml:space="preserve">odrošinājumu iesniegt par mazāku summu nekā </w:t>
            </w:r>
            <w:r w:rsidR="00B00C81" w:rsidRPr="004468E0">
              <w:rPr>
                <w:sz w:val="26"/>
                <w:szCs w:val="26"/>
                <w:lang w:val="lv-LV"/>
              </w:rPr>
              <w:t xml:space="preserve">ir </w:t>
            </w:r>
            <w:r w:rsidR="00E745D9" w:rsidRPr="004468E0">
              <w:rPr>
                <w:sz w:val="26"/>
                <w:szCs w:val="26"/>
                <w:lang w:val="lv-LV"/>
              </w:rPr>
              <w:t>patiesībā paredzamie preču piegāžu apjomi.</w:t>
            </w:r>
            <w:r w:rsidR="0046583B" w:rsidRPr="004468E0">
              <w:rPr>
                <w:sz w:val="26"/>
                <w:szCs w:val="26"/>
                <w:lang w:val="lv-LV"/>
              </w:rPr>
              <w:t xml:space="preserve"> </w:t>
            </w:r>
            <w:r w:rsidR="00282510" w:rsidRPr="004468E0">
              <w:rPr>
                <w:sz w:val="26"/>
                <w:szCs w:val="26"/>
                <w:lang w:val="lv-LV"/>
              </w:rPr>
              <w:t xml:space="preserve">Ja nodokļu maksātājs </w:t>
            </w:r>
            <w:r w:rsidR="00E65D86" w:rsidRPr="004468E0">
              <w:rPr>
                <w:sz w:val="26"/>
                <w:szCs w:val="26"/>
                <w:lang w:val="lv-LV"/>
              </w:rPr>
              <w:t>N</w:t>
            </w:r>
            <w:r w:rsidR="00282510" w:rsidRPr="004468E0">
              <w:rPr>
                <w:sz w:val="26"/>
                <w:szCs w:val="26"/>
                <w:lang w:val="lv-LV"/>
              </w:rPr>
              <w:t xml:space="preserve">odrošinājumu normatīvajos aktos noteiktajā termiņā neiesniedz, tam tiek apturēta saimnieciskā darbība saskaņā ar  likuma „Par nodokļiem un nodevām” </w:t>
            </w:r>
            <w:r w:rsidR="00282510" w:rsidRPr="004468E0">
              <w:rPr>
                <w:bCs/>
                <w:sz w:val="26"/>
                <w:szCs w:val="26"/>
                <w:lang w:val="lv-LV"/>
              </w:rPr>
              <w:t>34.</w:t>
            </w:r>
            <w:r w:rsidR="00282510" w:rsidRPr="004468E0">
              <w:rPr>
                <w:bCs/>
                <w:sz w:val="26"/>
                <w:szCs w:val="26"/>
                <w:vertAlign w:val="superscript"/>
                <w:lang w:val="lv-LV"/>
              </w:rPr>
              <w:t>1</w:t>
            </w:r>
            <w:r w:rsidR="00282510" w:rsidRPr="004468E0">
              <w:rPr>
                <w:bCs/>
                <w:sz w:val="26"/>
                <w:szCs w:val="26"/>
                <w:lang w:val="lv-LV"/>
              </w:rPr>
              <w:t>pantu.</w:t>
            </w:r>
            <w:r w:rsidR="00F56C24" w:rsidRPr="004468E0">
              <w:rPr>
                <w:bCs/>
                <w:sz w:val="26"/>
                <w:szCs w:val="26"/>
                <w:lang w:val="lv-LV"/>
              </w:rPr>
              <w:t xml:space="preserve"> </w:t>
            </w:r>
            <w:r w:rsidR="002B48A4" w:rsidRPr="004468E0">
              <w:rPr>
                <w:bCs/>
                <w:sz w:val="26"/>
                <w:szCs w:val="26"/>
                <w:lang w:val="lv-LV"/>
              </w:rPr>
              <w:t xml:space="preserve">Šāda pieeja ir paredzēta, lai novērstu iespēju, ka persona, kas ir saņēmusi </w:t>
            </w:r>
            <w:r w:rsidR="002B48A4" w:rsidRPr="004468E0">
              <w:rPr>
                <w:sz w:val="26"/>
                <w:szCs w:val="26"/>
                <w:lang w:val="lv-LV"/>
              </w:rPr>
              <w:t xml:space="preserve">speciālo atļauju (licenci) apstiprināta noliktavas turētāja darbībai ar naftas produktiem, reģistrēta saņēmēja darbībai ar naftas produktiem vai reģistrēta nosūtītāja darbībai ar naftas produktiem, neiesniedzot Nodrošinājumu  normatīvajos </w:t>
            </w:r>
            <w:r w:rsidR="002B48A4" w:rsidRPr="004468E0">
              <w:rPr>
                <w:sz w:val="26"/>
                <w:szCs w:val="26"/>
                <w:lang w:val="lv-LV"/>
              </w:rPr>
              <w:lastRenderedPageBreak/>
              <w:t xml:space="preserve">aktos noteiktajā termiņā, tomēr turpina darbības ar naftas produktiem. Akcīzes nodokļa nodrošinājumam šāda kārtība netiek piemērota, jo saskaņā ar normatīvajiem aktiem akcīzes nodokļa jomā, kamēr nav iesniegts akcīzes nodokļa nodrošinājums, nevar uzsākt  darbības ar naftas produktiem attiecīgās licences ietvaros. </w:t>
            </w:r>
          </w:p>
          <w:p w14:paraId="5B20AFF6" w14:textId="7BF0F7BA" w:rsidR="00F24E3B" w:rsidRPr="004468E0" w:rsidRDefault="00F24E3B" w:rsidP="00F24E3B">
            <w:pPr>
              <w:jc w:val="both"/>
              <w:rPr>
                <w:sz w:val="26"/>
                <w:szCs w:val="26"/>
                <w:lang w:val="lv-LV"/>
              </w:rPr>
            </w:pPr>
            <w:r w:rsidRPr="004468E0">
              <w:rPr>
                <w:sz w:val="26"/>
                <w:szCs w:val="26"/>
                <w:lang w:val="lv-LV"/>
              </w:rPr>
              <w:t>Likumprojekt</w:t>
            </w:r>
            <w:r w:rsidR="008014B4" w:rsidRPr="004468E0">
              <w:rPr>
                <w:sz w:val="26"/>
                <w:szCs w:val="26"/>
                <w:lang w:val="lv-LV"/>
              </w:rPr>
              <w:t>a 1.pants</w:t>
            </w:r>
            <w:r w:rsidRPr="004468E0">
              <w:rPr>
                <w:sz w:val="26"/>
                <w:szCs w:val="26"/>
                <w:lang w:val="lv-LV"/>
              </w:rPr>
              <w:t xml:space="preserve"> paredz, ja </w:t>
            </w:r>
            <w:r w:rsidR="00E65D86" w:rsidRPr="004468E0">
              <w:rPr>
                <w:sz w:val="26"/>
                <w:szCs w:val="26"/>
                <w:lang w:val="lv-LV"/>
              </w:rPr>
              <w:t>N</w:t>
            </w:r>
            <w:r w:rsidRPr="004468E0">
              <w:rPr>
                <w:sz w:val="26"/>
                <w:szCs w:val="26"/>
                <w:lang w:val="lv-LV"/>
              </w:rPr>
              <w:t>odrošinājuma iesniedzējs nesamaksā radušos nodokļa parādu, Valsts ieņēmumu dienests šo summu prasa samaksāt nodrošinātājam. Nodrošinātājam prasītās summas samaksa ir jāveic viena mēneša laikā pēc Valsts ieņēmumu dienesta rakstiska pieprasījuma samaksā</w:t>
            </w:r>
            <w:r w:rsidR="00282510" w:rsidRPr="004468E0">
              <w:rPr>
                <w:sz w:val="26"/>
                <w:szCs w:val="26"/>
                <w:lang w:val="lv-LV"/>
              </w:rPr>
              <w:t>t</w:t>
            </w:r>
            <w:r w:rsidRPr="004468E0">
              <w:rPr>
                <w:sz w:val="26"/>
                <w:szCs w:val="26"/>
                <w:lang w:val="lv-LV"/>
              </w:rPr>
              <w:t xml:space="preserve"> nodokli</w:t>
            </w:r>
            <w:r w:rsidR="00282510" w:rsidRPr="004468E0">
              <w:rPr>
                <w:sz w:val="26"/>
                <w:szCs w:val="26"/>
                <w:lang w:val="lv-LV"/>
              </w:rPr>
              <w:t xml:space="preserve"> saņemšanas. </w:t>
            </w:r>
            <w:proofErr w:type="spellStart"/>
            <w:r w:rsidR="00282510" w:rsidRPr="004468E0">
              <w:rPr>
                <w:sz w:val="26"/>
                <w:szCs w:val="26"/>
                <w:lang w:val="lv-LV"/>
              </w:rPr>
              <w:t>Nesamaksas</w:t>
            </w:r>
            <w:proofErr w:type="spellEnd"/>
            <w:r w:rsidR="00282510" w:rsidRPr="004468E0">
              <w:rPr>
                <w:sz w:val="26"/>
                <w:szCs w:val="26"/>
                <w:lang w:val="lv-LV"/>
              </w:rPr>
              <w:t xml:space="preserve"> gadījumā tiek piemērota nokavējuma nauda 0,1 procenta apmērā no termiņā nesamaksātās nodokļa parāda summas, kas norādīta Valsts ieņēmumu dienesta rakstiskajā pieprasījumā samaksāt nodrošinājuma iesniedzēja nodokļa parādu, bet ne vairāk kā 100 procentu apmērā no tās.</w:t>
            </w:r>
          </w:p>
          <w:p w14:paraId="100B5539" w14:textId="77777777" w:rsidR="00282510" w:rsidRPr="004468E0" w:rsidRDefault="00282510" w:rsidP="00282510">
            <w:pPr>
              <w:jc w:val="both"/>
              <w:rPr>
                <w:bCs/>
                <w:sz w:val="26"/>
                <w:szCs w:val="26"/>
                <w:lang w:val="lv-LV"/>
              </w:rPr>
            </w:pPr>
            <w:r w:rsidRPr="004468E0">
              <w:rPr>
                <w:sz w:val="26"/>
                <w:szCs w:val="26"/>
                <w:lang w:val="lv-LV"/>
              </w:rPr>
              <w:t xml:space="preserve">Nodokļu maksātājiem, kam likuma </w:t>
            </w:r>
            <w:r w:rsidRPr="004468E0">
              <w:rPr>
                <w:bCs/>
                <w:sz w:val="26"/>
                <w:szCs w:val="26"/>
                <w:lang w:val="lv-LV"/>
              </w:rPr>
              <w:t xml:space="preserve">spēkā stāšanās brīdī jau ir izsniegta speciālā atļauja (licence) apstiprināta noliktavas turētāja darbībai ar naftas produktiem, reģistrēta saņēmēja darbībai ar naftas produktiem vai reģistrēta nosūtītāja darbībai ar naftas produktiem, saskaņā ar Pārejas noteikumu 152.punktu </w:t>
            </w:r>
            <w:r w:rsidR="00E65D86" w:rsidRPr="004468E0">
              <w:rPr>
                <w:bCs/>
                <w:sz w:val="26"/>
                <w:szCs w:val="26"/>
                <w:lang w:val="lv-LV"/>
              </w:rPr>
              <w:t>N</w:t>
            </w:r>
            <w:r w:rsidRPr="004468E0">
              <w:rPr>
                <w:bCs/>
                <w:sz w:val="26"/>
                <w:szCs w:val="26"/>
                <w:lang w:val="lv-LV"/>
              </w:rPr>
              <w:t>odrošinājums ir jāiesniedz  ne vēlāk kā 90 kalendāro dienu laikā pēc šā likuma spēkā stāšanās.</w:t>
            </w:r>
          </w:p>
          <w:p w14:paraId="1DD131EB" w14:textId="77777777" w:rsidR="00551107" w:rsidRPr="004468E0" w:rsidRDefault="00551107" w:rsidP="00282510">
            <w:pPr>
              <w:jc w:val="both"/>
              <w:rPr>
                <w:sz w:val="26"/>
                <w:szCs w:val="26"/>
                <w:lang w:val="lv-LV"/>
              </w:rPr>
            </w:pPr>
            <w:r w:rsidRPr="004468E0">
              <w:rPr>
                <w:sz w:val="26"/>
                <w:szCs w:val="26"/>
                <w:lang w:val="lv-LV"/>
              </w:rPr>
              <w:t>Likumprojektā ir paredzēts, ka līdz 2013.gada 30.decembrim Ministru kabinetam</w:t>
            </w:r>
            <w:r w:rsidR="00282510" w:rsidRPr="004468E0">
              <w:rPr>
                <w:bCs/>
                <w:sz w:val="26"/>
                <w:szCs w:val="26"/>
                <w:lang w:val="lv-LV"/>
              </w:rPr>
              <w:t xml:space="preserve"> jāizdod normatīvie akti, kas noteiks gadījumus, kādos </w:t>
            </w:r>
            <w:r w:rsidR="00E65D86" w:rsidRPr="004468E0">
              <w:rPr>
                <w:bCs/>
                <w:sz w:val="26"/>
                <w:szCs w:val="26"/>
                <w:lang w:val="lv-LV"/>
              </w:rPr>
              <w:t>N</w:t>
            </w:r>
            <w:r w:rsidR="00282510" w:rsidRPr="004468E0">
              <w:rPr>
                <w:bCs/>
                <w:sz w:val="26"/>
                <w:szCs w:val="26"/>
                <w:lang w:val="lv-LV"/>
              </w:rPr>
              <w:t xml:space="preserve">odrošinājums nav jāiesniedz vai ir samazināms tā lielums, kā arī </w:t>
            </w:r>
            <w:r w:rsidR="00E65D86" w:rsidRPr="004468E0">
              <w:rPr>
                <w:bCs/>
                <w:sz w:val="26"/>
                <w:szCs w:val="26"/>
                <w:lang w:val="lv-LV"/>
              </w:rPr>
              <w:t>N</w:t>
            </w:r>
            <w:r w:rsidR="00282510" w:rsidRPr="004468E0">
              <w:rPr>
                <w:bCs/>
                <w:sz w:val="26"/>
                <w:szCs w:val="26"/>
                <w:lang w:val="lv-LV"/>
              </w:rPr>
              <w:t>odrošinājuma</w:t>
            </w:r>
            <w:r w:rsidR="00282510" w:rsidRPr="004468E0">
              <w:rPr>
                <w:sz w:val="26"/>
                <w:szCs w:val="26"/>
                <w:lang w:val="lv-LV"/>
              </w:rPr>
              <w:t xml:space="preserve"> iesniegšanas, apstiprināšanas, pieprasīšanas, dzēšanas un atdošanas kārtību.</w:t>
            </w:r>
          </w:p>
          <w:p w14:paraId="7D74BF69" w14:textId="77777777" w:rsidR="00282510" w:rsidRPr="004468E0" w:rsidRDefault="00282510" w:rsidP="00282510">
            <w:pPr>
              <w:jc w:val="both"/>
              <w:rPr>
                <w:bCs/>
                <w:sz w:val="26"/>
                <w:szCs w:val="26"/>
                <w:lang w:val="lv-LV"/>
              </w:rPr>
            </w:pPr>
            <w:r w:rsidRPr="004468E0">
              <w:rPr>
                <w:sz w:val="26"/>
                <w:szCs w:val="26"/>
                <w:lang w:val="lv-LV"/>
              </w:rPr>
              <w:t xml:space="preserve">Paredzams, ka minētajos Ministru kabineta noteikumos tiks noteikts, ka </w:t>
            </w:r>
            <w:r w:rsidR="00E65D86" w:rsidRPr="004468E0">
              <w:rPr>
                <w:sz w:val="26"/>
                <w:szCs w:val="26"/>
                <w:lang w:val="lv-LV"/>
              </w:rPr>
              <w:t xml:space="preserve">Nodrošinājumu var neiesniegt nodokļu maksātāji, kam nav Valsts ieņēmumu dienesta administrēto nodokļu (nodevu) parādu, kuru kopsumma pārsniedz 100 latu un, kas atbilst </w:t>
            </w:r>
            <w:r w:rsidR="00E65D86" w:rsidRPr="004468E0">
              <w:rPr>
                <w:bCs/>
                <w:sz w:val="26"/>
                <w:szCs w:val="26"/>
                <w:lang w:val="lv-LV"/>
              </w:rPr>
              <w:t>vismaz vienam no sekojošiem kritērijiem:</w:t>
            </w:r>
          </w:p>
          <w:p w14:paraId="02E02472" w14:textId="77777777" w:rsidR="00E65D86" w:rsidRPr="004468E0" w:rsidRDefault="00E65D86" w:rsidP="00E65D86">
            <w:pPr>
              <w:pStyle w:val="ListParagraph"/>
              <w:numPr>
                <w:ilvl w:val="0"/>
                <w:numId w:val="7"/>
              </w:numPr>
              <w:ind w:left="104" w:firstLine="142"/>
              <w:jc w:val="both"/>
              <w:rPr>
                <w:bCs/>
                <w:sz w:val="26"/>
                <w:szCs w:val="26"/>
                <w:lang w:val="lv-LV"/>
              </w:rPr>
            </w:pPr>
            <w:r w:rsidRPr="004468E0">
              <w:rPr>
                <w:bCs/>
                <w:sz w:val="26"/>
                <w:szCs w:val="26"/>
                <w:lang w:val="lv-LV"/>
              </w:rPr>
              <w:t>saskaņā ar normatīvajos aktos par Padziļinātās sadarbības programmas darbību minētajiem kritērijiem ir iekļauts Padziļinātās sadarbības programmā;</w:t>
            </w:r>
          </w:p>
          <w:p w14:paraId="6BE2E248" w14:textId="77777777" w:rsidR="00E65D86" w:rsidRPr="004468E0" w:rsidRDefault="00E65D86" w:rsidP="00E65D86">
            <w:pPr>
              <w:pStyle w:val="ListParagraph"/>
              <w:numPr>
                <w:ilvl w:val="0"/>
                <w:numId w:val="7"/>
              </w:numPr>
              <w:ind w:left="104" w:firstLine="142"/>
              <w:jc w:val="both"/>
              <w:rPr>
                <w:bCs/>
                <w:sz w:val="26"/>
                <w:szCs w:val="26"/>
                <w:lang w:val="lv-LV"/>
              </w:rPr>
            </w:pPr>
            <w:r w:rsidRPr="004468E0">
              <w:rPr>
                <w:bCs/>
                <w:sz w:val="26"/>
                <w:szCs w:val="26"/>
                <w:lang w:val="lv-LV"/>
              </w:rPr>
              <w:t>apstiprinātam noliktavas turētājam darbībai ar naftas produktiem, reģistrētam saņēmējam darbībai ar naftas produktiem vai reģistrētam nosūtītājam darbībai ar naftas produktiem</w:t>
            </w:r>
            <w:r w:rsidRPr="004468E0">
              <w:rPr>
                <w:sz w:val="26"/>
                <w:szCs w:val="26"/>
                <w:lang w:val="lv-LV"/>
              </w:rPr>
              <w:t xml:space="preserve"> </w:t>
            </w:r>
            <w:r w:rsidRPr="004468E0">
              <w:rPr>
                <w:bCs/>
                <w:sz w:val="26"/>
                <w:szCs w:val="26"/>
                <w:lang w:val="lv-LV"/>
              </w:rPr>
              <w:t xml:space="preserve">akcīzes nodokļa apjoms pēdējo piecu taksācijas gadu laikā ir bijis vismaz 3000000 </w:t>
            </w:r>
            <w:proofErr w:type="spellStart"/>
            <w:r w:rsidRPr="004468E0">
              <w:rPr>
                <w:bCs/>
                <w:sz w:val="26"/>
                <w:szCs w:val="26"/>
                <w:lang w:val="lv-LV"/>
              </w:rPr>
              <w:t>euro</w:t>
            </w:r>
            <w:proofErr w:type="spellEnd"/>
            <w:r w:rsidRPr="004468E0">
              <w:rPr>
                <w:bCs/>
                <w:sz w:val="26"/>
                <w:szCs w:val="26"/>
                <w:lang w:val="lv-LV"/>
              </w:rPr>
              <w:t xml:space="preserve"> gadā;</w:t>
            </w:r>
          </w:p>
          <w:p w14:paraId="7A0FDF30" w14:textId="77777777" w:rsidR="00E65D86" w:rsidRPr="004468E0" w:rsidRDefault="00E65D86" w:rsidP="00E65D86">
            <w:pPr>
              <w:pStyle w:val="ListParagraph"/>
              <w:numPr>
                <w:ilvl w:val="0"/>
                <w:numId w:val="7"/>
              </w:numPr>
              <w:ind w:left="104" w:firstLine="142"/>
              <w:jc w:val="both"/>
              <w:rPr>
                <w:bCs/>
                <w:sz w:val="26"/>
                <w:szCs w:val="26"/>
                <w:lang w:val="lv-LV"/>
              </w:rPr>
            </w:pPr>
            <w:r w:rsidRPr="004468E0">
              <w:rPr>
                <w:bCs/>
                <w:sz w:val="26"/>
                <w:szCs w:val="26"/>
                <w:lang w:val="lv-LV"/>
              </w:rPr>
              <w:t xml:space="preserve">apstiprinātam noliktavas turētājam darbībai ar naftas produktiem, reģistrētam saņēmējam darbībai ar naftas produktiem vai reģistrētam nosūtītājam darbībai ar naftas produktiem lietošanā esošo tvertņu un spiedieniekārtu </w:t>
            </w:r>
            <w:r w:rsidRPr="004468E0">
              <w:rPr>
                <w:bCs/>
                <w:sz w:val="26"/>
                <w:szCs w:val="26"/>
                <w:lang w:val="lv-LV"/>
              </w:rPr>
              <w:lastRenderedPageBreak/>
              <w:t>kompleksa tvertņu tilpums ir vismaz 500 m</w:t>
            </w:r>
            <w:r w:rsidRPr="004468E0">
              <w:rPr>
                <w:bCs/>
                <w:sz w:val="26"/>
                <w:szCs w:val="26"/>
                <w:vertAlign w:val="superscript"/>
                <w:lang w:val="lv-LV"/>
              </w:rPr>
              <w:t>3</w:t>
            </w:r>
            <w:r w:rsidR="008014B4" w:rsidRPr="004468E0">
              <w:rPr>
                <w:bCs/>
                <w:sz w:val="26"/>
                <w:szCs w:val="26"/>
                <w:lang w:val="lv-LV"/>
              </w:rPr>
              <w:t>, kuras nav apgrūtinātas ar ķīlas tiesībām vai citādiem aizliegumiem</w:t>
            </w:r>
            <w:r w:rsidRPr="004468E0">
              <w:rPr>
                <w:bCs/>
                <w:sz w:val="26"/>
                <w:szCs w:val="26"/>
                <w:lang w:val="lv-LV"/>
              </w:rPr>
              <w:t>;</w:t>
            </w:r>
          </w:p>
          <w:p w14:paraId="4DF22F18" w14:textId="77777777" w:rsidR="00E65D86" w:rsidRPr="004468E0" w:rsidRDefault="00E65D86" w:rsidP="00E65D86">
            <w:pPr>
              <w:pStyle w:val="ListParagraph"/>
              <w:numPr>
                <w:ilvl w:val="0"/>
                <w:numId w:val="7"/>
              </w:numPr>
              <w:ind w:left="104" w:firstLine="142"/>
              <w:jc w:val="both"/>
              <w:rPr>
                <w:bCs/>
                <w:sz w:val="26"/>
                <w:szCs w:val="26"/>
                <w:lang w:val="lv-LV"/>
              </w:rPr>
            </w:pPr>
            <w:r w:rsidRPr="004468E0">
              <w:rPr>
                <w:bCs/>
                <w:sz w:val="26"/>
                <w:szCs w:val="26"/>
                <w:lang w:val="lv-LV"/>
              </w:rPr>
              <w:t>apstiprināts noliktavas turētājs, reģistrēts saņēmējs vai reģistrēts nosūtītājs atbilstoši speciālajai atļaujai (licencei) veic darbību tikai ar sašķidrināto naftas gāzi, ar naftas produktiem, kurus izmanto citiem mērķiem, nevis par degvielu vai kurināmo, vai ar biodīzeļdegvielu, kas pilnībā iegūta no rapšu sēklu eļļas;</w:t>
            </w:r>
          </w:p>
          <w:p w14:paraId="5F0592E5" w14:textId="77777777" w:rsidR="00E65D86" w:rsidRPr="004468E0" w:rsidRDefault="00E65D86" w:rsidP="00E65D86">
            <w:pPr>
              <w:pStyle w:val="ListParagraph"/>
              <w:numPr>
                <w:ilvl w:val="0"/>
                <w:numId w:val="7"/>
              </w:numPr>
              <w:ind w:left="104" w:firstLine="142"/>
              <w:jc w:val="both"/>
              <w:rPr>
                <w:bCs/>
                <w:sz w:val="26"/>
                <w:szCs w:val="26"/>
                <w:lang w:val="lv-LV"/>
              </w:rPr>
            </w:pPr>
            <w:r w:rsidRPr="004468E0">
              <w:rPr>
                <w:bCs/>
                <w:sz w:val="26"/>
                <w:szCs w:val="26"/>
                <w:lang w:val="lv-LV"/>
              </w:rPr>
              <w:t xml:space="preserve">komersantam, kuram papildus speciālajai atļaujai (licencei) apstiprināta noliktavas turētājam darbībai ar naftas produktiem, reģistrēta saņēmēja darbībai ar naftas produktiem vai reģistrētam nosūtītājam darbībai ar naftas produktiem ir izsniegta speciālā atļauja (licence) degvielas mazumtirdzniecībai, kurā norādītās vismaz 3 degvielas </w:t>
            </w:r>
            <w:proofErr w:type="spellStart"/>
            <w:r w:rsidRPr="004468E0">
              <w:rPr>
                <w:bCs/>
                <w:sz w:val="26"/>
                <w:szCs w:val="26"/>
                <w:lang w:val="lv-LV"/>
              </w:rPr>
              <w:t>uzpildes</w:t>
            </w:r>
            <w:proofErr w:type="spellEnd"/>
            <w:r w:rsidRPr="004468E0">
              <w:rPr>
                <w:bCs/>
                <w:sz w:val="26"/>
                <w:szCs w:val="26"/>
                <w:lang w:val="lv-LV"/>
              </w:rPr>
              <w:t xml:space="preserve"> stacijas ir komersanta īpašumā.</w:t>
            </w:r>
          </w:p>
          <w:p w14:paraId="73E13999" w14:textId="77777777" w:rsidR="00E65D86" w:rsidRPr="004468E0" w:rsidRDefault="00E65D86" w:rsidP="00E65D86">
            <w:pPr>
              <w:ind w:left="104"/>
              <w:jc w:val="both"/>
              <w:rPr>
                <w:bCs/>
                <w:sz w:val="26"/>
                <w:szCs w:val="26"/>
                <w:lang w:val="lv-LV"/>
              </w:rPr>
            </w:pPr>
            <w:r w:rsidRPr="004468E0">
              <w:rPr>
                <w:bCs/>
                <w:sz w:val="26"/>
                <w:szCs w:val="26"/>
                <w:lang w:val="lv-LV"/>
              </w:rPr>
              <w:t xml:space="preserve">Tāpat šajos noteikumos tiks paredzēta iespēja Valsts ieņēmumu dienestam Nodrošinājuma apjomu samazināt par 20 vai 100 procentiem. </w:t>
            </w:r>
          </w:p>
          <w:p w14:paraId="226B9DB1" w14:textId="77777777" w:rsidR="00E65D86" w:rsidRPr="004468E0" w:rsidRDefault="00E65D86" w:rsidP="00E65D86">
            <w:pPr>
              <w:ind w:left="104"/>
              <w:jc w:val="both"/>
              <w:rPr>
                <w:bCs/>
                <w:sz w:val="26"/>
                <w:szCs w:val="26"/>
                <w:lang w:val="lv-LV"/>
              </w:rPr>
            </w:pPr>
            <w:r w:rsidRPr="004468E0">
              <w:rPr>
                <w:bCs/>
                <w:sz w:val="26"/>
                <w:szCs w:val="26"/>
                <w:lang w:val="lv-LV"/>
              </w:rPr>
              <w:t>Par 20 procentiem, ja</w:t>
            </w:r>
            <w:r w:rsidR="00B00C81" w:rsidRPr="004468E0">
              <w:rPr>
                <w:bCs/>
                <w:sz w:val="26"/>
                <w:szCs w:val="26"/>
                <w:lang w:val="lv-LV"/>
              </w:rPr>
              <w:t xml:space="preserve"> uz nodrošinājuma iesniegšanas brīdi</w:t>
            </w:r>
            <w:r w:rsidRPr="004468E0">
              <w:rPr>
                <w:bCs/>
                <w:sz w:val="26"/>
                <w:szCs w:val="26"/>
                <w:lang w:val="lv-LV"/>
              </w:rPr>
              <w:t>:</w:t>
            </w:r>
          </w:p>
          <w:p w14:paraId="158D5390" w14:textId="77777777" w:rsidR="00E65D86" w:rsidRPr="004468E0" w:rsidRDefault="00E65D86" w:rsidP="00E65D86">
            <w:pPr>
              <w:pStyle w:val="ListParagraph"/>
              <w:numPr>
                <w:ilvl w:val="0"/>
                <w:numId w:val="8"/>
              </w:numPr>
              <w:ind w:left="104" w:firstLine="616"/>
              <w:jc w:val="both"/>
              <w:rPr>
                <w:sz w:val="26"/>
                <w:szCs w:val="26"/>
                <w:lang w:val="lv-LV"/>
              </w:rPr>
            </w:pPr>
            <w:r w:rsidRPr="004468E0">
              <w:rPr>
                <w:sz w:val="26"/>
                <w:szCs w:val="26"/>
                <w:lang w:val="lv-LV"/>
              </w:rPr>
              <w:t>nodrošinājuma iesniedzējam nav nodokļu parāda;</w:t>
            </w:r>
          </w:p>
          <w:p w14:paraId="69CB80FE" w14:textId="77777777" w:rsidR="00E65D86" w:rsidRPr="004468E0" w:rsidRDefault="00E65D86" w:rsidP="00E65D86">
            <w:pPr>
              <w:pStyle w:val="ListParagraph"/>
              <w:numPr>
                <w:ilvl w:val="0"/>
                <w:numId w:val="8"/>
              </w:numPr>
              <w:ind w:left="104" w:firstLine="616"/>
              <w:jc w:val="both"/>
              <w:rPr>
                <w:sz w:val="26"/>
                <w:szCs w:val="26"/>
                <w:lang w:val="lv-LV"/>
              </w:rPr>
            </w:pPr>
            <w:r w:rsidRPr="004468E0">
              <w:rPr>
                <w:sz w:val="26"/>
                <w:szCs w:val="26"/>
                <w:lang w:val="lv-LV"/>
              </w:rPr>
              <w:t>nodrošinājuma iesniedzējam nav pasludināta maksātnespēja;</w:t>
            </w:r>
          </w:p>
          <w:p w14:paraId="3F208DA1" w14:textId="77777777" w:rsidR="00E65D86" w:rsidRPr="004468E0" w:rsidRDefault="00E65D86" w:rsidP="00E65D86">
            <w:pPr>
              <w:pStyle w:val="ListParagraph"/>
              <w:numPr>
                <w:ilvl w:val="0"/>
                <w:numId w:val="8"/>
              </w:numPr>
              <w:ind w:left="104" w:firstLine="616"/>
              <w:jc w:val="both"/>
              <w:rPr>
                <w:sz w:val="26"/>
                <w:szCs w:val="26"/>
                <w:lang w:val="lv-LV"/>
              </w:rPr>
            </w:pPr>
            <w:r w:rsidRPr="004468E0">
              <w:rPr>
                <w:sz w:val="26"/>
                <w:szCs w:val="26"/>
                <w:lang w:val="lv-LV"/>
              </w:rPr>
              <w:t>par nodrošinājuma iesniedzēju nav pieņemts lēmums, ar kuru konstatēts, ka nodrošinājuma iesniedzējs ir pārkāpis nodokļu aprēķina vai nodokļu maksāšanas kārtības nosacījumus, un ar kuru piemērota soda nauda 1000 latu un vairāk;</w:t>
            </w:r>
          </w:p>
          <w:p w14:paraId="5EE62EE8" w14:textId="77777777" w:rsidR="00E65D86" w:rsidRPr="004468E0" w:rsidRDefault="00E65D86" w:rsidP="00E65D86">
            <w:pPr>
              <w:pStyle w:val="ListParagraph"/>
              <w:numPr>
                <w:ilvl w:val="0"/>
                <w:numId w:val="8"/>
              </w:numPr>
              <w:ind w:left="104" w:firstLine="616"/>
              <w:jc w:val="both"/>
              <w:rPr>
                <w:sz w:val="26"/>
                <w:szCs w:val="26"/>
                <w:lang w:val="lv-LV"/>
              </w:rPr>
            </w:pPr>
            <w:r w:rsidRPr="004468E0">
              <w:rPr>
                <w:sz w:val="26"/>
                <w:szCs w:val="26"/>
                <w:lang w:val="lv-LV"/>
              </w:rPr>
              <w:t>saistībā ar nodokļu maksātāja darbību vai pret nodokļu maksātāju vai tā amatpersonām nav uzsākts kriminālprocess par krāpšanu, dokumentu viltošanu, izvairīšanos no nodokļu un tiem pielīdzināto maksājumu nomaksas vai citiem noziedzīgiem nodarījumiem, kas var ietekmēt nodokļu apmēra noteikšanu, izņemot gadījumus, kad pieņemts lēmums par kriminālprocesa izbeigšanu personu reabilitējošu apstākļu dēļ vai likumīgā spēkā ir stājies attaisnojošs tiesas spriedums.</w:t>
            </w:r>
          </w:p>
          <w:p w14:paraId="3FA256D1" w14:textId="77777777" w:rsidR="00E65D86" w:rsidRPr="004468E0" w:rsidRDefault="00E65D86" w:rsidP="006D7A8E">
            <w:pPr>
              <w:ind w:left="246" w:hanging="142"/>
              <w:rPr>
                <w:bCs/>
                <w:sz w:val="26"/>
                <w:szCs w:val="26"/>
                <w:lang w:val="lv-LV"/>
              </w:rPr>
            </w:pPr>
            <w:r w:rsidRPr="004468E0">
              <w:rPr>
                <w:bCs/>
                <w:sz w:val="26"/>
                <w:szCs w:val="26"/>
                <w:lang w:val="lv-LV"/>
              </w:rPr>
              <w:t>Par 100 procentiem</w:t>
            </w:r>
            <w:r w:rsidR="00B00C81" w:rsidRPr="004468E0">
              <w:rPr>
                <w:bCs/>
                <w:sz w:val="26"/>
                <w:szCs w:val="26"/>
                <w:lang w:val="lv-LV"/>
              </w:rPr>
              <w:t>,</w:t>
            </w:r>
            <w:r w:rsidRPr="004468E0">
              <w:rPr>
                <w:bCs/>
                <w:sz w:val="26"/>
                <w:szCs w:val="26"/>
                <w:lang w:val="lv-LV"/>
              </w:rPr>
              <w:t xml:space="preserve"> </w:t>
            </w:r>
            <w:r w:rsidR="006D7A8E" w:rsidRPr="004468E0">
              <w:rPr>
                <w:bCs/>
                <w:sz w:val="26"/>
                <w:szCs w:val="26"/>
                <w:lang w:val="lv-LV"/>
              </w:rPr>
              <w:t>ja:</w:t>
            </w:r>
          </w:p>
          <w:p w14:paraId="51E97647" w14:textId="77777777" w:rsidR="00E65D86" w:rsidRPr="004468E0" w:rsidRDefault="00E65D86" w:rsidP="007D2E9A">
            <w:pPr>
              <w:pStyle w:val="ListParagraph"/>
              <w:numPr>
                <w:ilvl w:val="0"/>
                <w:numId w:val="9"/>
              </w:numPr>
              <w:ind w:left="104" w:firstLine="0"/>
              <w:jc w:val="both"/>
              <w:rPr>
                <w:sz w:val="26"/>
                <w:szCs w:val="26"/>
                <w:lang w:val="lv-LV"/>
              </w:rPr>
            </w:pPr>
            <w:r w:rsidRPr="004468E0">
              <w:rPr>
                <w:sz w:val="26"/>
                <w:szCs w:val="26"/>
                <w:lang w:val="lv-LV"/>
              </w:rPr>
              <w:t xml:space="preserve">izpildās </w:t>
            </w:r>
            <w:r w:rsidR="006D7A8E" w:rsidRPr="004468E0">
              <w:rPr>
                <w:sz w:val="26"/>
                <w:szCs w:val="26"/>
                <w:lang w:val="lv-LV"/>
              </w:rPr>
              <w:t>visas iepriekš noteiktās</w:t>
            </w:r>
            <w:r w:rsidRPr="004468E0">
              <w:rPr>
                <w:sz w:val="26"/>
                <w:szCs w:val="26"/>
                <w:lang w:val="lv-LV"/>
              </w:rPr>
              <w:t xml:space="preserve"> prasības;</w:t>
            </w:r>
          </w:p>
          <w:p w14:paraId="046B6048" w14:textId="77777777" w:rsidR="00E65D86" w:rsidRPr="004468E0" w:rsidRDefault="00E65D86" w:rsidP="007D2E9A">
            <w:pPr>
              <w:pStyle w:val="ListParagraph"/>
              <w:numPr>
                <w:ilvl w:val="0"/>
                <w:numId w:val="9"/>
              </w:numPr>
              <w:ind w:left="104" w:firstLine="0"/>
              <w:jc w:val="both"/>
              <w:rPr>
                <w:sz w:val="26"/>
                <w:szCs w:val="26"/>
                <w:lang w:val="lv-LV"/>
              </w:rPr>
            </w:pPr>
            <w:r w:rsidRPr="004468E0">
              <w:rPr>
                <w:sz w:val="26"/>
                <w:szCs w:val="26"/>
                <w:lang w:val="lv-LV"/>
              </w:rPr>
              <w:t>nodokļu maksātājs ievēro konkrēto nodokli regulējošajos normatīvajos aktos noteiktos nodokļu kārtējo maksājumu samaksas termiņus;</w:t>
            </w:r>
          </w:p>
          <w:p w14:paraId="26595F82" w14:textId="77777777" w:rsidR="00E65D86" w:rsidRPr="004468E0" w:rsidRDefault="00E65D86" w:rsidP="007D2E9A">
            <w:pPr>
              <w:pStyle w:val="ListParagraph"/>
              <w:numPr>
                <w:ilvl w:val="0"/>
                <w:numId w:val="9"/>
              </w:numPr>
              <w:ind w:left="104" w:firstLine="0"/>
              <w:jc w:val="both"/>
              <w:rPr>
                <w:sz w:val="26"/>
                <w:szCs w:val="26"/>
                <w:lang w:val="lv-LV"/>
              </w:rPr>
            </w:pPr>
            <w:r w:rsidRPr="004468E0">
              <w:rPr>
                <w:sz w:val="26"/>
                <w:szCs w:val="26"/>
                <w:lang w:val="lv-LV"/>
              </w:rPr>
              <w:t>nodokļu maksātājs ievēro nodokļu jomu regulējošajos normatīvajos aktos noteiktos nodokļu un informatīvo deklarāciju iesniegšanas termiņus;</w:t>
            </w:r>
          </w:p>
          <w:p w14:paraId="4DB1BE4A" w14:textId="77777777" w:rsidR="00E65D86" w:rsidRPr="004468E0" w:rsidRDefault="00E65D86" w:rsidP="007D2E9A">
            <w:pPr>
              <w:pStyle w:val="ListParagraph"/>
              <w:numPr>
                <w:ilvl w:val="0"/>
                <w:numId w:val="9"/>
              </w:numPr>
              <w:ind w:left="104" w:firstLine="0"/>
              <w:jc w:val="both"/>
              <w:rPr>
                <w:sz w:val="26"/>
                <w:szCs w:val="26"/>
                <w:lang w:val="lv-LV"/>
              </w:rPr>
            </w:pPr>
            <w:r w:rsidRPr="004468E0">
              <w:rPr>
                <w:sz w:val="26"/>
                <w:szCs w:val="26"/>
                <w:lang w:val="lv-LV"/>
              </w:rPr>
              <w:t>nodokļu maksātājs sadarbojas ar nodokļu administrāciju;</w:t>
            </w:r>
          </w:p>
          <w:p w14:paraId="36DE0256" w14:textId="77777777" w:rsidR="00E65D86" w:rsidRPr="004468E0" w:rsidRDefault="00E65D86" w:rsidP="007D2E9A">
            <w:pPr>
              <w:pStyle w:val="ListParagraph"/>
              <w:numPr>
                <w:ilvl w:val="0"/>
                <w:numId w:val="9"/>
              </w:numPr>
              <w:ind w:left="104" w:firstLine="0"/>
              <w:jc w:val="both"/>
              <w:rPr>
                <w:sz w:val="26"/>
                <w:szCs w:val="26"/>
                <w:lang w:val="lv-LV"/>
              </w:rPr>
            </w:pPr>
            <w:r w:rsidRPr="004468E0">
              <w:rPr>
                <w:sz w:val="26"/>
                <w:szCs w:val="26"/>
                <w:lang w:val="lv-LV"/>
              </w:rPr>
              <w:lastRenderedPageBreak/>
              <w:t>nodokļu maksātāja 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p w14:paraId="7E0C74D4" w14:textId="77777777" w:rsidR="00E65D86" w:rsidRPr="004468E0" w:rsidRDefault="00E65D86" w:rsidP="007D2E9A">
            <w:pPr>
              <w:pStyle w:val="ListParagraph"/>
              <w:numPr>
                <w:ilvl w:val="0"/>
                <w:numId w:val="9"/>
              </w:numPr>
              <w:ind w:left="104" w:firstLine="0"/>
              <w:jc w:val="both"/>
              <w:rPr>
                <w:sz w:val="26"/>
                <w:szCs w:val="26"/>
                <w:lang w:val="lv-LV"/>
              </w:rPr>
            </w:pPr>
            <w:r w:rsidRPr="004468E0">
              <w:rPr>
                <w:sz w:val="26"/>
                <w:szCs w:val="26"/>
                <w:lang w:val="lv-LV"/>
              </w:rPr>
              <w:t>nodokļu maksātājam taksācija periodā pirms uzņēmumu ienākuma nodokļa aprēķināšanas ir peļņa;</w:t>
            </w:r>
          </w:p>
          <w:p w14:paraId="3EEAF62E" w14:textId="77777777" w:rsidR="00E65D86" w:rsidRPr="004468E0" w:rsidRDefault="00E65D86" w:rsidP="007D2E9A">
            <w:pPr>
              <w:pStyle w:val="ListParagraph"/>
              <w:numPr>
                <w:ilvl w:val="0"/>
                <w:numId w:val="9"/>
              </w:numPr>
              <w:ind w:left="104" w:firstLine="0"/>
              <w:jc w:val="both"/>
              <w:rPr>
                <w:sz w:val="26"/>
                <w:szCs w:val="26"/>
                <w:lang w:val="lv-LV"/>
              </w:rPr>
            </w:pPr>
            <w:r w:rsidRPr="004468E0">
              <w:rPr>
                <w:bCs/>
                <w:sz w:val="26"/>
                <w:szCs w:val="26"/>
                <w:lang w:val="lv-LV"/>
              </w:rPr>
              <w:t>nodokļu maksātāja likviditātes rādītājs nedrīkst būt mazāks par 0,5;</w:t>
            </w:r>
          </w:p>
          <w:p w14:paraId="56F324A4" w14:textId="77777777" w:rsidR="00E65D86" w:rsidRPr="004468E0" w:rsidRDefault="00E65D86" w:rsidP="007D2E9A">
            <w:pPr>
              <w:pStyle w:val="ListParagraph"/>
              <w:numPr>
                <w:ilvl w:val="0"/>
                <w:numId w:val="9"/>
              </w:numPr>
              <w:ind w:left="104" w:firstLine="0"/>
              <w:jc w:val="both"/>
              <w:rPr>
                <w:sz w:val="26"/>
                <w:szCs w:val="26"/>
                <w:lang w:val="lv-LV"/>
              </w:rPr>
            </w:pPr>
            <w:r w:rsidRPr="004468E0">
              <w:rPr>
                <w:bCs/>
                <w:sz w:val="26"/>
                <w:szCs w:val="26"/>
                <w:lang w:val="lv-LV"/>
              </w:rPr>
              <w:t xml:space="preserve"> nodokļu maksātāja maksātspējas rādītājs nedrīkst būt lielāks par 1.</w:t>
            </w:r>
          </w:p>
          <w:p w14:paraId="48D190ED" w14:textId="77777777" w:rsidR="007A03A4" w:rsidRPr="004468E0" w:rsidRDefault="006D7A8E" w:rsidP="007D2E9A">
            <w:pPr>
              <w:ind w:left="104"/>
              <w:jc w:val="both"/>
              <w:rPr>
                <w:bCs/>
                <w:sz w:val="26"/>
                <w:szCs w:val="26"/>
                <w:vertAlign w:val="superscript"/>
                <w:lang w:val="lv-LV"/>
              </w:rPr>
            </w:pPr>
            <w:r w:rsidRPr="004468E0">
              <w:rPr>
                <w:sz w:val="26"/>
                <w:szCs w:val="26"/>
                <w:lang w:val="lv-LV"/>
              </w:rPr>
              <w:t>Nodrošinājumu 100 procentu apmērā</w:t>
            </w:r>
            <w:r w:rsidR="007A03A4" w:rsidRPr="004468E0">
              <w:rPr>
                <w:sz w:val="26"/>
                <w:szCs w:val="26"/>
                <w:lang w:val="lv-LV"/>
              </w:rPr>
              <w:t>, izpildoties</w:t>
            </w:r>
            <w:r w:rsidRPr="004468E0">
              <w:rPr>
                <w:sz w:val="26"/>
                <w:szCs w:val="26"/>
                <w:lang w:val="lv-LV"/>
              </w:rPr>
              <w:t xml:space="preserve"> </w:t>
            </w:r>
            <w:r w:rsidR="007A03A4" w:rsidRPr="004468E0">
              <w:rPr>
                <w:bCs/>
                <w:sz w:val="26"/>
                <w:szCs w:val="26"/>
                <w:lang w:val="lv-LV"/>
              </w:rPr>
              <w:t>1.-5.punktā noteiktajām prasībām</w:t>
            </w:r>
            <w:r w:rsidR="007A03A4" w:rsidRPr="004468E0">
              <w:rPr>
                <w:sz w:val="26"/>
                <w:szCs w:val="26"/>
                <w:lang w:val="lv-LV"/>
              </w:rPr>
              <w:t xml:space="preserve"> </w:t>
            </w:r>
            <w:r w:rsidRPr="004468E0">
              <w:rPr>
                <w:sz w:val="26"/>
                <w:szCs w:val="26"/>
                <w:lang w:val="lv-LV"/>
              </w:rPr>
              <w:t>būs tiesības samazināt arī j</w:t>
            </w:r>
            <w:r w:rsidR="00E553C9" w:rsidRPr="004468E0">
              <w:rPr>
                <w:sz w:val="26"/>
                <w:szCs w:val="26"/>
                <w:lang w:val="lv-LV"/>
              </w:rPr>
              <w:t>a</w:t>
            </w:r>
            <w:r w:rsidRPr="004468E0">
              <w:rPr>
                <w:sz w:val="26"/>
                <w:szCs w:val="26"/>
                <w:lang w:val="lv-LV"/>
              </w:rPr>
              <w:t>undibinātajiem uzņēmumiem</w:t>
            </w:r>
            <w:r w:rsidR="004C4843" w:rsidRPr="004468E0">
              <w:rPr>
                <w:sz w:val="26"/>
                <w:szCs w:val="26"/>
                <w:lang w:val="lv-LV"/>
              </w:rPr>
              <w:t xml:space="preserve"> – </w:t>
            </w:r>
            <w:r w:rsidRPr="004468E0">
              <w:rPr>
                <w:sz w:val="26"/>
                <w:szCs w:val="26"/>
                <w:lang w:val="lv-LV"/>
              </w:rPr>
              <w:t xml:space="preserve"> </w:t>
            </w:r>
            <w:r w:rsidRPr="004468E0">
              <w:rPr>
                <w:bCs/>
                <w:sz w:val="26"/>
                <w:szCs w:val="26"/>
                <w:lang w:val="lv-LV"/>
              </w:rPr>
              <w:t>apstiprinātam noliktavas turētājam darbībai ar naftas produktiem vai reģistrētam saņēmējam darbībai ar naftas produktiem</w:t>
            </w:r>
            <w:r w:rsidR="007A03A4" w:rsidRPr="004468E0">
              <w:rPr>
                <w:bCs/>
                <w:sz w:val="26"/>
                <w:szCs w:val="26"/>
                <w:lang w:val="lv-LV"/>
              </w:rPr>
              <w:t xml:space="preserve">, ja </w:t>
            </w:r>
            <w:r w:rsidRPr="004468E0">
              <w:rPr>
                <w:bCs/>
                <w:sz w:val="26"/>
                <w:szCs w:val="26"/>
                <w:lang w:val="lv-LV"/>
              </w:rPr>
              <w:t xml:space="preserve">kalendārajā mēnesī saņemtais naftas produktu daudzums </w:t>
            </w:r>
            <w:r w:rsidR="007A03A4" w:rsidRPr="004468E0">
              <w:rPr>
                <w:bCs/>
                <w:sz w:val="26"/>
                <w:szCs w:val="26"/>
                <w:lang w:val="lv-LV"/>
              </w:rPr>
              <w:t>nepārsniedz 500 m</w:t>
            </w:r>
            <w:r w:rsidR="007A03A4" w:rsidRPr="004468E0">
              <w:rPr>
                <w:bCs/>
                <w:sz w:val="26"/>
                <w:szCs w:val="26"/>
                <w:vertAlign w:val="superscript"/>
                <w:lang w:val="lv-LV"/>
              </w:rPr>
              <w:t>3</w:t>
            </w:r>
            <w:r w:rsidR="007A03A4" w:rsidRPr="004468E0">
              <w:rPr>
                <w:bCs/>
                <w:sz w:val="26"/>
                <w:szCs w:val="26"/>
                <w:lang w:val="lv-LV"/>
              </w:rPr>
              <w:t>, un</w:t>
            </w:r>
            <w:r w:rsidRPr="004468E0">
              <w:rPr>
                <w:bCs/>
                <w:sz w:val="26"/>
                <w:szCs w:val="26"/>
                <w:lang w:val="lv-LV"/>
              </w:rPr>
              <w:t xml:space="preserve"> reģistrētam nosūtītājam darbībai ar naftas produktiem</w:t>
            </w:r>
            <w:r w:rsidR="007A03A4" w:rsidRPr="004468E0">
              <w:rPr>
                <w:bCs/>
                <w:sz w:val="26"/>
                <w:szCs w:val="26"/>
                <w:lang w:val="lv-LV"/>
              </w:rPr>
              <w:t>, ja</w:t>
            </w:r>
            <w:r w:rsidRPr="004468E0">
              <w:rPr>
                <w:bCs/>
                <w:sz w:val="26"/>
                <w:szCs w:val="26"/>
                <w:lang w:val="lv-LV"/>
              </w:rPr>
              <w:t xml:space="preserve"> kalendārajā mēnesī nosūtītais  naftas produktu daudzums</w:t>
            </w:r>
            <w:r w:rsidR="007A03A4" w:rsidRPr="004468E0">
              <w:rPr>
                <w:bCs/>
                <w:sz w:val="26"/>
                <w:szCs w:val="26"/>
                <w:lang w:val="lv-LV"/>
              </w:rPr>
              <w:t xml:space="preserve"> nepārsniedz 500 m</w:t>
            </w:r>
            <w:r w:rsidR="007A03A4" w:rsidRPr="004468E0">
              <w:rPr>
                <w:bCs/>
                <w:sz w:val="26"/>
                <w:szCs w:val="26"/>
                <w:vertAlign w:val="superscript"/>
                <w:lang w:val="lv-LV"/>
              </w:rPr>
              <w:t>3</w:t>
            </w:r>
            <w:r w:rsidR="007A03A4" w:rsidRPr="004468E0">
              <w:rPr>
                <w:bCs/>
                <w:sz w:val="26"/>
                <w:szCs w:val="26"/>
                <w:lang w:val="lv-LV"/>
              </w:rPr>
              <w:t>.</w:t>
            </w:r>
          </w:p>
          <w:p w14:paraId="2AB1BCC6" w14:textId="63F51B76" w:rsidR="000F26EF" w:rsidRPr="004468E0" w:rsidRDefault="007D2E9A" w:rsidP="007D2E9A">
            <w:pPr>
              <w:ind w:left="104"/>
              <w:jc w:val="both"/>
              <w:rPr>
                <w:sz w:val="26"/>
                <w:szCs w:val="26"/>
                <w:lang w:val="lv-LV"/>
              </w:rPr>
            </w:pPr>
            <w:r w:rsidRPr="004468E0">
              <w:rPr>
                <w:sz w:val="26"/>
                <w:szCs w:val="26"/>
                <w:lang w:val="lv-LV"/>
              </w:rPr>
              <w:t>Minētie atvieglojumi ir noteikti</w:t>
            </w:r>
            <w:r w:rsidR="00E553C9" w:rsidRPr="004468E0">
              <w:rPr>
                <w:sz w:val="26"/>
                <w:szCs w:val="26"/>
                <w:lang w:val="lv-LV"/>
              </w:rPr>
              <w:t>,</w:t>
            </w:r>
            <w:r w:rsidRPr="004468E0">
              <w:rPr>
                <w:sz w:val="26"/>
                <w:szCs w:val="26"/>
                <w:lang w:val="lv-LV"/>
              </w:rPr>
              <w:t xml:space="preserve"> izvērtējot šobrīd Latvijā strādājošo komersantu, kas ir saņēmuši speciālo atļauju (licenci) apstiprināta noliktavas turētāja darbībai ar naftas produktiem, reģistrēta saņēmēja darbībai ar naftas produktiem vai reģistrēta nosūtītāja darbībai ar naftas produktiem, struktūru.</w:t>
            </w:r>
            <w:r w:rsidR="00625D3E" w:rsidRPr="004468E0">
              <w:rPr>
                <w:sz w:val="26"/>
                <w:szCs w:val="26"/>
                <w:lang w:val="lv-LV"/>
              </w:rPr>
              <w:t xml:space="preserve"> Nosacījumi tam, ka nodokļu maksātājam vispār nav jāiesniedz Nodrošinājums, ir paredzēti tādi, lai šajā grupā iekļūtu komersanti, kas veic lielus nodokļu maks</w:t>
            </w:r>
            <w:r w:rsidR="00B00C81" w:rsidRPr="004468E0">
              <w:rPr>
                <w:sz w:val="26"/>
                <w:szCs w:val="26"/>
                <w:lang w:val="lv-LV"/>
              </w:rPr>
              <w:t xml:space="preserve">ājumus, ir veikuši lielus ieguldījumus uzņēmumā, kas apliecina to maksātspēju un nopietnos nolūkus, nevis vēlmi ar minimāliem ieguldījumiem  veikt fiktīvas darbības. Savukārt uz Nodrošinājuma samazināšanu var pretendēt personas, kam pēc Valsts ieņēmumu dienesta </w:t>
            </w:r>
            <w:proofErr w:type="spellStart"/>
            <w:r w:rsidR="00B00C81" w:rsidRPr="004468E0">
              <w:rPr>
                <w:sz w:val="26"/>
                <w:szCs w:val="26"/>
                <w:lang w:val="lv-LV"/>
              </w:rPr>
              <w:t>izvērtējuma</w:t>
            </w:r>
            <w:proofErr w:type="spellEnd"/>
            <w:r w:rsidR="00B00C81" w:rsidRPr="004468E0">
              <w:rPr>
                <w:sz w:val="26"/>
                <w:szCs w:val="26"/>
                <w:lang w:val="lv-LV"/>
              </w:rPr>
              <w:t xml:space="preserve"> šāds risks ir minimāls.</w:t>
            </w:r>
            <w:r w:rsidRPr="004468E0">
              <w:rPr>
                <w:sz w:val="26"/>
                <w:szCs w:val="26"/>
                <w:lang w:val="lv-LV"/>
              </w:rPr>
              <w:t xml:space="preserve"> Tādējādi </w:t>
            </w:r>
            <w:r w:rsidR="00625D3E" w:rsidRPr="004468E0">
              <w:rPr>
                <w:sz w:val="26"/>
                <w:szCs w:val="26"/>
                <w:lang w:val="lv-LV"/>
              </w:rPr>
              <w:t xml:space="preserve">ir paredzēts, ka </w:t>
            </w:r>
            <w:r w:rsidRPr="004468E0">
              <w:rPr>
                <w:sz w:val="26"/>
                <w:szCs w:val="26"/>
                <w:lang w:val="lv-LV"/>
              </w:rPr>
              <w:t>Nodrošinājums maksimāli tiks piemērots tikai</w:t>
            </w:r>
            <w:r w:rsidR="00625D3E" w:rsidRPr="004468E0">
              <w:rPr>
                <w:sz w:val="26"/>
                <w:szCs w:val="26"/>
                <w:lang w:val="lv-LV"/>
              </w:rPr>
              <w:t xml:space="preserve"> komersantiem</w:t>
            </w:r>
            <w:r w:rsidRPr="004468E0">
              <w:rPr>
                <w:sz w:val="26"/>
                <w:szCs w:val="26"/>
                <w:lang w:val="lv-LV"/>
              </w:rPr>
              <w:t xml:space="preserve"> ar augstu nodokļu nemaksāšanas riska pakāpi. </w:t>
            </w:r>
            <w:r w:rsidR="00AD4DB4" w:rsidRPr="004468E0">
              <w:rPr>
                <w:sz w:val="26"/>
                <w:szCs w:val="26"/>
                <w:lang w:val="lv-LV"/>
              </w:rPr>
              <w:t>Tā, piemēram, p</w:t>
            </w:r>
            <w:r w:rsidR="00B00C81" w:rsidRPr="004468E0">
              <w:rPr>
                <w:sz w:val="26"/>
                <w:szCs w:val="26"/>
                <w:lang w:val="lv-LV"/>
              </w:rPr>
              <w:t>iemērojot šādus Nodrošinājuma iesniegšanas atvieglojumus no apmēram</w:t>
            </w:r>
            <w:r w:rsidRPr="004468E0">
              <w:rPr>
                <w:sz w:val="26"/>
                <w:szCs w:val="26"/>
                <w:lang w:val="lv-LV"/>
              </w:rPr>
              <w:t xml:space="preserve"> 70 – 80 </w:t>
            </w:r>
            <w:r w:rsidR="009A05F3" w:rsidRPr="004468E0">
              <w:rPr>
                <w:sz w:val="26"/>
                <w:szCs w:val="26"/>
                <w:lang w:val="lv-LV"/>
              </w:rPr>
              <w:t>šīs nozares</w:t>
            </w:r>
            <w:r w:rsidRPr="004468E0">
              <w:rPr>
                <w:sz w:val="26"/>
                <w:szCs w:val="26"/>
                <w:lang w:val="lv-LV"/>
              </w:rPr>
              <w:t xml:space="preserve"> </w:t>
            </w:r>
            <w:r w:rsidR="008455E6" w:rsidRPr="004468E0">
              <w:rPr>
                <w:sz w:val="26"/>
                <w:szCs w:val="26"/>
                <w:lang w:val="lv-LV"/>
              </w:rPr>
              <w:t>komersant</w:t>
            </w:r>
            <w:r w:rsidR="00AD4DB4" w:rsidRPr="004468E0">
              <w:rPr>
                <w:sz w:val="26"/>
                <w:szCs w:val="26"/>
                <w:lang w:val="lv-LV"/>
              </w:rPr>
              <w:t>iem</w:t>
            </w:r>
            <w:r w:rsidR="008455E6" w:rsidRPr="004468E0">
              <w:rPr>
                <w:sz w:val="26"/>
                <w:szCs w:val="26"/>
                <w:lang w:val="lv-LV"/>
              </w:rPr>
              <w:t xml:space="preserve">, Nodrošinājums tiks piemērots </w:t>
            </w:r>
            <w:r w:rsidR="009A05F3" w:rsidRPr="004468E0">
              <w:rPr>
                <w:sz w:val="26"/>
                <w:szCs w:val="26"/>
                <w:lang w:val="lv-LV"/>
              </w:rPr>
              <w:t>ne vairāk kā</w:t>
            </w:r>
            <w:r w:rsidR="008455E6" w:rsidRPr="004468E0">
              <w:rPr>
                <w:sz w:val="26"/>
                <w:szCs w:val="26"/>
                <w:lang w:val="lv-LV"/>
              </w:rPr>
              <w:t xml:space="preserve"> </w:t>
            </w:r>
            <w:r w:rsidR="009A05F3" w:rsidRPr="004468E0">
              <w:rPr>
                <w:sz w:val="26"/>
                <w:szCs w:val="26"/>
                <w:lang w:val="lv-LV"/>
              </w:rPr>
              <w:t>7</w:t>
            </w:r>
            <w:r w:rsidR="00625D3E" w:rsidRPr="004468E0">
              <w:rPr>
                <w:sz w:val="26"/>
                <w:szCs w:val="26"/>
                <w:lang w:val="lv-LV"/>
              </w:rPr>
              <w:t xml:space="preserve"> </w:t>
            </w:r>
            <w:r w:rsidR="00AD4DB4" w:rsidRPr="004468E0">
              <w:rPr>
                <w:sz w:val="26"/>
                <w:szCs w:val="26"/>
                <w:lang w:val="lv-LV"/>
              </w:rPr>
              <w:t>komersantiem</w:t>
            </w:r>
            <w:r w:rsidRPr="004468E0">
              <w:rPr>
                <w:sz w:val="26"/>
                <w:szCs w:val="26"/>
                <w:lang w:val="lv-LV"/>
              </w:rPr>
              <w:t>.</w:t>
            </w:r>
          </w:p>
          <w:p w14:paraId="7FA3C840" w14:textId="77777777" w:rsidR="008455E6" w:rsidRPr="004468E0" w:rsidRDefault="008455E6" w:rsidP="008455E6">
            <w:pPr>
              <w:jc w:val="both"/>
              <w:rPr>
                <w:bCs/>
                <w:sz w:val="26"/>
                <w:szCs w:val="26"/>
                <w:lang w:val="lv-LV"/>
              </w:rPr>
            </w:pPr>
            <w:r w:rsidRPr="004468E0">
              <w:rPr>
                <w:bCs/>
                <w:sz w:val="26"/>
                <w:szCs w:val="26"/>
                <w:lang w:val="lv-LV"/>
              </w:rPr>
              <w:t>Nodrošinājums būs iesniedzams ne vēlāk kā kalendārā mēneša laikā pēc tam, kad nodokļu maksātājs saņēmis speciālo atļauju (licenci) apstiprināta noliktavas turētāja darbībai ar naftas produktiem, reģistrēta saņēmēja darbībai ar naftas produktiem vai reģistrēta nosūtītāja darbībai ar naftas produktiem.</w:t>
            </w:r>
          </w:p>
          <w:p w14:paraId="4D2B6C3C" w14:textId="77777777" w:rsidR="009A05F3" w:rsidRPr="004468E0" w:rsidRDefault="009A05F3" w:rsidP="00B00C81">
            <w:pPr>
              <w:jc w:val="both"/>
              <w:rPr>
                <w:sz w:val="26"/>
                <w:szCs w:val="26"/>
                <w:lang w:val="lv-LV"/>
              </w:rPr>
            </w:pPr>
          </w:p>
          <w:p w14:paraId="255F2983" w14:textId="77777777" w:rsidR="00F06FE2" w:rsidRPr="004468E0" w:rsidRDefault="00F06FE2" w:rsidP="00B00C81">
            <w:pPr>
              <w:jc w:val="both"/>
              <w:rPr>
                <w:sz w:val="26"/>
                <w:szCs w:val="26"/>
                <w:lang w:val="lv-LV"/>
              </w:rPr>
            </w:pPr>
            <w:r w:rsidRPr="004468E0">
              <w:rPr>
                <w:sz w:val="26"/>
                <w:szCs w:val="26"/>
                <w:lang w:val="lv-LV"/>
              </w:rPr>
              <w:lastRenderedPageBreak/>
              <w:t xml:space="preserve">Ņemot vērā, ka Likumprojekts stāsies spēkā 2014.gada 1.janvārī, kad Latvijā jau būs ieviests </w:t>
            </w:r>
            <w:proofErr w:type="spellStart"/>
            <w:r w:rsidRPr="004468E0">
              <w:rPr>
                <w:sz w:val="26"/>
                <w:szCs w:val="26"/>
                <w:lang w:val="lv-LV"/>
              </w:rPr>
              <w:t>euro</w:t>
            </w:r>
            <w:proofErr w:type="spellEnd"/>
            <w:r w:rsidRPr="004468E0">
              <w:rPr>
                <w:sz w:val="26"/>
                <w:szCs w:val="26"/>
                <w:lang w:val="lv-LV"/>
              </w:rPr>
              <w:t xml:space="preserve">, naudas summas </w:t>
            </w:r>
            <w:r w:rsidR="00B00C81" w:rsidRPr="004468E0">
              <w:rPr>
                <w:sz w:val="26"/>
                <w:szCs w:val="26"/>
                <w:lang w:val="lv-LV"/>
              </w:rPr>
              <w:t>l</w:t>
            </w:r>
            <w:r w:rsidRPr="004468E0">
              <w:rPr>
                <w:sz w:val="26"/>
                <w:szCs w:val="26"/>
                <w:lang w:val="lv-LV"/>
              </w:rPr>
              <w:t>ikump</w:t>
            </w:r>
            <w:r w:rsidR="00B00C81" w:rsidRPr="004468E0">
              <w:rPr>
                <w:sz w:val="26"/>
                <w:szCs w:val="26"/>
                <w:lang w:val="lv-LV"/>
              </w:rPr>
              <w:t xml:space="preserve">rojektā ir izteiktas </w:t>
            </w:r>
            <w:proofErr w:type="spellStart"/>
            <w:r w:rsidR="00B00C81" w:rsidRPr="004468E0">
              <w:rPr>
                <w:sz w:val="26"/>
                <w:szCs w:val="26"/>
                <w:lang w:val="lv-LV"/>
              </w:rPr>
              <w:t>euro</w:t>
            </w:r>
            <w:proofErr w:type="spellEnd"/>
            <w:r w:rsidRPr="004468E0">
              <w:rPr>
                <w:sz w:val="26"/>
                <w:szCs w:val="26"/>
                <w:lang w:val="lv-LV"/>
              </w:rPr>
              <w:t>.</w:t>
            </w:r>
          </w:p>
        </w:tc>
      </w:tr>
      <w:tr w:rsidR="00F06FE2" w:rsidRPr="004468E0" w14:paraId="5B3BA73D" w14:textId="77777777" w:rsidTr="002A69C0">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14:paraId="7614658E" w14:textId="77777777" w:rsidR="00F06FE2" w:rsidRPr="004468E0" w:rsidRDefault="00F06FE2" w:rsidP="00BD4854">
            <w:pPr>
              <w:pStyle w:val="naiskr"/>
              <w:jc w:val="both"/>
              <w:rPr>
                <w:sz w:val="26"/>
                <w:szCs w:val="26"/>
              </w:rPr>
            </w:pPr>
            <w:r w:rsidRPr="004468E0">
              <w:rPr>
                <w:sz w:val="26"/>
                <w:szCs w:val="26"/>
              </w:rPr>
              <w:lastRenderedPageBreak/>
              <w:t> 5.</w:t>
            </w:r>
          </w:p>
        </w:tc>
        <w:tc>
          <w:tcPr>
            <w:tcW w:w="1897" w:type="dxa"/>
            <w:tcBorders>
              <w:top w:val="outset" w:sz="6" w:space="0" w:color="auto"/>
              <w:left w:val="outset" w:sz="6" w:space="0" w:color="auto"/>
              <w:bottom w:val="outset" w:sz="6" w:space="0" w:color="auto"/>
              <w:right w:val="outset" w:sz="6" w:space="0" w:color="auto"/>
            </w:tcBorders>
          </w:tcPr>
          <w:p w14:paraId="0788F379" w14:textId="77777777" w:rsidR="00F06FE2" w:rsidRPr="004468E0" w:rsidRDefault="00F06FE2" w:rsidP="00BD4854">
            <w:pPr>
              <w:pStyle w:val="naiskr"/>
              <w:jc w:val="both"/>
              <w:rPr>
                <w:sz w:val="26"/>
                <w:szCs w:val="26"/>
              </w:rPr>
            </w:pPr>
            <w:r w:rsidRPr="004468E0">
              <w:rPr>
                <w:sz w:val="26"/>
                <w:szCs w:val="26"/>
              </w:rPr>
              <w:t>Projekta izstrādē iesaistītās institūcijas</w:t>
            </w:r>
          </w:p>
        </w:tc>
        <w:tc>
          <w:tcPr>
            <w:tcW w:w="6356" w:type="dxa"/>
            <w:tcBorders>
              <w:top w:val="outset" w:sz="6" w:space="0" w:color="auto"/>
              <w:left w:val="outset" w:sz="6" w:space="0" w:color="auto"/>
              <w:bottom w:val="outset" w:sz="6" w:space="0" w:color="auto"/>
              <w:right w:val="outset" w:sz="6" w:space="0" w:color="auto"/>
            </w:tcBorders>
          </w:tcPr>
          <w:p w14:paraId="2BF1183D" w14:textId="77777777" w:rsidR="00F06FE2" w:rsidRPr="004468E0" w:rsidRDefault="00F24E3B" w:rsidP="00F24E3B">
            <w:pPr>
              <w:jc w:val="both"/>
              <w:rPr>
                <w:sz w:val="26"/>
                <w:szCs w:val="26"/>
                <w:lang w:val="lv-LV"/>
              </w:rPr>
            </w:pPr>
            <w:r w:rsidRPr="004468E0">
              <w:rPr>
                <w:sz w:val="26"/>
                <w:szCs w:val="26"/>
                <w:lang w:val="lv-LV"/>
              </w:rPr>
              <w:t xml:space="preserve"> </w:t>
            </w:r>
            <w:r w:rsidR="008455E6" w:rsidRPr="004468E0">
              <w:rPr>
                <w:sz w:val="26"/>
                <w:szCs w:val="26"/>
                <w:lang w:val="lv-LV"/>
              </w:rPr>
              <w:t>Valsts ieņēmumu dienests.</w:t>
            </w:r>
          </w:p>
        </w:tc>
      </w:tr>
      <w:tr w:rsidR="00F06FE2" w:rsidRPr="004468E0" w14:paraId="48882915" w14:textId="77777777" w:rsidTr="002A69C0">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14:paraId="1A8BA927" w14:textId="77777777" w:rsidR="00F06FE2" w:rsidRPr="004468E0" w:rsidRDefault="00F06FE2" w:rsidP="00BD4854">
            <w:pPr>
              <w:pStyle w:val="naiskr"/>
              <w:jc w:val="both"/>
              <w:rPr>
                <w:sz w:val="26"/>
                <w:szCs w:val="26"/>
              </w:rPr>
            </w:pPr>
            <w:r w:rsidRPr="004468E0">
              <w:rPr>
                <w:sz w:val="26"/>
                <w:szCs w:val="26"/>
              </w:rPr>
              <w:t> 6.</w:t>
            </w:r>
          </w:p>
        </w:tc>
        <w:tc>
          <w:tcPr>
            <w:tcW w:w="1897" w:type="dxa"/>
            <w:tcBorders>
              <w:top w:val="outset" w:sz="6" w:space="0" w:color="auto"/>
              <w:left w:val="outset" w:sz="6" w:space="0" w:color="auto"/>
              <w:bottom w:val="outset" w:sz="6" w:space="0" w:color="auto"/>
              <w:right w:val="outset" w:sz="6" w:space="0" w:color="auto"/>
            </w:tcBorders>
          </w:tcPr>
          <w:p w14:paraId="7AE4F669" w14:textId="77777777" w:rsidR="00F06FE2" w:rsidRPr="004468E0" w:rsidRDefault="00F06FE2" w:rsidP="00BD4854">
            <w:pPr>
              <w:pStyle w:val="naiskr"/>
              <w:jc w:val="both"/>
              <w:rPr>
                <w:sz w:val="26"/>
                <w:szCs w:val="26"/>
              </w:rPr>
            </w:pPr>
            <w:r w:rsidRPr="004468E0">
              <w:rPr>
                <w:sz w:val="26"/>
                <w:szCs w:val="26"/>
              </w:rPr>
              <w:t>Iemesli, kādēļ netika nodrošināta sabiedrības līdzdalība</w:t>
            </w:r>
          </w:p>
        </w:tc>
        <w:tc>
          <w:tcPr>
            <w:tcW w:w="6356" w:type="dxa"/>
            <w:tcBorders>
              <w:top w:val="outset" w:sz="6" w:space="0" w:color="auto"/>
              <w:left w:val="outset" w:sz="6" w:space="0" w:color="auto"/>
              <w:bottom w:val="outset" w:sz="6" w:space="0" w:color="auto"/>
              <w:right w:val="outset" w:sz="6" w:space="0" w:color="auto"/>
            </w:tcBorders>
          </w:tcPr>
          <w:p w14:paraId="3CCE11A8" w14:textId="77777777" w:rsidR="00F06FE2" w:rsidRPr="004468E0" w:rsidRDefault="00F06FE2" w:rsidP="008455E6">
            <w:pPr>
              <w:jc w:val="both"/>
              <w:rPr>
                <w:sz w:val="26"/>
                <w:szCs w:val="26"/>
                <w:lang w:val="lv-LV"/>
              </w:rPr>
            </w:pPr>
            <w:r w:rsidRPr="004468E0">
              <w:rPr>
                <w:sz w:val="26"/>
                <w:szCs w:val="26"/>
                <w:lang w:val="lv-LV"/>
              </w:rPr>
              <w:t xml:space="preserve">Likumprojektā ietvertais regulējums ir vērsts pret </w:t>
            </w:r>
            <w:r w:rsidR="008455E6" w:rsidRPr="004468E0">
              <w:rPr>
                <w:sz w:val="26"/>
                <w:szCs w:val="26"/>
                <w:lang w:val="lv-LV"/>
              </w:rPr>
              <w:t>negodīgiem komersantiem</w:t>
            </w:r>
            <w:r w:rsidRPr="004468E0">
              <w:rPr>
                <w:sz w:val="26"/>
                <w:szCs w:val="26"/>
                <w:lang w:val="lv-LV"/>
              </w:rPr>
              <w:t>, kuru izslēgšana no uzņēmējdarbības vides veicinās godīgu konkurenci un uzņēmējdarbības attīstību kopumā, aizstāvot sabiedrības intereses.</w:t>
            </w:r>
          </w:p>
        </w:tc>
      </w:tr>
      <w:tr w:rsidR="00F06FE2" w:rsidRPr="004468E0" w14:paraId="30981BEE" w14:textId="77777777" w:rsidTr="002A69C0">
        <w:trPr>
          <w:tblCellSpacing w:w="0" w:type="dxa"/>
        </w:trPr>
        <w:tc>
          <w:tcPr>
            <w:tcW w:w="528" w:type="dxa"/>
            <w:tcBorders>
              <w:top w:val="outset" w:sz="6" w:space="0" w:color="auto"/>
              <w:left w:val="outset" w:sz="6" w:space="0" w:color="auto"/>
              <w:bottom w:val="outset" w:sz="6" w:space="0" w:color="auto"/>
              <w:right w:val="outset" w:sz="6" w:space="0" w:color="auto"/>
            </w:tcBorders>
          </w:tcPr>
          <w:p w14:paraId="2A9CD64F" w14:textId="77777777" w:rsidR="00F06FE2" w:rsidRPr="004468E0" w:rsidRDefault="00F06FE2" w:rsidP="00BD4854">
            <w:pPr>
              <w:pStyle w:val="naiskr"/>
              <w:jc w:val="both"/>
              <w:rPr>
                <w:sz w:val="26"/>
                <w:szCs w:val="26"/>
              </w:rPr>
            </w:pPr>
            <w:r w:rsidRPr="004468E0">
              <w:rPr>
                <w:sz w:val="26"/>
                <w:szCs w:val="26"/>
              </w:rPr>
              <w:t> 7.</w:t>
            </w:r>
          </w:p>
        </w:tc>
        <w:tc>
          <w:tcPr>
            <w:tcW w:w="1897" w:type="dxa"/>
            <w:tcBorders>
              <w:top w:val="outset" w:sz="6" w:space="0" w:color="auto"/>
              <w:left w:val="outset" w:sz="6" w:space="0" w:color="auto"/>
              <w:bottom w:val="outset" w:sz="6" w:space="0" w:color="auto"/>
              <w:right w:val="outset" w:sz="6" w:space="0" w:color="auto"/>
            </w:tcBorders>
          </w:tcPr>
          <w:p w14:paraId="5DD659B5" w14:textId="77777777" w:rsidR="00F06FE2" w:rsidRPr="004468E0" w:rsidRDefault="00F06FE2" w:rsidP="00BD4854">
            <w:pPr>
              <w:pStyle w:val="naiskr"/>
              <w:jc w:val="both"/>
              <w:rPr>
                <w:sz w:val="26"/>
                <w:szCs w:val="26"/>
              </w:rPr>
            </w:pPr>
            <w:r w:rsidRPr="004468E0">
              <w:rPr>
                <w:sz w:val="26"/>
                <w:szCs w:val="26"/>
              </w:rPr>
              <w:t>Cita informācija</w:t>
            </w:r>
          </w:p>
        </w:tc>
        <w:tc>
          <w:tcPr>
            <w:tcW w:w="6356" w:type="dxa"/>
            <w:tcBorders>
              <w:top w:val="outset" w:sz="6" w:space="0" w:color="auto"/>
              <w:left w:val="outset" w:sz="6" w:space="0" w:color="auto"/>
              <w:bottom w:val="outset" w:sz="6" w:space="0" w:color="auto"/>
              <w:right w:val="outset" w:sz="6" w:space="0" w:color="auto"/>
            </w:tcBorders>
          </w:tcPr>
          <w:p w14:paraId="3D4C3B9F" w14:textId="5D3E7AC9" w:rsidR="00F06FE2" w:rsidRPr="004468E0" w:rsidRDefault="00F06FE2" w:rsidP="004468E0">
            <w:pPr>
              <w:jc w:val="both"/>
              <w:rPr>
                <w:sz w:val="26"/>
                <w:szCs w:val="26"/>
                <w:lang w:val="lv-LV" w:eastAsia="lv-LV"/>
              </w:rPr>
            </w:pPr>
            <w:r w:rsidRPr="004468E0">
              <w:rPr>
                <w:sz w:val="26"/>
                <w:szCs w:val="26"/>
                <w:lang w:val="lv-LV"/>
              </w:rPr>
              <w:t>Nav attiecināms.</w:t>
            </w:r>
          </w:p>
        </w:tc>
      </w:tr>
    </w:tbl>
    <w:p w14:paraId="567449C8" w14:textId="77777777" w:rsidR="00F06FE2" w:rsidRPr="004468E0" w:rsidRDefault="00F06FE2" w:rsidP="00F06FE2">
      <w:pPr>
        <w:jc w:val="both"/>
        <w:rPr>
          <w:sz w:val="26"/>
          <w:szCs w:val="26"/>
          <w:lang w:val="lv-LV"/>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2043"/>
        <w:gridCol w:w="6214"/>
      </w:tblGrid>
      <w:tr w:rsidR="00F06FE2" w:rsidRPr="004468E0" w14:paraId="0B2E4538" w14:textId="77777777" w:rsidTr="002A69C0">
        <w:trPr>
          <w:tblCellSpacing w:w="0" w:type="dxa"/>
        </w:trPr>
        <w:tc>
          <w:tcPr>
            <w:tcW w:w="8781" w:type="dxa"/>
            <w:gridSpan w:val="3"/>
            <w:tcBorders>
              <w:top w:val="outset" w:sz="6" w:space="0" w:color="auto"/>
              <w:left w:val="outset" w:sz="6" w:space="0" w:color="auto"/>
              <w:bottom w:val="outset" w:sz="6" w:space="0" w:color="auto"/>
              <w:right w:val="outset" w:sz="6" w:space="0" w:color="auto"/>
            </w:tcBorders>
            <w:vAlign w:val="center"/>
          </w:tcPr>
          <w:p w14:paraId="463F7312" w14:textId="77777777" w:rsidR="00F06FE2" w:rsidRPr="004468E0" w:rsidRDefault="00F06FE2" w:rsidP="00BD4854">
            <w:pPr>
              <w:pStyle w:val="naisnod"/>
              <w:jc w:val="both"/>
              <w:rPr>
                <w:bCs/>
                <w:sz w:val="26"/>
                <w:szCs w:val="26"/>
              </w:rPr>
            </w:pPr>
            <w:r w:rsidRPr="004468E0">
              <w:rPr>
                <w:bCs/>
                <w:sz w:val="26"/>
                <w:szCs w:val="26"/>
              </w:rPr>
              <w:t>II. Tiesību akta projekta ietekme uz sabiedrību</w:t>
            </w:r>
          </w:p>
        </w:tc>
      </w:tr>
      <w:tr w:rsidR="00F06FE2" w:rsidRPr="004468E0" w14:paraId="15E907FE" w14:textId="77777777" w:rsidTr="002A69C0">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14:paraId="09223A5B" w14:textId="77777777" w:rsidR="00F06FE2" w:rsidRPr="004468E0" w:rsidRDefault="00F06FE2" w:rsidP="00BD4854">
            <w:pPr>
              <w:pStyle w:val="naiskr"/>
              <w:jc w:val="both"/>
              <w:rPr>
                <w:sz w:val="26"/>
                <w:szCs w:val="26"/>
              </w:rPr>
            </w:pPr>
            <w:r w:rsidRPr="004468E0">
              <w:rPr>
                <w:sz w:val="26"/>
                <w:szCs w:val="26"/>
              </w:rPr>
              <w:t> 1.</w:t>
            </w:r>
          </w:p>
        </w:tc>
        <w:tc>
          <w:tcPr>
            <w:tcW w:w="2043" w:type="dxa"/>
            <w:tcBorders>
              <w:top w:val="outset" w:sz="6" w:space="0" w:color="auto"/>
              <w:left w:val="outset" w:sz="6" w:space="0" w:color="auto"/>
              <w:bottom w:val="outset" w:sz="6" w:space="0" w:color="auto"/>
              <w:right w:val="outset" w:sz="6" w:space="0" w:color="auto"/>
            </w:tcBorders>
          </w:tcPr>
          <w:p w14:paraId="012573B4" w14:textId="77777777" w:rsidR="00F06FE2" w:rsidRPr="004468E0" w:rsidRDefault="00F06FE2" w:rsidP="00BD4854">
            <w:pPr>
              <w:pStyle w:val="naiskr"/>
              <w:jc w:val="both"/>
              <w:rPr>
                <w:sz w:val="26"/>
                <w:szCs w:val="26"/>
              </w:rPr>
            </w:pPr>
            <w:r w:rsidRPr="004468E0">
              <w:rPr>
                <w:sz w:val="26"/>
                <w:szCs w:val="26"/>
              </w:rPr>
              <w:t xml:space="preserve">Sabiedrības </w:t>
            </w:r>
            <w:proofErr w:type="spellStart"/>
            <w:r w:rsidRPr="004468E0">
              <w:rPr>
                <w:sz w:val="26"/>
                <w:szCs w:val="26"/>
              </w:rPr>
              <w:t>mērķgrupa</w:t>
            </w:r>
            <w:proofErr w:type="spellEnd"/>
          </w:p>
        </w:tc>
        <w:tc>
          <w:tcPr>
            <w:tcW w:w="6214" w:type="dxa"/>
            <w:tcBorders>
              <w:top w:val="outset" w:sz="6" w:space="0" w:color="auto"/>
              <w:left w:val="outset" w:sz="6" w:space="0" w:color="auto"/>
              <w:bottom w:val="outset" w:sz="6" w:space="0" w:color="auto"/>
              <w:right w:val="outset" w:sz="6" w:space="0" w:color="auto"/>
            </w:tcBorders>
          </w:tcPr>
          <w:p w14:paraId="34936727" w14:textId="7CC2EE57" w:rsidR="00F06FE2" w:rsidRPr="004468E0" w:rsidRDefault="00F06FE2" w:rsidP="007807B2">
            <w:pPr>
              <w:pStyle w:val="naiskr"/>
              <w:spacing w:before="0" w:beforeAutospacing="0" w:after="0" w:afterAutospacing="0"/>
              <w:jc w:val="both"/>
              <w:rPr>
                <w:sz w:val="26"/>
                <w:szCs w:val="26"/>
              </w:rPr>
            </w:pPr>
            <w:r w:rsidRPr="004468E0">
              <w:rPr>
                <w:sz w:val="26"/>
                <w:szCs w:val="26"/>
              </w:rPr>
              <w:t xml:space="preserve">Likumprojekts attiecināms uz </w:t>
            </w:r>
            <w:r w:rsidR="008455E6" w:rsidRPr="004468E0">
              <w:rPr>
                <w:sz w:val="26"/>
                <w:szCs w:val="26"/>
              </w:rPr>
              <w:t xml:space="preserve">komersantiem, kas saņēmuši </w:t>
            </w:r>
            <w:r w:rsidR="008455E6" w:rsidRPr="004468E0">
              <w:rPr>
                <w:bCs/>
                <w:sz w:val="26"/>
                <w:szCs w:val="26"/>
              </w:rPr>
              <w:t>speciālo atļauju (licenci) apstiprināta noliktavas turētāja darbībai ar naftas produktiem, reģistrēta saņēmēja darbībai ar naftas produktiem vai reģistrēta nosūtītāja darbībai ar naftas produktiem</w:t>
            </w:r>
            <w:r w:rsidR="008455E6" w:rsidRPr="004468E0">
              <w:rPr>
                <w:sz w:val="26"/>
                <w:szCs w:val="26"/>
              </w:rPr>
              <w:t>, ja tie neatbildīs Ministru kabineta noteikumos noteiktajām prasībām, kas ļauj saņemt atviegloj</w:t>
            </w:r>
            <w:r w:rsidR="009A05F3" w:rsidRPr="004468E0">
              <w:rPr>
                <w:sz w:val="26"/>
                <w:szCs w:val="26"/>
              </w:rPr>
              <w:t>umus Nodrošinājuma iesniegšanai, kas ir ne vairāk kā 7 nozares komersanti.</w:t>
            </w:r>
          </w:p>
        </w:tc>
      </w:tr>
      <w:tr w:rsidR="00F06FE2" w:rsidRPr="004468E0" w14:paraId="5C54D05D" w14:textId="77777777" w:rsidTr="002A69C0">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14:paraId="27E45BAD" w14:textId="77777777" w:rsidR="00F06FE2" w:rsidRPr="004468E0" w:rsidRDefault="00F06FE2" w:rsidP="00BD4854">
            <w:pPr>
              <w:pStyle w:val="naiskr"/>
              <w:jc w:val="both"/>
              <w:rPr>
                <w:sz w:val="26"/>
                <w:szCs w:val="26"/>
              </w:rPr>
            </w:pPr>
            <w:r w:rsidRPr="004468E0">
              <w:rPr>
                <w:sz w:val="26"/>
                <w:szCs w:val="26"/>
              </w:rPr>
              <w:t> 2.</w:t>
            </w:r>
          </w:p>
        </w:tc>
        <w:tc>
          <w:tcPr>
            <w:tcW w:w="2043" w:type="dxa"/>
            <w:tcBorders>
              <w:top w:val="outset" w:sz="6" w:space="0" w:color="auto"/>
              <w:left w:val="outset" w:sz="6" w:space="0" w:color="auto"/>
              <w:bottom w:val="outset" w:sz="6" w:space="0" w:color="auto"/>
              <w:right w:val="outset" w:sz="6" w:space="0" w:color="auto"/>
            </w:tcBorders>
          </w:tcPr>
          <w:p w14:paraId="7E9DC71C" w14:textId="77777777" w:rsidR="00F06FE2" w:rsidRPr="004468E0" w:rsidRDefault="00F06FE2" w:rsidP="00BD4854">
            <w:pPr>
              <w:pStyle w:val="naiskr"/>
              <w:jc w:val="both"/>
              <w:rPr>
                <w:sz w:val="26"/>
                <w:szCs w:val="26"/>
              </w:rPr>
            </w:pPr>
            <w:r w:rsidRPr="004468E0">
              <w:rPr>
                <w:sz w:val="26"/>
                <w:szCs w:val="26"/>
              </w:rPr>
              <w:t xml:space="preserve">Citas sabiedrības grupas (bez </w:t>
            </w:r>
            <w:proofErr w:type="spellStart"/>
            <w:r w:rsidRPr="004468E0">
              <w:rPr>
                <w:sz w:val="26"/>
                <w:szCs w:val="26"/>
              </w:rPr>
              <w:t>mērķgrupas</w:t>
            </w:r>
            <w:proofErr w:type="spellEnd"/>
            <w:r w:rsidRPr="004468E0">
              <w:rPr>
                <w:sz w:val="26"/>
                <w:szCs w:val="26"/>
              </w:rPr>
              <w:t>), kuras tiesiskais regulējums arī ietekmē vai varētu ietekmēt</w:t>
            </w:r>
          </w:p>
        </w:tc>
        <w:tc>
          <w:tcPr>
            <w:tcW w:w="6214" w:type="dxa"/>
            <w:tcBorders>
              <w:top w:val="outset" w:sz="6" w:space="0" w:color="auto"/>
              <w:left w:val="outset" w:sz="6" w:space="0" w:color="auto"/>
              <w:bottom w:val="outset" w:sz="6" w:space="0" w:color="auto"/>
              <w:right w:val="outset" w:sz="6" w:space="0" w:color="auto"/>
            </w:tcBorders>
          </w:tcPr>
          <w:p w14:paraId="05EC7BC4" w14:textId="77777777" w:rsidR="00F06FE2" w:rsidRPr="004468E0" w:rsidRDefault="00EC7649" w:rsidP="00BD4854">
            <w:pPr>
              <w:pStyle w:val="naiskr"/>
              <w:jc w:val="both"/>
              <w:rPr>
                <w:sz w:val="26"/>
                <w:szCs w:val="26"/>
              </w:rPr>
            </w:pPr>
            <w:r w:rsidRPr="004468E0">
              <w:rPr>
                <w:sz w:val="26"/>
                <w:szCs w:val="26"/>
              </w:rPr>
              <w:t>Likumprojekts attieksies arī uz Valsts ieņēmumu dienestu un tā nodarbinātajiem, kuru darba pienākumos ietilps pārliecināties par personas atbilstību Ministru kabineta noteikumos uzskaitītajām prasībām atvieglojumu saņemšanai, kā arī Nodrošinājuma apstiprināšana.</w:t>
            </w:r>
          </w:p>
        </w:tc>
      </w:tr>
      <w:tr w:rsidR="00F06FE2" w:rsidRPr="004468E0" w14:paraId="569E44C0" w14:textId="77777777" w:rsidTr="002A69C0">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3CCA6889" w14:textId="77777777" w:rsidR="00F06FE2" w:rsidRPr="004468E0" w:rsidRDefault="00F06FE2" w:rsidP="00BD4854">
            <w:pPr>
              <w:pStyle w:val="naiskr"/>
              <w:jc w:val="both"/>
              <w:rPr>
                <w:sz w:val="26"/>
                <w:szCs w:val="26"/>
              </w:rPr>
            </w:pPr>
            <w:r w:rsidRPr="004468E0">
              <w:rPr>
                <w:sz w:val="26"/>
                <w:szCs w:val="26"/>
              </w:rPr>
              <w:t> 3.</w:t>
            </w:r>
          </w:p>
        </w:tc>
        <w:tc>
          <w:tcPr>
            <w:tcW w:w="2043" w:type="dxa"/>
            <w:tcBorders>
              <w:top w:val="outset" w:sz="6" w:space="0" w:color="auto"/>
              <w:left w:val="outset" w:sz="6" w:space="0" w:color="auto"/>
              <w:bottom w:val="outset" w:sz="6" w:space="0" w:color="auto"/>
              <w:right w:val="outset" w:sz="6" w:space="0" w:color="auto"/>
            </w:tcBorders>
          </w:tcPr>
          <w:p w14:paraId="3C192710" w14:textId="77777777" w:rsidR="00F06FE2" w:rsidRPr="004468E0" w:rsidRDefault="00F06FE2" w:rsidP="00BD4854">
            <w:pPr>
              <w:pStyle w:val="naiskr"/>
              <w:jc w:val="both"/>
              <w:rPr>
                <w:sz w:val="26"/>
                <w:szCs w:val="26"/>
              </w:rPr>
            </w:pPr>
            <w:r w:rsidRPr="004468E0">
              <w:rPr>
                <w:sz w:val="26"/>
                <w:szCs w:val="26"/>
              </w:rPr>
              <w:t>Tiesiskā regulējuma finansiālā ietekme</w:t>
            </w:r>
          </w:p>
        </w:tc>
        <w:tc>
          <w:tcPr>
            <w:tcW w:w="6214" w:type="dxa"/>
            <w:tcBorders>
              <w:top w:val="outset" w:sz="6" w:space="0" w:color="auto"/>
              <w:left w:val="outset" w:sz="6" w:space="0" w:color="auto"/>
              <w:bottom w:val="outset" w:sz="6" w:space="0" w:color="auto"/>
              <w:right w:val="outset" w:sz="6" w:space="0" w:color="auto"/>
            </w:tcBorders>
          </w:tcPr>
          <w:p w14:paraId="2BFC5BBE" w14:textId="77777777" w:rsidR="00F06FE2" w:rsidRPr="004468E0" w:rsidRDefault="00F06FE2" w:rsidP="00BD4854">
            <w:pPr>
              <w:jc w:val="both"/>
              <w:rPr>
                <w:sz w:val="26"/>
                <w:szCs w:val="26"/>
                <w:lang w:val="lv-LV"/>
              </w:rPr>
            </w:pPr>
            <w:r w:rsidRPr="004468E0">
              <w:rPr>
                <w:sz w:val="26"/>
                <w:szCs w:val="26"/>
                <w:lang w:val="lv-LV"/>
              </w:rPr>
              <w:t>Nav attiecināms</w:t>
            </w:r>
          </w:p>
          <w:p w14:paraId="0B585414" w14:textId="77777777" w:rsidR="00F06FE2" w:rsidRPr="004468E0" w:rsidRDefault="00F06FE2" w:rsidP="00BD4854">
            <w:pPr>
              <w:jc w:val="both"/>
              <w:rPr>
                <w:sz w:val="26"/>
                <w:szCs w:val="26"/>
                <w:lang w:val="lv-LV"/>
              </w:rPr>
            </w:pPr>
          </w:p>
        </w:tc>
      </w:tr>
      <w:tr w:rsidR="00F06FE2" w:rsidRPr="004468E0" w14:paraId="13DF0A69" w14:textId="77777777" w:rsidTr="002A69C0">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14:paraId="10C07084" w14:textId="77777777" w:rsidR="00F06FE2" w:rsidRPr="004468E0" w:rsidRDefault="00F06FE2" w:rsidP="00BD4854">
            <w:pPr>
              <w:pStyle w:val="naiskr"/>
              <w:jc w:val="both"/>
              <w:rPr>
                <w:sz w:val="26"/>
                <w:szCs w:val="26"/>
              </w:rPr>
            </w:pPr>
            <w:r w:rsidRPr="004468E0">
              <w:rPr>
                <w:sz w:val="26"/>
                <w:szCs w:val="26"/>
              </w:rPr>
              <w:t> 4.</w:t>
            </w:r>
          </w:p>
        </w:tc>
        <w:tc>
          <w:tcPr>
            <w:tcW w:w="2043" w:type="dxa"/>
            <w:tcBorders>
              <w:top w:val="outset" w:sz="6" w:space="0" w:color="auto"/>
              <w:left w:val="outset" w:sz="6" w:space="0" w:color="auto"/>
              <w:bottom w:val="outset" w:sz="6" w:space="0" w:color="auto"/>
              <w:right w:val="outset" w:sz="6" w:space="0" w:color="auto"/>
            </w:tcBorders>
          </w:tcPr>
          <w:p w14:paraId="41A9279C" w14:textId="77777777" w:rsidR="00F06FE2" w:rsidRPr="004468E0" w:rsidRDefault="00F06FE2" w:rsidP="00BD4854">
            <w:pPr>
              <w:pStyle w:val="naiskr"/>
              <w:jc w:val="both"/>
              <w:rPr>
                <w:sz w:val="26"/>
                <w:szCs w:val="26"/>
              </w:rPr>
            </w:pPr>
            <w:r w:rsidRPr="004468E0">
              <w:rPr>
                <w:sz w:val="26"/>
                <w:szCs w:val="26"/>
              </w:rPr>
              <w:t>Tiesiskā regulējuma nefinansiālā ietekme</w:t>
            </w:r>
          </w:p>
        </w:tc>
        <w:tc>
          <w:tcPr>
            <w:tcW w:w="6214" w:type="dxa"/>
            <w:tcBorders>
              <w:top w:val="outset" w:sz="6" w:space="0" w:color="auto"/>
              <w:left w:val="outset" w:sz="6" w:space="0" w:color="auto"/>
              <w:bottom w:val="outset" w:sz="6" w:space="0" w:color="auto"/>
              <w:right w:val="outset" w:sz="6" w:space="0" w:color="auto"/>
            </w:tcBorders>
          </w:tcPr>
          <w:p w14:paraId="1161533B" w14:textId="77777777" w:rsidR="00F06FE2" w:rsidRPr="004468E0" w:rsidRDefault="00F06FE2" w:rsidP="00BD4854">
            <w:pPr>
              <w:jc w:val="both"/>
              <w:rPr>
                <w:color w:val="000000"/>
                <w:sz w:val="26"/>
                <w:szCs w:val="26"/>
                <w:lang w:val="lv-LV"/>
              </w:rPr>
            </w:pPr>
            <w:r w:rsidRPr="004468E0">
              <w:rPr>
                <w:color w:val="000000"/>
                <w:sz w:val="26"/>
                <w:szCs w:val="26"/>
                <w:lang w:val="lv-LV"/>
              </w:rPr>
              <w:t>Likumprojekts vērsts uz komercdarbības vides un saimnieciskās darbības vides sakārtošan</w:t>
            </w:r>
            <w:r w:rsidR="008455E6" w:rsidRPr="004468E0">
              <w:rPr>
                <w:color w:val="000000"/>
                <w:sz w:val="26"/>
                <w:szCs w:val="26"/>
                <w:lang w:val="lv-LV"/>
              </w:rPr>
              <w:t>u, izslēdzot no tās negodprātīgu</w:t>
            </w:r>
            <w:r w:rsidRPr="004468E0">
              <w:rPr>
                <w:color w:val="000000"/>
                <w:sz w:val="26"/>
                <w:szCs w:val="26"/>
                <w:lang w:val="lv-LV"/>
              </w:rPr>
              <w:t xml:space="preserve">s </w:t>
            </w:r>
            <w:r w:rsidR="008455E6" w:rsidRPr="004468E0">
              <w:rPr>
                <w:color w:val="000000"/>
                <w:sz w:val="26"/>
                <w:szCs w:val="26"/>
                <w:lang w:val="lv-LV"/>
              </w:rPr>
              <w:t>komersantus</w:t>
            </w:r>
            <w:r w:rsidRPr="004468E0">
              <w:rPr>
                <w:color w:val="000000"/>
                <w:sz w:val="26"/>
                <w:szCs w:val="26"/>
                <w:lang w:val="lv-LV"/>
              </w:rPr>
              <w:t xml:space="preserve">. </w:t>
            </w:r>
          </w:p>
          <w:p w14:paraId="5DC2C3D1" w14:textId="77777777" w:rsidR="00F06FE2" w:rsidRPr="004468E0" w:rsidRDefault="00F06FE2" w:rsidP="00BD4854">
            <w:pPr>
              <w:jc w:val="both"/>
              <w:rPr>
                <w:sz w:val="26"/>
                <w:szCs w:val="26"/>
                <w:lang w:val="lv-LV"/>
              </w:rPr>
            </w:pPr>
          </w:p>
        </w:tc>
      </w:tr>
      <w:tr w:rsidR="00F06FE2" w:rsidRPr="004468E0" w14:paraId="521B1C39" w14:textId="77777777" w:rsidTr="002A69C0">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14:paraId="6E9F1DAE" w14:textId="77777777" w:rsidR="00F06FE2" w:rsidRPr="004468E0" w:rsidRDefault="00F06FE2" w:rsidP="00BD4854">
            <w:pPr>
              <w:pStyle w:val="naiskr"/>
              <w:jc w:val="both"/>
              <w:rPr>
                <w:sz w:val="26"/>
                <w:szCs w:val="26"/>
              </w:rPr>
            </w:pPr>
            <w:r w:rsidRPr="004468E0">
              <w:rPr>
                <w:sz w:val="26"/>
                <w:szCs w:val="26"/>
              </w:rPr>
              <w:t> 5.</w:t>
            </w:r>
          </w:p>
        </w:tc>
        <w:tc>
          <w:tcPr>
            <w:tcW w:w="2043" w:type="dxa"/>
            <w:tcBorders>
              <w:top w:val="outset" w:sz="6" w:space="0" w:color="auto"/>
              <w:left w:val="outset" w:sz="6" w:space="0" w:color="auto"/>
              <w:bottom w:val="outset" w:sz="6" w:space="0" w:color="auto"/>
              <w:right w:val="outset" w:sz="6" w:space="0" w:color="auto"/>
            </w:tcBorders>
          </w:tcPr>
          <w:p w14:paraId="69429D9C" w14:textId="77777777" w:rsidR="00F06FE2" w:rsidRPr="004468E0" w:rsidRDefault="00F06FE2" w:rsidP="00BD4854">
            <w:pPr>
              <w:pStyle w:val="naiskr"/>
              <w:jc w:val="both"/>
              <w:rPr>
                <w:sz w:val="26"/>
                <w:szCs w:val="26"/>
              </w:rPr>
            </w:pPr>
            <w:r w:rsidRPr="004468E0">
              <w:rPr>
                <w:sz w:val="26"/>
                <w:szCs w:val="26"/>
              </w:rPr>
              <w:t>Administratīvās procedūras raksturojums</w:t>
            </w:r>
          </w:p>
        </w:tc>
        <w:tc>
          <w:tcPr>
            <w:tcW w:w="6214" w:type="dxa"/>
            <w:tcBorders>
              <w:top w:val="outset" w:sz="6" w:space="0" w:color="auto"/>
              <w:left w:val="outset" w:sz="6" w:space="0" w:color="auto"/>
              <w:bottom w:val="outset" w:sz="6" w:space="0" w:color="auto"/>
              <w:right w:val="outset" w:sz="6" w:space="0" w:color="auto"/>
            </w:tcBorders>
          </w:tcPr>
          <w:p w14:paraId="3BA55E30" w14:textId="77777777" w:rsidR="00F06FE2" w:rsidRPr="004468E0" w:rsidRDefault="008455E6" w:rsidP="007807B2">
            <w:pPr>
              <w:jc w:val="both"/>
              <w:rPr>
                <w:sz w:val="26"/>
                <w:szCs w:val="26"/>
                <w:lang w:val="lv-LV" w:eastAsia="lv-LV"/>
              </w:rPr>
            </w:pPr>
            <w:r w:rsidRPr="004468E0">
              <w:rPr>
                <w:sz w:val="26"/>
                <w:szCs w:val="26"/>
                <w:lang w:val="lv-LV" w:eastAsia="lv-LV"/>
              </w:rPr>
              <w:t>Valsts ieņēmumu dienests pieņems un apstiprinās komersantu iesniegtos Nodrošinājumus, lems par atvieglojumu piemērošanu komersantiem, kas atbildīs Ministru kabineta noteikumos noteiktajām prasībām</w:t>
            </w:r>
            <w:r w:rsidR="006179D1" w:rsidRPr="004468E0">
              <w:rPr>
                <w:sz w:val="26"/>
                <w:szCs w:val="26"/>
                <w:lang w:val="lv-LV" w:eastAsia="lv-LV"/>
              </w:rPr>
              <w:t>.</w:t>
            </w:r>
            <w:r w:rsidR="00F06FE2" w:rsidRPr="004468E0">
              <w:rPr>
                <w:sz w:val="26"/>
                <w:szCs w:val="26"/>
                <w:lang w:val="lv-LV" w:eastAsia="lv-LV"/>
              </w:rPr>
              <w:t xml:space="preserve"> </w:t>
            </w:r>
          </w:p>
        </w:tc>
      </w:tr>
      <w:tr w:rsidR="00F06FE2" w:rsidRPr="004468E0" w14:paraId="472EB40D" w14:textId="77777777" w:rsidTr="002A69C0">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14:paraId="751686CD" w14:textId="77777777" w:rsidR="00F06FE2" w:rsidRPr="004468E0" w:rsidRDefault="00F06FE2" w:rsidP="00BD4854">
            <w:pPr>
              <w:pStyle w:val="naiskr"/>
              <w:jc w:val="both"/>
              <w:rPr>
                <w:sz w:val="26"/>
                <w:szCs w:val="26"/>
              </w:rPr>
            </w:pPr>
            <w:r w:rsidRPr="004468E0">
              <w:rPr>
                <w:sz w:val="26"/>
                <w:szCs w:val="26"/>
              </w:rPr>
              <w:t> 6.</w:t>
            </w:r>
          </w:p>
        </w:tc>
        <w:tc>
          <w:tcPr>
            <w:tcW w:w="2043" w:type="dxa"/>
            <w:tcBorders>
              <w:top w:val="outset" w:sz="6" w:space="0" w:color="auto"/>
              <w:left w:val="outset" w:sz="6" w:space="0" w:color="auto"/>
              <w:bottom w:val="outset" w:sz="6" w:space="0" w:color="auto"/>
              <w:right w:val="outset" w:sz="6" w:space="0" w:color="auto"/>
            </w:tcBorders>
          </w:tcPr>
          <w:p w14:paraId="7C3E6D57" w14:textId="77777777" w:rsidR="00F06FE2" w:rsidRPr="004468E0" w:rsidRDefault="00F06FE2" w:rsidP="00BD4854">
            <w:pPr>
              <w:pStyle w:val="naiskr"/>
              <w:jc w:val="both"/>
              <w:rPr>
                <w:sz w:val="26"/>
                <w:szCs w:val="26"/>
              </w:rPr>
            </w:pPr>
            <w:r w:rsidRPr="004468E0">
              <w:rPr>
                <w:sz w:val="26"/>
                <w:szCs w:val="26"/>
              </w:rPr>
              <w:t>Administratīvo izmaksu monetārs novērtējums</w:t>
            </w:r>
          </w:p>
        </w:tc>
        <w:tc>
          <w:tcPr>
            <w:tcW w:w="6214" w:type="dxa"/>
            <w:tcBorders>
              <w:top w:val="outset" w:sz="6" w:space="0" w:color="auto"/>
              <w:left w:val="outset" w:sz="6" w:space="0" w:color="auto"/>
              <w:bottom w:val="outset" w:sz="6" w:space="0" w:color="auto"/>
              <w:right w:val="outset" w:sz="6" w:space="0" w:color="auto"/>
            </w:tcBorders>
          </w:tcPr>
          <w:p w14:paraId="01F5A103" w14:textId="77777777" w:rsidR="00F06FE2" w:rsidRPr="004468E0" w:rsidRDefault="00F06FE2" w:rsidP="00BD4854">
            <w:pPr>
              <w:pStyle w:val="naiskr"/>
              <w:jc w:val="both"/>
              <w:rPr>
                <w:sz w:val="26"/>
                <w:szCs w:val="26"/>
              </w:rPr>
            </w:pPr>
            <w:r w:rsidRPr="004468E0">
              <w:rPr>
                <w:sz w:val="26"/>
                <w:szCs w:val="26"/>
              </w:rPr>
              <w:t> Nav attiecināms.</w:t>
            </w:r>
          </w:p>
        </w:tc>
      </w:tr>
      <w:tr w:rsidR="00F06FE2" w:rsidRPr="004468E0" w14:paraId="448140B0" w14:textId="77777777" w:rsidTr="002A69C0">
        <w:trPr>
          <w:tblCellSpacing w:w="0" w:type="dxa"/>
        </w:trPr>
        <w:tc>
          <w:tcPr>
            <w:tcW w:w="524" w:type="dxa"/>
            <w:tcBorders>
              <w:top w:val="outset" w:sz="6" w:space="0" w:color="auto"/>
              <w:left w:val="outset" w:sz="6" w:space="0" w:color="auto"/>
              <w:bottom w:val="outset" w:sz="6" w:space="0" w:color="auto"/>
              <w:right w:val="outset" w:sz="6" w:space="0" w:color="auto"/>
            </w:tcBorders>
          </w:tcPr>
          <w:p w14:paraId="65BE26E5" w14:textId="77777777" w:rsidR="00F06FE2" w:rsidRPr="004468E0" w:rsidRDefault="00F06FE2" w:rsidP="00BD4854">
            <w:pPr>
              <w:pStyle w:val="naiskr"/>
              <w:jc w:val="both"/>
              <w:rPr>
                <w:sz w:val="26"/>
                <w:szCs w:val="26"/>
              </w:rPr>
            </w:pPr>
            <w:r w:rsidRPr="004468E0">
              <w:rPr>
                <w:sz w:val="26"/>
                <w:szCs w:val="26"/>
              </w:rPr>
              <w:t> 7.</w:t>
            </w:r>
          </w:p>
        </w:tc>
        <w:tc>
          <w:tcPr>
            <w:tcW w:w="2043" w:type="dxa"/>
            <w:tcBorders>
              <w:top w:val="outset" w:sz="6" w:space="0" w:color="auto"/>
              <w:left w:val="outset" w:sz="6" w:space="0" w:color="auto"/>
              <w:bottom w:val="outset" w:sz="6" w:space="0" w:color="auto"/>
              <w:right w:val="outset" w:sz="6" w:space="0" w:color="auto"/>
            </w:tcBorders>
          </w:tcPr>
          <w:p w14:paraId="4AE71DAC" w14:textId="77777777" w:rsidR="00F06FE2" w:rsidRPr="004468E0" w:rsidRDefault="00F06FE2" w:rsidP="00BD4854">
            <w:pPr>
              <w:pStyle w:val="naiskr"/>
              <w:jc w:val="both"/>
              <w:rPr>
                <w:sz w:val="26"/>
                <w:szCs w:val="26"/>
              </w:rPr>
            </w:pPr>
            <w:r w:rsidRPr="004468E0">
              <w:rPr>
                <w:sz w:val="26"/>
                <w:szCs w:val="26"/>
              </w:rPr>
              <w:t>Cita informācija</w:t>
            </w:r>
          </w:p>
        </w:tc>
        <w:tc>
          <w:tcPr>
            <w:tcW w:w="6214" w:type="dxa"/>
            <w:tcBorders>
              <w:top w:val="outset" w:sz="6" w:space="0" w:color="auto"/>
              <w:left w:val="outset" w:sz="6" w:space="0" w:color="auto"/>
              <w:bottom w:val="outset" w:sz="6" w:space="0" w:color="auto"/>
              <w:right w:val="outset" w:sz="6" w:space="0" w:color="auto"/>
            </w:tcBorders>
          </w:tcPr>
          <w:p w14:paraId="1F6A1A57" w14:textId="77777777" w:rsidR="00F06FE2" w:rsidRPr="004468E0" w:rsidRDefault="00F06FE2" w:rsidP="00BD4854">
            <w:pPr>
              <w:pStyle w:val="naiskr"/>
              <w:jc w:val="both"/>
              <w:rPr>
                <w:sz w:val="26"/>
                <w:szCs w:val="26"/>
              </w:rPr>
            </w:pPr>
            <w:r w:rsidRPr="004468E0">
              <w:rPr>
                <w:sz w:val="26"/>
                <w:szCs w:val="26"/>
              </w:rPr>
              <w:t> Nav.</w:t>
            </w:r>
          </w:p>
        </w:tc>
      </w:tr>
    </w:tbl>
    <w:p w14:paraId="2D9B8BE9" w14:textId="77777777" w:rsidR="00F06FE2" w:rsidRPr="004468E0" w:rsidRDefault="00F06FE2" w:rsidP="00F06FE2">
      <w:pPr>
        <w:jc w:val="both"/>
        <w:rPr>
          <w:sz w:val="26"/>
          <w:szCs w:val="26"/>
          <w:lang w:val="lv-LV"/>
        </w:rPr>
      </w:pPr>
    </w:p>
    <w:tbl>
      <w:tblPr>
        <w:tblpPr w:leftFromText="180" w:rightFromText="180" w:vertAnchor="text" w:horzAnchor="margin" w:tblpX="-127" w:tblpY="371"/>
        <w:tblW w:w="8639" w:type="dxa"/>
        <w:tblCellSpacing w:w="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729"/>
        <w:gridCol w:w="1171"/>
        <w:gridCol w:w="1238"/>
        <w:gridCol w:w="1230"/>
        <w:gridCol w:w="1230"/>
        <w:gridCol w:w="1041"/>
      </w:tblGrid>
      <w:tr w:rsidR="00F06FE2" w:rsidRPr="004468E0" w14:paraId="0282E58F" w14:textId="77777777" w:rsidTr="00D079D8">
        <w:trPr>
          <w:trHeight w:val="50"/>
          <w:tblCellSpacing w:w="0" w:type="dxa"/>
        </w:trPr>
        <w:tc>
          <w:tcPr>
            <w:tcW w:w="8639" w:type="dxa"/>
            <w:gridSpan w:val="6"/>
          </w:tcPr>
          <w:p w14:paraId="435339AB" w14:textId="77777777" w:rsidR="00F06FE2" w:rsidRPr="004468E0" w:rsidRDefault="00F06FE2" w:rsidP="00BD4854">
            <w:pPr>
              <w:jc w:val="both"/>
              <w:rPr>
                <w:sz w:val="26"/>
                <w:szCs w:val="26"/>
                <w:lang w:val="lv-LV" w:eastAsia="lv-LV"/>
              </w:rPr>
            </w:pPr>
            <w:r w:rsidRPr="004468E0">
              <w:rPr>
                <w:sz w:val="26"/>
                <w:szCs w:val="26"/>
                <w:lang w:val="lv-LV" w:eastAsia="lv-LV"/>
              </w:rPr>
              <w:lastRenderedPageBreak/>
              <w:t>III. Tiesību akta projekta ietekme uz valsts budžetu un pašvaldību budžetiem</w:t>
            </w:r>
          </w:p>
          <w:p w14:paraId="6AD82EA8" w14:textId="77777777" w:rsidR="00F06FE2" w:rsidRPr="004468E0" w:rsidRDefault="00F06FE2" w:rsidP="00BD4854">
            <w:pPr>
              <w:jc w:val="both"/>
              <w:rPr>
                <w:sz w:val="26"/>
                <w:szCs w:val="26"/>
                <w:lang w:val="lv-LV" w:eastAsia="lv-LV"/>
              </w:rPr>
            </w:pPr>
          </w:p>
        </w:tc>
      </w:tr>
      <w:tr w:rsidR="00F06FE2" w:rsidRPr="004468E0" w14:paraId="4F2659D5" w14:textId="77777777" w:rsidTr="00D079D8">
        <w:trPr>
          <w:tblCellSpacing w:w="0" w:type="dxa"/>
        </w:trPr>
        <w:tc>
          <w:tcPr>
            <w:tcW w:w="2871" w:type="dxa"/>
            <w:vMerge w:val="restart"/>
            <w:vAlign w:val="center"/>
          </w:tcPr>
          <w:p w14:paraId="72AD629B" w14:textId="77777777" w:rsidR="00F06FE2" w:rsidRPr="004468E0" w:rsidRDefault="00F06FE2" w:rsidP="00BD4854">
            <w:pPr>
              <w:jc w:val="both"/>
              <w:rPr>
                <w:bCs/>
                <w:sz w:val="26"/>
                <w:szCs w:val="26"/>
                <w:lang w:val="lv-LV" w:eastAsia="lv-LV"/>
              </w:rPr>
            </w:pPr>
            <w:r w:rsidRPr="004468E0">
              <w:rPr>
                <w:bCs/>
                <w:sz w:val="26"/>
                <w:szCs w:val="26"/>
                <w:lang w:val="lv-LV" w:eastAsia="lv-LV"/>
              </w:rPr>
              <w:t>Rādītāji</w:t>
            </w:r>
          </w:p>
          <w:p w14:paraId="00ACD557" w14:textId="77777777" w:rsidR="00F06FE2" w:rsidRPr="004468E0" w:rsidRDefault="00F06FE2" w:rsidP="00BD4854">
            <w:pPr>
              <w:jc w:val="both"/>
              <w:rPr>
                <w:bCs/>
                <w:sz w:val="26"/>
                <w:szCs w:val="26"/>
                <w:lang w:val="lv-LV" w:eastAsia="lv-LV"/>
              </w:rPr>
            </w:pPr>
          </w:p>
          <w:p w14:paraId="01812CEC" w14:textId="77777777" w:rsidR="00F06FE2" w:rsidRPr="004468E0" w:rsidRDefault="00F06FE2" w:rsidP="00BD4854">
            <w:pPr>
              <w:jc w:val="both"/>
              <w:rPr>
                <w:sz w:val="26"/>
                <w:szCs w:val="26"/>
                <w:lang w:val="lv-LV" w:eastAsia="lv-LV"/>
              </w:rPr>
            </w:pPr>
          </w:p>
        </w:tc>
        <w:tc>
          <w:tcPr>
            <w:tcW w:w="2464" w:type="dxa"/>
            <w:gridSpan w:val="2"/>
            <w:vMerge w:val="restart"/>
            <w:vAlign w:val="center"/>
          </w:tcPr>
          <w:p w14:paraId="53A503B2" w14:textId="77777777" w:rsidR="00F06FE2" w:rsidRPr="004468E0" w:rsidRDefault="00F06FE2" w:rsidP="00BD4854">
            <w:pPr>
              <w:jc w:val="both"/>
              <w:rPr>
                <w:sz w:val="26"/>
                <w:szCs w:val="26"/>
                <w:lang w:val="lv-LV" w:eastAsia="lv-LV"/>
              </w:rPr>
            </w:pPr>
            <w:r w:rsidRPr="004468E0">
              <w:rPr>
                <w:bCs/>
                <w:sz w:val="26"/>
                <w:szCs w:val="26"/>
                <w:lang w:val="lv-LV" w:eastAsia="lv-LV"/>
              </w:rPr>
              <w:t>2013</w:t>
            </w:r>
          </w:p>
        </w:tc>
        <w:tc>
          <w:tcPr>
            <w:tcW w:w="3304" w:type="dxa"/>
            <w:gridSpan w:val="3"/>
            <w:vAlign w:val="center"/>
          </w:tcPr>
          <w:p w14:paraId="7C8B9E36" w14:textId="3AFCAB94" w:rsidR="00F06FE2" w:rsidRPr="004468E0" w:rsidRDefault="00F06FE2" w:rsidP="00BD4854">
            <w:pPr>
              <w:jc w:val="both"/>
              <w:rPr>
                <w:sz w:val="26"/>
                <w:szCs w:val="26"/>
                <w:lang w:val="lv-LV" w:eastAsia="lv-LV"/>
              </w:rPr>
            </w:pPr>
            <w:r w:rsidRPr="004468E0">
              <w:rPr>
                <w:sz w:val="26"/>
                <w:szCs w:val="26"/>
                <w:lang w:val="lv-LV" w:eastAsia="lv-LV"/>
              </w:rPr>
              <w:t xml:space="preserve">Turpmākie trīs gadi (tūkst. </w:t>
            </w:r>
            <w:proofErr w:type="spellStart"/>
            <w:r w:rsidR="00860635" w:rsidRPr="004468E0">
              <w:rPr>
                <w:sz w:val="26"/>
                <w:szCs w:val="26"/>
                <w:lang w:val="lv-LV" w:eastAsia="lv-LV"/>
              </w:rPr>
              <w:t>euro</w:t>
            </w:r>
            <w:proofErr w:type="spellEnd"/>
            <w:r w:rsidRPr="004468E0">
              <w:rPr>
                <w:sz w:val="26"/>
                <w:szCs w:val="26"/>
                <w:lang w:val="lv-LV" w:eastAsia="lv-LV"/>
              </w:rPr>
              <w:t>)</w:t>
            </w:r>
          </w:p>
          <w:p w14:paraId="13416758" w14:textId="77777777" w:rsidR="00F06FE2" w:rsidRPr="004468E0" w:rsidRDefault="00F06FE2" w:rsidP="00BD4854">
            <w:pPr>
              <w:jc w:val="both"/>
              <w:rPr>
                <w:sz w:val="26"/>
                <w:szCs w:val="26"/>
                <w:lang w:val="lv-LV" w:eastAsia="lv-LV"/>
              </w:rPr>
            </w:pPr>
          </w:p>
        </w:tc>
      </w:tr>
      <w:tr w:rsidR="00F06FE2" w:rsidRPr="004468E0" w14:paraId="33D968DB" w14:textId="77777777" w:rsidTr="00D079D8">
        <w:trPr>
          <w:tblCellSpacing w:w="0" w:type="dxa"/>
        </w:trPr>
        <w:tc>
          <w:tcPr>
            <w:tcW w:w="2871" w:type="dxa"/>
            <w:vMerge/>
            <w:vAlign w:val="center"/>
          </w:tcPr>
          <w:p w14:paraId="0D51296F" w14:textId="77777777" w:rsidR="00F06FE2" w:rsidRPr="004468E0" w:rsidRDefault="00F06FE2" w:rsidP="00BD4854">
            <w:pPr>
              <w:jc w:val="both"/>
              <w:rPr>
                <w:sz w:val="26"/>
                <w:szCs w:val="26"/>
                <w:lang w:val="lv-LV" w:eastAsia="lv-LV"/>
              </w:rPr>
            </w:pPr>
          </w:p>
        </w:tc>
        <w:tc>
          <w:tcPr>
            <w:tcW w:w="0" w:type="auto"/>
            <w:gridSpan w:val="2"/>
            <w:vMerge/>
            <w:vAlign w:val="center"/>
          </w:tcPr>
          <w:p w14:paraId="7DAF2DC2" w14:textId="77777777" w:rsidR="00F06FE2" w:rsidRPr="004468E0" w:rsidRDefault="00F06FE2" w:rsidP="00BD4854">
            <w:pPr>
              <w:jc w:val="both"/>
              <w:rPr>
                <w:sz w:val="26"/>
                <w:szCs w:val="26"/>
                <w:lang w:val="lv-LV" w:eastAsia="lv-LV"/>
              </w:rPr>
            </w:pPr>
          </w:p>
        </w:tc>
        <w:tc>
          <w:tcPr>
            <w:tcW w:w="1254" w:type="dxa"/>
            <w:vAlign w:val="center"/>
          </w:tcPr>
          <w:p w14:paraId="447B72A6" w14:textId="77777777" w:rsidR="00F06FE2" w:rsidRPr="004468E0" w:rsidRDefault="00F06FE2" w:rsidP="00BD4854">
            <w:pPr>
              <w:jc w:val="both"/>
              <w:rPr>
                <w:sz w:val="26"/>
                <w:szCs w:val="26"/>
                <w:lang w:val="lv-LV" w:eastAsia="lv-LV"/>
              </w:rPr>
            </w:pPr>
            <w:r w:rsidRPr="004468E0">
              <w:rPr>
                <w:sz w:val="26"/>
                <w:szCs w:val="26"/>
                <w:lang w:val="lv-LV" w:eastAsia="lv-LV"/>
              </w:rPr>
              <w:t>2014</w:t>
            </w:r>
          </w:p>
        </w:tc>
        <w:tc>
          <w:tcPr>
            <w:tcW w:w="1254" w:type="dxa"/>
            <w:vAlign w:val="center"/>
          </w:tcPr>
          <w:p w14:paraId="4EEA17DB" w14:textId="77777777" w:rsidR="00F06FE2" w:rsidRPr="004468E0" w:rsidRDefault="00F06FE2" w:rsidP="00BD4854">
            <w:pPr>
              <w:jc w:val="both"/>
              <w:rPr>
                <w:sz w:val="26"/>
                <w:szCs w:val="26"/>
                <w:lang w:val="lv-LV" w:eastAsia="lv-LV"/>
              </w:rPr>
            </w:pPr>
            <w:r w:rsidRPr="004468E0">
              <w:rPr>
                <w:sz w:val="26"/>
                <w:szCs w:val="26"/>
                <w:lang w:val="lv-LV" w:eastAsia="lv-LV"/>
              </w:rPr>
              <w:t>2015</w:t>
            </w:r>
          </w:p>
        </w:tc>
        <w:tc>
          <w:tcPr>
            <w:tcW w:w="796" w:type="dxa"/>
            <w:vAlign w:val="center"/>
          </w:tcPr>
          <w:p w14:paraId="05A20654" w14:textId="77777777" w:rsidR="00F06FE2" w:rsidRPr="004468E0" w:rsidRDefault="00F06FE2" w:rsidP="00BD4854">
            <w:pPr>
              <w:jc w:val="both"/>
              <w:rPr>
                <w:sz w:val="26"/>
                <w:szCs w:val="26"/>
                <w:lang w:val="lv-LV" w:eastAsia="lv-LV"/>
              </w:rPr>
            </w:pPr>
            <w:r w:rsidRPr="004468E0">
              <w:rPr>
                <w:sz w:val="26"/>
                <w:szCs w:val="26"/>
                <w:lang w:val="lv-LV" w:eastAsia="lv-LV"/>
              </w:rPr>
              <w:t>2016</w:t>
            </w:r>
          </w:p>
        </w:tc>
      </w:tr>
      <w:tr w:rsidR="00F06FE2" w:rsidRPr="004468E0" w14:paraId="17B65EAB" w14:textId="77777777" w:rsidTr="00D079D8">
        <w:trPr>
          <w:tblCellSpacing w:w="0" w:type="dxa"/>
        </w:trPr>
        <w:tc>
          <w:tcPr>
            <w:tcW w:w="2871" w:type="dxa"/>
            <w:vMerge/>
            <w:vAlign w:val="center"/>
          </w:tcPr>
          <w:p w14:paraId="36987712" w14:textId="77777777" w:rsidR="00F06FE2" w:rsidRPr="004468E0" w:rsidRDefault="00F06FE2" w:rsidP="00BD4854">
            <w:pPr>
              <w:jc w:val="both"/>
              <w:rPr>
                <w:sz w:val="26"/>
                <w:szCs w:val="26"/>
                <w:lang w:val="lv-LV" w:eastAsia="lv-LV"/>
              </w:rPr>
            </w:pPr>
          </w:p>
        </w:tc>
        <w:tc>
          <w:tcPr>
            <w:tcW w:w="1201" w:type="dxa"/>
            <w:vAlign w:val="center"/>
          </w:tcPr>
          <w:p w14:paraId="121CBB65" w14:textId="77777777" w:rsidR="00F06FE2" w:rsidRPr="004468E0" w:rsidRDefault="00F06FE2" w:rsidP="00BD4854">
            <w:pPr>
              <w:jc w:val="both"/>
              <w:rPr>
                <w:sz w:val="26"/>
                <w:szCs w:val="26"/>
                <w:lang w:val="lv-LV" w:eastAsia="lv-LV"/>
              </w:rPr>
            </w:pPr>
            <w:r w:rsidRPr="004468E0">
              <w:rPr>
                <w:sz w:val="26"/>
                <w:szCs w:val="26"/>
                <w:lang w:val="lv-LV" w:eastAsia="lv-LV"/>
              </w:rPr>
              <w:t>Saskaņā ar valsts budžetu kārtējam gadam</w:t>
            </w:r>
          </w:p>
        </w:tc>
        <w:tc>
          <w:tcPr>
            <w:tcW w:w="1263" w:type="dxa"/>
            <w:vAlign w:val="center"/>
          </w:tcPr>
          <w:p w14:paraId="734DBA99" w14:textId="77777777" w:rsidR="00F06FE2" w:rsidRPr="004468E0" w:rsidRDefault="00F06FE2" w:rsidP="00BD4854">
            <w:pPr>
              <w:jc w:val="both"/>
              <w:rPr>
                <w:sz w:val="26"/>
                <w:szCs w:val="26"/>
                <w:lang w:val="lv-LV" w:eastAsia="lv-LV"/>
              </w:rPr>
            </w:pPr>
            <w:r w:rsidRPr="004468E0">
              <w:rPr>
                <w:sz w:val="26"/>
                <w:szCs w:val="26"/>
                <w:lang w:val="lv-LV" w:eastAsia="lv-LV"/>
              </w:rPr>
              <w:t>Izmaiņas kārtējā gadā, salīdzinot ar budžetu kārtējam gadam</w:t>
            </w:r>
          </w:p>
        </w:tc>
        <w:tc>
          <w:tcPr>
            <w:tcW w:w="1254" w:type="dxa"/>
            <w:vAlign w:val="center"/>
          </w:tcPr>
          <w:p w14:paraId="07FC8688" w14:textId="77777777" w:rsidR="00F06FE2" w:rsidRPr="004468E0" w:rsidRDefault="00F06FE2" w:rsidP="00BD4854">
            <w:pPr>
              <w:jc w:val="both"/>
              <w:rPr>
                <w:sz w:val="26"/>
                <w:szCs w:val="26"/>
                <w:lang w:val="lv-LV" w:eastAsia="lv-LV"/>
              </w:rPr>
            </w:pPr>
            <w:r w:rsidRPr="004468E0">
              <w:rPr>
                <w:color w:val="000000"/>
                <w:sz w:val="26"/>
                <w:szCs w:val="26"/>
                <w:lang w:val="lv-LV"/>
              </w:rPr>
              <w:t>Izmaiņas, salīdzinot ar kārtējo (n) gadu</w:t>
            </w:r>
          </w:p>
        </w:tc>
        <w:tc>
          <w:tcPr>
            <w:tcW w:w="1254" w:type="dxa"/>
            <w:vAlign w:val="center"/>
          </w:tcPr>
          <w:p w14:paraId="7DC1C820" w14:textId="77777777" w:rsidR="00F06FE2" w:rsidRPr="004468E0" w:rsidRDefault="00F06FE2" w:rsidP="00BD4854">
            <w:pPr>
              <w:jc w:val="both"/>
              <w:rPr>
                <w:sz w:val="26"/>
                <w:szCs w:val="26"/>
                <w:lang w:val="lv-LV" w:eastAsia="lv-LV"/>
              </w:rPr>
            </w:pPr>
            <w:r w:rsidRPr="004468E0">
              <w:rPr>
                <w:sz w:val="26"/>
                <w:szCs w:val="26"/>
                <w:lang w:val="lv-LV" w:eastAsia="lv-LV"/>
              </w:rPr>
              <w:t>Izmaiņas, salīdzinot ar kārtējo (n) gadu</w:t>
            </w:r>
          </w:p>
        </w:tc>
        <w:tc>
          <w:tcPr>
            <w:tcW w:w="796" w:type="dxa"/>
            <w:vAlign w:val="center"/>
          </w:tcPr>
          <w:p w14:paraId="0E2760B9" w14:textId="77777777" w:rsidR="00F06FE2" w:rsidRPr="004468E0" w:rsidRDefault="00F06FE2" w:rsidP="00BD4854">
            <w:pPr>
              <w:jc w:val="both"/>
              <w:rPr>
                <w:sz w:val="26"/>
                <w:szCs w:val="26"/>
                <w:lang w:val="lv-LV" w:eastAsia="lv-LV"/>
              </w:rPr>
            </w:pPr>
            <w:r w:rsidRPr="004468E0">
              <w:rPr>
                <w:sz w:val="26"/>
                <w:szCs w:val="26"/>
                <w:lang w:val="lv-LV" w:eastAsia="lv-LV"/>
              </w:rPr>
              <w:t>Izmaiņas, salīdzinot ar kārtējo (n) gadu</w:t>
            </w:r>
          </w:p>
        </w:tc>
      </w:tr>
      <w:tr w:rsidR="00F06FE2" w:rsidRPr="004468E0" w14:paraId="4AC0964E" w14:textId="77777777" w:rsidTr="00D079D8">
        <w:trPr>
          <w:tblCellSpacing w:w="0" w:type="dxa"/>
        </w:trPr>
        <w:tc>
          <w:tcPr>
            <w:tcW w:w="2871" w:type="dxa"/>
            <w:vAlign w:val="center"/>
          </w:tcPr>
          <w:p w14:paraId="4A5A8835" w14:textId="77777777" w:rsidR="00F06FE2" w:rsidRPr="004468E0" w:rsidRDefault="00F06FE2" w:rsidP="00BD4854">
            <w:pPr>
              <w:jc w:val="both"/>
              <w:rPr>
                <w:sz w:val="26"/>
                <w:szCs w:val="26"/>
                <w:lang w:val="lv-LV" w:eastAsia="lv-LV"/>
              </w:rPr>
            </w:pPr>
            <w:r w:rsidRPr="004468E0">
              <w:rPr>
                <w:sz w:val="26"/>
                <w:szCs w:val="26"/>
                <w:lang w:val="lv-LV" w:eastAsia="lv-LV"/>
              </w:rPr>
              <w:t>1</w:t>
            </w:r>
          </w:p>
        </w:tc>
        <w:tc>
          <w:tcPr>
            <w:tcW w:w="1201" w:type="dxa"/>
            <w:vAlign w:val="center"/>
          </w:tcPr>
          <w:p w14:paraId="0E283B0A" w14:textId="77777777" w:rsidR="00F06FE2" w:rsidRPr="004468E0" w:rsidRDefault="00F06FE2" w:rsidP="00BD4854">
            <w:pPr>
              <w:jc w:val="both"/>
              <w:rPr>
                <w:sz w:val="26"/>
                <w:szCs w:val="26"/>
                <w:lang w:val="lv-LV" w:eastAsia="lv-LV"/>
              </w:rPr>
            </w:pPr>
            <w:r w:rsidRPr="004468E0">
              <w:rPr>
                <w:sz w:val="26"/>
                <w:szCs w:val="26"/>
                <w:lang w:val="lv-LV" w:eastAsia="lv-LV"/>
              </w:rPr>
              <w:t>2</w:t>
            </w:r>
          </w:p>
        </w:tc>
        <w:tc>
          <w:tcPr>
            <w:tcW w:w="1263" w:type="dxa"/>
            <w:vAlign w:val="center"/>
          </w:tcPr>
          <w:p w14:paraId="386DA3AF" w14:textId="77777777" w:rsidR="00F06FE2" w:rsidRPr="004468E0" w:rsidRDefault="00F06FE2" w:rsidP="00BD4854">
            <w:pPr>
              <w:jc w:val="both"/>
              <w:rPr>
                <w:sz w:val="26"/>
                <w:szCs w:val="26"/>
                <w:lang w:val="lv-LV" w:eastAsia="lv-LV"/>
              </w:rPr>
            </w:pPr>
            <w:r w:rsidRPr="004468E0">
              <w:rPr>
                <w:sz w:val="26"/>
                <w:szCs w:val="26"/>
                <w:lang w:val="lv-LV" w:eastAsia="lv-LV"/>
              </w:rPr>
              <w:t>3</w:t>
            </w:r>
          </w:p>
        </w:tc>
        <w:tc>
          <w:tcPr>
            <w:tcW w:w="1254" w:type="dxa"/>
            <w:vAlign w:val="center"/>
          </w:tcPr>
          <w:p w14:paraId="612D3B20" w14:textId="77777777" w:rsidR="00F06FE2" w:rsidRPr="004468E0" w:rsidRDefault="00F06FE2" w:rsidP="00BD4854">
            <w:pPr>
              <w:jc w:val="both"/>
              <w:rPr>
                <w:sz w:val="26"/>
                <w:szCs w:val="26"/>
                <w:lang w:val="lv-LV" w:eastAsia="lv-LV"/>
              </w:rPr>
            </w:pPr>
            <w:r w:rsidRPr="004468E0">
              <w:rPr>
                <w:sz w:val="26"/>
                <w:szCs w:val="26"/>
                <w:lang w:val="lv-LV" w:eastAsia="lv-LV"/>
              </w:rPr>
              <w:t>4</w:t>
            </w:r>
          </w:p>
        </w:tc>
        <w:tc>
          <w:tcPr>
            <w:tcW w:w="1254" w:type="dxa"/>
            <w:vAlign w:val="center"/>
          </w:tcPr>
          <w:p w14:paraId="1F423090" w14:textId="77777777" w:rsidR="00F06FE2" w:rsidRPr="004468E0" w:rsidRDefault="00F06FE2" w:rsidP="00BD4854">
            <w:pPr>
              <w:jc w:val="both"/>
              <w:rPr>
                <w:sz w:val="26"/>
                <w:szCs w:val="26"/>
                <w:lang w:val="lv-LV" w:eastAsia="lv-LV"/>
              </w:rPr>
            </w:pPr>
            <w:r w:rsidRPr="004468E0">
              <w:rPr>
                <w:sz w:val="26"/>
                <w:szCs w:val="26"/>
                <w:lang w:val="lv-LV" w:eastAsia="lv-LV"/>
              </w:rPr>
              <w:t>5</w:t>
            </w:r>
          </w:p>
        </w:tc>
        <w:tc>
          <w:tcPr>
            <w:tcW w:w="796" w:type="dxa"/>
            <w:vAlign w:val="center"/>
          </w:tcPr>
          <w:p w14:paraId="494DDA68" w14:textId="77777777" w:rsidR="00F06FE2" w:rsidRPr="004468E0" w:rsidRDefault="00F06FE2" w:rsidP="00BD4854">
            <w:pPr>
              <w:jc w:val="both"/>
              <w:rPr>
                <w:sz w:val="26"/>
                <w:szCs w:val="26"/>
                <w:lang w:val="lv-LV" w:eastAsia="lv-LV"/>
              </w:rPr>
            </w:pPr>
            <w:r w:rsidRPr="004468E0">
              <w:rPr>
                <w:sz w:val="26"/>
                <w:szCs w:val="26"/>
                <w:lang w:val="lv-LV" w:eastAsia="lv-LV"/>
              </w:rPr>
              <w:t>6</w:t>
            </w:r>
          </w:p>
        </w:tc>
      </w:tr>
      <w:tr w:rsidR="00F06FE2" w:rsidRPr="004468E0" w14:paraId="7150F95B" w14:textId="77777777" w:rsidTr="00D079D8">
        <w:trPr>
          <w:tblCellSpacing w:w="0" w:type="dxa"/>
        </w:trPr>
        <w:tc>
          <w:tcPr>
            <w:tcW w:w="2871" w:type="dxa"/>
          </w:tcPr>
          <w:p w14:paraId="595315F6" w14:textId="77777777" w:rsidR="00F06FE2" w:rsidRPr="004468E0" w:rsidRDefault="00F06FE2" w:rsidP="00BD4854">
            <w:pPr>
              <w:jc w:val="both"/>
              <w:rPr>
                <w:sz w:val="26"/>
                <w:szCs w:val="26"/>
                <w:lang w:val="lv-LV" w:eastAsia="lv-LV"/>
              </w:rPr>
            </w:pPr>
            <w:r w:rsidRPr="004468E0">
              <w:rPr>
                <w:sz w:val="26"/>
                <w:szCs w:val="26"/>
                <w:lang w:val="lv-LV" w:eastAsia="lv-LV"/>
              </w:rPr>
              <w:t> 1. Budžeta ieņēmumi:</w:t>
            </w:r>
          </w:p>
        </w:tc>
        <w:tc>
          <w:tcPr>
            <w:tcW w:w="1201" w:type="dxa"/>
          </w:tcPr>
          <w:p w14:paraId="637E6039"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023E4D18"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2B2031CA" w14:textId="5A1FA725" w:rsidR="00F06FE2" w:rsidRPr="004468E0" w:rsidRDefault="00A25C50" w:rsidP="00A25C50">
            <w:pPr>
              <w:jc w:val="both"/>
              <w:rPr>
                <w:sz w:val="26"/>
                <w:szCs w:val="26"/>
                <w:lang w:val="lv-LV" w:eastAsia="lv-LV"/>
              </w:rPr>
            </w:pPr>
            <w:r w:rsidRPr="004468E0">
              <w:rPr>
                <w:sz w:val="26"/>
                <w:szCs w:val="26"/>
                <w:lang w:val="lv-LV" w:eastAsia="lv-LV"/>
              </w:rPr>
              <w:t>+</w:t>
            </w:r>
            <w:r w:rsidR="00860635" w:rsidRPr="004468E0">
              <w:rPr>
                <w:sz w:val="26"/>
                <w:szCs w:val="26"/>
              </w:rPr>
              <w:t>6 687,5</w:t>
            </w:r>
          </w:p>
        </w:tc>
        <w:tc>
          <w:tcPr>
            <w:tcW w:w="1254" w:type="dxa"/>
          </w:tcPr>
          <w:p w14:paraId="0D22E256" w14:textId="470B2156" w:rsidR="00F06FE2" w:rsidRPr="004468E0" w:rsidRDefault="00F06FE2" w:rsidP="00A25C50">
            <w:pPr>
              <w:jc w:val="both"/>
              <w:rPr>
                <w:sz w:val="26"/>
                <w:szCs w:val="26"/>
                <w:lang w:val="lv-LV" w:eastAsia="lv-LV"/>
              </w:rPr>
            </w:pPr>
            <w:r w:rsidRPr="004468E0">
              <w:rPr>
                <w:sz w:val="26"/>
                <w:szCs w:val="26"/>
                <w:lang w:val="lv-LV" w:eastAsia="lv-LV"/>
              </w:rPr>
              <w:t>+</w:t>
            </w:r>
            <w:r w:rsidR="00860635" w:rsidRPr="004468E0">
              <w:rPr>
                <w:sz w:val="26"/>
                <w:szCs w:val="26"/>
              </w:rPr>
              <w:t>6 687,5</w:t>
            </w:r>
          </w:p>
        </w:tc>
        <w:tc>
          <w:tcPr>
            <w:tcW w:w="796" w:type="dxa"/>
          </w:tcPr>
          <w:p w14:paraId="0E51C075" w14:textId="6443C148" w:rsidR="00F06FE2" w:rsidRPr="004468E0" w:rsidRDefault="00F06FE2" w:rsidP="00A25C50">
            <w:pPr>
              <w:jc w:val="both"/>
              <w:rPr>
                <w:sz w:val="26"/>
                <w:szCs w:val="26"/>
                <w:lang w:val="lv-LV" w:eastAsia="lv-LV"/>
              </w:rPr>
            </w:pPr>
            <w:r w:rsidRPr="004468E0">
              <w:rPr>
                <w:sz w:val="26"/>
                <w:szCs w:val="26"/>
                <w:lang w:val="lv-LV" w:eastAsia="lv-LV"/>
              </w:rPr>
              <w:t>+</w:t>
            </w:r>
            <w:r w:rsidR="00860635" w:rsidRPr="004468E0">
              <w:rPr>
                <w:sz w:val="26"/>
                <w:szCs w:val="26"/>
              </w:rPr>
              <w:t>6 687,5</w:t>
            </w:r>
          </w:p>
        </w:tc>
      </w:tr>
      <w:tr w:rsidR="00F06FE2" w:rsidRPr="004468E0" w14:paraId="5FB18CFF" w14:textId="77777777" w:rsidTr="00D079D8">
        <w:trPr>
          <w:tblCellSpacing w:w="0" w:type="dxa"/>
        </w:trPr>
        <w:tc>
          <w:tcPr>
            <w:tcW w:w="2871" w:type="dxa"/>
          </w:tcPr>
          <w:p w14:paraId="4A7B0262" w14:textId="77777777" w:rsidR="00F06FE2" w:rsidRPr="004468E0" w:rsidRDefault="00F06FE2" w:rsidP="00BD4854">
            <w:pPr>
              <w:jc w:val="both"/>
              <w:rPr>
                <w:sz w:val="26"/>
                <w:szCs w:val="26"/>
                <w:lang w:val="lv-LV" w:eastAsia="lv-LV"/>
              </w:rPr>
            </w:pPr>
            <w:r w:rsidRPr="004468E0">
              <w:rPr>
                <w:sz w:val="26"/>
                <w:szCs w:val="26"/>
                <w:lang w:val="lv-LV" w:eastAsia="lv-LV"/>
              </w:rPr>
              <w:t> 1.1. valsts pamatbudžets, tai skaitā ieņēmumi no maksas pakalpojumiem un citi pašu ieņēmumi</w:t>
            </w:r>
          </w:p>
        </w:tc>
        <w:tc>
          <w:tcPr>
            <w:tcW w:w="1201" w:type="dxa"/>
          </w:tcPr>
          <w:p w14:paraId="6C1739D9"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52132847"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43FCFBBE" w14:textId="348DB295" w:rsidR="00F06FE2" w:rsidRPr="004468E0" w:rsidRDefault="00A25C50" w:rsidP="00A25C50">
            <w:pPr>
              <w:jc w:val="both"/>
              <w:rPr>
                <w:sz w:val="26"/>
                <w:szCs w:val="26"/>
                <w:lang w:val="lv-LV" w:eastAsia="lv-LV"/>
              </w:rPr>
            </w:pPr>
            <w:r w:rsidRPr="004468E0">
              <w:rPr>
                <w:sz w:val="26"/>
                <w:szCs w:val="26"/>
                <w:lang w:val="lv-LV"/>
              </w:rPr>
              <w:t>+</w:t>
            </w:r>
            <w:r w:rsidR="00860635" w:rsidRPr="004468E0">
              <w:rPr>
                <w:sz w:val="26"/>
                <w:szCs w:val="26"/>
              </w:rPr>
              <w:t>6 687,5</w:t>
            </w:r>
          </w:p>
        </w:tc>
        <w:tc>
          <w:tcPr>
            <w:tcW w:w="1254" w:type="dxa"/>
          </w:tcPr>
          <w:p w14:paraId="5B527A98" w14:textId="5CFBDAA5" w:rsidR="00F06FE2" w:rsidRPr="004468E0" w:rsidRDefault="00F06FE2" w:rsidP="00A25C50">
            <w:pPr>
              <w:jc w:val="both"/>
              <w:rPr>
                <w:sz w:val="26"/>
                <w:szCs w:val="26"/>
                <w:lang w:val="lv-LV" w:eastAsia="lv-LV"/>
              </w:rPr>
            </w:pPr>
            <w:r w:rsidRPr="004468E0">
              <w:rPr>
                <w:sz w:val="26"/>
                <w:szCs w:val="26"/>
                <w:lang w:val="lv-LV"/>
              </w:rPr>
              <w:t>+</w:t>
            </w:r>
            <w:r w:rsidR="00860635" w:rsidRPr="004468E0">
              <w:rPr>
                <w:sz w:val="26"/>
                <w:szCs w:val="26"/>
              </w:rPr>
              <w:t>6 687,5</w:t>
            </w:r>
          </w:p>
        </w:tc>
        <w:tc>
          <w:tcPr>
            <w:tcW w:w="796" w:type="dxa"/>
          </w:tcPr>
          <w:p w14:paraId="0635F981" w14:textId="2489CD5D" w:rsidR="00F06FE2" w:rsidRPr="004468E0" w:rsidRDefault="00F06FE2" w:rsidP="00A25C50">
            <w:pPr>
              <w:jc w:val="both"/>
              <w:rPr>
                <w:sz w:val="26"/>
                <w:szCs w:val="26"/>
                <w:lang w:val="lv-LV" w:eastAsia="lv-LV"/>
              </w:rPr>
            </w:pPr>
            <w:r w:rsidRPr="004468E0">
              <w:rPr>
                <w:sz w:val="26"/>
                <w:szCs w:val="26"/>
                <w:lang w:val="lv-LV"/>
              </w:rPr>
              <w:t>+</w:t>
            </w:r>
            <w:r w:rsidR="00860635" w:rsidRPr="004468E0">
              <w:rPr>
                <w:sz w:val="26"/>
                <w:szCs w:val="26"/>
              </w:rPr>
              <w:t>6 687,5</w:t>
            </w:r>
          </w:p>
        </w:tc>
      </w:tr>
      <w:tr w:rsidR="00F06FE2" w:rsidRPr="004468E0" w14:paraId="5B797B78" w14:textId="77777777" w:rsidTr="00D079D8">
        <w:trPr>
          <w:tblCellSpacing w:w="0" w:type="dxa"/>
        </w:trPr>
        <w:tc>
          <w:tcPr>
            <w:tcW w:w="2871" w:type="dxa"/>
          </w:tcPr>
          <w:p w14:paraId="397B0940" w14:textId="77777777" w:rsidR="00F06FE2" w:rsidRPr="004468E0" w:rsidRDefault="00F06FE2" w:rsidP="00BD4854">
            <w:pPr>
              <w:jc w:val="both"/>
              <w:rPr>
                <w:sz w:val="26"/>
                <w:szCs w:val="26"/>
                <w:lang w:val="lv-LV" w:eastAsia="lv-LV"/>
              </w:rPr>
            </w:pPr>
            <w:r w:rsidRPr="004468E0">
              <w:rPr>
                <w:sz w:val="26"/>
                <w:szCs w:val="26"/>
                <w:lang w:val="lv-LV" w:eastAsia="lv-LV"/>
              </w:rPr>
              <w:t> 1.2. valsts speciālais budžets</w:t>
            </w:r>
          </w:p>
        </w:tc>
        <w:tc>
          <w:tcPr>
            <w:tcW w:w="1201" w:type="dxa"/>
          </w:tcPr>
          <w:p w14:paraId="401EA455"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729320A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115977D9"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305781FF"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2822D606"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3036176F" w14:textId="77777777" w:rsidTr="00D079D8">
        <w:trPr>
          <w:trHeight w:val="1104"/>
          <w:tblCellSpacing w:w="0" w:type="dxa"/>
        </w:trPr>
        <w:tc>
          <w:tcPr>
            <w:tcW w:w="2871" w:type="dxa"/>
          </w:tcPr>
          <w:p w14:paraId="5E829BE2" w14:textId="77777777" w:rsidR="00F06FE2" w:rsidRPr="004468E0" w:rsidRDefault="00F06FE2" w:rsidP="00BD4854">
            <w:pPr>
              <w:jc w:val="both"/>
              <w:rPr>
                <w:sz w:val="26"/>
                <w:szCs w:val="26"/>
                <w:lang w:val="lv-LV" w:eastAsia="lv-LV"/>
              </w:rPr>
            </w:pPr>
            <w:r w:rsidRPr="004468E0">
              <w:rPr>
                <w:sz w:val="26"/>
                <w:szCs w:val="26"/>
                <w:lang w:val="lv-LV" w:eastAsia="lv-LV"/>
              </w:rPr>
              <w:t> 1.3. pašvaldību budžets</w:t>
            </w:r>
          </w:p>
        </w:tc>
        <w:tc>
          <w:tcPr>
            <w:tcW w:w="1201" w:type="dxa"/>
          </w:tcPr>
          <w:p w14:paraId="53A31F84"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33FCF2CE"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09FB993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143268D1"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6CEBE17B"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3CE1CC33" w14:textId="77777777" w:rsidTr="00D079D8">
        <w:trPr>
          <w:tblCellSpacing w:w="0" w:type="dxa"/>
        </w:trPr>
        <w:tc>
          <w:tcPr>
            <w:tcW w:w="2871" w:type="dxa"/>
          </w:tcPr>
          <w:p w14:paraId="262DB898" w14:textId="77777777" w:rsidR="00F06FE2" w:rsidRPr="004468E0" w:rsidRDefault="00F06FE2" w:rsidP="00BD4854">
            <w:pPr>
              <w:jc w:val="both"/>
              <w:rPr>
                <w:sz w:val="26"/>
                <w:szCs w:val="26"/>
                <w:lang w:val="lv-LV" w:eastAsia="lv-LV"/>
              </w:rPr>
            </w:pPr>
            <w:r w:rsidRPr="004468E0">
              <w:rPr>
                <w:sz w:val="26"/>
                <w:szCs w:val="26"/>
                <w:lang w:val="lv-LV" w:eastAsia="lv-LV"/>
              </w:rPr>
              <w:t> 2. Budžeta izdevumi:</w:t>
            </w:r>
          </w:p>
        </w:tc>
        <w:tc>
          <w:tcPr>
            <w:tcW w:w="1201" w:type="dxa"/>
          </w:tcPr>
          <w:p w14:paraId="430F6CB2"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41C9BB76"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73296CB0" w14:textId="77777777" w:rsidR="00F06FE2" w:rsidRPr="004468E0" w:rsidRDefault="00A25C50" w:rsidP="00BD4854">
            <w:pPr>
              <w:jc w:val="both"/>
              <w:rPr>
                <w:sz w:val="26"/>
                <w:szCs w:val="26"/>
                <w:lang w:val="lv-LV" w:eastAsia="lv-LV"/>
              </w:rPr>
            </w:pPr>
            <w:r w:rsidRPr="004468E0">
              <w:rPr>
                <w:sz w:val="26"/>
                <w:szCs w:val="26"/>
                <w:lang w:val="lv-LV"/>
              </w:rPr>
              <w:t>0</w:t>
            </w:r>
          </w:p>
        </w:tc>
        <w:tc>
          <w:tcPr>
            <w:tcW w:w="1254" w:type="dxa"/>
          </w:tcPr>
          <w:p w14:paraId="173B9F71" w14:textId="77777777" w:rsidR="00F06FE2" w:rsidRPr="004468E0" w:rsidRDefault="00A25C50" w:rsidP="00BD4854">
            <w:pPr>
              <w:jc w:val="both"/>
              <w:rPr>
                <w:sz w:val="26"/>
                <w:szCs w:val="26"/>
                <w:lang w:val="lv-LV" w:eastAsia="lv-LV"/>
              </w:rPr>
            </w:pPr>
            <w:r w:rsidRPr="004468E0">
              <w:rPr>
                <w:sz w:val="26"/>
                <w:szCs w:val="26"/>
                <w:lang w:val="lv-LV"/>
              </w:rPr>
              <w:t>0</w:t>
            </w:r>
          </w:p>
        </w:tc>
        <w:tc>
          <w:tcPr>
            <w:tcW w:w="796" w:type="dxa"/>
          </w:tcPr>
          <w:p w14:paraId="65605D22" w14:textId="77777777" w:rsidR="00F06FE2" w:rsidRPr="004468E0" w:rsidRDefault="00A25C50" w:rsidP="00BD4854">
            <w:pPr>
              <w:jc w:val="both"/>
              <w:rPr>
                <w:sz w:val="26"/>
                <w:szCs w:val="26"/>
                <w:lang w:val="lv-LV" w:eastAsia="lv-LV"/>
              </w:rPr>
            </w:pPr>
            <w:r w:rsidRPr="004468E0">
              <w:rPr>
                <w:sz w:val="26"/>
                <w:szCs w:val="26"/>
                <w:lang w:val="lv-LV"/>
              </w:rPr>
              <w:t>0</w:t>
            </w:r>
          </w:p>
        </w:tc>
      </w:tr>
      <w:tr w:rsidR="00F06FE2" w:rsidRPr="004468E0" w14:paraId="019EFCF9" w14:textId="77777777" w:rsidTr="00D079D8">
        <w:trPr>
          <w:tblCellSpacing w:w="0" w:type="dxa"/>
        </w:trPr>
        <w:tc>
          <w:tcPr>
            <w:tcW w:w="2871" w:type="dxa"/>
          </w:tcPr>
          <w:p w14:paraId="3D639B1E" w14:textId="77777777" w:rsidR="00F06FE2" w:rsidRPr="004468E0" w:rsidRDefault="00F06FE2" w:rsidP="00BD4854">
            <w:pPr>
              <w:jc w:val="both"/>
              <w:rPr>
                <w:sz w:val="26"/>
                <w:szCs w:val="26"/>
                <w:lang w:val="lv-LV" w:eastAsia="lv-LV"/>
              </w:rPr>
            </w:pPr>
            <w:r w:rsidRPr="004468E0">
              <w:rPr>
                <w:sz w:val="26"/>
                <w:szCs w:val="26"/>
                <w:lang w:val="lv-LV" w:eastAsia="lv-LV"/>
              </w:rPr>
              <w:t> 2.1. valsts pamatbudžets</w:t>
            </w:r>
          </w:p>
        </w:tc>
        <w:tc>
          <w:tcPr>
            <w:tcW w:w="1201" w:type="dxa"/>
          </w:tcPr>
          <w:p w14:paraId="31429887"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62E24995"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1E2DD177" w14:textId="77777777" w:rsidR="00F06FE2" w:rsidRPr="004468E0" w:rsidRDefault="00A25C50" w:rsidP="00BD4854">
            <w:pPr>
              <w:jc w:val="both"/>
              <w:rPr>
                <w:sz w:val="26"/>
                <w:szCs w:val="26"/>
                <w:lang w:val="lv-LV" w:eastAsia="lv-LV"/>
              </w:rPr>
            </w:pPr>
            <w:r w:rsidRPr="004468E0">
              <w:rPr>
                <w:sz w:val="26"/>
                <w:szCs w:val="26"/>
                <w:lang w:val="lv-LV"/>
              </w:rPr>
              <w:t>0</w:t>
            </w:r>
          </w:p>
        </w:tc>
        <w:tc>
          <w:tcPr>
            <w:tcW w:w="1254" w:type="dxa"/>
          </w:tcPr>
          <w:p w14:paraId="5EC99121" w14:textId="77777777" w:rsidR="00F06FE2" w:rsidRPr="004468E0" w:rsidRDefault="00A25C50" w:rsidP="00BD4854">
            <w:pPr>
              <w:jc w:val="both"/>
              <w:rPr>
                <w:sz w:val="26"/>
                <w:szCs w:val="26"/>
                <w:lang w:val="lv-LV" w:eastAsia="lv-LV"/>
              </w:rPr>
            </w:pPr>
            <w:r w:rsidRPr="004468E0">
              <w:rPr>
                <w:sz w:val="26"/>
                <w:szCs w:val="26"/>
                <w:lang w:val="lv-LV"/>
              </w:rPr>
              <w:t>0</w:t>
            </w:r>
          </w:p>
        </w:tc>
        <w:tc>
          <w:tcPr>
            <w:tcW w:w="796" w:type="dxa"/>
          </w:tcPr>
          <w:p w14:paraId="75D18317" w14:textId="77777777" w:rsidR="00F06FE2" w:rsidRPr="004468E0" w:rsidRDefault="00A25C50" w:rsidP="00BD4854">
            <w:pPr>
              <w:jc w:val="both"/>
              <w:rPr>
                <w:sz w:val="26"/>
                <w:szCs w:val="26"/>
                <w:lang w:val="lv-LV" w:eastAsia="lv-LV"/>
              </w:rPr>
            </w:pPr>
            <w:r w:rsidRPr="004468E0">
              <w:rPr>
                <w:sz w:val="26"/>
                <w:szCs w:val="26"/>
                <w:lang w:val="lv-LV"/>
              </w:rPr>
              <w:t>0</w:t>
            </w:r>
          </w:p>
        </w:tc>
      </w:tr>
      <w:tr w:rsidR="00F06FE2" w:rsidRPr="004468E0" w14:paraId="5BA45D6D" w14:textId="77777777" w:rsidTr="00D079D8">
        <w:trPr>
          <w:tblCellSpacing w:w="0" w:type="dxa"/>
        </w:trPr>
        <w:tc>
          <w:tcPr>
            <w:tcW w:w="2871" w:type="dxa"/>
          </w:tcPr>
          <w:p w14:paraId="4B5B9A6C" w14:textId="77777777" w:rsidR="00F06FE2" w:rsidRPr="004468E0" w:rsidRDefault="00F06FE2" w:rsidP="00BD4854">
            <w:pPr>
              <w:jc w:val="both"/>
              <w:rPr>
                <w:sz w:val="26"/>
                <w:szCs w:val="26"/>
                <w:lang w:val="lv-LV" w:eastAsia="lv-LV"/>
              </w:rPr>
            </w:pPr>
            <w:r w:rsidRPr="004468E0">
              <w:rPr>
                <w:sz w:val="26"/>
                <w:szCs w:val="26"/>
                <w:lang w:val="lv-LV" w:eastAsia="lv-LV"/>
              </w:rPr>
              <w:t> 2.2. valsts speciālais budžets</w:t>
            </w:r>
          </w:p>
        </w:tc>
        <w:tc>
          <w:tcPr>
            <w:tcW w:w="1201" w:type="dxa"/>
          </w:tcPr>
          <w:p w14:paraId="14400365"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76CEF6AE"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7CDA6BD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62690AD3"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72D11F22"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61C71F39" w14:textId="77777777" w:rsidTr="00D079D8">
        <w:trPr>
          <w:tblCellSpacing w:w="0" w:type="dxa"/>
        </w:trPr>
        <w:tc>
          <w:tcPr>
            <w:tcW w:w="2871" w:type="dxa"/>
          </w:tcPr>
          <w:p w14:paraId="4BA10506" w14:textId="77777777" w:rsidR="00F06FE2" w:rsidRPr="004468E0" w:rsidRDefault="00F06FE2" w:rsidP="00BD4854">
            <w:pPr>
              <w:jc w:val="both"/>
              <w:rPr>
                <w:sz w:val="26"/>
                <w:szCs w:val="26"/>
                <w:lang w:val="lv-LV" w:eastAsia="lv-LV"/>
              </w:rPr>
            </w:pPr>
            <w:r w:rsidRPr="004468E0">
              <w:rPr>
                <w:sz w:val="26"/>
                <w:szCs w:val="26"/>
                <w:lang w:val="lv-LV" w:eastAsia="lv-LV"/>
              </w:rPr>
              <w:t> 2.3. pašvaldību budžets</w:t>
            </w:r>
          </w:p>
        </w:tc>
        <w:tc>
          <w:tcPr>
            <w:tcW w:w="1201" w:type="dxa"/>
          </w:tcPr>
          <w:p w14:paraId="7B4A9CA1"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7867CA71"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40CE37E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42446813"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555966BC"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4E5203C9" w14:textId="77777777" w:rsidTr="00D079D8">
        <w:trPr>
          <w:tblCellSpacing w:w="0" w:type="dxa"/>
        </w:trPr>
        <w:tc>
          <w:tcPr>
            <w:tcW w:w="2871" w:type="dxa"/>
          </w:tcPr>
          <w:p w14:paraId="2F05C13F" w14:textId="77777777" w:rsidR="00F06FE2" w:rsidRPr="004468E0" w:rsidRDefault="00F06FE2" w:rsidP="00BD4854">
            <w:pPr>
              <w:jc w:val="both"/>
              <w:rPr>
                <w:sz w:val="26"/>
                <w:szCs w:val="26"/>
                <w:lang w:val="lv-LV" w:eastAsia="lv-LV"/>
              </w:rPr>
            </w:pPr>
            <w:r w:rsidRPr="004468E0">
              <w:rPr>
                <w:sz w:val="26"/>
                <w:szCs w:val="26"/>
                <w:lang w:val="lv-LV" w:eastAsia="lv-LV"/>
              </w:rPr>
              <w:t> 3. Finansiālā ietekme:</w:t>
            </w:r>
          </w:p>
        </w:tc>
        <w:tc>
          <w:tcPr>
            <w:tcW w:w="1201" w:type="dxa"/>
            <w:vAlign w:val="center"/>
          </w:tcPr>
          <w:p w14:paraId="0AD36B2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6BC3564A"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3FD256E2" w14:textId="49BA2E68" w:rsidR="00F06FE2" w:rsidRPr="004468E0" w:rsidRDefault="00A25C50" w:rsidP="00BD4854">
            <w:pPr>
              <w:jc w:val="both"/>
              <w:rPr>
                <w:sz w:val="26"/>
                <w:szCs w:val="26"/>
                <w:lang w:val="lv-LV" w:eastAsia="lv-LV"/>
              </w:rPr>
            </w:pPr>
            <w:r w:rsidRPr="004468E0">
              <w:rPr>
                <w:sz w:val="26"/>
                <w:szCs w:val="26"/>
                <w:lang w:val="lv-LV"/>
              </w:rPr>
              <w:t>+</w:t>
            </w:r>
            <w:r w:rsidR="00860635" w:rsidRPr="004468E0">
              <w:rPr>
                <w:sz w:val="26"/>
                <w:szCs w:val="26"/>
              </w:rPr>
              <w:t>6 687,5</w:t>
            </w:r>
          </w:p>
        </w:tc>
        <w:tc>
          <w:tcPr>
            <w:tcW w:w="1254" w:type="dxa"/>
          </w:tcPr>
          <w:p w14:paraId="035BFBA4" w14:textId="5479290E" w:rsidR="00F06FE2" w:rsidRPr="004468E0" w:rsidRDefault="00A25C50" w:rsidP="00BD4854">
            <w:pPr>
              <w:jc w:val="both"/>
              <w:rPr>
                <w:sz w:val="26"/>
                <w:szCs w:val="26"/>
                <w:lang w:val="lv-LV" w:eastAsia="lv-LV"/>
              </w:rPr>
            </w:pPr>
            <w:r w:rsidRPr="004468E0">
              <w:rPr>
                <w:sz w:val="26"/>
                <w:szCs w:val="26"/>
                <w:lang w:val="lv-LV"/>
              </w:rPr>
              <w:t>+</w:t>
            </w:r>
            <w:r w:rsidR="00860635" w:rsidRPr="004468E0">
              <w:rPr>
                <w:sz w:val="26"/>
                <w:szCs w:val="26"/>
              </w:rPr>
              <w:t>6 687,5</w:t>
            </w:r>
          </w:p>
        </w:tc>
        <w:tc>
          <w:tcPr>
            <w:tcW w:w="796" w:type="dxa"/>
          </w:tcPr>
          <w:p w14:paraId="7AD16664" w14:textId="07911283" w:rsidR="00F06FE2" w:rsidRPr="004468E0" w:rsidRDefault="00A25C50" w:rsidP="00BD4854">
            <w:pPr>
              <w:jc w:val="both"/>
              <w:rPr>
                <w:sz w:val="26"/>
                <w:szCs w:val="26"/>
                <w:lang w:val="lv-LV" w:eastAsia="lv-LV"/>
              </w:rPr>
            </w:pPr>
            <w:r w:rsidRPr="004468E0">
              <w:rPr>
                <w:sz w:val="26"/>
                <w:szCs w:val="26"/>
                <w:lang w:val="lv-LV"/>
              </w:rPr>
              <w:t>+</w:t>
            </w:r>
            <w:r w:rsidR="00860635" w:rsidRPr="004468E0">
              <w:rPr>
                <w:sz w:val="26"/>
                <w:szCs w:val="26"/>
              </w:rPr>
              <w:t>6 687,5</w:t>
            </w:r>
          </w:p>
        </w:tc>
      </w:tr>
      <w:tr w:rsidR="00F06FE2" w:rsidRPr="004468E0" w14:paraId="3B7CF7A3" w14:textId="77777777" w:rsidTr="00D079D8">
        <w:trPr>
          <w:tblCellSpacing w:w="0" w:type="dxa"/>
        </w:trPr>
        <w:tc>
          <w:tcPr>
            <w:tcW w:w="2871" w:type="dxa"/>
          </w:tcPr>
          <w:p w14:paraId="3B6820CB" w14:textId="77777777" w:rsidR="00F06FE2" w:rsidRPr="004468E0" w:rsidRDefault="00F06FE2" w:rsidP="00BD4854">
            <w:pPr>
              <w:jc w:val="both"/>
              <w:rPr>
                <w:sz w:val="26"/>
                <w:szCs w:val="26"/>
                <w:lang w:val="lv-LV" w:eastAsia="lv-LV"/>
              </w:rPr>
            </w:pPr>
            <w:r w:rsidRPr="004468E0">
              <w:rPr>
                <w:sz w:val="26"/>
                <w:szCs w:val="26"/>
                <w:lang w:val="lv-LV" w:eastAsia="lv-LV"/>
              </w:rPr>
              <w:t> 3.1. valsts pamatbudžets</w:t>
            </w:r>
          </w:p>
        </w:tc>
        <w:tc>
          <w:tcPr>
            <w:tcW w:w="1201" w:type="dxa"/>
          </w:tcPr>
          <w:p w14:paraId="24BEDF5E"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498BE7E6"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174C38BA" w14:textId="3AC2EAAD" w:rsidR="00F06FE2" w:rsidRPr="004468E0" w:rsidRDefault="00A25C50" w:rsidP="00BD4854">
            <w:pPr>
              <w:jc w:val="both"/>
              <w:rPr>
                <w:sz w:val="26"/>
                <w:szCs w:val="26"/>
                <w:lang w:val="lv-LV" w:eastAsia="lv-LV"/>
              </w:rPr>
            </w:pPr>
            <w:r w:rsidRPr="004468E0">
              <w:rPr>
                <w:sz w:val="26"/>
                <w:szCs w:val="26"/>
                <w:lang w:val="lv-LV"/>
              </w:rPr>
              <w:t>+</w:t>
            </w:r>
            <w:r w:rsidR="00860635" w:rsidRPr="004468E0">
              <w:rPr>
                <w:sz w:val="26"/>
                <w:szCs w:val="26"/>
              </w:rPr>
              <w:t>6 687,5</w:t>
            </w:r>
          </w:p>
        </w:tc>
        <w:tc>
          <w:tcPr>
            <w:tcW w:w="1254" w:type="dxa"/>
          </w:tcPr>
          <w:p w14:paraId="6228E6B3" w14:textId="5A4D0F85" w:rsidR="00F06FE2" w:rsidRPr="004468E0" w:rsidRDefault="00A25C50" w:rsidP="00BD4854">
            <w:pPr>
              <w:jc w:val="both"/>
              <w:rPr>
                <w:sz w:val="26"/>
                <w:szCs w:val="26"/>
                <w:lang w:val="lv-LV" w:eastAsia="lv-LV"/>
              </w:rPr>
            </w:pPr>
            <w:r w:rsidRPr="004468E0">
              <w:rPr>
                <w:sz w:val="26"/>
                <w:szCs w:val="26"/>
                <w:lang w:val="lv-LV"/>
              </w:rPr>
              <w:t>+</w:t>
            </w:r>
            <w:r w:rsidR="00860635" w:rsidRPr="004468E0">
              <w:rPr>
                <w:sz w:val="26"/>
                <w:szCs w:val="26"/>
              </w:rPr>
              <w:t>6 687,5</w:t>
            </w:r>
          </w:p>
        </w:tc>
        <w:tc>
          <w:tcPr>
            <w:tcW w:w="796" w:type="dxa"/>
          </w:tcPr>
          <w:p w14:paraId="56274488" w14:textId="52C016DA" w:rsidR="00F06FE2" w:rsidRPr="004468E0" w:rsidRDefault="00A25C50" w:rsidP="00BD4854">
            <w:pPr>
              <w:jc w:val="both"/>
              <w:rPr>
                <w:sz w:val="26"/>
                <w:szCs w:val="26"/>
                <w:lang w:val="lv-LV" w:eastAsia="lv-LV"/>
              </w:rPr>
            </w:pPr>
            <w:r w:rsidRPr="004468E0">
              <w:rPr>
                <w:sz w:val="26"/>
                <w:szCs w:val="26"/>
                <w:lang w:val="lv-LV"/>
              </w:rPr>
              <w:t>+</w:t>
            </w:r>
            <w:r w:rsidR="00860635" w:rsidRPr="004468E0">
              <w:rPr>
                <w:sz w:val="26"/>
                <w:szCs w:val="26"/>
              </w:rPr>
              <w:t>6 687,5</w:t>
            </w:r>
          </w:p>
        </w:tc>
      </w:tr>
      <w:tr w:rsidR="00F06FE2" w:rsidRPr="004468E0" w14:paraId="565FE609" w14:textId="77777777" w:rsidTr="00D079D8">
        <w:trPr>
          <w:tblCellSpacing w:w="0" w:type="dxa"/>
        </w:trPr>
        <w:tc>
          <w:tcPr>
            <w:tcW w:w="2871" w:type="dxa"/>
          </w:tcPr>
          <w:p w14:paraId="44350713" w14:textId="77777777" w:rsidR="00F06FE2" w:rsidRPr="004468E0" w:rsidRDefault="00F06FE2" w:rsidP="00BD4854">
            <w:pPr>
              <w:jc w:val="both"/>
              <w:rPr>
                <w:sz w:val="26"/>
                <w:szCs w:val="26"/>
                <w:lang w:val="lv-LV" w:eastAsia="lv-LV"/>
              </w:rPr>
            </w:pPr>
            <w:r w:rsidRPr="004468E0">
              <w:rPr>
                <w:sz w:val="26"/>
                <w:szCs w:val="26"/>
                <w:lang w:val="lv-LV" w:eastAsia="lv-LV"/>
              </w:rPr>
              <w:t> 3.2. speciālais budžets</w:t>
            </w:r>
          </w:p>
        </w:tc>
        <w:tc>
          <w:tcPr>
            <w:tcW w:w="1201" w:type="dxa"/>
          </w:tcPr>
          <w:p w14:paraId="415D3C18"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30D7368B"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4B543375"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7846FBD9"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5638A6B2"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08347AFF" w14:textId="77777777" w:rsidTr="00D079D8">
        <w:trPr>
          <w:tblCellSpacing w:w="0" w:type="dxa"/>
        </w:trPr>
        <w:tc>
          <w:tcPr>
            <w:tcW w:w="2871" w:type="dxa"/>
          </w:tcPr>
          <w:p w14:paraId="3808CC46" w14:textId="77777777" w:rsidR="00F06FE2" w:rsidRPr="004468E0" w:rsidRDefault="00F06FE2" w:rsidP="00BD4854">
            <w:pPr>
              <w:jc w:val="both"/>
              <w:rPr>
                <w:sz w:val="26"/>
                <w:szCs w:val="26"/>
                <w:lang w:val="lv-LV" w:eastAsia="lv-LV"/>
              </w:rPr>
            </w:pPr>
            <w:r w:rsidRPr="004468E0">
              <w:rPr>
                <w:sz w:val="26"/>
                <w:szCs w:val="26"/>
                <w:lang w:val="lv-LV" w:eastAsia="lv-LV"/>
              </w:rPr>
              <w:t> 3.3. pašvaldību budžets</w:t>
            </w:r>
          </w:p>
        </w:tc>
        <w:tc>
          <w:tcPr>
            <w:tcW w:w="1201" w:type="dxa"/>
          </w:tcPr>
          <w:p w14:paraId="44916D93"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63" w:type="dxa"/>
          </w:tcPr>
          <w:p w14:paraId="1A257992"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2AB58F5C"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1249948A"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2BD43CFD"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0332F03E" w14:textId="77777777" w:rsidTr="00D079D8">
        <w:trPr>
          <w:tblCellSpacing w:w="0" w:type="dxa"/>
        </w:trPr>
        <w:tc>
          <w:tcPr>
            <w:tcW w:w="2871" w:type="dxa"/>
            <w:vMerge w:val="restart"/>
          </w:tcPr>
          <w:p w14:paraId="605F4E3E" w14:textId="77777777" w:rsidR="00F06FE2" w:rsidRPr="004468E0" w:rsidRDefault="00F06FE2" w:rsidP="00BD4854">
            <w:pPr>
              <w:jc w:val="both"/>
              <w:rPr>
                <w:sz w:val="26"/>
                <w:szCs w:val="26"/>
                <w:lang w:val="lv-LV" w:eastAsia="lv-LV"/>
              </w:rPr>
            </w:pPr>
            <w:r w:rsidRPr="004468E0">
              <w:rPr>
                <w:sz w:val="26"/>
                <w:szCs w:val="26"/>
                <w:lang w:val="lv-LV" w:eastAsia="lv-LV"/>
              </w:rPr>
              <w:t> 4. Finanšu līdzekļi papildu izde</w:t>
            </w:r>
            <w:r w:rsidRPr="004468E0">
              <w:rPr>
                <w:sz w:val="26"/>
                <w:szCs w:val="26"/>
                <w:lang w:val="lv-LV" w:eastAsia="lv-LV"/>
              </w:rPr>
              <w:softHyphen/>
              <w:t>vumu</w:t>
            </w:r>
            <w:r w:rsidR="006179D1" w:rsidRPr="004468E0">
              <w:rPr>
                <w:sz w:val="26"/>
                <w:szCs w:val="26"/>
                <w:lang w:val="lv-LV" w:eastAsia="lv-LV"/>
              </w:rPr>
              <w:t xml:space="preserve"> </w:t>
            </w:r>
            <w:r w:rsidRPr="004468E0">
              <w:rPr>
                <w:sz w:val="26"/>
                <w:szCs w:val="26"/>
                <w:lang w:val="lv-LV" w:eastAsia="lv-LV"/>
              </w:rPr>
              <w:t xml:space="preserve">finansēšanai (kompensējošu izdevumu samazinājumu norāda ar "+" zīmi) </w:t>
            </w:r>
          </w:p>
        </w:tc>
        <w:tc>
          <w:tcPr>
            <w:tcW w:w="1201" w:type="dxa"/>
            <w:vMerge w:val="restart"/>
          </w:tcPr>
          <w:p w14:paraId="434996E9" w14:textId="77777777" w:rsidR="00F06FE2" w:rsidRPr="004468E0" w:rsidRDefault="00F06FE2" w:rsidP="00BD4854">
            <w:pPr>
              <w:jc w:val="both"/>
              <w:rPr>
                <w:sz w:val="26"/>
                <w:szCs w:val="26"/>
                <w:lang w:val="lv-LV" w:eastAsia="lv-LV"/>
              </w:rPr>
            </w:pPr>
            <w:r w:rsidRPr="004468E0">
              <w:rPr>
                <w:sz w:val="26"/>
                <w:szCs w:val="26"/>
                <w:lang w:val="lv-LV" w:eastAsia="lv-LV"/>
              </w:rPr>
              <w:t>X</w:t>
            </w:r>
          </w:p>
        </w:tc>
        <w:tc>
          <w:tcPr>
            <w:tcW w:w="1263" w:type="dxa"/>
          </w:tcPr>
          <w:p w14:paraId="792F422E" w14:textId="77777777" w:rsidR="00F06FE2" w:rsidRPr="004468E0" w:rsidRDefault="00F06FE2" w:rsidP="00BD4854">
            <w:pPr>
              <w:jc w:val="both"/>
              <w:rPr>
                <w:sz w:val="26"/>
                <w:szCs w:val="26"/>
                <w:lang w:val="lv-LV" w:eastAsia="lv-LV"/>
              </w:rPr>
            </w:pPr>
          </w:p>
        </w:tc>
        <w:tc>
          <w:tcPr>
            <w:tcW w:w="1254" w:type="dxa"/>
          </w:tcPr>
          <w:p w14:paraId="250AE13D" w14:textId="77777777" w:rsidR="00F06FE2" w:rsidRPr="004468E0" w:rsidRDefault="00F06FE2" w:rsidP="00BD4854">
            <w:pPr>
              <w:jc w:val="both"/>
              <w:rPr>
                <w:sz w:val="26"/>
                <w:szCs w:val="26"/>
                <w:lang w:val="lv-LV" w:eastAsia="lv-LV"/>
              </w:rPr>
            </w:pPr>
          </w:p>
        </w:tc>
        <w:tc>
          <w:tcPr>
            <w:tcW w:w="1254" w:type="dxa"/>
          </w:tcPr>
          <w:p w14:paraId="2D6FA4D2"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2F12E6F4"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7A727D3C" w14:textId="77777777" w:rsidTr="00D079D8">
        <w:trPr>
          <w:tblCellSpacing w:w="0" w:type="dxa"/>
        </w:trPr>
        <w:tc>
          <w:tcPr>
            <w:tcW w:w="2871" w:type="dxa"/>
            <w:vMerge/>
            <w:vAlign w:val="center"/>
          </w:tcPr>
          <w:p w14:paraId="54372695" w14:textId="77777777" w:rsidR="00F06FE2" w:rsidRPr="004468E0" w:rsidRDefault="00F06FE2" w:rsidP="00BD4854">
            <w:pPr>
              <w:jc w:val="both"/>
              <w:rPr>
                <w:sz w:val="26"/>
                <w:szCs w:val="26"/>
                <w:lang w:val="lv-LV" w:eastAsia="lv-LV"/>
              </w:rPr>
            </w:pPr>
          </w:p>
        </w:tc>
        <w:tc>
          <w:tcPr>
            <w:tcW w:w="0" w:type="auto"/>
            <w:vMerge/>
            <w:vAlign w:val="center"/>
          </w:tcPr>
          <w:p w14:paraId="62CFF47A" w14:textId="77777777" w:rsidR="00F06FE2" w:rsidRPr="004468E0" w:rsidRDefault="00F06FE2" w:rsidP="00BD4854">
            <w:pPr>
              <w:jc w:val="both"/>
              <w:rPr>
                <w:sz w:val="26"/>
                <w:szCs w:val="26"/>
                <w:lang w:val="lv-LV" w:eastAsia="lv-LV"/>
              </w:rPr>
            </w:pPr>
          </w:p>
        </w:tc>
        <w:tc>
          <w:tcPr>
            <w:tcW w:w="1263" w:type="dxa"/>
          </w:tcPr>
          <w:p w14:paraId="5EE2CEB3" w14:textId="77777777" w:rsidR="00F06FE2" w:rsidRPr="004468E0" w:rsidRDefault="00F06FE2" w:rsidP="00BD4854">
            <w:pPr>
              <w:jc w:val="both"/>
              <w:rPr>
                <w:sz w:val="26"/>
                <w:szCs w:val="26"/>
                <w:lang w:val="lv-LV" w:eastAsia="lv-LV"/>
              </w:rPr>
            </w:pPr>
          </w:p>
        </w:tc>
        <w:tc>
          <w:tcPr>
            <w:tcW w:w="1254" w:type="dxa"/>
          </w:tcPr>
          <w:p w14:paraId="3E2095D3" w14:textId="77777777" w:rsidR="00F06FE2" w:rsidRPr="004468E0" w:rsidRDefault="00F06FE2" w:rsidP="00BD4854">
            <w:pPr>
              <w:jc w:val="both"/>
              <w:rPr>
                <w:sz w:val="26"/>
                <w:szCs w:val="26"/>
                <w:lang w:val="lv-LV" w:eastAsia="lv-LV"/>
              </w:rPr>
            </w:pPr>
          </w:p>
        </w:tc>
        <w:tc>
          <w:tcPr>
            <w:tcW w:w="1254" w:type="dxa"/>
          </w:tcPr>
          <w:p w14:paraId="03208F9B" w14:textId="77777777" w:rsidR="00F06FE2" w:rsidRPr="004468E0" w:rsidRDefault="00F06FE2" w:rsidP="00BD4854">
            <w:pPr>
              <w:jc w:val="both"/>
              <w:rPr>
                <w:sz w:val="26"/>
                <w:szCs w:val="26"/>
                <w:lang w:val="lv-LV" w:eastAsia="lv-LV"/>
              </w:rPr>
            </w:pPr>
          </w:p>
        </w:tc>
        <w:tc>
          <w:tcPr>
            <w:tcW w:w="796" w:type="dxa"/>
          </w:tcPr>
          <w:p w14:paraId="1331D985" w14:textId="77777777" w:rsidR="00F06FE2" w:rsidRPr="004468E0" w:rsidRDefault="00F06FE2" w:rsidP="00BD4854">
            <w:pPr>
              <w:jc w:val="both"/>
              <w:rPr>
                <w:sz w:val="26"/>
                <w:szCs w:val="26"/>
                <w:lang w:val="lv-LV" w:eastAsia="lv-LV"/>
              </w:rPr>
            </w:pPr>
          </w:p>
        </w:tc>
      </w:tr>
      <w:tr w:rsidR="00F06FE2" w:rsidRPr="004468E0" w14:paraId="284FC4AA" w14:textId="77777777" w:rsidTr="00D079D8">
        <w:trPr>
          <w:trHeight w:val="2770"/>
          <w:tblCellSpacing w:w="0" w:type="dxa"/>
        </w:trPr>
        <w:tc>
          <w:tcPr>
            <w:tcW w:w="2871" w:type="dxa"/>
            <w:vMerge/>
            <w:vAlign w:val="center"/>
          </w:tcPr>
          <w:p w14:paraId="153B674D" w14:textId="77777777" w:rsidR="00F06FE2" w:rsidRPr="004468E0" w:rsidRDefault="00F06FE2" w:rsidP="00BD4854">
            <w:pPr>
              <w:jc w:val="both"/>
              <w:rPr>
                <w:sz w:val="26"/>
                <w:szCs w:val="26"/>
                <w:lang w:val="lv-LV" w:eastAsia="lv-LV"/>
              </w:rPr>
            </w:pPr>
          </w:p>
        </w:tc>
        <w:tc>
          <w:tcPr>
            <w:tcW w:w="0" w:type="auto"/>
            <w:vMerge/>
            <w:vAlign w:val="center"/>
          </w:tcPr>
          <w:p w14:paraId="22F6BC3B" w14:textId="77777777" w:rsidR="00F06FE2" w:rsidRPr="004468E0" w:rsidRDefault="00F06FE2" w:rsidP="00BD4854">
            <w:pPr>
              <w:jc w:val="both"/>
              <w:rPr>
                <w:sz w:val="26"/>
                <w:szCs w:val="26"/>
                <w:lang w:val="lv-LV" w:eastAsia="lv-LV"/>
              </w:rPr>
            </w:pPr>
          </w:p>
        </w:tc>
        <w:tc>
          <w:tcPr>
            <w:tcW w:w="1263" w:type="dxa"/>
          </w:tcPr>
          <w:p w14:paraId="6E9FF34E"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0945E94E"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5A141373"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4F3B12DF"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2E43F7A3" w14:textId="77777777" w:rsidTr="00D079D8">
        <w:trPr>
          <w:tblCellSpacing w:w="0" w:type="dxa"/>
        </w:trPr>
        <w:tc>
          <w:tcPr>
            <w:tcW w:w="2871" w:type="dxa"/>
          </w:tcPr>
          <w:p w14:paraId="17386475" w14:textId="77777777" w:rsidR="00F06FE2" w:rsidRPr="004468E0" w:rsidRDefault="00F06FE2" w:rsidP="00BD4854">
            <w:pPr>
              <w:jc w:val="both"/>
              <w:rPr>
                <w:sz w:val="26"/>
                <w:szCs w:val="26"/>
                <w:lang w:val="lv-LV" w:eastAsia="lv-LV"/>
              </w:rPr>
            </w:pPr>
            <w:r w:rsidRPr="004468E0">
              <w:rPr>
                <w:sz w:val="26"/>
                <w:szCs w:val="26"/>
                <w:lang w:val="lv-LV" w:eastAsia="lv-LV"/>
              </w:rPr>
              <w:lastRenderedPageBreak/>
              <w:t> 5. Precizēta finansiālā ietekme:</w:t>
            </w:r>
          </w:p>
        </w:tc>
        <w:tc>
          <w:tcPr>
            <w:tcW w:w="1201" w:type="dxa"/>
            <w:vMerge w:val="restart"/>
          </w:tcPr>
          <w:p w14:paraId="6972A6E8" w14:textId="77777777" w:rsidR="00F06FE2" w:rsidRPr="004468E0" w:rsidRDefault="00F06FE2" w:rsidP="00BD4854">
            <w:pPr>
              <w:jc w:val="both"/>
              <w:rPr>
                <w:sz w:val="26"/>
                <w:szCs w:val="26"/>
                <w:lang w:val="lv-LV" w:eastAsia="lv-LV"/>
              </w:rPr>
            </w:pPr>
            <w:r w:rsidRPr="004468E0">
              <w:rPr>
                <w:sz w:val="26"/>
                <w:szCs w:val="26"/>
                <w:lang w:val="lv-LV" w:eastAsia="lv-LV"/>
              </w:rPr>
              <w:t>X</w:t>
            </w:r>
          </w:p>
        </w:tc>
        <w:tc>
          <w:tcPr>
            <w:tcW w:w="1263" w:type="dxa"/>
          </w:tcPr>
          <w:p w14:paraId="6E79FA47"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58837A7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46FF01A0"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3FEE2666"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1878554C" w14:textId="77777777" w:rsidTr="00D079D8">
        <w:trPr>
          <w:tblCellSpacing w:w="0" w:type="dxa"/>
        </w:trPr>
        <w:tc>
          <w:tcPr>
            <w:tcW w:w="2871" w:type="dxa"/>
          </w:tcPr>
          <w:p w14:paraId="0080073A" w14:textId="77777777" w:rsidR="00F06FE2" w:rsidRPr="004468E0" w:rsidRDefault="00F06FE2" w:rsidP="00BD4854">
            <w:pPr>
              <w:jc w:val="both"/>
              <w:rPr>
                <w:sz w:val="26"/>
                <w:szCs w:val="26"/>
                <w:lang w:val="lv-LV" w:eastAsia="lv-LV"/>
              </w:rPr>
            </w:pPr>
            <w:r w:rsidRPr="004468E0">
              <w:rPr>
                <w:sz w:val="26"/>
                <w:szCs w:val="26"/>
                <w:lang w:val="lv-LV" w:eastAsia="lv-LV"/>
              </w:rPr>
              <w:t> 5.1. valsts pamatbudžets</w:t>
            </w:r>
          </w:p>
        </w:tc>
        <w:tc>
          <w:tcPr>
            <w:tcW w:w="0" w:type="auto"/>
            <w:vMerge/>
            <w:vAlign w:val="center"/>
          </w:tcPr>
          <w:p w14:paraId="4AA1FBD5" w14:textId="77777777" w:rsidR="00F06FE2" w:rsidRPr="004468E0" w:rsidRDefault="00F06FE2" w:rsidP="00BD4854">
            <w:pPr>
              <w:jc w:val="both"/>
              <w:rPr>
                <w:sz w:val="26"/>
                <w:szCs w:val="26"/>
                <w:lang w:val="lv-LV" w:eastAsia="lv-LV"/>
              </w:rPr>
            </w:pPr>
          </w:p>
        </w:tc>
        <w:tc>
          <w:tcPr>
            <w:tcW w:w="1263" w:type="dxa"/>
          </w:tcPr>
          <w:p w14:paraId="43470A53" w14:textId="77777777" w:rsidR="00F06FE2" w:rsidRPr="004468E0" w:rsidRDefault="00F06FE2" w:rsidP="00BD4854">
            <w:pPr>
              <w:jc w:val="both"/>
              <w:rPr>
                <w:sz w:val="26"/>
                <w:szCs w:val="26"/>
                <w:lang w:val="lv-LV" w:eastAsia="lv-LV"/>
              </w:rPr>
            </w:pPr>
          </w:p>
        </w:tc>
        <w:tc>
          <w:tcPr>
            <w:tcW w:w="1254" w:type="dxa"/>
          </w:tcPr>
          <w:p w14:paraId="1763DF55"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6D7B76C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348975C8"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1D8B6DFB" w14:textId="77777777" w:rsidTr="00D079D8">
        <w:trPr>
          <w:tblCellSpacing w:w="0" w:type="dxa"/>
        </w:trPr>
        <w:tc>
          <w:tcPr>
            <w:tcW w:w="2871" w:type="dxa"/>
          </w:tcPr>
          <w:p w14:paraId="5B6CFDB4" w14:textId="77777777" w:rsidR="00F06FE2" w:rsidRPr="004468E0" w:rsidRDefault="00F06FE2" w:rsidP="00BD4854">
            <w:pPr>
              <w:jc w:val="both"/>
              <w:rPr>
                <w:sz w:val="26"/>
                <w:szCs w:val="26"/>
                <w:lang w:val="lv-LV" w:eastAsia="lv-LV"/>
              </w:rPr>
            </w:pPr>
            <w:r w:rsidRPr="004468E0">
              <w:rPr>
                <w:sz w:val="26"/>
                <w:szCs w:val="26"/>
                <w:lang w:val="lv-LV" w:eastAsia="lv-LV"/>
              </w:rPr>
              <w:t> 5.2. speciālais budžets</w:t>
            </w:r>
          </w:p>
        </w:tc>
        <w:tc>
          <w:tcPr>
            <w:tcW w:w="0" w:type="auto"/>
            <w:vMerge/>
            <w:vAlign w:val="center"/>
          </w:tcPr>
          <w:p w14:paraId="7F4DCBF6" w14:textId="77777777" w:rsidR="00F06FE2" w:rsidRPr="004468E0" w:rsidRDefault="00F06FE2" w:rsidP="00BD4854">
            <w:pPr>
              <w:jc w:val="both"/>
              <w:rPr>
                <w:sz w:val="26"/>
                <w:szCs w:val="26"/>
                <w:lang w:val="lv-LV" w:eastAsia="lv-LV"/>
              </w:rPr>
            </w:pPr>
          </w:p>
        </w:tc>
        <w:tc>
          <w:tcPr>
            <w:tcW w:w="1263" w:type="dxa"/>
          </w:tcPr>
          <w:p w14:paraId="669699F2" w14:textId="77777777" w:rsidR="00F06FE2" w:rsidRPr="004468E0" w:rsidRDefault="00F06FE2" w:rsidP="00BD4854">
            <w:pPr>
              <w:jc w:val="both"/>
              <w:rPr>
                <w:sz w:val="26"/>
                <w:szCs w:val="26"/>
                <w:lang w:val="lv-LV" w:eastAsia="lv-LV"/>
              </w:rPr>
            </w:pPr>
          </w:p>
        </w:tc>
        <w:tc>
          <w:tcPr>
            <w:tcW w:w="1254" w:type="dxa"/>
          </w:tcPr>
          <w:p w14:paraId="3A9CC33D"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2AFACB56"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7257635A"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719A9C9F" w14:textId="77777777" w:rsidTr="00D079D8">
        <w:trPr>
          <w:tblCellSpacing w:w="0" w:type="dxa"/>
        </w:trPr>
        <w:tc>
          <w:tcPr>
            <w:tcW w:w="2871" w:type="dxa"/>
          </w:tcPr>
          <w:p w14:paraId="0906FA72" w14:textId="77777777" w:rsidR="00F06FE2" w:rsidRPr="004468E0" w:rsidRDefault="00F06FE2" w:rsidP="00BD4854">
            <w:pPr>
              <w:jc w:val="both"/>
              <w:rPr>
                <w:sz w:val="26"/>
                <w:szCs w:val="26"/>
                <w:lang w:val="lv-LV" w:eastAsia="lv-LV"/>
              </w:rPr>
            </w:pPr>
            <w:r w:rsidRPr="004468E0">
              <w:rPr>
                <w:sz w:val="26"/>
                <w:szCs w:val="26"/>
                <w:lang w:val="lv-LV" w:eastAsia="lv-LV"/>
              </w:rPr>
              <w:t> 5.3. pašvaldību budžets</w:t>
            </w:r>
          </w:p>
        </w:tc>
        <w:tc>
          <w:tcPr>
            <w:tcW w:w="0" w:type="auto"/>
            <w:vMerge/>
            <w:vAlign w:val="center"/>
          </w:tcPr>
          <w:p w14:paraId="6BC2AD18" w14:textId="77777777" w:rsidR="00F06FE2" w:rsidRPr="004468E0" w:rsidRDefault="00F06FE2" w:rsidP="00BD4854">
            <w:pPr>
              <w:jc w:val="both"/>
              <w:rPr>
                <w:sz w:val="26"/>
                <w:szCs w:val="26"/>
                <w:lang w:val="lv-LV" w:eastAsia="lv-LV"/>
              </w:rPr>
            </w:pPr>
          </w:p>
        </w:tc>
        <w:tc>
          <w:tcPr>
            <w:tcW w:w="1263" w:type="dxa"/>
          </w:tcPr>
          <w:p w14:paraId="26776F13" w14:textId="77777777" w:rsidR="00F06FE2" w:rsidRPr="004468E0" w:rsidRDefault="00F06FE2" w:rsidP="00BD4854">
            <w:pPr>
              <w:jc w:val="both"/>
              <w:rPr>
                <w:sz w:val="26"/>
                <w:szCs w:val="26"/>
                <w:lang w:val="lv-LV" w:eastAsia="lv-LV"/>
              </w:rPr>
            </w:pPr>
          </w:p>
        </w:tc>
        <w:tc>
          <w:tcPr>
            <w:tcW w:w="1254" w:type="dxa"/>
          </w:tcPr>
          <w:p w14:paraId="4EED0165"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1254" w:type="dxa"/>
          </w:tcPr>
          <w:p w14:paraId="755B6331" w14:textId="77777777" w:rsidR="00F06FE2" w:rsidRPr="004468E0" w:rsidRDefault="00F06FE2" w:rsidP="00BD4854">
            <w:pPr>
              <w:jc w:val="both"/>
              <w:rPr>
                <w:sz w:val="26"/>
                <w:szCs w:val="26"/>
                <w:lang w:val="lv-LV" w:eastAsia="lv-LV"/>
              </w:rPr>
            </w:pPr>
            <w:r w:rsidRPr="004468E0">
              <w:rPr>
                <w:sz w:val="26"/>
                <w:szCs w:val="26"/>
                <w:lang w:val="lv-LV" w:eastAsia="lv-LV"/>
              </w:rPr>
              <w:t>0</w:t>
            </w:r>
          </w:p>
        </w:tc>
        <w:tc>
          <w:tcPr>
            <w:tcW w:w="796" w:type="dxa"/>
          </w:tcPr>
          <w:p w14:paraId="4DF95765" w14:textId="77777777" w:rsidR="00F06FE2" w:rsidRPr="004468E0" w:rsidRDefault="00F06FE2" w:rsidP="00BD4854">
            <w:pPr>
              <w:jc w:val="both"/>
              <w:rPr>
                <w:sz w:val="26"/>
                <w:szCs w:val="26"/>
                <w:lang w:val="lv-LV" w:eastAsia="lv-LV"/>
              </w:rPr>
            </w:pPr>
            <w:r w:rsidRPr="004468E0">
              <w:rPr>
                <w:sz w:val="26"/>
                <w:szCs w:val="26"/>
                <w:lang w:val="lv-LV" w:eastAsia="lv-LV"/>
              </w:rPr>
              <w:t>0</w:t>
            </w:r>
          </w:p>
        </w:tc>
      </w:tr>
      <w:tr w:rsidR="00F06FE2" w:rsidRPr="004468E0" w14:paraId="3779EDA4" w14:textId="77777777" w:rsidTr="00D079D8">
        <w:trPr>
          <w:trHeight w:val="1319"/>
          <w:tblCellSpacing w:w="0" w:type="dxa"/>
        </w:trPr>
        <w:tc>
          <w:tcPr>
            <w:tcW w:w="2871" w:type="dxa"/>
          </w:tcPr>
          <w:p w14:paraId="53778548" w14:textId="77777777" w:rsidR="00F06FE2" w:rsidRPr="004468E0" w:rsidRDefault="00F06FE2" w:rsidP="00BD4854">
            <w:pPr>
              <w:jc w:val="both"/>
              <w:rPr>
                <w:color w:val="000000" w:themeColor="text1"/>
                <w:sz w:val="26"/>
                <w:szCs w:val="26"/>
                <w:lang w:val="lv-LV" w:eastAsia="lv-LV"/>
              </w:rPr>
            </w:pPr>
            <w:r w:rsidRPr="004468E0">
              <w:rPr>
                <w:color w:val="000000" w:themeColor="text1"/>
                <w:sz w:val="26"/>
                <w:szCs w:val="26"/>
                <w:lang w:val="lv-LV" w:eastAsia="lv-LV"/>
              </w:rPr>
              <w:t> 6. Detalizēts ieņēmumu un izdevu</w:t>
            </w:r>
            <w:r w:rsidRPr="004468E0">
              <w:rPr>
                <w:color w:val="000000" w:themeColor="text1"/>
                <w:sz w:val="26"/>
                <w:szCs w:val="26"/>
                <w:lang w:val="lv-LV" w:eastAsia="lv-LV"/>
              </w:rPr>
              <w:softHyphen/>
              <w:t>mu aprēķins (ja nepieciešams, detalizētu ieņēmumu un izdevumu aprēķinu var pievienot anotācijas pielikumā):</w:t>
            </w:r>
          </w:p>
        </w:tc>
        <w:tc>
          <w:tcPr>
            <w:tcW w:w="5768" w:type="dxa"/>
            <w:gridSpan w:val="5"/>
            <w:vMerge w:val="restart"/>
            <w:vAlign w:val="center"/>
          </w:tcPr>
          <w:p w14:paraId="2B410F5F" w14:textId="77777777" w:rsidR="00F06FE2" w:rsidRPr="004468E0" w:rsidRDefault="00F06FE2" w:rsidP="00BD4854">
            <w:pPr>
              <w:jc w:val="both"/>
              <w:rPr>
                <w:color w:val="000000" w:themeColor="text1"/>
                <w:sz w:val="26"/>
                <w:szCs w:val="26"/>
                <w:lang w:val="lv-LV" w:eastAsia="lv-LV"/>
              </w:rPr>
            </w:pPr>
            <w:r w:rsidRPr="004468E0">
              <w:rPr>
                <w:color w:val="000000" w:themeColor="text1"/>
                <w:sz w:val="26"/>
                <w:szCs w:val="26"/>
                <w:lang w:val="lv-LV" w:eastAsia="lv-LV"/>
              </w:rPr>
              <w:t>Paaugstināta riska grupas komercsabiedrību „veiktie” darījumi:</w:t>
            </w:r>
          </w:p>
          <w:p w14:paraId="79F77EC8" w14:textId="77777777" w:rsidR="006179D1" w:rsidRPr="004468E0" w:rsidRDefault="006179D1" w:rsidP="006179D1">
            <w:pPr>
              <w:jc w:val="both"/>
              <w:rPr>
                <w:color w:val="000000" w:themeColor="text1"/>
                <w:sz w:val="26"/>
                <w:szCs w:val="26"/>
                <w:lang w:val="lv-LV"/>
              </w:rPr>
            </w:pPr>
            <w:r w:rsidRPr="004468E0">
              <w:rPr>
                <w:color w:val="000000" w:themeColor="text1"/>
                <w:sz w:val="26"/>
                <w:szCs w:val="26"/>
                <w:lang w:val="lv-LV"/>
              </w:rPr>
              <w:t>2012. un 2013.gada 7 mēnešos Valsts ieņēmumu dienests, veicot nodokļu auditus naftas akcīzes nodokļa maksātājiem, papildus nomaksai budžetā 43 nodokļu maksātājiem ir aprēķinājis maksājumus budžetā  Ls 22,66 milj. apmērā, no tā pievienotās vērtības nodokli 24 nodokļu maksātājiem  Ls 7,90 milj. apmērā.</w:t>
            </w:r>
          </w:p>
          <w:p w14:paraId="54A3A220" w14:textId="4ABF0F24" w:rsidR="009C67E2" w:rsidRPr="004468E0" w:rsidRDefault="009C67E2" w:rsidP="009C67E2">
            <w:pPr>
              <w:jc w:val="both"/>
              <w:rPr>
                <w:color w:val="000000" w:themeColor="text1"/>
                <w:sz w:val="26"/>
                <w:szCs w:val="26"/>
                <w:lang w:val="lv-LV" w:eastAsia="lv-LV"/>
              </w:rPr>
            </w:pPr>
            <w:r w:rsidRPr="004468E0">
              <w:rPr>
                <w:color w:val="000000" w:themeColor="text1"/>
                <w:sz w:val="26"/>
                <w:szCs w:val="26"/>
                <w:lang w:val="lv-LV"/>
              </w:rPr>
              <w:t>Uz 2013.gada 1.augustu  pievienotās vērtības nodokļa</w:t>
            </w:r>
            <w:r w:rsidRPr="004468E0" w:rsidDel="009E4A77">
              <w:rPr>
                <w:color w:val="000000" w:themeColor="text1"/>
                <w:sz w:val="26"/>
                <w:szCs w:val="26"/>
                <w:lang w:val="lv-LV"/>
              </w:rPr>
              <w:t xml:space="preserve"> </w:t>
            </w:r>
            <w:r w:rsidRPr="004468E0">
              <w:rPr>
                <w:color w:val="000000" w:themeColor="text1"/>
                <w:sz w:val="26"/>
                <w:szCs w:val="26"/>
                <w:lang w:val="lv-LV"/>
              </w:rPr>
              <w:t xml:space="preserve"> parāds bija 45 naftas akcīzes nodokļa maksātājiem Ls 7,47 milj. apmērā, no tā piedziņu nav iespējams vērst pret Ls  5,10 milj. Bez tam  piedziņu nebūs iespējams vērst arī pret šobrīd vēl apstrīdēšanas procesā esošajos nodokļu audita lēmumos papildus aprēķinātajām summām, gadījumā,  ja tie paliks spēkā, Ls 4,3 milj. apmērā. </w:t>
            </w:r>
            <w:r w:rsidRPr="004468E0">
              <w:rPr>
                <w:color w:val="000000" w:themeColor="text1"/>
                <w:sz w:val="26"/>
                <w:szCs w:val="26"/>
                <w:lang w:val="lv-LV" w:eastAsia="lv-LV"/>
              </w:rPr>
              <w:t xml:space="preserve">  Kopā nepiedzenamais nodokļa parāds ir vismaz Ls  9,4 milj. Pēc piesardzīgām prognozēm valsts budžeta ieņēmumos turpmākajiem gadiem ir iekļauta puse no šīs summas Ls 4,7 milj., kas pārrēķinot ir </w:t>
            </w:r>
            <w:proofErr w:type="spellStart"/>
            <w:r w:rsidRPr="004468E0">
              <w:rPr>
                <w:color w:val="000000" w:themeColor="text1"/>
                <w:sz w:val="26"/>
                <w:szCs w:val="26"/>
                <w:lang w:val="lv-LV" w:eastAsia="lv-LV"/>
              </w:rPr>
              <w:t>euro</w:t>
            </w:r>
            <w:proofErr w:type="spellEnd"/>
            <w:r w:rsidRPr="004468E0">
              <w:rPr>
                <w:color w:val="000000" w:themeColor="text1"/>
                <w:sz w:val="26"/>
                <w:szCs w:val="26"/>
                <w:lang w:val="lv-LV" w:eastAsia="lv-LV"/>
              </w:rPr>
              <w:t xml:space="preserve"> </w:t>
            </w:r>
            <w:r w:rsidR="00EB3173" w:rsidRPr="004468E0">
              <w:rPr>
                <w:sz w:val="26"/>
                <w:szCs w:val="26"/>
              </w:rPr>
              <w:t>6 687 498</w:t>
            </w:r>
            <w:r w:rsidRPr="004468E0">
              <w:rPr>
                <w:sz w:val="26"/>
                <w:szCs w:val="26"/>
              </w:rPr>
              <w:t>.</w:t>
            </w:r>
          </w:p>
          <w:p w14:paraId="58F48407" w14:textId="3F6EEEBE" w:rsidR="00D34E2F" w:rsidRPr="004468E0" w:rsidRDefault="00D34E2F" w:rsidP="002A69C0">
            <w:pPr>
              <w:jc w:val="both"/>
              <w:rPr>
                <w:color w:val="000000" w:themeColor="text1"/>
                <w:sz w:val="26"/>
                <w:szCs w:val="26"/>
                <w:lang w:val="lv-LV" w:eastAsia="lv-LV"/>
              </w:rPr>
            </w:pPr>
            <w:r w:rsidRPr="004468E0">
              <w:rPr>
                <w:sz w:val="26"/>
                <w:szCs w:val="26"/>
                <w:lang w:val="lv-LV" w:eastAsia="lv-LV"/>
              </w:rPr>
              <w:t>Saskaņā ar</w:t>
            </w:r>
            <w:r w:rsidR="002A69C0" w:rsidRPr="004468E0">
              <w:rPr>
                <w:sz w:val="26"/>
                <w:szCs w:val="26"/>
                <w:lang w:val="lv-LV" w:eastAsia="lv-LV"/>
              </w:rPr>
              <w:t xml:space="preserve"> </w:t>
            </w:r>
            <w:r w:rsidRPr="004468E0">
              <w:rPr>
                <w:sz w:val="26"/>
                <w:szCs w:val="26"/>
                <w:lang w:val="lv-LV"/>
              </w:rPr>
              <w:t>Ministru kabineta 2013.gada 27.augusta</w:t>
            </w:r>
            <w:r w:rsidR="00B72183" w:rsidRPr="004468E0">
              <w:rPr>
                <w:sz w:val="26"/>
                <w:szCs w:val="26"/>
                <w:lang w:val="lv-LV"/>
              </w:rPr>
              <w:t xml:space="preserve"> sēdes</w:t>
            </w:r>
            <w:r w:rsidRPr="004468E0">
              <w:rPr>
                <w:sz w:val="26"/>
                <w:szCs w:val="26"/>
                <w:lang w:val="lv-LV"/>
              </w:rPr>
              <w:t xml:space="preserve"> </w:t>
            </w:r>
            <w:r w:rsidR="002D4DD5" w:rsidRPr="004468E0">
              <w:rPr>
                <w:sz w:val="26"/>
                <w:szCs w:val="26"/>
              </w:rPr>
              <w:t xml:space="preserve"> </w:t>
            </w:r>
            <w:proofErr w:type="spellStart"/>
            <w:r w:rsidR="002D4DD5" w:rsidRPr="004468E0">
              <w:rPr>
                <w:sz w:val="26"/>
                <w:szCs w:val="26"/>
              </w:rPr>
              <w:t>protokola</w:t>
            </w:r>
            <w:proofErr w:type="spellEnd"/>
            <w:r w:rsidR="002D4DD5" w:rsidRPr="004468E0">
              <w:rPr>
                <w:sz w:val="26"/>
                <w:szCs w:val="26"/>
              </w:rPr>
              <w:t xml:space="preserve"> Nr.46 100 § 2.1.3.apakšpunktu</w:t>
            </w:r>
            <w:r w:rsidR="002D4DD5" w:rsidRPr="004468E0">
              <w:rPr>
                <w:sz w:val="26"/>
                <w:szCs w:val="26"/>
                <w:lang w:val="lv-LV"/>
              </w:rPr>
              <w:t xml:space="preserve"> </w:t>
            </w:r>
            <w:r w:rsidRPr="004468E0">
              <w:rPr>
                <w:sz w:val="26"/>
                <w:szCs w:val="26"/>
                <w:lang w:val="lv-LV"/>
              </w:rPr>
              <w:t>fiskālā ietekme ir iekļauta 2014.-2016.gada PVN bāzes prognozēs.</w:t>
            </w:r>
            <w:r w:rsidR="00C530A2" w:rsidRPr="004468E0">
              <w:rPr>
                <w:sz w:val="26"/>
                <w:szCs w:val="26"/>
                <w:lang w:val="lv-LV"/>
              </w:rPr>
              <w:t xml:space="preserve"> </w:t>
            </w:r>
          </w:p>
        </w:tc>
      </w:tr>
      <w:tr w:rsidR="00F06FE2" w:rsidRPr="004468E0" w14:paraId="048D93A1" w14:textId="77777777" w:rsidTr="00D079D8">
        <w:trPr>
          <w:tblCellSpacing w:w="0" w:type="dxa"/>
        </w:trPr>
        <w:tc>
          <w:tcPr>
            <w:tcW w:w="2871" w:type="dxa"/>
          </w:tcPr>
          <w:p w14:paraId="5B9E7209" w14:textId="77777777" w:rsidR="00F06FE2" w:rsidRPr="004468E0" w:rsidRDefault="00F06FE2" w:rsidP="00BD4854">
            <w:pPr>
              <w:jc w:val="both"/>
              <w:rPr>
                <w:sz w:val="26"/>
                <w:szCs w:val="26"/>
                <w:lang w:val="lv-LV" w:eastAsia="lv-LV"/>
              </w:rPr>
            </w:pPr>
          </w:p>
        </w:tc>
        <w:tc>
          <w:tcPr>
            <w:tcW w:w="5768" w:type="dxa"/>
            <w:gridSpan w:val="5"/>
            <w:vMerge/>
            <w:vAlign w:val="center"/>
          </w:tcPr>
          <w:p w14:paraId="6889ABB8" w14:textId="77777777" w:rsidR="00F06FE2" w:rsidRPr="004468E0" w:rsidRDefault="00F06FE2" w:rsidP="00BD4854">
            <w:pPr>
              <w:jc w:val="both"/>
              <w:rPr>
                <w:sz w:val="26"/>
                <w:szCs w:val="26"/>
                <w:lang w:val="lv-LV" w:eastAsia="lv-LV"/>
              </w:rPr>
            </w:pPr>
          </w:p>
        </w:tc>
      </w:tr>
      <w:tr w:rsidR="00F06FE2" w:rsidRPr="004468E0" w14:paraId="34E7E383" w14:textId="77777777" w:rsidTr="00D079D8">
        <w:trPr>
          <w:trHeight w:val="525"/>
          <w:tblCellSpacing w:w="0" w:type="dxa"/>
        </w:trPr>
        <w:tc>
          <w:tcPr>
            <w:tcW w:w="2871" w:type="dxa"/>
          </w:tcPr>
          <w:p w14:paraId="46653C8A" w14:textId="77777777" w:rsidR="00F06FE2" w:rsidRPr="004468E0" w:rsidRDefault="00F06FE2" w:rsidP="00BD4854">
            <w:pPr>
              <w:jc w:val="both"/>
              <w:rPr>
                <w:sz w:val="26"/>
                <w:szCs w:val="26"/>
                <w:lang w:val="lv-LV" w:eastAsia="lv-LV"/>
              </w:rPr>
            </w:pPr>
            <w:r w:rsidRPr="004468E0">
              <w:rPr>
                <w:sz w:val="26"/>
                <w:szCs w:val="26"/>
                <w:lang w:val="lv-LV" w:eastAsia="lv-LV"/>
              </w:rPr>
              <w:t>6.2. detalizēts izdevumu aprēķins</w:t>
            </w:r>
          </w:p>
        </w:tc>
        <w:tc>
          <w:tcPr>
            <w:tcW w:w="5768" w:type="dxa"/>
            <w:gridSpan w:val="5"/>
            <w:vAlign w:val="center"/>
          </w:tcPr>
          <w:p w14:paraId="34D044B0" w14:textId="77777777" w:rsidR="00F06FE2" w:rsidRPr="004468E0" w:rsidRDefault="00F06FE2" w:rsidP="00BD4854">
            <w:pPr>
              <w:jc w:val="both"/>
              <w:rPr>
                <w:sz w:val="26"/>
                <w:szCs w:val="26"/>
                <w:lang w:val="lv-LV" w:eastAsia="lv-LV"/>
              </w:rPr>
            </w:pPr>
          </w:p>
        </w:tc>
      </w:tr>
      <w:tr w:rsidR="00F06FE2" w:rsidRPr="004468E0" w14:paraId="1BA66CB6" w14:textId="77777777" w:rsidTr="00D079D8">
        <w:trPr>
          <w:tblCellSpacing w:w="0" w:type="dxa"/>
        </w:trPr>
        <w:tc>
          <w:tcPr>
            <w:tcW w:w="2871" w:type="dxa"/>
          </w:tcPr>
          <w:p w14:paraId="3F0FEEAF" w14:textId="77777777" w:rsidR="00F06FE2" w:rsidRPr="004468E0" w:rsidRDefault="00F06FE2" w:rsidP="00BD4854">
            <w:pPr>
              <w:jc w:val="both"/>
              <w:rPr>
                <w:sz w:val="26"/>
                <w:szCs w:val="26"/>
                <w:lang w:val="lv-LV" w:eastAsia="lv-LV"/>
              </w:rPr>
            </w:pPr>
            <w:r w:rsidRPr="004468E0">
              <w:rPr>
                <w:sz w:val="26"/>
                <w:szCs w:val="26"/>
                <w:lang w:val="lv-LV" w:eastAsia="lv-LV"/>
              </w:rPr>
              <w:t>7. Cita informācija</w:t>
            </w:r>
          </w:p>
        </w:tc>
        <w:tc>
          <w:tcPr>
            <w:tcW w:w="5768" w:type="dxa"/>
            <w:gridSpan w:val="5"/>
          </w:tcPr>
          <w:p w14:paraId="61447E19" w14:textId="77777777" w:rsidR="00F06FE2" w:rsidRPr="004468E0" w:rsidRDefault="00F06FE2" w:rsidP="00BD4854">
            <w:pPr>
              <w:jc w:val="both"/>
              <w:rPr>
                <w:sz w:val="26"/>
                <w:szCs w:val="26"/>
                <w:lang w:val="lv-LV" w:eastAsia="lv-LV"/>
              </w:rPr>
            </w:pPr>
          </w:p>
        </w:tc>
      </w:tr>
      <w:tr w:rsidR="00D079D8" w:rsidRPr="004468E0" w14:paraId="12DCB14C" w14:textId="77777777" w:rsidTr="00D079D8">
        <w:trPr>
          <w:tblCellSpacing w:w="0" w:type="dxa"/>
        </w:trPr>
        <w:tc>
          <w:tcPr>
            <w:tcW w:w="2871" w:type="dxa"/>
          </w:tcPr>
          <w:p w14:paraId="0A825FD9" w14:textId="77777777" w:rsidR="00D079D8" w:rsidRPr="004468E0" w:rsidRDefault="00D079D8" w:rsidP="00BD4854">
            <w:pPr>
              <w:jc w:val="both"/>
              <w:rPr>
                <w:sz w:val="26"/>
                <w:szCs w:val="26"/>
                <w:lang w:val="lv-LV" w:eastAsia="lv-LV"/>
              </w:rPr>
            </w:pPr>
          </w:p>
        </w:tc>
        <w:tc>
          <w:tcPr>
            <w:tcW w:w="5768" w:type="dxa"/>
            <w:gridSpan w:val="5"/>
          </w:tcPr>
          <w:p w14:paraId="46A3BED4" w14:textId="77777777" w:rsidR="00D079D8" w:rsidRPr="004468E0" w:rsidRDefault="00D079D8" w:rsidP="00BD4854">
            <w:pPr>
              <w:jc w:val="both"/>
              <w:rPr>
                <w:sz w:val="26"/>
                <w:szCs w:val="26"/>
                <w:lang w:val="lv-LV" w:eastAsia="lv-LV"/>
              </w:rPr>
            </w:pPr>
          </w:p>
        </w:tc>
      </w:tr>
    </w:tbl>
    <w:p w14:paraId="5AA53D9C" w14:textId="77777777" w:rsidR="00F06FE2" w:rsidRDefault="00F06FE2" w:rsidP="00F06FE2">
      <w:pPr>
        <w:jc w:val="both"/>
        <w:rPr>
          <w:sz w:val="26"/>
          <w:szCs w:val="26"/>
          <w:lang w:val="lv-LV"/>
        </w:rPr>
      </w:pPr>
    </w:p>
    <w:p w14:paraId="39CEF2B6" w14:textId="77777777" w:rsidR="004468E0" w:rsidRDefault="004468E0" w:rsidP="00F06FE2">
      <w:pPr>
        <w:jc w:val="both"/>
        <w:rPr>
          <w:sz w:val="26"/>
          <w:szCs w:val="26"/>
          <w:lang w:val="lv-LV"/>
        </w:rPr>
      </w:pPr>
    </w:p>
    <w:p w14:paraId="5341F2CD" w14:textId="77777777" w:rsidR="004468E0" w:rsidRDefault="004468E0" w:rsidP="00F06FE2">
      <w:pPr>
        <w:jc w:val="both"/>
        <w:rPr>
          <w:sz w:val="26"/>
          <w:szCs w:val="26"/>
          <w:lang w:val="lv-LV"/>
        </w:rPr>
      </w:pPr>
    </w:p>
    <w:p w14:paraId="2D43AD7A" w14:textId="77777777" w:rsidR="00D079D8" w:rsidRDefault="00D079D8" w:rsidP="00F06FE2">
      <w:pPr>
        <w:jc w:val="both"/>
        <w:rPr>
          <w:sz w:val="26"/>
          <w:szCs w:val="26"/>
          <w:lang w:val="lv-LV"/>
        </w:rPr>
      </w:pPr>
    </w:p>
    <w:p w14:paraId="3C055FFA" w14:textId="77777777" w:rsidR="004468E0" w:rsidRPr="004468E0" w:rsidRDefault="004468E0" w:rsidP="00F06FE2">
      <w:pPr>
        <w:jc w:val="both"/>
        <w:rPr>
          <w:sz w:val="26"/>
          <w:szCs w:val="26"/>
          <w:lang w:val="lv-LV"/>
        </w:rPr>
      </w:pPr>
    </w:p>
    <w:p w14:paraId="05F31B86" w14:textId="77777777" w:rsidR="006179D1" w:rsidRPr="004468E0" w:rsidRDefault="006179D1" w:rsidP="00F06FE2">
      <w:pPr>
        <w:jc w:val="both"/>
        <w:rPr>
          <w:sz w:val="26"/>
          <w:szCs w:val="26"/>
          <w:lang w:val="lv-LV"/>
        </w:rPr>
      </w:pPr>
    </w:p>
    <w:tbl>
      <w:tblPr>
        <w:tblW w:w="9073" w:type="dxa"/>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2268"/>
        <w:gridCol w:w="6073"/>
      </w:tblGrid>
      <w:tr w:rsidR="00F06FE2" w:rsidRPr="004468E0" w14:paraId="4894C1A5" w14:textId="77777777" w:rsidTr="00D079D8">
        <w:trPr>
          <w:tblCellSpacing w:w="0" w:type="dxa"/>
        </w:trPr>
        <w:tc>
          <w:tcPr>
            <w:tcW w:w="9073" w:type="dxa"/>
            <w:gridSpan w:val="3"/>
            <w:tcBorders>
              <w:top w:val="outset" w:sz="6" w:space="0" w:color="auto"/>
              <w:left w:val="outset" w:sz="6" w:space="0" w:color="auto"/>
              <w:bottom w:val="outset" w:sz="6" w:space="0" w:color="auto"/>
              <w:right w:val="outset" w:sz="6" w:space="0" w:color="auto"/>
            </w:tcBorders>
            <w:hideMark/>
          </w:tcPr>
          <w:p w14:paraId="2B25149E" w14:textId="77777777" w:rsidR="00F06FE2" w:rsidRPr="004468E0" w:rsidRDefault="00F06FE2" w:rsidP="00BD4854">
            <w:pPr>
              <w:jc w:val="both"/>
              <w:rPr>
                <w:sz w:val="26"/>
                <w:szCs w:val="26"/>
                <w:lang w:val="lv-LV"/>
              </w:rPr>
            </w:pPr>
            <w:r w:rsidRPr="004468E0">
              <w:rPr>
                <w:i/>
                <w:iCs/>
                <w:sz w:val="26"/>
                <w:szCs w:val="26"/>
                <w:lang w:val="lv-LV"/>
              </w:rPr>
              <w:lastRenderedPageBreak/>
              <w:t> </w:t>
            </w:r>
            <w:r w:rsidRPr="004468E0">
              <w:rPr>
                <w:sz w:val="26"/>
                <w:szCs w:val="26"/>
                <w:lang w:val="lv-LV"/>
              </w:rPr>
              <w:t>IV. Tiesību akta projekta ietekme uz spēkā esošo tiesību normu sistēmu</w:t>
            </w:r>
          </w:p>
        </w:tc>
      </w:tr>
      <w:tr w:rsidR="00F06FE2" w:rsidRPr="004468E0" w14:paraId="2D481745" w14:textId="77777777" w:rsidTr="00D079D8">
        <w:trPr>
          <w:tblCellSpacing w:w="0" w:type="dxa"/>
        </w:trPr>
        <w:tc>
          <w:tcPr>
            <w:tcW w:w="732" w:type="dxa"/>
            <w:tcBorders>
              <w:top w:val="outset" w:sz="6" w:space="0" w:color="auto"/>
              <w:left w:val="outset" w:sz="6" w:space="0" w:color="auto"/>
              <w:bottom w:val="outset" w:sz="6" w:space="0" w:color="auto"/>
              <w:right w:val="outset" w:sz="6" w:space="0" w:color="auto"/>
            </w:tcBorders>
            <w:hideMark/>
          </w:tcPr>
          <w:p w14:paraId="0DD5C564" w14:textId="77777777" w:rsidR="00F06FE2" w:rsidRPr="004468E0" w:rsidRDefault="00F06FE2" w:rsidP="00BD4854">
            <w:pPr>
              <w:jc w:val="both"/>
              <w:rPr>
                <w:sz w:val="26"/>
                <w:szCs w:val="26"/>
                <w:lang w:val="lv-LV"/>
              </w:rPr>
            </w:pPr>
            <w:r w:rsidRPr="004468E0">
              <w:rPr>
                <w:sz w:val="26"/>
                <w:szCs w:val="26"/>
                <w:lang w:val="lv-LV"/>
              </w:rPr>
              <w:t> 1.</w:t>
            </w:r>
          </w:p>
        </w:tc>
        <w:tc>
          <w:tcPr>
            <w:tcW w:w="2268" w:type="dxa"/>
            <w:tcBorders>
              <w:top w:val="outset" w:sz="6" w:space="0" w:color="auto"/>
              <w:left w:val="outset" w:sz="6" w:space="0" w:color="auto"/>
              <w:bottom w:val="outset" w:sz="6" w:space="0" w:color="auto"/>
              <w:right w:val="outset" w:sz="6" w:space="0" w:color="auto"/>
            </w:tcBorders>
            <w:hideMark/>
          </w:tcPr>
          <w:p w14:paraId="5D0236C3" w14:textId="77777777" w:rsidR="00F06FE2" w:rsidRPr="004468E0" w:rsidRDefault="00F06FE2" w:rsidP="00BD4854">
            <w:pPr>
              <w:jc w:val="both"/>
              <w:rPr>
                <w:sz w:val="26"/>
                <w:szCs w:val="26"/>
                <w:lang w:val="lv-LV"/>
              </w:rPr>
            </w:pPr>
            <w:r w:rsidRPr="004468E0">
              <w:rPr>
                <w:sz w:val="26"/>
                <w:szCs w:val="26"/>
                <w:lang w:val="lv-LV"/>
              </w:rPr>
              <w:t> Nepieciešamie saistītie tiesību aktu projekti</w:t>
            </w:r>
          </w:p>
        </w:tc>
        <w:tc>
          <w:tcPr>
            <w:tcW w:w="6073" w:type="dxa"/>
            <w:tcBorders>
              <w:top w:val="outset" w:sz="6" w:space="0" w:color="auto"/>
              <w:left w:val="outset" w:sz="6" w:space="0" w:color="auto"/>
              <w:bottom w:val="outset" w:sz="6" w:space="0" w:color="auto"/>
              <w:right w:val="outset" w:sz="6" w:space="0" w:color="auto"/>
            </w:tcBorders>
            <w:hideMark/>
          </w:tcPr>
          <w:p w14:paraId="38FBC1D7" w14:textId="77777777" w:rsidR="00F06FE2" w:rsidRPr="004468E0" w:rsidRDefault="00EC7649" w:rsidP="006179D1">
            <w:pPr>
              <w:jc w:val="both"/>
              <w:rPr>
                <w:iCs/>
                <w:sz w:val="26"/>
                <w:szCs w:val="26"/>
                <w:lang w:val="lv-LV" w:eastAsia="lv-LV"/>
              </w:rPr>
            </w:pPr>
            <w:r w:rsidRPr="004468E0">
              <w:rPr>
                <w:iCs/>
                <w:sz w:val="26"/>
                <w:szCs w:val="26"/>
                <w:lang w:val="lv-LV" w:eastAsia="lv-LV"/>
              </w:rPr>
              <w:t>Līdz 2013.gada 31.decembrim pieņemt</w:t>
            </w:r>
            <w:r w:rsidR="006179D1" w:rsidRPr="004468E0">
              <w:rPr>
                <w:iCs/>
                <w:sz w:val="26"/>
                <w:szCs w:val="26"/>
                <w:lang w:val="lv-LV" w:eastAsia="lv-LV"/>
              </w:rPr>
              <w:t xml:space="preserve"> Ministru kabineta noteikumus, kas noteiks</w:t>
            </w:r>
            <w:r w:rsidR="006179D1" w:rsidRPr="004468E0">
              <w:rPr>
                <w:bCs/>
                <w:sz w:val="26"/>
                <w:szCs w:val="26"/>
                <w:lang w:val="lv-LV"/>
              </w:rPr>
              <w:t xml:space="preserve"> gadījumus, kādos Nodrošinājums nav jāiesniedz vai ir samazināms tā lielums, kā arī </w:t>
            </w:r>
            <w:r w:rsidR="006179D1" w:rsidRPr="004468E0">
              <w:rPr>
                <w:sz w:val="26"/>
                <w:szCs w:val="26"/>
                <w:lang w:val="lv-LV"/>
              </w:rPr>
              <w:t>Nodrošinājuma iesniegšanas, apstiprināšanas, pieprasīšanas, dzēšanas un atdošanas kārtību.</w:t>
            </w:r>
          </w:p>
        </w:tc>
      </w:tr>
      <w:tr w:rsidR="00F06FE2" w:rsidRPr="004468E0" w14:paraId="7BDC27AA" w14:textId="77777777" w:rsidTr="00D079D8">
        <w:trPr>
          <w:trHeight w:val="65"/>
          <w:tblCellSpacing w:w="0" w:type="dxa"/>
        </w:trPr>
        <w:tc>
          <w:tcPr>
            <w:tcW w:w="732" w:type="dxa"/>
            <w:tcBorders>
              <w:top w:val="outset" w:sz="6" w:space="0" w:color="auto"/>
              <w:left w:val="outset" w:sz="6" w:space="0" w:color="auto"/>
              <w:bottom w:val="outset" w:sz="6" w:space="0" w:color="auto"/>
              <w:right w:val="outset" w:sz="6" w:space="0" w:color="auto"/>
            </w:tcBorders>
            <w:hideMark/>
          </w:tcPr>
          <w:p w14:paraId="41B17474" w14:textId="77777777" w:rsidR="00F06FE2" w:rsidRPr="004468E0" w:rsidRDefault="00F06FE2" w:rsidP="00BD4854">
            <w:pPr>
              <w:jc w:val="both"/>
              <w:rPr>
                <w:sz w:val="26"/>
                <w:szCs w:val="26"/>
                <w:lang w:val="lv-LV"/>
              </w:rPr>
            </w:pPr>
            <w:r w:rsidRPr="004468E0">
              <w:rPr>
                <w:sz w:val="26"/>
                <w:szCs w:val="26"/>
                <w:lang w:val="lv-LV"/>
              </w:rPr>
              <w:t> 2.</w:t>
            </w:r>
          </w:p>
        </w:tc>
        <w:tc>
          <w:tcPr>
            <w:tcW w:w="2268" w:type="dxa"/>
            <w:tcBorders>
              <w:top w:val="outset" w:sz="6" w:space="0" w:color="auto"/>
              <w:left w:val="outset" w:sz="6" w:space="0" w:color="auto"/>
              <w:bottom w:val="outset" w:sz="6" w:space="0" w:color="auto"/>
              <w:right w:val="outset" w:sz="6" w:space="0" w:color="auto"/>
            </w:tcBorders>
            <w:hideMark/>
          </w:tcPr>
          <w:p w14:paraId="4FCD5D6E" w14:textId="77777777" w:rsidR="00F06FE2" w:rsidRPr="004468E0" w:rsidRDefault="00F06FE2" w:rsidP="00BD4854">
            <w:pPr>
              <w:jc w:val="both"/>
              <w:rPr>
                <w:sz w:val="26"/>
                <w:szCs w:val="26"/>
                <w:lang w:val="lv-LV"/>
              </w:rPr>
            </w:pPr>
            <w:r w:rsidRPr="004468E0">
              <w:rPr>
                <w:sz w:val="26"/>
                <w:szCs w:val="26"/>
                <w:lang w:val="lv-LV"/>
              </w:rPr>
              <w:t> Cita informācija</w:t>
            </w:r>
          </w:p>
        </w:tc>
        <w:tc>
          <w:tcPr>
            <w:tcW w:w="6073" w:type="dxa"/>
            <w:tcBorders>
              <w:top w:val="outset" w:sz="6" w:space="0" w:color="auto"/>
              <w:left w:val="outset" w:sz="6" w:space="0" w:color="auto"/>
              <w:bottom w:val="outset" w:sz="6" w:space="0" w:color="auto"/>
              <w:right w:val="outset" w:sz="6" w:space="0" w:color="auto"/>
            </w:tcBorders>
          </w:tcPr>
          <w:p w14:paraId="14863641" w14:textId="77777777" w:rsidR="00F06FE2" w:rsidRPr="004468E0" w:rsidRDefault="00F06FE2" w:rsidP="00BD4854">
            <w:pPr>
              <w:jc w:val="both"/>
              <w:rPr>
                <w:sz w:val="26"/>
                <w:szCs w:val="26"/>
                <w:lang w:val="lv-LV"/>
              </w:rPr>
            </w:pPr>
            <w:r w:rsidRPr="004468E0">
              <w:rPr>
                <w:sz w:val="26"/>
                <w:szCs w:val="26"/>
                <w:lang w:val="lv-LV"/>
              </w:rPr>
              <w:t xml:space="preserve"> </w:t>
            </w:r>
          </w:p>
        </w:tc>
      </w:tr>
    </w:tbl>
    <w:p w14:paraId="47EA8C9C" w14:textId="77777777" w:rsidR="00F06FE2" w:rsidRPr="004468E0" w:rsidRDefault="00F06FE2" w:rsidP="00F06FE2">
      <w:pPr>
        <w:pStyle w:val="naiskr"/>
        <w:spacing w:before="0" w:beforeAutospacing="0" w:after="0" w:afterAutospacing="0"/>
        <w:jc w:val="both"/>
        <w:rPr>
          <w:i/>
          <w:sz w:val="26"/>
          <w:szCs w:val="26"/>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F06FE2" w:rsidRPr="004468E0" w14:paraId="6B05014C" w14:textId="77777777" w:rsidTr="00D079D8">
        <w:tc>
          <w:tcPr>
            <w:tcW w:w="9073" w:type="dxa"/>
          </w:tcPr>
          <w:p w14:paraId="0C210D39" w14:textId="77777777" w:rsidR="00F06FE2" w:rsidRPr="004468E0" w:rsidRDefault="00F06FE2" w:rsidP="00BD4854">
            <w:pPr>
              <w:jc w:val="both"/>
              <w:rPr>
                <w:sz w:val="26"/>
                <w:szCs w:val="26"/>
                <w:lang w:val="lv-LV"/>
              </w:rPr>
            </w:pPr>
            <w:r w:rsidRPr="004468E0">
              <w:rPr>
                <w:sz w:val="26"/>
                <w:szCs w:val="26"/>
                <w:lang w:val="lv-LV"/>
              </w:rPr>
              <w:t>V. Tiesību akta projekta atbilstība Latvijas Republikas starptautiskajām saistībām</w:t>
            </w:r>
          </w:p>
        </w:tc>
      </w:tr>
      <w:tr w:rsidR="00F06FE2" w:rsidRPr="004468E0" w14:paraId="056B2B18" w14:textId="77777777" w:rsidTr="00D079D8">
        <w:trPr>
          <w:trHeight w:val="279"/>
        </w:trPr>
        <w:tc>
          <w:tcPr>
            <w:tcW w:w="9073" w:type="dxa"/>
            <w:vAlign w:val="center"/>
          </w:tcPr>
          <w:p w14:paraId="3A0FA64A" w14:textId="77777777" w:rsidR="00F06FE2" w:rsidRPr="004468E0" w:rsidRDefault="00F06FE2" w:rsidP="00BD4854">
            <w:pPr>
              <w:jc w:val="both"/>
              <w:rPr>
                <w:sz w:val="26"/>
                <w:szCs w:val="26"/>
                <w:lang w:val="lv-LV"/>
              </w:rPr>
            </w:pPr>
            <w:r w:rsidRPr="004468E0">
              <w:rPr>
                <w:sz w:val="26"/>
                <w:szCs w:val="26"/>
                <w:lang w:val="lv-LV"/>
              </w:rPr>
              <w:t>Likumprojekts šo jomu neskar.</w:t>
            </w:r>
          </w:p>
        </w:tc>
      </w:tr>
    </w:tbl>
    <w:p w14:paraId="7B60F2C2" w14:textId="77777777" w:rsidR="00F06FE2" w:rsidRPr="00D079D8" w:rsidRDefault="00F06FE2" w:rsidP="00F06FE2">
      <w:pPr>
        <w:pStyle w:val="naiskr"/>
        <w:spacing w:before="0" w:beforeAutospacing="0" w:after="0" w:afterAutospacing="0"/>
        <w:jc w:val="both"/>
        <w:rPr>
          <w:i/>
          <w:sz w:val="26"/>
          <w:szCs w:val="26"/>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32"/>
      </w:tblGrid>
      <w:tr w:rsidR="00D079D8" w:rsidRPr="00D079D8" w14:paraId="19F0D5E1" w14:textId="77777777" w:rsidTr="00D079D8">
        <w:trPr>
          <w:jc w:val="center"/>
        </w:trPr>
        <w:tc>
          <w:tcPr>
            <w:tcW w:w="9132" w:type="dxa"/>
          </w:tcPr>
          <w:p w14:paraId="5C99F8F6" w14:textId="77777777" w:rsidR="00D079D8" w:rsidRPr="00D079D8" w:rsidRDefault="00D079D8" w:rsidP="005D3C24">
            <w:pPr>
              <w:pStyle w:val="naisnod"/>
              <w:spacing w:before="0" w:after="0"/>
              <w:ind w:left="57" w:right="57"/>
              <w:rPr>
                <w:sz w:val="26"/>
                <w:szCs w:val="26"/>
              </w:rPr>
            </w:pPr>
            <w:r w:rsidRPr="00D079D8">
              <w:rPr>
                <w:sz w:val="26"/>
                <w:szCs w:val="26"/>
              </w:rPr>
              <w:t>VI. Sabiedrības līdzdalība un šīs līdzdalības rezultāti</w:t>
            </w:r>
          </w:p>
        </w:tc>
      </w:tr>
      <w:tr w:rsidR="00D079D8" w:rsidRPr="00D079D8" w14:paraId="6553764A" w14:textId="77777777" w:rsidTr="00D079D8">
        <w:trPr>
          <w:jc w:val="center"/>
        </w:trPr>
        <w:tc>
          <w:tcPr>
            <w:tcW w:w="9132" w:type="dxa"/>
          </w:tcPr>
          <w:p w14:paraId="01744A4F" w14:textId="38E697E9" w:rsidR="00D079D8" w:rsidRPr="00D079D8" w:rsidRDefault="00D079D8" w:rsidP="005D3C24">
            <w:pPr>
              <w:pStyle w:val="naisnod"/>
              <w:spacing w:before="0" w:after="0"/>
              <w:ind w:left="57" w:right="57"/>
              <w:rPr>
                <w:sz w:val="26"/>
                <w:szCs w:val="26"/>
              </w:rPr>
            </w:pPr>
            <w:r w:rsidRPr="004468E0">
              <w:rPr>
                <w:sz w:val="26"/>
                <w:szCs w:val="26"/>
              </w:rPr>
              <w:t>Likumprojekts šo jomu neskar.</w:t>
            </w:r>
          </w:p>
        </w:tc>
      </w:tr>
    </w:tbl>
    <w:p w14:paraId="299BE481" w14:textId="77777777" w:rsidR="00D079D8" w:rsidRDefault="00D079D8" w:rsidP="00F06FE2">
      <w:pPr>
        <w:pStyle w:val="naiskr"/>
        <w:spacing w:before="0" w:beforeAutospacing="0" w:after="0" w:afterAutospacing="0"/>
        <w:jc w:val="both"/>
        <w:rPr>
          <w:i/>
          <w:sz w:val="26"/>
          <w:szCs w:val="26"/>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342"/>
        <w:gridCol w:w="6073"/>
      </w:tblGrid>
      <w:tr w:rsidR="00F06FE2" w:rsidRPr="004468E0" w14:paraId="762567EC" w14:textId="77777777" w:rsidTr="002A69C0">
        <w:trPr>
          <w:tblCellSpacing w:w="0" w:type="dxa"/>
        </w:trPr>
        <w:tc>
          <w:tcPr>
            <w:tcW w:w="8923" w:type="dxa"/>
            <w:gridSpan w:val="3"/>
            <w:tcBorders>
              <w:top w:val="outset" w:sz="6" w:space="0" w:color="auto"/>
              <w:left w:val="outset" w:sz="6" w:space="0" w:color="auto"/>
              <w:bottom w:val="outset" w:sz="6" w:space="0" w:color="auto"/>
              <w:right w:val="outset" w:sz="6" w:space="0" w:color="auto"/>
            </w:tcBorders>
          </w:tcPr>
          <w:p w14:paraId="38A6E82A" w14:textId="77777777" w:rsidR="00F06FE2" w:rsidRPr="004468E0" w:rsidRDefault="00F06FE2" w:rsidP="00BD4854">
            <w:pPr>
              <w:pStyle w:val="naisc"/>
              <w:jc w:val="both"/>
              <w:rPr>
                <w:sz w:val="26"/>
                <w:szCs w:val="26"/>
              </w:rPr>
            </w:pPr>
            <w:r w:rsidRPr="004468E0">
              <w:rPr>
                <w:bCs/>
                <w:sz w:val="26"/>
                <w:szCs w:val="26"/>
              </w:rPr>
              <w:lastRenderedPageBreak/>
              <w:t>VII. Tiesību akta projekta izpildes nodrošināšana un tās ietekme uz institūcijām</w:t>
            </w:r>
          </w:p>
        </w:tc>
      </w:tr>
      <w:tr w:rsidR="00F06FE2" w:rsidRPr="004468E0" w14:paraId="5053CC8A" w14:textId="77777777" w:rsidTr="002A69C0">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14:paraId="1410D2AE" w14:textId="77777777" w:rsidR="00F06FE2" w:rsidRPr="004468E0" w:rsidRDefault="00F06FE2" w:rsidP="00BD4854">
            <w:pPr>
              <w:pStyle w:val="naiskr"/>
              <w:jc w:val="both"/>
              <w:rPr>
                <w:sz w:val="26"/>
                <w:szCs w:val="26"/>
              </w:rPr>
            </w:pPr>
            <w:r w:rsidRPr="004468E0">
              <w:rPr>
                <w:sz w:val="26"/>
                <w:szCs w:val="26"/>
              </w:rPr>
              <w:t> 1.</w:t>
            </w:r>
          </w:p>
        </w:tc>
        <w:tc>
          <w:tcPr>
            <w:tcW w:w="2342" w:type="dxa"/>
            <w:tcBorders>
              <w:top w:val="outset" w:sz="6" w:space="0" w:color="auto"/>
              <w:left w:val="outset" w:sz="6" w:space="0" w:color="auto"/>
              <w:bottom w:val="outset" w:sz="6" w:space="0" w:color="auto"/>
              <w:right w:val="outset" w:sz="6" w:space="0" w:color="auto"/>
            </w:tcBorders>
          </w:tcPr>
          <w:p w14:paraId="646F201F" w14:textId="77777777" w:rsidR="00F06FE2" w:rsidRPr="004468E0" w:rsidRDefault="00F06FE2" w:rsidP="00BD4854">
            <w:pPr>
              <w:pStyle w:val="naiskr"/>
              <w:jc w:val="both"/>
              <w:rPr>
                <w:sz w:val="26"/>
                <w:szCs w:val="26"/>
              </w:rPr>
            </w:pPr>
            <w:r w:rsidRPr="004468E0">
              <w:rPr>
                <w:sz w:val="26"/>
                <w:szCs w:val="26"/>
              </w:rPr>
              <w:t> Projekta izpildē iesaistītās institūcijas</w:t>
            </w:r>
          </w:p>
        </w:tc>
        <w:tc>
          <w:tcPr>
            <w:tcW w:w="6073" w:type="dxa"/>
            <w:tcBorders>
              <w:top w:val="outset" w:sz="6" w:space="0" w:color="auto"/>
              <w:left w:val="outset" w:sz="6" w:space="0" w:color="auto"/>
              <w:bottom w:val="outset" w:sz="6" w:space="0" w:color="auto"/>
              <w:right w:val="outset" w:sz="6" w:space="0" w:color="auto"/>
            </w:tcBorders>
          </w:tcPr>
          <w:p w14:paraId="163026F9" w14:textId="77777777" w:rsidR="00F06FE2" w:rsidRPr="004468E0" w:rsidRDefault="00EC7649" w:rsidP="00A25C50">
            <w:pPr>
              <w:pStyle w:val="naiskr"/>
              <w:jc w:val="both"/>
              <w:rPr>
                <w:sz w:val="26"/>
                <w:szCs w:val="26"/>
              </w:rPr>
            </w:pPr>
            <w:r w:rsidRPr="004468E0">
              <w:rPr>
                <w:sz w:val="26"/>
                <w:szCs w:val="26"/>
              </w:rPr>
              <w:t> </w:t>
            </w:r>
            <w:r w:rsidR="006179D1" w:rsidRPr="004468E0">
              <w:rPr>
                <w:sz w:val="26"/>
                <w:szCs w:val="26"/>
              </w:rPr>
              <w:t>Valsts ieņēmumu dienests</w:t>
            </w:r>
            <w:r w:rsidR="00A25C50" w:rsidRPr="004468E0">
              <w:rPr>
                <w:sz w:val="26"/>
                <w:szCs w:val="26"/>
              </w:rPr>
              <w:t>.</w:t>
            </w:r>
          </w:p>
        </w:tc>
      </w:tr>
      <w:tr w:rsidR="00F06FE2" w:rsidRPr="004468E0" w14:paraId="2E5D4941" w14:textId="77777777" w:rsidTr="002A69C0">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14:paraId="39DA98CF" w14:textId="77777777" w:rsidR="00F06FE2" w:rsidRPr="004468E0" w:rsidRDefault="00F06FE2" w:rsidP="00BD4854">
            <w:pPr>
              <w:pStyle w:val="naiskr"/>
              <w:jc w:val="both"/>
              <w:rPr>
                <w:sz w:val="26"/>
                <w:szCs w:val="26"/>
              </w:rPr>
            </w:pPr>
            <w:r w:rsidRPr="004468E0">
              <w:rPr>
                <w:sz w:val="26"/>
                <w:szCs w:val="26"/>
              </w:rPr>
              <w:t> 2.</w:t>
            </w:r>
          </w:p>
        </w:tc>
        <w:tc>
          <w:tcPr>
            <w:tcW w:w="2342" w:type="dxa"/>
            <w:tcBorders>
              <w:top w:val="outset" w:sz="6" w:space="0" w:color="auto"/>
              <w:left w:val="outset" w:sz="6" w:space="0" w:color="auto"/>
              <w:bottom w:val="outset" w:sz="6" w:space="0" w:color="auto"/>
              <w:right w:val="outset" w:sz="6" w:space="0" w:color="auto"/>
            </w:tcBorders>
          </w:tcPr>
          <w:p w14:paraId="12250C67" w14:textId="77777777" w:rsidR="00F06FE2" w:rsidRPr="004468E0" w:rsidRDefault="00F06FE2" w:rsidP="00BD4854">
            <w:pPr>
              <w:pStyle w:val="naiskr"/>
              <w:jc w:val="both"/>
              <w:rPr>
                <w:sz w:val="26"/>
                <w:szCs w:val="26"/>
              </w:rPr>
            </w:pPr>
            <w:r w:rsidRPr="004468E0">
              <w:rPr>
                <w:sz w:val="26"/>
                <w:szCs w:val="26"/>
              </w:rPr>
              <w:t> Projekta izpildes ietekme uz pārvaldes funkcijām</w:t>
            </w:r>
          </w:p>
        </w:tc>
        <w:tc>
          <w:tcPr>
            <w:tcW w:w="6073" w:type="dxa"/>
            <w:tcBorders>
              <w:top w:val="outset" w:sz="6" w:space="0" w:color="auto"/>
              <w:left w:val="outset" w:sz="6" w:space="0" w:color="auto"/>
              <w:bottom w:val="outset" w:sz="6" w:space="0" w:color="auto"/>
              <w:right w:val="outset" w:sz="6" w:space="0" w:color="auto"/>
            </w:tcBorders>
          </w:tcPr>
          <w:p w14:paraId="32597EAC" w14:textId="77777777" w:rsidR="00F06FE2" w:rsidRPr="004468E0" w:rsidRDefault="00F06FE2" w:rsidP="00BD4854">
            <w:pPr>
              <w:pStyle w:val="naiskr"/>
              <w:jc w:val="both"/>
              <w:rPr>
                <w:sz w:val="26"/>
                <w:szCs w:val="26"/>
              </w:rPr>
            </w:pPr>
            <w:r w:rsidRPr="004468E0">
              <w:rPr>
                <w:sz w:val="26"/>
                <w:szCs w:val="26"/>
              </w:rPr>
              <w:t xml:space="preserve"> Projektā paredzēto regulējumu </w:t>
            </w:r>
            <w:r w:rsidR="006179D1" w:rsidRPr="004468E0">
              <w:rPr>
                <w:sz w:val="26"/>
                <w:szCs w:val="26"/>
              </w:rPr>
              <w:t>nodrošinās Valsts ieņēmumu dienests</w:t>
            </w:r>
            <w:r w:rsidRPr="004468E0">
              <w:rPr>
                <w:sz w:val="26"/>
                <w:szCs w:val="26"/>
              </w:rPr>
              <w:t xml:space="preserve"> savu funkciju ietvaros</w:t>
            </w:r>
            <w:r w:rsidR="00A25C50" w:rsidRPr="004468E0">
              <w:rPr>
                <w:sz w:val="26"/>
                <w:szCs w:val="26"/>
              </w:rPr>
              <w:t>.</w:t>
            </w:r>
          </w:p>
        </w:tc>
      </w:tr>
      <w:tr w:rsidR="00F06FE2" w:rsidRPr="004468E0" w14:paraId="45653C38" w14:textId="77777777" w:rsidTr="002A69C0">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14:paraId="4BD00201" w14:textId="77777777" w:rsidR="00F06FE2" w:rsidRPr="004468E0" w:rsidRDefault="00F06FE2" w:rsidP="00BD4854">
            <w:pPr>
              <w:pStyle w:val="naiskr"/>
              <w:jc w:val="both"/>
              <w:rPr>
                <w:sz w:val="26"/>
                <w:szCs w:val="26"/>
              </w:rPr>
            </w:pPr>
            <w:r w:rsidRPr="004468E0">
              <w:rPr>
                <w:sz w:val="26"/>
                <w:szCs w:val="26"/>
              </w:rPr>
              <w:t> 3.</w:t>
            </w:r>
          </w:p>
        </w:tc>
        <w:tc>
          <w:tcPr>
            <w:tcW w:w="2342" w:type="dxa"/>
            <w:tcBorders>
              <w:top w:val="outset" w:sz="6" w:space="0" w:color="auto"/>
              <w:left w:val="outset" w:sz="6" w:space="0" w:color="auto"/>
              <w:bottom w:val="outset" w:sz="6" w:space="0" w:color="auto"/>
              <w:right w:val="outset" w:sz="6" w:space="0" w:color="auto"/>
            </w:tcBorders>
          </w:tcPr>
          <w:p w14:paraId="05E9AD78"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 Projekta izpildes ietekme uz pārvaldes institucionālo struktūru.</w:t>
            </w:r>
          </w:p>
          <w:p w14:paraId="70B0848C"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Jaunu institūciju izveide</w:t>
            </w:r>
          </w:p>
        </w:tc>
        <w:tc>
          <w:tcPr>
            <w:tcW w:w="6073" w:type="dxa"/>
            <w:tcBorders>
              <w:top w:val="outset" w:sz="6" w:space="0" w:color="auto"/>
              <w:left w:val="outset" w:sz="6" w:space="0" w:color="auto"/>
              <w:bottom w:val="outset" w:sz="6" w:space="0" w:color="auto"/>
              <w:right w:val="outset" w:sz="6" w:space="0" w:color="auto"/>
            </w:tcBorders>
          </w:tcPr>
          <w:p w14:paraId="3ED9D24A" w14:textId="77777777" w:rsidR="00F06FE2" w:rsidRPr="004468E0" w:rsidRDefault="00F06FE2" w:rsidP="00BD4854">
            <w:pPr>
              <w:pStyle w:val="naiskr"/>
              <w:jc w:val="both"/>
              <w:rPr>
                <w:sz w:val="26"/>
                <w:szCs w:val="26"/>
              </w:rPr>
            </w:pPr>
            <w:r w:rsidRPr="004468E0">
              <w:rPr>
                <w:sz w:val="26"/>
                <w:szCs w:val="26"/>
              </w:rPr>
              <w:t> Projektā par</w:t>
            </w:r>
            <w:r w:rsidR="006179D1" w:rsidRPr="004468E0">
              <w:rPr>
                <w:sz w:val="26"/>
                <w:szCs w:val="26"/>
              </w:rPr>
              <w:t>edzēto regulējumu nodrošinās Valsts ieņēmumu dienests</w:t>
            </w:r>
            <w:r w:rsidR="00A25C50" w:rsidRPr="004468E0">
              <w:rPr>
                <w:sz w:val="26"/>
                <w:szCs w:val="26"/>
              </w:rPr>
              <w:t xml:space="preserve"> </w:t>
            </w:r>
            <w:r w:rsidRPr="004468E0">
              <w:rPr>
                <w:sz w:val="26"/>
                <w:szCs w:val="26"/>
              </w:rPr>
              <w:t>savu funkciju ietvaros</w:t>
            </w:r>
            <w:r w:rsidR="00A25C50" w:rsidRPr="004468E0">
              <w:rPr>
                <w:sz w:val="26"/>
                <w:szCs w:val="26"/>
              </w:rPr>
              <w:t>.</w:t>
            </w:r>
            <w:r w:rsidR="00EC7649" w:rsidRPr="004468E0">
              <w:rPr>
                <w:sz w:val="26"/>
                <w:szCs w:val="26"/>
              </w:rPr>
              <w:t xml:space="preserve"> Jauna institūcija netiks veidota.</w:t>
            </w:r>
          </w:p>
        </w:tc>
      </w:tr>
      <w:tr w:rsidR="00F06FE2" w:rsidRPr="004468E0" w14:paraId="7DEE6866" w14:textId="77777777" w:rsidTr="002A69C0">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14:paraId="57C41A4B" w14:textId="77777777" w:rsidR="00F06FE2" w:rsidRPr="004468E0" w:rsidRDefault="00F06FE2" w:rsidP="00BD4854">
            <w:pPr>
              <w:pStyle w:val="naiskr"/>
              <w:jc w:val="both"/>
              <w:rPr>
                <w:sz w:val="26"/>
                <w:szCs w:val="26"/>
              </w:rPr>
            </w:pPr>
            <w:r w:rsidRPr="004468E0">
              <w:rPr>
                <w:sz w:val="26"/>
                <w:szCs w:val="26"/>
              </w:rPr>
              <w:t> 4.</w:t>
            </w:r>
          </w:p>
        </w:tc>
        <w:tc>
          <w:tcPr>
            <w:tcW w:w="2342" w:type="dxa"/>
            <w:tcBorders>
              <w:top w:val="outset" w:sz="6" w:space="0" w:color="auto"/>
              <w:left w:val="outset" w:sz="6" w:space="0" w:color="auto"/>
              <w:bottom w:val="outset" w:sz="6" w:space="0" w:color="auto"/>
              <w:right w:val="outset" w:sz="6" w:space="0" w:color="auto"/>
            </w:tcBorders>
          </w:tcPr>
          <w:p w14:paraId="193182F2"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 Projekta izpildes ietekme uz pārvaldes institucionālo struktūru.</w:t>
            </w:r>
          </w:p>
          <w:p w14:paraId="1B792D45"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Esošu institūciju likvidācija</w:t>
            </w:r>
          </w:p>
        </w:tc>
        <w:tc>
          <w:tcPr>
            <w:tcW w:w="6073" w:type="dxa"/>
            <w:tcBorders>
              <w:top w:val="outset" w:sz="6" w:space="0" w:color="auto"/>
              <w:left w:val="outset" w:sz="6" w:space="0" w:color="auto"/>
              <w:bottom w:val="outset" w:sz="6" w:space="0" w:color="auto"/>
              <w:right w:val="outset" w:sz="6" w:space="0" w:color="auto"/>
            </w:tcBorders>
          </w:tcPr>
          <w:p w14:paraId="12CA821E" w14:textId="77777777" w:rsidR="00F06FE2" w:rsidRPr="004468E0" w:rsidRDefault="00F06FE2" w:rsidP="00BD4854">
            <w:pPr>
              <w:pStyle w:val="naiskr"/>
              <w:jc w:val="both"/>
              <w:rPr>
                <w:sz w:val="26"/>
                <w:szCs w:val="26"/>
              </w:rPr>
            </w:pPr>
            <w:r w:rsidRPr="004468E0">
              <w:rPr>
                <w:sz w:val="26"/>
                <w:szCs w:val="26"/>
              </w:rPr>
              <w:t> Esošās institūcijas netiek likvidētas. Likumprojekta izpilde notiks esošo valsts institūciju ietvaros.</w:t>
            </w:r>
          </w:p>
        </w:tc>
      </w:tr>
      <w:tr w:rsidR="00F06FE2" w:rsidRPr="004468E0" w14:paraId="1A0D400B" w14:textId="77777777" w:rsidTr="002A69C0">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14:paraId="3E281767" w14:textId="77777777" w:rsidR="00F06FE2" w:rsidRPr="004468E0" w:rsidRDefault="00F06FE2" w:rsidP="00BD4854">
            <w:pPr>
              <w:pStyle w:val="naiskr"/>
              <w:jc w:val="both"/>
              <w:rPr>
                <w:sz w:val="26"/>
                <w:szCs w:val="26"/>
              </w:rPr>
            </w:pPr>
            <w:r w:rsidRPr="004468E0">
              <w:rPr>
                <w:sz w:val="26"/>
                <w:szCs w:val="26"/>
              </w:rPr>
              <w:t> 5.</w:t>
            </w:r>
          </w:p>
        </w:tc>
        <w:tc>
          <w:tcPr>
            <w:tcW w:w="2342" w:type="dxa"/>
            <w:tcBorders>
              <w:top w:val="outset" w:sz="6" w:space="0" w:color="auto"/>
              <w:left w:val="outset" w:sz="6" w:space="0" w:color="auto"/>
              <w:bottom w:val="outset" w:sz="6" w:space="0" w:color="auto"/>
              <w:right w:val="outset" w:sz="6" w:space="0" w:color="auto"/>
            </w:tcBorders>
          </w:tcPr>
          <w:p w14:paraId="2316981F"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 Projekta izpildes ietekme uz pārvaldes institucionālo struktūru.</w:t>
            </w:r>
          </w:p>
          <w:p w14:paraId="34D69E9A"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Esošu institūciju reorganizācija</w:t>
            </w:r>
          </w:p>
        </w:tc>
        <w:tc>
          <w:tcPr>
            <w:tcW w:w="6073" w:type="dxa"/>
            <w:tcBorders>
              <w:top w:val="outset" w:sz="6" w:space="0" w:color="auto"/>
              <w:left w:val="outset" w:sz="6" w:space="0" w:color="auto"/>
              <w:bottom w:val="outset" w:sz="6" w:space="0" w:color="auto"/>
              <w:right w:val="outset" w:sz="6" w:space="0" w:color="auto"/>
            </w:tcBorders>
          </w:tcPr>
          <w:p w14:paraId="288F3C69" w14:textId="77777777" w:rsidR="00F06FE2" w:rsidRPr="004468E0" w:rsidRDefault="00F06FE2" w:rsidP="00BD4854">
            <w:pPr>
              <w:pStyle w:val="naiskr"/>
              <w:jc w:val="both"/>
              <w:rPr>
                <w:sz w:val="26"/>
                <w:szCs w:val="26"/>
              </w:rPr>
            </w:pPr>
            <w:r w:rsidRPr="004468E0">
              <w:rPr>
                <w:sz w:val="26"/>
                <w:szCs w:val="26"/>
              </w:rPr>
              <w:t> Esošās institūcijas netiks reorganizētas vai arī apvienotas. Likumprojekta izpilde notiks esošo valsts institūciju ietvaros.</w:t>
            </w:r>
          </w:p>
        </w:tc>
      </w:tr>
      <w:tr w:rsidR="00F06FE2" w:rsidRPr="004468E0" w14:paraId="6A909746" w14:textId="77777777" w:rsidTr="002A69C0">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14:paraId="095EACCF"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 6.</w:t>
            </w:r>
          </w:p>
        </w:tc>
        <w:tc>
          <w:tcPr>
            <w:tcW w:w="2342" w:type="dxa"/>
            <w:tcBorders>
              <w:top w:val="outset" w:sz="6" w:space="0" w:color="auto"/>
              <w:left w:val="outset" w:sz="6" w:space="0" w:color="auto"/>
              <w:bottom w:val="outset" w:sz="6" w:space="0" w:color="auto"/>
              <w:right w:val="outset" w:sz="6" w:space="0" w:color="auto"/>
            </w:tcBorders>
          </w:tcPr>
          <w:p w14:paraId="10182744"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 Cita informācija</w:t>
            </w:r>
          </w:p>
        </w:tc>
        <w:tc>
          <w:tcPr>
            <w:tcW w:w="6073" w:type="dxa"/>
            <w:tcBorders>
              <w:top w:val="outset" w:sz="6" w:space="0" w:color="auto"/>
              <w:left w:val="outset" w:sz="6" w:space="0" w:color="auto"/>
              <w:bottom w:val="outset" w:sz="6" w:space="0" w:color="auto"/>
              <w:right w:val="outset" w:sz="6" w:space="0" w:color="auto"/>
            </w:tcBorders>
          </w:tcPr>
          <w:p w14:paraId="09A719AC" w14:textId="77777777" w:rsidR="00F06FE2" w:rsidRPr="004468E0" w:rsidRDefault="00F06FE2" w:rsidP="004468E0">
            <w:pPr>
              <w:pStyle w:val="naiskr"/>
              <w:spacing w:before="0" w:beforeAutospacing="0" w:after="0" w:afterAutospacing="0"/>
              <w:jc w:val="both"/>
              <w:rPr>
                <w:sz w:val="26"/>
                <w:szCs w:val="26"/>
              </w:rPr>
            </w:pPr>
            <w:r w:rsidRPr="004468E0">
              <w:rPr>
                <w:sz w:val="26"/>
                <w:szCs w:val="26"/>
              </w:rPr>
              <w:t> Nav.</w:t>
            </w:r>
          </w:p>
        </w:tc>
      </w:tr>
    </w:tbl>
    <w:p w14:paraId="480856AF" w14:textId="77777777" w:rsidR="00F06FE2" w:rsidRPr="004468E0" w:rsidRDefault="00F06FE2" w:rsidP="00F06FE2">
      <w:pPr>
        <w:jc w:val="both"/>
        <w:rPr>
          <w:sz w:val="26"/>
          <w:szCs w:val="26"/>
          <w:lang w:val="lv-LV"/>
        </w:rPr>
      </w:pPr>
    </w:p>
    <w:p w14:paraId="02F253E4" w14:textId="77777777" w:rsidR="00F06FE2" w:rsidRDefault="00F06FE2" w:rsidP="00F06FE2">
      <w:pPr>
        <w:jc w:val="both"/>
        <w:rPr>
          <w:sz w:val="26"/>
          <w:szCs w:val="26"/>
          <w:lang w:val="lv-LV"/>
        </w:rPr>
      </w:pPr>
    </w:p>
    <w:p w14:paraId="4EA660CB" w14:textId="77777777" w:rsidR="00A54A04" w:rsidRPr="004468E0" w:rsidRDefault="00A54A04" w:rsidP="00F06FE2">
      <w:pPr>
        <w:jc w:val="both"/>
        <w:rPr>
          <w:sz w:val="26"/>
          <w:szCs w:val="26"/>
          <w:lang w:val="lv-LV"/>
        </w:rPr>
      </w:pPr>
    </w:p>
    <w:p w14:paraId="787B5811" w14:textId="2845428B" w:rsidR="00105A03" w:rsidRPr="004468E0" w:rsidRDefault="00A54A04" w:rsidP="00105A03">
      <w:pPr>
        <w:pStyle w:val="naisf"/>
        <w:tabs>
          <w:tab w:val="left" w:pos="6804"/>
        </w:tabs>
        <w:spacing w:before="0" w:after="0"/>
        <w:ind w:firstLine="0"/>
        <w:rPr>
          <w:sz w:val="26"/>
          <w:szCs w:val="26"/>
        </w:rPr>
      </w:pPr>
      <w:r>
        <w:rPr>
          <w:sz w:val="26"/>
          <w:szCs w:val="26"/>
        </w:rPr>
        <w:t>Finanšu ministrs</w:t>
      </w:r>
      <w:r>
        <w:rPr>
          <w:sz w:val="26"/>
          <w:szCs w:val="26"/>
        </w:rPr>
        <w:tab/>
      </w:r>
      <w:proofErr w:type="spellStart"/>
      <w:r>
        <w:rPr>
          <w:sz w:val="26"/>
          <w:szCs w:val="26"/>
        </w:rPr>
        <w:t>A.Vilks</w:t>
      </w:r>
      <w:proofErr w:type="spellEnd"/>
    </w:p>
    <w:p w14:paraId="135B617F" w14:textId="77777777" w:rsidR="00F06FE2" w:rsidRPr="004468E0" w:rsidRDefault="00F06FE2" w:rsidP="00F06FE2">
      <w:pPr>
        <w:jc w:val="both"/>
        <w:rPr>
          <w:sz w:val="26"/>
          <w:szCs w:val="26"/>
          <w:lang w:val="lv-LV"/>
        </w:rPr>
      </w:pPr>
    </w:p>
    <w:p w14:paraId="33B8105E" w14:textId="77777777" w:rsidR="00F06FE2" w:rsidRDefault="00F06FE2" w:rsidP="00F06FE2">
      <w:pPr>
        <w:jc w:val="both"/>
        <w:rPr>
          <w:sz w:val="26"/>
          <w:szCs w:val="26"/>
          <w:lang w:val="lv-LV"/>
        </w:rPr>
      </w:pPr>
    </w:p>
    <w:p w14:paraId="04DA12C3" w14:textId="77777777" w:rsidR="00CF0637" w:rsidRDefault="00CF0637" w:rsidP="00F06FE2">
      <w:pPr>
        <w:jc w:val="both"/>
        <w:rPr>
          <w:sz w:val="26"/>
          <w:szCs w:val="26"/>
          <w:lang w:val="lv-LV"/>
        </w:rPr>
      </w:pPr>
    </w:p>
    <w:p w14:paraId="3D0E7AF6" w14:textId="77777777" w:rsidR="00CF0637" w:rsidRDefault="00CF0637" w:rsidP="00F06FE2">
      <w:pPr>
        <w:jc w:val="both"/>
        <w:rPr>
          <w:sz w:val="26"/>
          <w:szCs w:val="26"/>
          <w:lang w:val="lv-LV"/>
        </w:rPr>
      </w:pPr>
    </w:p>
    <w:p w14:paraId="6F900B14" w14:textId="77777777" w:rsidR="00CF0637" w:rsidRDefault="00CF0637" w:rsidP="00F06FE2">
      <w:pPr>
        <w:jc w:val="both"/>
        <w:rPr>
          <w:sz w:val="26"/>
          <w:szCs w:val="26"/>
          <w:lang w:val="lv-LV"/>
        </w:rPr>
      </w:pPr>
    </w:p>
    <w:p w14:paraId="0405E4B2" w14:textId="77777777" w:rsidR="00CF0637" w:rsidRDefault="00CF0637" w:rsidP="00F06FE2">
      <w:pPr>
        <w:jc w:val="both"/>
        <w:rPr>
          <w:sz w:val="26"/>
          <w:szCs w:val="26"/>
          <w:lang w:val="lv-LV"/>
        </w:rPr>
      </w:pPr>
    </w:p>
    <w:p w14:paraId="71233FD3" w14:textId="77777777" w:rsidR="00CF0637" w:rsidRDefault="00CF0637" w:rsidP="00F06FE2">
      <w:pPr>
        <w:jc w:val="both"/>
        <w:rPr>
          <w:sz w:val="26"/>
          <w:szCs w:val="26"/>
          <w:lang w:val="lv-LV"/>
        </w:rPr>
      </w:pPr>
    </w:p>
    <w:p w14:paraId="70548693" w14:textId="77777777" w:rsidR="00CF0637" w:rsidRDefault="00CF0637" w:rsidP="00F06FE2">
      <w:pPr>
        <w:jc w:val="both"/>
        <w:rPr>
          <w:sz w:val="26"/>
          <w:szCs w:val="26"/>
          <w:lang w:val="lv-LV"/>
        </w:rPr>
      </w:pPr>
    </w:p>
    <w:p w14:paraId="75BB983B" w14:textId="77777777" w:rsidR="00CF0637" w:rsidRDefault="00CF0637" w:rsidP="00F06FE2">
      <w:pPr>
        <w:jc w:val="both"/>
        <w:rPr>
          <w:sz w:val="26"/>
          <w:szCs w:val="26"/>
          <w:lang w:val="lv-LV"/>
        </w:rPr>
      </w:pPr>
    </w:p>
    <w:p w14:paraId="38CBFFC0" w14:textId="77777777" w:rsidR="00CF0637" w:rsidRPr="004468E0" w:rsidRDefault="00CF0637" w:rsidP="00F06FE2">
      <w:pPr>
        <w:jc w:val="both"/>
        <w:rPr>
          <w:sz w:val="26"/>
          <w:szCs w:val="26"/>
          <w:lang w:val="lv-LV"/>
        </w:rPr>
      </w:pPr>
    </w:p>
    <w:p w14:paraId="3758A7B6" w14:textId="77777777" w:rsidR="00F06FE2" w:rsidRPr="004468E0" w:rsidRDefault="00F06FE2" w:rsidP="00F06FE2">
      <w:pPr>
        <w:jc w:val="both"/>
        <w:rPr>
          <w:sz w:val="26"/>
          <w:szCs w:val="26"/>
          <w:lang w:val="lv-LV"/>
        </w:rPr>
      </w:pPr>
    </w:p>
    <w:p w14:paraId="5F26C87B" w14:textId="77777777" w:rsidR="00F06FE2" w:rsidRPr="00CF0637" w:rsidRDefault="00F06FE2" w:rsidP="00F06FE2">
      <w:pPr>
        <w:jc w:val="both"/>
        <w:rPr>
          <w:sz w:val="22"/>
          <w:szCs w:val="22"/>
          <w:lang w:val="lv-LV"/>
        </w:rPr>
      </w:pPr>
      <w:r w:rsidRPr="00CF0637">
        <w:rPr>
          <w:sz w:val="22"/>
          <w:szCs w:val="22"/>
          <w:lang w:val="lv-LV"/>
        </w:rPr>
        <w:t>29.08.2013. 8.29.</w:t>
      </w:r>
      <w:bookmarkStart w:id="6" w:name="_GoBack"/>
      <w:bookmarkEnd w:id="6"/>
    </w:p>
    <w:p w14:paraId="6DE60EF1" w14:textId="6FF20EB4" w:rsidR="00F06FE2" w:rsidRPr="00CF0637" w:rsidRDefault="00A54A04" w:rsidP="00F06FE2">
      <w:pPr>
        <w:jc w:val="both"/>
        <w:rPr>
          <w:sz w:val="22"/>
          <w:szCs w:val="22"/>
          <w:lang w:val="lv-LV"/>
        </w:rPr>
      </w:pPr>
      <w:r>
        <w:rPr>
          <w:sz w:val="22"/>
          <w:szCs w:val="22"/>
          <w:lang w:val="lv-LV"/>
        </w:rPr>
        <w:t>2349</w:t>
      </w:r>
    </w:p>
    <w:p w14:paraId="2DD821D9" w14:textId="77777777" w:rsidR="00F06FE2" w:rsidRPr="00CF0637" w:rsidRDefault="00A25C50" w:rsidP="00F06FE2">
      <w:pPr>
        <w:pStyle w:val="HTMLPreformatted"/>
        <w:jc w:val="both"/>
        <w:rPr>
          <w:rFonts w:ascii="Times New Roman" w:eastAsia="Times New Roman" w:hAnsi="Times New Roman" w:cs="Times New Roman"/>
          <w:sz w:val="22"/>
          <w:szCs w:val="22"/>
        </w:rPr>
      </w:pPr>
      <w:r w:rsidRPr="00CF0637">
        <w:rPr>
          <w:rFonts w:ascii="Times New Roman" w:eastAsia="Times New Roman" w:hAnsi="Times New Roman" w:cs="Times New Roman"/>
          <w:sz w:val="22"/>
          <w:szCs w:val="22"/>
        </w:rPr>
        <w:t>Māra Čakste, 67083645</w:t>
      </w:r>
    </w:p>
    <w:p w14:paraId="579743B1" w14:textId="77777777" w:rsidR="00F06FE2" w:rsidRPr="00CF0637" w:rsidRDefault="00D42C99" w:rsidP="00F06FE2">
      <w:pPr>
        <w:jc w:val="both"/>
        <w:rPr>
          <w:sz w:val="22"/>
          <w:szCs w:val="22"/>
          <w:lang w:val="lv-LV"/>
        </w:rPr>
      </w:pPr>
      <w:hyperlink r:id="rId8" w:history="1">
        <w:r w:rsidR="00D20527" w:rsidRPr="00CF0637">
          <w:rPr>
            <w:rStyle w:val="Hyperlink"/>
            <w:sz w:val="22"/>
            <w:szCs w:val="22"/>
            <w:lang w:val="lv-LV"/>
          </w:rPr>
          <w:t>Mara.Cakste@fm.gov.lv</w:t>
        </w:r>
      </w:hyperlink>
    </w:p>
    <w:sectPr w:rsidR="00F06FE2" w:rsidRPr="00CF0637" w:rsidSect="002A69C0">
      <w:headerReference w:type="even" r:id="rId9"/>
      <w:headerReference w:type="default" r:id="rId10"/>
      <w:footerReference w:type="default" r:id="rId11"/>
      <w:footerReference w:type="first" r:id="rId12"/>
      <w:pgSz w:w="11906" w:h="16838" w:code="9"/>
      <w:pgMar w:top="1077" w:right="1133"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955C" w14:textId="77777777" w:rsidR="00D42C99" w:rsidRDefault="00D42C99" w:rsidP="00316778">
      <w:r>
        <w:separator/>
      </w:r>
    </w:p>
  </w:endnote>
  <w:endnote w:type="continuationSeparator" w:id="0">
    <w:p w14:paraId="389BB4DB" w14:textId="77777777" w:rsidR="00D42C99" w:rsidRDefault="00D42C99" w:rsidP="003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1F84" w14:textId="77777777" w:rsidR="00AC700D" w:rsidRPr="00F12A55" w:rsidRDefault="00FE74FB" w:rsidP="00753601">
    <w:r w:rsidRPr="00F12A55">
      <w:rPr>
        <w:lang w:val="lv-LV"/>
      </w:rPr>
      <w:t>FMAnot_</w:t>
    </w:r>
    <w:r w:rsidR="00316778">
      <w:rPr>
        <w:lang w:val="lv-LV"/>
      </w:rPr>
      <w:t>29</w:t>
    </w:r>
    <w:r>
      <w:rPr>
        <w:lang w:val="lv-LV"/>
      </w:rPr>
      <w:t>0813</w:t>
    </w:r>
    <w:r w:rsidRPr="00F12A55">
      <w:rPr>
        <w:lang w:val="lv-LV"/>
      </w:rPr>
      <w:t>_NN</w:t>
    </w:r>
    <w:r w:rsidR="00316778">
      <w:rPr>
        <w:lang w:val="lv-LV"/>
      </w:rPr>
      <w:t>L_nodrosinajums</w:t>
    </w:r>
    <w:r w:rsidRPr="00F12A55">
      <w:rPr>
        <w:lang w:val="lv-LV"/>
      </w:rPr>
      <w:t>; Likumprojekta „Grozījumi likumā „Par nodokļiem un nodevām””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C0AB" w14:textId="2A21381D" w:rsidR="00AC700D" w:rsidRPr="00D41C45" w:rsidRDefault="00FE74FB" w:rsidP="00014D26">
    <w:pPr>
      <w:pStyle w:val="Footer"/>
      <w:jc w:val="both"/>
      <w:rPr>
        <w:sz w:val="22"/>
        <w:szCs w:val="22"/>
        <w:lang w:val="lv-LV"/>
      </w:rPr>
    </w:pPr>
    <w:r w:rsidRPr="00D41C45">
      <w:rPr>
        <w:sz w:val="22"/>
        <w:szCs w:val="22"/>
        <w:lang w:val="lv-LV"/>
      </w:rPr>
      <w:t>FMAnot_</w:t>
    </w:r>
    <w:r w:rsidR="00316778">
      <w:rPr>
        <w:sz w:val="22"/>
        <w:szCs w:val="22"/>
        <w:lang w:val="lv-LV"/>
      </w:rPr>
      <w:t>29</w:t>
    </w:r>
    <w:r>
      <w:rPr>
        <w:sz w:val="22"/>
        <w:szCs w:val="22"/>
        <w:lang w:val="lv-LV"/>
      </w:rPr>
      <w:t>0</w:t>
    </w:r>
    <w:r w:rsidR="00316778">
      <w:rPr>
        <w:sz w:val="22"/>
        <w:szCs w:val="22"/>
        <w:lang w:val="lv-LV"/>
      </w:rPr>
      <w:t>8</w:t>
    </w:r>
    <w:r>
      <w:rPr>
        <w:sz w:val="22"/>
        <w:szCs w:val="22"/>
        <w:lang w:val="lv-LV"/>
      </w:rPr>
      <w:t>13_NN</w:t>
    </w:r>
    <w:r w:rsidR="004468E0">
      <w:rPr>
        <w:sz w:val="22"/>
        <w:szCs w:val="22"/>
        <w:lang w:val="lv-LV"/>
      </w:rPr>
      <w:t>L</w:t>
    </w:r>
    <w:r w:rsidR="00316778">
      <w:rPr>
        <w:sz w:val="22"/>
        <w:szCs w:val="22"/>
        <w:lang w:val="lv-LV"/>
      </w:rPr>
      <w:t>_nodrosinajums</w:t>
    </w:r>
    <w:r>
      <w:rPr>
        <w:sz w:val="22"/>
        <w:szCs w:val="22"/>
        <w:lang w:val="lv-LV"/>
      </w:rPr>
      <w:t>; Likumprojekta „Grozījumi likumā „Par nodokļiem un nodevām””</w:t>
    </w:r>
    <w:r w:rsidRPr="00D41C45">
      <w:rPr>
        <w:sz w:val="22"/>
        <w:szCs w:val="22"/>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0E7D" w14:textId="77777777" w:rsidR="00D42C99" w:rsidRDefault="00D42C99" w:rsidP="00316778">
      <w:r>
        <w:separator/>
      </w:r>
    </w:p>
  </w:footnote>
  <w:footnote w:type="continuationSeparator" w:id="0">
    <w:p w14:paraId="3DBF0430" w14:textId="77777777" w:rsidR="00D42C99" w:rsidRDefault="00D42C99" w:rsidP="0031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70B0" w14:textId="77777777" w:rsidR="00AC700D" w:rsidRDefault="00FE74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5032E" w14:textId="77777777" w:rsidR="00AC700D" w:rsidRDefault="00D42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3E0E" w14:textId="77777777" w:rsidR="00AC700D" w:rsidRPr="00D41C45" w:rsidRDefault="00FE74FB">
    <w:pPr>
      <w:pStyle w:val="Header"/>
      <w:framePr w:wrap="around" w:vAnchor="text" w:hAnchor="margin" w:xAlign="center" w:y="1"/>
      <w:rPr>
        <w:rStyle w:val="PageNumber"/>
        <w:sz w:val="22"/>
        <w:szCs w:val="22"/>
      </w:rPr>
    </w:pPr>
    <w:r w:rsidRPr="00D41C45">
      <w:rPr>
        <w:rStyle w:val="PageNumber"/>
        <w:sz w:val="22"/>
        <w:szCs w:val="22"/>
      </w:rPr>
      <w:fldChar w:fldCharType="begin"/>
    </w:r>
    <w:r w:rsidRPr="00D41C45">
      <w:rPr>
        <w:rStyle w:val="PageNumber"/>
        <w:sz w:val="22"/>
        <w:szCs w:val="22"/>
      </w:rPr>
      <w:instrText xml:space="preserve">PAGE  </w:instrText>
    </w:r>
    <w:r w:rsidRPr="00D41C45">
      <w:rPr>
        <w:rStyle w:val="PageNumber"/>
        <w:sz w:val="22"/>
        <w:szCs w:val="22"/>
      </w:rPr>
      <w:fldChar w:fldCharType="separate"/>
    </w:r>
    <w:r w:rsidR="003D7AF8">
      <w:rPr>
        <w:rStyle w:val="PageNumber"/>
        <w:noProof/>
        <w:sz w:val="22"/>
        <w:szCs w:val="22"/>
      </w:rPr>
      <w:t>9</w:t>
    </w:r>
    <w:r w:rsidRPr="00D41C45">
      <w:rPr>
        <w:rStyle w:val="PageNumber"/>
        <w:sz w:val="22"/>
        <w:szCs w:val="22"/>
      </w:rPr>
      <w:fldChar w:fldCharType="end"/>
    </w:r>
  </w:p>
  <w:p w14:paraId="1BAC793A" w14:textId="77777777" w:rsidR="00AC700D" w:rsidRDefault="00D42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91B"/>
    <w:multiLevelType w:val="hybridMultilevel"/>
    <w:tmpl w:val="BADC1968"/>
    <w:lvl w:ilvl="0" w:tplc="F8CA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464736E"/>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8EC6F7E"/>
    <w:multiLevelType w:val="hybridMultilevel"/>
    <w:tmpl w:val="1F80C5E0"/>
    <w:lvl w:ilvl="0" w:tplc="925656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E1A0873"/>
    <w:multiLevelType w:val="hybridMultilevel"/>
    <w:tmpl w:val="5A0870B0"/>
    <w:lvl w:ilvl="0" w:tplc="F21484B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67F43BEA"/>
    <w:multiLevelType w:val="hybridMultilevel"/>
    <w:tmpl w:val="014C081A"/>
    <w:lvl w:ilvl="0" w:tplc="4EFC962E">
      <w:start w:val="2"/>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0B773CA"/>
    <w:multiLevelType w:val="hybridMultilevel"/>
    <w:tmpl w:val="4E64E9FA"/>
    <w:lvl w:ilvl="0" w:tplc="15BACD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74BC27CE"/>
    <w:multiLevelType w:val="hybridMultilevel"/>
    <w:tmpl w:val="77A22380"/>
    <w:lvl w:ilvl="0" w:tplc="8F180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EE0C87"/>
    <w:multiLevelType w:val="hybridMultilevel"/>
    <w:tmpl w:val="0ACA34A6"/>
    <w:lvl w:ilvl="0" w:tplc="BC30099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9C96E09"/>
    <w:multiLevelType w:val="hybridMultilevel"/>
    <w:tmpl w:val="5678AA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E2"/>
    <w:rsid w:val="00015333"/>
    <w:rsid w:val="00040611"/>
    <w:rsid w:val="00075847"/>
    <w:rsid w:val="000802F8"/>
    <w:rsid w:val="000A5C48"/>
    <w:rsid w:val="000C683C"/>
    <w:rsid w:val="000F26EF"/>
    <w:rsid w:val="00105A03"/>
    <w:rsid w:val="0016582E"/>
    <w:rsid w:val="001F4A6D"/>
    <w:rsid w:val="00256A9B"/>
    <w:rsid w:val="002709B7"/>
    <w:rsid w:val="00282510"/>
    <w:rsid w:val="00286BAE"/>
    <w:rsid w:val="00291FC8"/>
    <w:rsid w:val="002A69C0"/>
    <w:rsid w:val="002B48A4"/>
    <w:rsid w:val="002D4DD5"/>
    <w:rsid w:val="00316778"/>
    <w:rsid w:val="00333A7C"/>
    <w:rsid w:val="003D7AF8"/>
    <w:rsid w:val="004370AF"/>
    <w:rsid w:val="004468E0"/>
    <w:rsid w:val="0046583B"/>
    <w:rsid w:val="00470E0B"/>
    <w:rsid w:val="004C4843"/>
    <w:rsid w:val="00504AE2"/>
    <w:rsid w:val="00551107"/>
    <w:rsid w:val="005D3C1F"/>
    <w:rsid w:val="005F7F8E"/>
    <w:rsid w:val="00616BD2"/>
    <w:rsid w:val="006179D1"/>
    <w:rsid w:val="00625D3E"/>
    <w:rsid w:val="006D7A8E"/>
    <w:rsid w:val="007807B2"/>
    <w:rsid w:val="007A03A4"/>
    <w:rsid w:val="007D2E9A"/>
    <w:rsid w:val="008014B4"/>
    <w:rsid w:val="00817B62"/>
    <w:rsid w:val="008455E6"/>
    <w:rsid w:val="00860635"/>
    <w:rsid w:val="008A79C9"/>
    <w:rsid w:val="008C4F15"/>
    <w:rsid w:val="00915440"/>
    <w:rsid w:val="009155D9"/>
    <w:rsid w:val="00967957"/>
    <w:rsid w:val="009A05F3"/>
    <w:rsid w:val="009A5830"/>
    <w:rsid w:val="009C67E2"/>
    <w:rsid w:val="009E4A77"/>
    <w:rsid w:val="00A25C50"/>
    <w:rsid w:val="00A54A04"/>
    <w:rsid w:val="00AD4DB4"/>
    <w:rsid w:val="00B00C81"/>
    <w:rsid w:val="00B72183"/>
    <w:rsid w:val="00BE14EB"/>
    <w:rsid w:val="00C530A2"/>
    <w:rsid w:val="00CC5574"/>
    <w:rsid w:val="00CF0637"/>
    <w:rsid w:val="00CF180C"/>
    <w:rsid w:val="00D065CB"/>
    <w:rsid w:val="00D079D8"/>
    <w:rsid w:val="00D20527"/>
    <w:rsid w:val="00D34E2F"/>
    <w:rsid w:val="00D42C99"/>
    <w:rsid w:val="00D542E2"/>
    <w:rsid w:val="00D976F4"/>
    <w:rsid w:val="00E027EB"/>
    <w:rsid w:val="00E553C9"/>
    <w:rsid w:val="00E65D86"/>
    <w:rsid w:val="00E745D9"/>
    <w:rsid w:val="00EB3173"/>
    <w:rsid w:val="00EC7649"/>
    <w:rsid w:val="00F06FE2"/>
    <w:rsid w:val="00F24E3B"/>
    <w:rsid w:val="00F31393"/>
    <w:rsid w:val="00F56C24"/>
    <w:rsid w:val="00F826BD"/>
    <w:rsid w:val="00FA3845"/>
    <w:rsid w:val="00FB201F"/>
    <w:rsid w:val="00FD6DB7"/>
    <w:rsid w:val="00FE7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B0DE"/>
  <w15:docId w15:val="{A0BB1148-DC2D-49EC-8B73-909A788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E2"/>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FE2"/>
    <w:pPr>
      <w:jc w:val="center"/>
    </w:pPr>
    <w:rPr>
      <w:sz w:val="28"/>
      <w:lang w:val="lv-LV"/>
    </w:rPr>
  </w:style>
  <w:style w:type="character" w:customStyle="1" w:styleId="BodyTextChar">
    <w:name w:val="Body Text Char"/>
    <w:basedOn w:val="DefaultParagraphFont"/>
    <w:link w:val="BodyText"/>
    <w:rsid w:val="00F06FE2"/>
    <w:rPr>
      <w:rFonts w:eastAsia="Times New Roman" w:cs="Times New Roman"/>
      <w:sz w:val="28"/>
      <w:szCs w:val="24"/>
    </w:rPr>
  </w:style>
  <w:style w:type="character" w:styleId="Hyperlink">
    <w:name w:val="Hyperlink"/>
    <w:basedOn w:val="DefaultParagraphFont"/>
    <w:rsid w:val="00F06FE2"/>
    <w:rPr>
      <w:color w:val="0000FF"/>
      <w:u w:val="single"/>
    </w:rPr>
  </w:style>
  <w:style w:type="paragraph" w:styleId="Footer">
    <w:name w:val="footer"/>
    <w:basedOn w:val="Normal"/>
    <w:link w:val="FooterChar"/>
    <w:rsid w:val="00F06FE2"/>
    <w:pPr>
      <w:tabs>
        <w:tab w:val="center" w:pos="4153"/>
        <w:tab w:val="right" w:pos="8306"/>
      </w:tabs>
    </w:pPr>
  </w:style>
  <w:style w:type="character" w:customStyle="1" w:styleId="FooterChar">
    <w:name w:val="Footer Char"/>
    <w:basedOn w:val="DefaultParagraphFont"/>
    <w:link w:val="Footer"/>
    <w:rsid w:val="00F06FE2"/>
    <w:rPr>
      <w:rFonts w:eastAsia="Times New Roman" w:cs="Times New Roman"/>
      <w:szCs w:val="24"/>
      <w:lang w:val="en-GB"/>
    </w:rPr>
  </w:style>
  <w:style w:type="paragraph" w:styleId="Header">
    <w:name w:val="header"/>
    <w:basedOn w:val="Normal"/>
    <w:link w:val="HeaderChar"/>
    <w:rsid w:val="00F06FE2"/>
    <w:pPr>
      <w:tabs>
        <w:tab w:val="center" w:pos="4153"/>
        <w:tab w:val="right" w:pos="8306"/>
      </w:tabs>
    </w:pPr>
  </w:style>
  <w:style w:type="character" w:customStyle="1" w:styleId="HeaderChar">
    <w:name w:val="Header Char"/>
    <w:basedOn w:val="DefaultParagraphFont"/>
    <w:link w:val="Header"/>
    <w:rsid w:val="00F06FE2"/>
    <w:rPr>
      <w:rFonts w:eastAsia="Times New Roman" w:cs="Times New Roman"/>
      <w:szCs w:val="24"/>
      <w:lang w:val="en-GB"/>
    </w:rPr>
  </w:style>
  <w:style w:type="paragraph" w:customStyle="1" w:styleId="naislab">
    <w:name w:val="naislab"/>
    <w:basedOn w:val="Normal"/>
    <w:rsid w:val="00F06FE2"/>
    <w:pPr>
      <w:spacing w:before="100" w:beforeAutospacing="1" w:after="100" w:afterAutospacing="1"/>
    </w:pPr>
    <w:rPr>
      <w:lang w:val="lv-LV" w:eastAsia="lv-LV"/>
    </w:rPr>
  </w:style>
  <w:style w:type="paragraph" w:customStyle="1" w:styleId="naisc">
    <w:name w:val="naisc"/>
    <w:basedOn w:val="Normal"/>
    <w:rsid w:val="00F06FE2"/>
    <w:pPr>
      <w:spacing w:before="100" w:beforeAutospacing="1" w:after="100" w:afterAutospacing="1"/>
    </w:pPr>
    <w:rPr>
      <w:lang w:val="lv-LV" w:eastAsia="lv-LV"/>
    </w:rPr>
  </w:style>
  <w:style w:type="paragraph" w:customStyle="1" w:styleId="naisnod">
    <w:name w:val="naisnod"/>
    <w:basedOn w:val="Normal"/>
    <w:rsid w:val="00F06FE2"/>
    <w:pPr>
      <w:spacing w:before="100" w:beforeAutospacing="1" w:after="100" w:afterAutospacing="1"/>
    </w:pPr>
    <w:rPr>
      <w:lang w:val="lv-LV" w:eastAsia="lv-LV"/>
    </w:rPr>
  </w:style>
  <w:style w:type="paragraph" w:customStyle="1" w:styleId="naiskr">
    <w:name w:val="naiskr"/>
    <w:basedOn w:val="Normal"/>
    <w:rsid w:val="00F06FE2"/>
    <w:pPr>
      <w:spacing w:before="100" w:beforeAutospacing="1" w:after="100" w:afterAutospacing="1"/>
    </w:pPr>
    <w:rPr>
      <w:lang w:val="lv-LV" w:eastAsia="lv-LV"/>
    </w:rPr>
  </w:style>
  <w:style w:type="character" w:styleId="PageNumber">
    <w:name w:val="page number"/>
    <w:basedOn w:val="DefaultParagraphFont"/>
    <w:rsid w:val="00F06FE2"/>
  </w:style>
  <w:style w:type="paragraph" w:styleId="ListParagraph">
    <w:name w:val="List Paragraph"/>
    <w:basedOn w:val="Normal"/>
    <w:uiPriority w:val="34"/>
    <w:qFormat/>
    <w:rsid w:val="00F06FE2"/>
    <w:pPr>
      <w:ind w:left="720"/>
      <w:contextualSpacing/>
    </w:pPr>
  </w:style>
  <w:style w:type="paragraph" w:styleId="HTMLPreformatted">
    <w:name w:val="HTML Preformatted"/>
    <w:basedOn w:val="Normal"/>
    <w:link w:val="HTMLPreformattedChar"/>
    <w:rsid w:val="00F0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lv-LV"/>
    </w:rPr>
  </w:style>
  <w:style w:type="character" w:customStyle="1" w:styleId="HTMLPreformattedChar">
    <w:name w:val="HTML Preformatted Char"/>
    <w:basedOn w:val="DefaultParagraphFont"/>
    <w:link w:val="HTMLPreformatted"/>
    <w:rsid w:val="00F06FE2"/>
    <w:rPr>
      <w:rFonts w:ascii="Arial Unicode MS" w:eastAsia="Arial Unicode MS" w:hAnsi="Arial Unicode MS" w:cs="Arial Unicode MS"/>
      <w:sz w:val="20"/>
      <w:szCs w:val="20"/>
    </w:rPr>
  </w:style>
  <w:style w:type="paragraph" w:customStyle="1" w:styleId="tv2131">
    <w:name w:val="tv2131"/>
    <w:basedOn w:val="Normal"/>
    <w:rsid w:val="00F06FE2"/>
    <w:pPr>
      <w:spacing w:before="240" w:line="360" w:lineRule="auto"/>
      <w:ind w:firstLine="300"/>
      <w:jc w:val="both"/>
    </w:pPr>
    <w:rPr>
      <w:rFonts w:ascii="Verdana" w:hAnsi="Verdana"/>
      <w:sz w:val="18"/>
      <w:szCs w:val="18"/>
      <w:lang w:val="lv-LV" w:eastAsia="lv-LV"/>
    </w:rPr>
  </w:style>
  <w:style w:type="paragraph" w:customStyle="1" w:styleId="naisf">
    <w:name w:val="naisf"/>
    <w:basedOn w:val="Normal"/>
    <w:rsid w:val="00F06FE2"/>
    <w:pPr>
      <w:spacing w:before="75" w:after="75"/>
      <w:ind w:firstLine="375"/>
      <w:jc w:val="both"/>
    </w:pPr>
    <w:rPr>
      <w:lang w:val="lv-LV" w:eastAsia="lv-LV"/>
    </w:rPr>
  </w:style>
  <w:style w:type="paragraph" w:styleId="NoSpacing">
    <w:name w:val="No Spacing"/>
    <w:uiPriority w:val="1"/>
    <w:qFormat/>
    <w:rsid w:val="00333A7C"/>
    <w:rPr>
      <w:rFonts w:eastAsia="Times New Roman" w:cs="Times New Roman"/>
      <w:szCs w:val="24"/>
      <w:lang w:val="en-GB"/>
    </w:rPr>
  </w:style>
  <w:style w:type="character" w:styleId="CommentReference">
    <w:name w:val="annotation reference"/>
    <w:basedOn w:val="DefaultParagraphFont"/>
    <w:uiPriority w:val="99"/>
    <w:semiHidden/>
    <w:unhideWhenUsed/>
    <w:rsid w:val="00E65D86"/>
    <w:rPr>
      <w:sz w:val="16"/>
      <w:szCs w:val="16"/>
    </w:rPr>
  </w:style>
  <w:style w:type="paragraph" w:styleId="CommentText">
    <w:name w:val="annotation text"/>
    <w:basedOn w:val="Normal"/>
    <w:link w:val="CommentTextChar"/>
    <w:uiPriority w:val="99"/>
    <w:semiHidden/>
    <w:unhideWhenUsed/>
    <w:rsid w:val="00E65D86"/>
    <w:rPr>
      <w:sz w:val="20"/>
      <w:szCs w:val="20"/>
      <w:lang w:val="lv-LV" w:eastAsia="lv-LV"/>
    </w:rPr>
  </w:style>
  <w:style w:type="character" w:customStyle="1" w:styleId="CommentTextChar">
    <w:name w:val="Comment Text Char"/>
    <w:basedOn w:val="DefaultParagraphFont"/>
    <w:link w:val="CommentText"/>
    <w:uiPriority w:val="99"/>
    <w:semiHidden/>
    <w:rsid w:val="00E65D86"/>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E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8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9E4A77"/>
    <w:rPr>
      <w:b/>
      <w:bCs/>
      <w:lang w:val="en-GB" w:eastAsia="en-US"/>
    </w:rPr>
  </w:style>
  <w:style w:type="character" w:customStyle="1" w:styleId="CommentSubjectChar">
    <w:name w:val="Comment Subject Char"/>
    <w:basedOn w:val="CommentTextChar"/>
    <w:link w:val="CommentSubject"/>
    <w:uiPriority w:val="99"/>
    <w:semiHidden/>
    <w:rsid w:val="009E4A77"/>
    <w:rPr>
      <w:rFonts w:eastAsia="Times New Roman" w:cs="Times New Roman"/>
      <w:b/>
      <w:bCs/>
      <w:sz w:val="20"/>
      <w:szCs w:val="20"/>
      <w:lang w:val="en-GB" w:eastAsia="lv-LV"/>
    </w:rPr>
  </w:style>
  <w:style w:type="character" w:customStyle="1" w:styleId="spelle">
    <w:name w:val="spelle"/>
    <w:basedOn w:val="DefaultParagraphFont"/>
    <w:rsid w:val="002D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Cakst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ED77-057C-4F3F-A186-CCA16FB6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11777</Words>
  <Characters>6713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Anotācija</dc:subject>
  <dc:creator>Čakste Māra</dc:creator>
  <cp:keywords/>
  <dc:description> 67083645
Mara.Cakste@fm.gov.lv</dc:description>
  <cp:lastModifiedBy>Sprūģe Veronika</cp:lastModifiedBy>
  <cp:revision>18</cp:revision>
  <cp:lastPrinted>2013-09-12T13:09:00Z</cp:lastPrinted>
  <dcterms:created xsi:type="dcterms:W3CDTF">2013-09-05T06:18:00Z</dcterms:created>
  <dcterms:modified xsi:type="dcterms:W3CDTF">2013-09-16T13:05:00Z</dcterms:modified>
</cp:coreProperties>
</file>