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105" w:rsidRPr="00BF467A" w:rsidRDefault="0081419B" w:rsidP="00E17A22">
      <w:pPr>
        <w:tabs>
          <w:tab w:val="left" w:pos="709"/>
        </w:tabs>
        <w:jc w:val="center"/>
        <w:rPr>
          <w:b/>
        </w:rPr>
      </w:pPr>
      <w:bookmarkStart w:id="0" w:name="OLE_LINK1"/>
      <w:bookmarkStart w:id="1" w:name="OLE_LINK2"/>
      <w:bookmarkStart w:id="2" w:name="OLE_LINK3"/>
      <w:bookmarkStart w:id="3" w:name="OLE_LINK4"/>
      <w:bookmarkStart w:id="4" w:name="_GoBack"/>
      <w:bookmarkEnd w:id="4"/>
      <w:r>
        <w:rPr>
          <w:b/>
        </w:rPr>
        <w:t>Likumprojekta</w:t>
      </w:r>
      <w:r w:rsidR="00402105" w:rsidRPr="00BF467A">
        <w:rPr>
          <w:b/>
        </w:rPr>
        <w:t xml:space="preserve"> </w:t>
      </w:r>
      <w:r w:rsidR="00E17A22" w:rsidRPr="00BF467A">
        <w:rPr>
          <w:b/>
        </w:rPr>
        <w:t>„</w:t>
      </w:r>
      <w:r w:rsidR="00E17A22" w:rsidRPr="00BF467A">
        <w:rPr>
          <w:b/>
          <w:bCs/>
          <w:lang w:val="pt-BR"/>
        </w:rPr>
        <w:t xml:space="preserve">Grozījumi </w:t>
      </w:r>
      <w:r w:rsidR="008E6B5D">
        <w:rPr>
          <w:b/>
          <w:bCs/>
          <w:lang w:val="pt-BR"/>
        </w:rPr>
        <w:t>likumā</w:t>
      </w:r>
      <w:r w:rsidR="00FE72D5">
        <w:rPr>
          <w:b/>
          <w:bCs/>
          <w:lang w:val="pt-BR"/>
        </w:rPr>
        <w:t xml:space="preserve"> “Par iedzīvotāju ienākuma nodokli”</w:t>
      </w:r>
      <w:r w:rsidR="00E17A22" w:rsidRPr="00BF467A">
        <w:rPr>
          <w:b/>
          <w:bCs/>
          <w:lang w:val="pt-BR"/>
        </w:rPr>
        <w:t>”</w:t>
      </w:r>
      <w:bookmarkEnd w:id="0"/>
      <w:bookmarkEnd w:id="1"/>
      <w:r w:rsidR="00E17A22" w:rsidRPr="00BF467A">
        <w:rPr>
          <w:b/>
          <w:bCs/>
          <w:lang w:val="pt-BR"/>
        </w:rPr>
        <w:t xml:space="preserve"> </w:t>
      </w:r>
      <w:r w:rsidR="00402105" w:rsidRPr="00BF467A">
        <w:rPr>
          <w:b/>
          <w:bCs/>
        </w:rPr>
        <w:t>sākotnējās ietekmes novērtējuma ziņojums (anotācija)</w:t>
      </w:r>
      <w:bookmarkEnd w:id="2"/>
      <w:bookmarkEnd w:id="3"/>
    </w:p>
    <w:p w:rsidR="00B35BFB" w:rsidRPr="009E4776" w:rsidRDefault="00B35BFB" w:rsidP="0002441D">
      <w:pPr>
        <w:ind w:left="720"/>
        <w:jc w:val="center"/>
        <w:rPr>
          <w:b/>
          <w:bCs/>
          <w:iCs/>
          <w:sz w:val="18"/>
          <w:szCs w:val="18"/>
        </w:rPr>
      </w:pPr>
    </w:p>
    <w:tbl>
      <w:tblPr>
        <w:tblW w:w="9371"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1"/>
        <w:gridCol w:w="523"/>
        <w:gridCol w:w="244"/>
        <w:gridCol w:w="13"/>
        <w:gridCol w:w="32"/>
        <w:gridCol w:w="2394"/>
        <w:gridCol w:w="1000"/>
        <w:gridCol w:w="71"/>
        <w:gridCol w:w="885"/>
        <w:gridCol w:w="3875"/>
        <w:gridCol w:w="293"/>
      </w:tblGrid>
      <w:tr w:rsidR="00353A9E" w:rsidRPr="00353A9E" w:rsidTr="006717BA">
        <w:trPr>
          <w:tblCellSpacing w:w="0" w:type="dxa"/>
        </w:trPr>
        <w:tc>
          <w:tcPr>
            <w:tcW w:w="9371" w:type="dxa"/>
            <w:gridSpan w:val="11"/>
            <w:tcBorders>
              <w:top w:val="outset" w:sz="6" w:space="0" w:color="auto"/>
              <w:left w:val="outset" w:sz="6" w:space="0" w:color="auto"/>
              <w:bottom w:val="outset" w:sz="6" w:space="0" w:color="auto"/>
              <w:right w:val="outset" w:sz="6" w:space="0" w:color="auto"/>
            </w:tcBorders>
            <w:vAlign w:val="center"/>
            <w:hideMark/>
          </w:tcPr>
          <w:p w:rsidR="00353A9E" w:rsidRPr="008621E2" w:rsidRDefault="00353A9E" w:rsidP="004551E2">
            <w:pPr>
              <w:jc w:val="center"/>
              <w:rPr>
                <w:b/>
              </w:rPr>
            </w:pPr>
            <w:r w:rsidRPr="008621E2">
              <w:rPr>
                <w:b/>
                <w:bCs/>
              </w:rPr>
              <w:t>I. Tiesību akta projekta izstrādes nepieciešamība</w:t>
            </w:r>
          </w:p>
        </w:tc>
      </w:tr>
      <w:tr w:rsidR="00DC36D0" w:rsidRPr="00353A9E" w:rsidTr="006717BA">
        <w:trPr>
          <w:trHeight w:val="615"/>
          <w:tblCellSpacing w:w="0" w:type="dxa"/>
        </w:trPr>
        <w:tc>
          <w:tcPr>
            <w:tcW w:w="821" w:type="dxa"/>
            <w:gridSpan w:val="4"/>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1.</w:t>
            </w:r>
          </w:p>
        </w:tc>
        <w:tc>
          <w:tcPr>
            <w:tcW w:w="3426" w:type="dxa"/>
            <w:gridSpan w:val="3"/>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Pamatojums</w:t>
            </w:r>
          </w:p>
        </w:tc>
        <w:tc>
          <w:tcPr>
            <w:tcW w:w="5124" w:type="dxa"/>
            <w:gridSpan w:val="4"/>
            <w:tcBorders>
              <w:top w:val="outset" w:sz="6" w:space="0" w:color="auto"/>
              <w:left w:val="outset" w:sz="6" w:space="0" w:color="auto"/>
              <w:bottom w:val="outset" w:sz="6" w:space="0" w:color="auto"/>
              <w:right w:val="outset" w:sz="6" w:space="0" w:color="auto"/>
            </w:tcBorders>
          </w:tcPr>
          <w:p w:rsidR="00515FFF" w:rsidRPr="00515FFF" w:rsidRDefault="003F6951" w:rsidP="00D5135E">
            <w:pPr>
              <w:pStyle w:val="ListParagraph"/>
              <w:ind w:left="0"/>
              <w:jc w:val="both"/>
            </w:pPr>
            <w:r>
              <w:t>Ministru kabineta 2013.gada 28.maija sēdes protokol</w:t>
            </w:r>
            <w:r w:rsidR="00BA310C">
              <w:t>a</w:t>
            </w:r>
            <w:r>
              <w:t xml:space="preserve"> Nr.</w:t>
            </w:r>
            <w:r w:rsidR="00BA310C">
              <w:t xml:space="preserve">32 </w:t>
            </w:r>
            <w:r w:rsidR="00BA310C" w:rsidRPr="00BA310C">
              <w:t xml:space="preserve">71.§ </w:t>
            </w:r>
            <w:r>
              <w:t xml:space="preserve">2.punkts, kurā uzdots </w:t>
            </w:r>
            <w:r w:rsidRPr="003F6951">
              <w:t>Finanšu ministrijai sagatavot un finanšu ministram līdz 2013.gada 15.</w:t>
            </w:r>
            <w:r w:rsidR="00D5135E">
              <w:t>jūlijam</w:t>
            </w:r>
            <w:r w:rsidRPr="003F6951">
              <w:t xml:space="preserve"> iesniegt izskatīšanai Ministru kabinetā kā Ministru kabineta lietu grozījumus likumā „Par iedzīvotāju ienākuma nodokli”.</w:t>
            </w:r>
          </w:p>
        </w:tc>
      </w:tr>
      <w:tr w:rsidR="00DC36D0" w:rsidRPr="00353A9E" w:rsidTr="006717BA">
        <w:trPr>
          <w:trHeight w:val="472"/>
          <w:tblCellSpacing w:w="0" w:type="dxa"/>
        </w:trPr>
        <w:tc>
          <w:tcPr>
            <w:tcW w:w="821" w:type="dxa"/>
            <w:gridSpan w:val="4"/>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2.</w:t>
            </w:r>
          </w:p>
        </w:tc>
        <w:tc>
          <w:tcPr>
            <w:tcW w:w="3426" w:type="dxa"/>
            <w:gridSpan w:val="3"/>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Pašreizējā situācija un problēmas</w:t>
            </w:r>
          </w:p>
        </w:tc>
        <w:tc>
          <w:tcPr>
            <w:tcW w:w="5124" w:type="dxa"/>
            <w:gridSpan w:val="4"/>
            <w:tcBorders>
              <w:top w:val="outset" w:sz="6" w:space="0" w:color="auto"/>
              <w:left w:val="outset" w:sz="6" w:space="0" w:color="auto"/>
              <w:bottom w:val="outset" w:sz="6" w:space="0" w:color="auto"/>
              <w:right w:val="outset" w:sz="6" w:space="0" w:color="auto"/>
            </w:tcBorders>
          </w:tcPr>
          <w:p w:rsidR="00525CE6" w:rsidRPr="00525CE6" w:rsidRDefault="00525CE6" w:rsidP="00525CE6">
            <w:pPr>
              <w:jc w:val="both"/>
            </w:pPr>
            <w:r w:rsidRPr="00525CE6">
              <w:t>Esošās situācijas izpētes gaitā dārzkopības un augļkopības nozarē ir identificētas divas galvenās problēmas:</w:t>
            </w:r>
          </w:p>
          <w:p w:rsidR="00525CE6" w:rsidRPr="00525CE6" w:rsidRDefault="00525CE6" w:rsidP="0062023A">
            <w:pPr>
              <w:pStyle w:val="ListParagraph"/>
              <w:numPr>
                <w:ilvl w:val="0"/>
                <w:numId w:val="24"/>
              </w:numPr>
              <w:ind w:left="266" w:hanging="218"/>
              <w:jc w:val="both"/>
            </w:pPr>
            <w:r w:rsidRPr="00525CE6">
              <w:t>augsts nelegālās nodarbinātības līmenis sezonas laukstrādnieku vidū;</w:t>
            </w:r>
          </w:p>
          <w:p w:rsidR="00525CE6" w:rsidRPr="00525CE6" w:rsidRDefault="00525CE6" w:rsidP="0062023A">
            <w:pPr>
              <w:pStyle w:val="ListParagraph"/>
              <w:numPr>
                <w:ilvl w:val="0"/>
                <w:numId w:val="24"/>
              </w:numPr>
              <w:ind w:left="266" w:hanging="218"/>
              <w:jc w:val="both"/>
            </w:pPr>
            <w:r w:rsidRPr="00525CE6">
              <w:t>augsts administratīvais slogs, kas saistīts ar šai nozarei raksturīgu nevienmērīgo sezonas darbinieku plūsmu.</w:t>
            </w:r>
          </w:p>
          <w:p w:rsidR="00525CE6" w:rsidRPr="00525CE6" w:rsidRDefault="000F2EE8" w:rsidP="00B158DF">
            <w:pPr>
              <w:jc w:val="both"/>
              <w:rPr>
                <w:i/>
                <w:u w:val="single"/>
              </w:rPr>
            </w:pPr>
            <w:r>
              <w:t>S</w:t>
            </w:r>
            <w:r w:rsidR="00525CE6" w:rsidRPr="00525CE6">
              <w:t xml:space="preserve">askaņā ar Valsts darba inspekcijas informāciju, nereģistrētā nodarbinātība ir raksturīga vairākās tautsaimniecības nozarēs, tostarp arī lauksaimniecībā. Lielākā daļa no lauksaimniecībā nodarbinātajiem ir tieši sezonas darbinieki. </w:t>
            </w:r>
          </w:p>
          <w:p w:rsidR="00525CE6" w:rsidRDefault="00525CE6" w:rsidP="00B158DF">
            <w:pPr>
              <w:pStyle w:val="NormalWeb"/>
              <w:spacing w:before="0" w:beforeAutospacing="0" w:after="0" w:afterAutospacing="0"/>
              <w:jc w:val="both"/>
            </w:pPr>
            <w:r>
              <w:t xml:space="preserve">Finanšu ministrija, apkopojot datus par augļu, ogu un dārzeņu audzēšanas nozarē sezonas darbos (sēja, stādīšana, stādījumu kopšana, ražas novākšana un šķirošana) nodarbinātajām personām, ir secinājusi, ka 2011.gadā, </w:t>
            </w:r>
            <w:r w:rsidR="00A551D5">
              <w:t xml:space="preserve">32 uzņēmumos </w:t>
            </w:r>
            <w:r>
              <w:t>legāli nodarbinot minētajos darbos 232 personas (t.i., dati par šīm personām ir iekļauti darba devēja ziņojumos par 2011.gadu), darbaspēka nodokļos (algas nodoklis, valsts sociālās apdrošināšanas obligātās iemaksas un uzņēmējdarbības riska valsts nodeva) ir aprēķināti aptuveni 86 430 lat</w:t>
            </w:r>
            <w:r w:rsidR="00212321">
              <w:t>i</w:t>
            </w:r>
            <w:r>
              <w:t>.</w:t>
            </w:r>
          </w:p>
          <w:p w:rsidR="00525CE6" w:rsidRDefault="00525CE6" w:rsidP="00B158DF">
            <w:pPr>
              <w:pStyle w:val="NormalWeb"/>
              <w:spacing w:before="0" w:beforeAutospacing="0" w:after="0" w:afterAutospacing="0"/>
              <w:jc w:val="both"/>
            </w:pPr>
            <w:r>
              <w:t>Līdz ar to var secināt, ka 2011.gadā legāli nodarbināts nesamērīgi mazs sezonas darbinieku skaits (attiecīgi maza ir samaksāto nodokļu summa)</w:t>
            </w:r>
            <w:r w:rsidR="000F2EE8">
              <w:t>.</w:t>
            </w:r>
            <w:r>
              <w:t xml:space="preserve"> </w:t>
            </w:r>
            <w:r w:rsidR="000F2EE8">
              <w:t>N</w:t>
            </w:r>
            <w:r>
              <w:t xml:space="preserve">ozarē dominē nelegālā nodarbinātība, kura nesamaksātu nodokļu veidā rada aptuveni </w:t>
            </w:r>
            <w:r w:rsidR="009B658C">
              <w:br/>
            </w:r>
            <w:r>
              <w:t>1</w:t>
            </w:r>
            <w:r w:rsidR="00006F71">
              <w:t> </w:t>
            </w:r>
            <w:r>
              <w:t>750 000 latu lielus zaudējumus valsts budžetam.</w:t>
            </w:r>
          </w:p>
          <w:p w:rsidR="00C13508" w:rsidRDefault="009B658C" w:rsidP="00525CE6">
            <w:pPr>
              <w:pStyle w:val="NormalWeb"/>
              <w:spacing w:before="0" w:beforeAutospacing="0" w:after="0" w:afterAutospacing="0"/>
              <w:jc w:val="both"/>
            </w:pPr>
            <w:r>
              <w:t>Otra</w:t>
            </w:r>
            <w:r w:rsidR="00525CE6">
              <w:t xml:space="preserve"> būtiska problēma au</w:t>
            </w:r>
            <w:r>
              <w:t>gļkopības un dārzkopības nozarē</w:t>
            </w:r>
            <w:r w:rsidR="00525CE6">
              <w:t xml:space="preserve">, ir augsts administratīvais slogs, kas saistīts ar šai nozarei raksturīgu specifisko nevienmērīgo darbinieku plūsmu. Piemēram, ražas novākšanas darbos neregulāri (dažkārt vienu vai divas dienas mēnesī) tiek nodarbināti samērā liels darbinieku skaits (tostarp skolēni, pensionāri, personas, kas ir reģistrētas kā bezdarbnieki). Atbilstoši normatīvajiem aktiem minētās personas dienā, kad tās ieradušās darbā, ir jāreģistrē VID, iesniedzot </w:t>
            </w:r>
            <w:r w:rsidR="00525CE6">
              <w:lastRenderedPageBreak/>
              <w:t>ziņas par darba ņēmējiem. Ņemot vērā intensīvo neregulāro darbinieku plūsmu, darba devējam sezonas laikā mēneša ietvaros gandrīz katru dienu ir jāiesniedz VID minētā informatīvā deklarācija.</w:t>
            </w:r>
          </w:p>
          <w:p w:rsidR="00525CE6" w:rsidRPr="006C5FC1" w:rsidRDefault="0062023A" w:rsidP="00525CE6">
            <w:pPr>
              <w:pStyle w:val="NormalWeb"/>
              <w:spacing w:before="0" w:beforeAutospacing="0" w:after="0" w:afterAutospacing="0"/>
              <w:jc w:val="both"/>
            </w:pPr>
            <w:r>
              <w:t>Kopumā</w:t>
            </w:r>
            <w:r w:rsidR="00525CE6" w:rsidRPr="00525CE6">
              <w:t xml:space="preserve"> var secināt, ka nereģistrētā nodarbinātība samazina valsts nodokļu ieņēmumus, veicina negodīgu konkurenci uzņēmējdarbības vidē un darba tirgū, kā arī nākotnē tā ietekmēs sociālo budžetu, jo nelegāli nodarbinātās personas neveic valsts sociālās apdrošināšanas obligātās iemaksas, bet šīm personām būs tiesības vismaz uz minimālo vecuma pensiju.</w:t>
            </w:r>
          </w:p>
        </w:tc>
      </w:tr>
      <w:tr w:rsidR="00DC36D0" w:rsidRPr="00353A9E" w:rsidTr="006717BA">
        <w:trPr>
          <w:trHeight w:val="547"/>
          <w:tblCellSpacing w:w="0" w:type="dxa"/>
        </w:trPr>
        <w:tc>
          <w:tcPr>
            <w:tcW w:w="821" w:type="dxa"/>
            <w:gridSpan w:val="4"/>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lastRenderedPageBreak/>
              <w:t> 3.</w:t>
            </w:r>
          </w:p>
        </w:tc>
        <w:tc>
          <w:tcPr>
            <w:tcW w:w="3426" w:type="dxa"/>
            <w:gridSpan w:val="3"/>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Saistītie politikas ietekmes novērtējumi un pētījumi</w:t>
            </w:r>
          </w:p>
        </w:tc>
        <w:tc>
          <w:tcPr>
            <w:tcW w:w="5124" w:type="dxa"/>
            <w:gridSpan w:val="4"/>
            <w:tcBorders>
              <w:top w:val="outset" w:sz="6" w:space="0" w:color="auto"/>
              <w:left w:val="outset" w:sz="6" w:space="0" w:color="auto"/>
              <w:bottom w:val="outset" w:sz="6" w:space="0" w:color="auto"/>
              <w:right w:val="outset" w:sz="6" w:space="0" w:color="auto"/>
            </w:tcBorders>
            <w:hideMark/>
          </w:tcPr>
          <w:p w:rsidR="00353A9E" w:rsidRPr="00353A9E" w:rsidRDefault="00C56720" w:rsidP="00791766">
            <w:r>
              <w:t>Nav attiecināms.</w:t>
            </w:r>
          </w:p>
        </w:tc>
      </w:tr>
      <w:tr w:rsidR="00DC36D0" w:rsidRPr="00353A9E" w:rsidTr="006717BA">
        <w:trPr>
          <w:trHeight w:val="384"/>
          <w:tblCellSpacing w:w="0" w:type="dxa"/>
        </w:trPr>
        <w:tc>
          <w:tcPr>
            <w:tcW w:w="821" w:type="dxa"/>
            <w:gridSpan w:val="4"/>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4.</w:t>
            </w:r>
          </w:p>
        </w:tc>
        <w:tc>
          <w:tcPr>
            <w:tcW w:w="3426" w:type="dxa"/>
            <w:gridSpan w:val="3"/>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Tiesiskā regulējuma mērķis un būtība</w:t>
            </w:r>
          </w:p>
        </w:tc>
        <w:tc>
          <w:tcPr>
            <w:tcW w:w="5124" w:type="dxa"/>
            <w:gridSpan w:val="4"/>
            <w:tcBorders>
              <w:top w:val="outset" w:sz="6" w:space="0" w:color="auto"/>
              <w:left w:val="outset" w:sz="6" w:space="0" w:color="auto"/>
              <w:bottom w:val="outset" w:sz="6" w:space="0" w:color="auto"/>
              <w:right w:val="outset" w:sz="6" w:space="0" w:color="auto"/>
            </w:tcBorders>
            <w:hideMark/>
          </w:tcPr>
          <w:p w:rsidR="00525CE6" w:rsidRPr="00FE72D5" w:rsidRDefault="000F2EE8" w:rsidP="00525CE6">
            <w:pPr>
              <w:jc w:val="both"/>
            </w:pPr>
            <w:r w:rsidRPr="000F2EE8">
              <w:t>Likumprojekt</w:t>
            </w:r>
            <w:r>
              <w:t>s</w:t>
            </w:r>
            <w:r w:rsidRPr="000F2EE8">
              <w:t xml:space="preserve"> „Grozījumi likumā “Par iedzīvotāju ienākuma nodokli””</w:t>
            </w:r>
            <w:r>
              <w:t xml:space="preserve"> paredz</w:t>
            </w:r>
            <w:r w:rsidR="00525CE6" w:rsidRPr="00FE72D5">
              <w:t>:</w:t>
            </w:r>
          </w:p>
          <w:p w:rsidR="00525CE6" w:rsidRDefault="00525CE6" w:rsidP="00AE5E95">
            <w:pPr>
              <w:pStyle w:val="ListParagraph"/>
              <w:numPr>
                <w:ilvl w:val="0"/>
                <w:numId w:val="38"/>
              </w:numPr>
              <w:ind w:left="0" w:firstLine="360"/>
              <w:jc w:val="both"/>
            </w:pPr>
            <w:r w:rsidRPr="00FE72D5">
              <w:t xml:space="preserve">Kā alternatīvu jau esošajiem darbaspēka nodokļiem ieviest sezonas laukstrādnieku ienākuma nodokli, nosakot 15% nodokļa likmi. Darba devējs, kura saimnieciskā darbība ir saistīta ar augļu, ogu un dārzeņu audzēšanu, sezonas laukstrādnieku ienākuma nodokli varēs piemērot  ienākumam, kuru izmaksās personai, kas </w:t>
            </w:r>
            <w:r w:rsidR="00AE5E95">
              <w:t xml:space="preserve">tieši </w:t>
            </w:r>
            <w:r w:rsidRPr="00FE72D5">
              <w:t>tiks nodarbināta a</w:t>
            </w:r>
            <w:r w:rsidR="000F2EE8">
              <w:t>ugļkoku, ogulāju un dārzeņu sējā</w:t>
            </w:r>
            <w:r w:rsidRPr="00FE72D5">
              <w:t xml:space="preserve"> un stādīšan</w:t>
            </w:r>
            <w:r w:rsidR="000F2EE8">
              <w:t xml:space="preserve">ā, </w:t>
            </w:r>
            <w:r w:rsidRPr="00FE72D5">
              <w:t>sējumu un stā</w:t>
            </w:r>
            <w:r w:rsidR="000F2EE8">
              <w:t xml:space="preserve">dījumu kopšanā, </w:t>
            </w:r>
            <w:r w:rsidRPr="00FE72D5">
              <w:t>ražas novākšan</w:t>
            </w:r>
            <w:r w:rsidR="000F2EE8">
              <w:t xml:space="preserve">ā, </w:t>
            </w:r>
            <w:r w:rsidRPr="00FE72D5">
              <w:t>augļu, ogu un dārzeņu šķirošan</w:t>
            </w:r>
            <w:r w:rsidR="000F2EE8">
              <w:t>ā</w:t>
            </w:r>
            <w:r w:rsidRPr="00FE72D5">
              <w:t>.</w:t>
            </w:r>
          </w:p>
          <w:p w:rsidR="00AE5E95" w:rsidRPr="00B158DF" w:rsidRDefault="00AE5E95" w:rsidP="00AE5E95">
            <w:pPr>
              <w:ind w:firstLine="360"/>
              <w:jc w:val="both"/>
              <w:rPr>
                <w:rFonts w:eastAsia="Calibri"/>
                <w:lang w:eastAsia="en-US"/>
              </w:rPr>
            </w:pPr>
            <w:r w:rsidRPr="00B158DF">
              <w:rPr>
                <w:rFonts w:eastAsia="Calibri"/>
                <w:lang w:eastAsia="en-US"/>
              </w:rPr>
              <w:t>Saskaņā ar Ceļu satiksmes likuma 1.panta 21.punktu traktortehnika ir pašgājējs transportlīdzeklis uz riteņiem vai kāpurķēdēm, kurš pārvietojas ar savu enerģiju, kuram ir vismaz divas asis, kura galvenā funkcija ir vilce, kurš ir īpaši izstrādāts, lai vilktu, stumtu, pārvietotu vai darbinātu konkrētas ierīces, mašīnas vai piekabes, un kura izmantošana cilvēku vai kravu pārvadāšanai pa ceļiem vai cilvēku vai kravu pārvadāšanai izmantojamu transportlīdzekļu vilkšanai pa ceļiem ir tikai sekundāra funkcija.</w:t>
            </w:r>
          </w:p>
          <w:p w:rsidR="00AE5E95" w:rsidRPr="00B158DF" w:rsidRDefault="00AE5E95" w:rsidP="00AE5E95">
            <w:pPr>
              <w:ind w:firstLine="360"/>
              <w:jc w:val="both"/>
            </w:pPr>
            <w:r w:rsidRPr="00B158DF">
              <w:rPr>
                <w:rFonts w:eastAsia="Calibri"/>
                <w:lang w:eastAsia="en-US"/>
              </w:rPr>
              <w:t>Tā kā augļkopības un dārzkopības nozarēs sezonas rakstura darbi tiek veikti, izmantojot gan tehniku, gan sezonas laukstrādnieku roku darbu, likumprojektā ir paredzēts par sezonas laukstrādnieka darbu lauksaimniecības nozarē neuzskatīt traktortehnikas vadīšanu, atbilstoši Ceļu satiksmes likuma 1.panta 21.punktam.</w:t>
            </w:r>
          </w:p>
          <w:p w:rsidR="00525CE6" w:rsidRPr="00FE72D5" w:rsidRDefault="007414A2" w:rsidP="00AE5E95">
            <w:pPr>
              <w:pStyle w:val="ListParagraph"/>
              <w:numPr>
                <w:ilvl w:val="0"/>
                <w:numId w:val="38"/>
              </w:numPr>
              <w:ind w:left="0" w:firstLine="360"/>
              <w:jc w:val="both"/>
            </w:pPr>
            <w:r w:rsidRPr="00FE72D5">
              <w:t>L</w:t>
            </w:r>
            <w:r w:rsidR="00525CE6" w:rsidRPr="00FE72D5">
              <w:t>ai segtu minimālās administratīvās izmaksas un vienkāršotu sezonas laukstrādnieku ienākuma nodokļa administrēšanu, kā arī ņemot vērā nozarei raksturīgo nevienmērīgo un īslaicīgo nodarbinātības specifiku, noteikt minimālo sezonas laukstrādnieku ienā</w:t>
            </w:r>
            <w:r w:rsidR="004E54C1">
              <w:t>kuma nodokļa maksājumu 0,50 latu</w:t>
            </w:r>
            <w:r w:rsidR="00525CE6" w:rsidRPr="00FE72D5">
              <w:t xml:space="preserve"> </w:t>
            </w:r>
            <w:r w:rsidR="00C0714E">
              <w:t>(</w:t>
            </w:r>
            <w:r w:rsidR="00C0714E" w:rsidRPr="004E54C1">
              <w:rPr>
                <w:b/>
              </w:rPr>
              <w:t>0,7</w:t>
            </w:r>
            <w:r w:rsidR="00A518A8" w:rsidRPr="004E54C1">
              <w:rPr>
                <w:b/>
              </w:rPr>
              <w:t>0</w:t>
            </w:r>
            <w:r w:rsidR="00C0714E">
              <w:t xml:space="preserve"> </w:t>
            </w:r>
            <w:proofErr w:type="spellStart"/>
            <w:r w:rsidR="00C0714E" w:rsidRPr="00C0714E">
              <w:rPr>
                <w:i/>
              </w:rPr>
              <w:t>euro</w:t>
            </w:r>
            <w:proofErr w:type="spellEnd"/>
            <w:r w:rsidR="00C0714E">
              <w:t xml:space="preserve">) </w:t>
            </w:r>
            <w:r w:rsidR="00525CE6" w:rsidRPr="00C0714E">
              <w:t>apmērā</w:t>
            </w:r>
            <w:r w:rsidR="00525CE6" w:rsidRPr="00FE72D5">
              <w:t xml:space="preserve"> par katru nostrādāto dienu, </w:t>
            </w:r>
            <w:r w:rsidR="00525CE6" w:rsidRPr="00FE72D5">
              <w:lastRenderedPageBreak/>
              <w:t>ja aprēķinātais sezonas laukstrādnieku ienākuma nodoklis no dienā nopelnītās summas ir mazāks par šo minimālo maksājumu.</w:t>
            </w:r>
          </w:p>
          <w:p w:rsidR="00525CE6" w:rsidRPr="00FE72D5" w:rsidRDefault="00525CE6" w:rsidP="00AE5E95">
            <w:pPr>
              <w:pStyle w:val="ListParagraph"/>
              <w:numPr>
                <w:ilvl w:val="0"/>
                <w:numId w:val="38"/>
              </w:numPr>
              <w:ind w:left="0" w:firstLine="0"/>
              <w:jc w:val="both"/>
            </w:pPr>
            <w:r w:rsidRPr="00FE72D5">
              <w:t>Ieviest šādu sezonas laukstrādnieku ienākuma nodokļa sadalījumu:</w:t>
            </w:r>
          </w:p>
          <w:p w:rsidR="00525CE6" w:rsidRPr="00FE72D5" w:rsidRDefault="000F2EE8" w:rsidP="000F2EE8">
            <w:pPr>
              <w:pStyle w:val="ListParagraph"/>
              <w:numPr>
                <w:ilvl w:val="1"/>
                <w:numId w:val="33"/>
              </w:numPr>
              <w:ind w:left="0" w:firstLine="0"/>
              <w:jc w:val="both"/>
            </w:pPr>
            <w:r>
              <w:t xml:space="preserve"> </w:t>
            </w:r>
            <w:r w:rsidR="00525CE6" w:rsidRPr="00FE72D5">
              <w:t xml:space="preserve">ja sezonas darbos nodarbinātā ienākumi, kas kārtējā mēnesī gūti visos nozares uzņēmumos kopā, </w:t>
            </w:r>
            <w:r w:rsidR="0062023A">
              <w:t>nepārsniedz</w:t>
            </w:r>
            <w:r w:rsidR="00525CE6" w:rsidRPr="00FE72D5">
              <w:t xml:space="preserve"> 50 lat</w:t>
            </w:r>
            <w:r w:rsidR="0062023A">
              <w:t>us</w:t>
            </w:r>
            <w:r w:rsidR="00C0714E">
              <w:t xml:space="preserve"> (</w:t>
            </w:r>
            <w:r w:rsidR="00C0714E" w:rsidRPr="004E54C1">
              <w:rPr>
                <w:b/>
              </w:rPr>
              <w:t>7</w:t>
            </w:r>
            <w:r w:rsidR="00A518A8" w:rsidRPr="004E54C1">
              <w:rPr>
                <w:b/>
              </w:rPr>
              <w:t>0</w:t>
            </w:r>
            <w:r w:rsidR="00C0714E">
              <w:t xml:space="preserve"> </w:t>
            </w:r>
            <w:proofErr w:type="spellStart"/>
            <w:r w:rsidR="00C0714E" w:rsidRPr="00C0714E">
              <w:rPr>
                <w:i/>
              </w:rPr>
              <w:t>euro</w:t>
            </w:r>
            <w:proofErr w:type="spellEnd"/>
            <w:r w:rsidR="00C0714E">
              <w:t>)</w:t>
            </w:r>
            <w:r w:rsidR="00525CE6" w:rsidRPr="00FE72D5">
              <w:t>, nodoklis tiek ieskaitīts iedzīvotāju ienākuma nodokļa sadales kontā;</w:t>
            </w:r>
          </w:p>
          <w:p w:rsidR="00525CE6" w:rsidRPr="00FE72D5" w:rsidRDefault="00525CE6" w:rsidP="000F2EE8">
            <w:pPr>
              <w:pStyle w:val="ListParagraph"/>
              <w:numPr>
                <w:ilvl w:val="1"/>
                <w:numId w:val="33"/>
              </w:numPr>
              <w:ind w:left="0" w:firstLine="0"/>
              <w:jc w:val="both"/>
            </w:pPr>
            <w:r w:rsidRPr="00FE72D5">
              <w:t>ja sezona darbos nodarbinātā ienākumu kopsumma mēnesī pārsniedz 50 latus</w:t>
            </w:r>
            <w:r w:rsidR="00C0714E">
              <w:t xml:space="preserve"> (</w:t>
            </w:r>
            <w:r w:rsidR="00C0714E" w:rsidRPr="004E54C1">
              <w:rPr>
                <w:b/>
              </w:rPr>
              <w:t>7</w:t>
            </w:r>
            <w:r w:rsidR="00A518A8" w:rsidRPr="004E54C1">
              <w:rPr>
                <w:b/>
              </w:rPr>
              <w:t>0</w:t>
            </w:r>
            <w:r w:rsidR="00C0714E">
              <w:t xml:space="preserve"> </w:t>
            </w:r>
            <w:proofErr w:type="spellStart"/>
            <w:r w:rsidR="00C0714E" w:rsidRPr="00C0714E">
              <w:rPr>
                <w:i/>
              </w:rPr>
              <w:t>euro</w:t>
            </w:r>
            <w:proofErr w:type="spellEnd"/>
            <w:r w:rsidR="00C0714E">
              <w:t>)</w:t>
            </w:r>
            <w:r w:rsidRPr="00FE72D5">
              <w:t>, nodoklis no saņemtās atlīdzības tiek sadalīts un ieskaitīts budžetā šādā proporcijā:</w:t>
            </w:r>
          </w:p>
          <w:p w:rsidR="00525CE6" w:rsidRPr="00FE72D5" w:rsidRDefault="00525CE6" w:rsidP="009B658C">
            <w:pPr>
              <w:numPr>
                <w:ilvl w:val="0"/>
                <w:numId w:val="27"/>
              </w:numPr>
              <w:ind w:left="0" w:firstLine="125"/>
              <w:jc w:val="both"/>
            </w:pPr>
            <w:r w:rsidRPr="00FE72D5">
              <w:t>90% - valsts sociālās apdrošināšanas obligāto iemaksu kontā;</w:t>
            </w:r>
          </w:p>
          <w:p w:rsidR="00525CE6" w:rsidRPr="00FE72D5" w:rsidRDefault="00525CE6" w:rsidP="009B658C">
            <w:pPr>
              <w:numPr>
                <w:ilvl w:val="0"/>
                <w:numId w:val="27"/>
              </w:numPr>
              <w:ind w:left="0" w:firstLine="125"/>
              <w:jc w:val="both"/>
            </w:pPr>
            <w:r w:rsidRPr="00FE72D5">
              <w:t>10% - iedzīvotāju ienākuma nodokļa sadales kontā.</w:t>
            </w:r>
          </w:p>
          <w:p w:rsidR="009B658C" w:rsidRPr="00B158DF" w:rsidRDefault="007E1A39" w:rsidP="000F2EE8">
            <w:pPr>
              <w:numPr>
                <w:ilvl w:val="0"/>
                <w:numId w:val="33"/>
              </w:numPr>
              <w:ind w:left="0" w:firstLine="125"/>
              <w:jc w:val="both"/>
            </w:pPr>
            <w:r w:rsidRPr="00B158DF">
              <w:t>L</w:t>
            </w:r>
            <w:r w:rsidR="009B658C" w:rsidRPr="00B158DF">
              <w:t xml:space="preserve">auku atbalsta dienests izveido </w:t>
            </w:r>
            <w:r w:rsidR="007364E6" w:rsidRPr="00B158DF">
              <w:t>informācijas sistēmu</w:t>
            </w:r>
            <w:r w:rsidR="009B658C" w:rsidRPr="00B158DF">
              <w:t xml:space="preserve">, kurā tiek reģistrēti komersanti, kas </w:t>
            </w:r>
            <w:r w:rsidRPr="00B158DF">
              <w:t xml:space="preserve">īslaicīgi </w:t>
            </w:r>
            <w:r w:rsidR="009B658C" w:rsidRPr="00B158DF">
              <w:t xml:space="preserve">izmanto </w:t>
            </w:r>
            <w:r w:rsidRPr="00B158DF">
              <w:t xml:space="preserve">sezonālo darba spēku, un </w:t>
            </w:r>
            <w:r w:rsidR="009B658C" w:rsidRPr="00B158DF">
              <w:t>sezonas darbos nodarbināt</w:t>
            </w:r>
            <w:r w:rsidRPr="00B158DF">
              <w:t xml:space="preserve">ās personas, </w:t>
            </w:r>
            <w:r w:rsidR="000F2EE8" w:rsidRPr="00B158DF">
              <w:t>sezonas laukstrādnieku nostrādātās</w:t>
            </w:r>
            <w:r w:rsidRPr="00B158DF">
              <w:t xml:space="preserve"> dienas, </w:t>
            </w:r>
            <w:r w:rsidR="00991A43" w:rsidRPr="00B158DF">
              <w:t xml:space="preserve">nodarbinātības līguma forma, </w:t>
            </w:r>
            <w:r w:rsidRPr="00B158DF">
              <w:t>ienākum</w:t>
            </w:r>
            <w:r w:rsidR="000F2EE8" w:rsidRPr="00B158DF">
              <w:t xml:space="preserve">s, aprēķinātais </w:t>
            </w:r>
            <w:r w:rsidRPr="00B158DF">
              <w:t>sezonas laukstrādnieku ienākuma nodokli</w:t>
            </w:r>
            <w:r w:rsidR="000F2EE8" w:rsidRPr="00B158DF">
              <w:t>s</w:t>
            </w:r>
            <w:r w:rsidRPr="00B158DF">
              <w:t xml:space="preserve"> un tā sadalījum</w:t>
            </w:r>
            <w:r w:rsidR="006F6DA3" w:rsidRPr="00B158DF">
              <w:t>s</w:t>
            </w:r>
            <w:r w:rsidRPr="00B158DF">
              <w:t xml:space="preserve"> pa budžetiem.</w:t>
            </w:r>
            <w:r w:rsidR="009B658C" w:rsidRPr="00B158DF">
              <w:t xml:space="preserve"> </w:t>
            </w:r>
          </w:p>
          <w:p w:rsidR="00525CE6" w:rsidRPr="00B158DF" w:rsidRDefault="00525CE6" w:rsidP="000F2EE8">
            <w:pPr>
              <w:numPr>
                <w:ilvl w:val="0"/>
                <w:numId w:val="33"/>
              </w:numPr>
              <w:ind w:left="0" w:firstLine="125"/>
              <w:jc w:val="both"/>
            </w:pPr>
            <w:r w:rsidRPr="00B158DF">
              <w:t>Nozares uzņēmums reizi mēnesī iesnie</w:t>
            </w:r>
            <w:r w:rsidR="008212E4" w:rsidRPr="00B158DF">
              <w:t>dz</w:t>
            </w:r>
            <w:r w:rsidRPr="00B158DF">
              <w:t xml:space="preserve"> V</w:t>
            </w:r>
            <w:r w:rsidR="008212E4" w:rsidRPr="00B158DF">
              <w:t>alsts ieņēmumu dienestā</w:t>
            </w:r>
            <w:r w:rsidRPr="00B158DF">
              <w:t xml:space="preserve"> darba devēja ziņojumu par pārskata mēnesī sezonas darbos nodarbinātajām personām, šo personu ienākumu un aprēķināto sezonas laukstrādnieku ienākuma nodokli un tā sadalījumu pa budžetiem</w:t>
            </w:r>
            <w:r w:rsidR="009B658C" w:rsidRPr="00B158DF">
              <w:t xml:space="preserve">, </w:t>
            </w:r>
            <w:r w:rsidR="008212E4" w:rsidRPr="00B158DF">
              <w:t>apstiprinot</w:t>
            </w:r>
            <w:r w:rsidR="009B658C" w:rsidRPr="00B158DF">
              <w:t xml:space="preserve"> Lauku atbalsta dienesta </w:t>
            </w:r>
            <w:r w:rsidR="007364E6" w:rsidRPr="00B158DF">
              <w:t>informācijas sistēmā</w:t>
            </w:r>
            <w:r w:rsidR="009B658C" w:rsidRPr="00B158DF">
              <w:t xml:space="preserve"> apkopoto informāciju</w:t>
            </w:r>
            <w:r w:rsidRPr="00B158DF">
              <w:t xml:space="preserve">. </w:t>
            </w:r>
          </w:p>
          <w:p w:rsidR="00A551D5" w:rsidRDefault="004E54C1" w:rsidP="004E54C1">
            <w:pPr>
              <w:jc w:val="both"/>
            </w:pPr>
            <w:r w:rsidRPr="00B158DF">
              <w:t xml:space="preserve">Atbilstoši Ministru kabineta sēdes </w:t>
            </w:r>
            <w:proofErr w:type="spellStart"/>
            <w:r w:rsidRPr="00B158DF">
              <w:t>protokollēmuma</w:t>
            </w:r>
            <w:proofErr w:type="spellEnd"/>
            <w:r w:rsidRPr="00B158DF">
              <w:t xml:space="preserve"> 5.punktam,</w:t>
            </w:r>
            <w:r>
              <w:t xml:space="preserve"> l</w:t>
            </w:r>
            <w:r w:rsidR="00525CE6" w:rsidRPr="00FE72D5">
              <w:t xml:space="preserve">īdz 2018.gada 1.februārim </w:t>
            </w:r>
            <w:r w:rsidR="00A551D5">
              <w:t>Finanšu ministrija</w:t>
            </w:r>
            <w:r>
              <w:t>i</w:t>
            </w:r>
            <w:r w:rsidR="00A551D5">
              <w:t xml:space="preserve"> sadarbībā ar Labklājības ministriju un Zemkopības ministriju </w:t>
            </w:r>
            <w:r>
              <w:t>jā</w:t>
            </w:r>
            <w:r w:rsidR="00A551D5">
              <w:t xml:space="preserve">izvērtē sezonas laukstrādnieku ienākuma nodokļa ieviešanas gaitu un rezultātus un </w:t>
            </w:r>
            <w:r>
              <w:t>jā</w:t>
            </w:r>
            <w:r w:rsidR="00A551D5">
              <w:t xml:space="preserve">iesniedz Ministru kabinetā ziņojumu par to. Sezonas laukstrādnieku ienākuma nodokļa ieviešanas rezultātus </w:t>
            </w:r>
            <w:r>
              <w:t>jā</w:t>
            </w:r>
            <w:r w:rsidR="00A551D5">
              <w:t>izvērtē periodā līdz 2017.gadam, ievērojot šādus kritērijus:</w:t>
            </w:r>
          </w:p>
          <w:p w:rsidR="00A551D5" w:rsidRPr="00B158DF" w:rsidRDefault="00A551D5" w:rsidP="00A551D5">
            <w:pPr>
              <w:numPr>
                <w:ilvl w:val="0"/>
                <w:numId w:val="34"/>
              </w:numPr>
              <w:jc w:val="both"/>
            </w:pPr>
            <w:r>
              <w:t xml:space="preserve">sezonas laukstrādnieku ienākuma nodokļa ieņēmumi budžetā trīs gadu laikā ir sasnieguši vismaz 260 000 latu </w:t>
            </w:r>
            <w:r w:rsidR="00C0714E" w:rsidRPr="00B158DF">
              <w:t>(</w:t>
            </w:r>
            <w:r w:rsidR="00A518A8" w:rsidRPr="00B158DF">
              <w:t>370 000</w:t>
            </w:r>
            <w:r w:rsidR="00C0714E" w:rsidRPr="00B158DF">
              <w:t xml:space="preserve"> </w:t>
            </w:r>
            <w:proofErr w:type="spellStart"/>
            <w:r w:rsidR="00C0714E" w:rsidRPr="00B158DF">
              <w:rPr>
                <w:i/>
              </w:rPr>
              <w:t>euro</w:t>
            </w:r>
            <w:proofErr w:type="spellEnd"/>
            <w:r w:rsidR="00C0714E" w:rsidRPr="00B158DF">
              <w:t>)</w:t>
            </w:r>
            <w:r w:rsidRPr="00B158DF">
              <w:t>;</w:t>
            </w:r>
          </w:p>
          <w:p w:rsidR="00A551D5" w:rsidRDefault="00A551D5" w:rsidP="00A551D5">
            <w:pPr>
              <w:numPr>
                <w:ilvl w:val="0"/>
                <w:numId w:val="34"/>
              </w:numPr>
              <w:jc w:val="both"/>
            </w:pPr>
            <w:r>
              <w:t xml:space="preserve">sezonas laukstrādnieku ienākuma nodokļa maksātāju skaits triju gadu laikā ir sasniedzis </w:t>
            </w:r>
            <w:r>
              <w:br/>
              <w:t xml:space="preserve">7 700 </w:t>
            </w:r>
            <w:r w:rsidRPr="00FE72D5">
              <w:t>(legāli nodarbinot šādu darbinieku skaitu ir iespējams sasniegt 1.kritēriju par budžeta ieņēmumiem (7 700 (darbinieki) x 25 (vidējais nostrādāto dienu skaits) x 9 (vidējā samaksa dienā) x 15% (nodoklis) = 259 875 lati))</w:t>
            </w:r>
            <w:r>
              <w:t>;</w:t>
            </w:r>
          </w:p>
          <w:p w:rsidR="00A551D5" w:rsidRDefault="00A551D5" w:rsidP="00A551D5">
            <w:pPr>
              <w:numPr>
                <w:ilvl w:val="0"/>
                <w:numId w:val="34"/>
              </w:numPr>
              <w:jc w:val="both"/>
            </w:pPr>
            <w:r>
              <w:lastRenderedPageBreak/>
              <w:t>netiek konstatēta algotā darbā gūtā ienākuma transformācija par sezonas laukstrādnieku ienākumu;</w:t>
            </w:r>
          </w:p>
          <w:p w:rsidR="00A551D5" w:rsidRDefault="00A551D5" w:rsidP="00A551D5">
            <w:pPr>
              <w:numPr>
                <w:ilvl w:val="0"/>
                <w:numId w:val="34"/>
              </w:numPr>
              <w:jc w:val="both"/>
            </w:pPr>
            <w:r>
              <w:t>ir pieaudzis sezonas laukstrādnieku ienākuma izmaksātāju skaits;</w:t>
            </w:r>
          </w:p>
          <w:p w:rsidR="00A551D5" w:rsidRDefault="00A551D5" w:rsidP="00A551D5">
            <w:pPr>
              <w:numPr>
                <w:ilvl w:val="0"/>
                <w:numId w:val="34"/>
              </w:numPr>
              <w:jc w:val="both"/>
            </w:pPr>
            <w:r>
              <w:t>ir pieaudzis sezonas laukstrādnieku ienākuma nodokļa maksātāju skaits, kuri kļuvuši par sociāli apdrošinātām personām (likuma „Par valsts sociālo apdrošināšanu” izpratnē);</w:t>
            </w:r>
          </w:p>
          <w:p w:rsidR="00A551D5" w:rsidRDefault="00A551D5" w:rsidP="00A551D5">
            <w:pPr>
              <w:numPr>
                <w:ilvl w:val="0"/>
                <w:numId w:val="34"/>
              </w:numPr>
              <w:jc w:val="both"/>
            </w:pPr>
            <w:r>
              <w:t>ir pieaudzis sezonas laukstrādnieku ienākums, no kura tiek veiktas valsts sociālās apdrošināšanas obligātās iemaksas vecuma pensijai;</w:t>
            </w:r>
          </w:p>
          <w:p w:rsidR="00A551D5" w:rsidRDefault="00A551D5" w:rsidP="00A551D5">
            <w:pPr>
              <w:numPr>
                <w:ilvl w:val="0"/>
                <w:numId w:val="34"/>
              </w:numPr>
              <w:jc w:val="both"/>
            </w:pPr>
            <w:r>
              <w:t>ir pieaudzis sezonas laukstrādnieku ienākuma nodokļa maksātāju skaits, kuri brīvprātīgi pievienojušies vecuma pensijas apdrošināšanai;</w:t>
            </w:r>
          </w:p>
          <w:p w:rsidR="00A551D5" w:rsidRDefault="00A551D5" w:rsidP="00A551D5">
            <w:pPr>
              <w:numPr>
                <w:ilvl w:val="0"/>
                <w:numId w:val="34"/>
              </w:numPr>
              <w:jc w:val="both"/>
            </w:pPr>
            <w:r>
              <w:t>ir pieaudzis aprēķināto vecuma pensiju apmērs.</w:t>
            </w:r>
          </w:p>
          <w:p w:rsidR="00525CE6" w:rsidRPr="00FE72D5" w:rsidRDefault="008212E4" w:rsidP="007E1A39">
            <w:pPr>
              <w:ind w:firstLine="125"/>
              <w:jc w:val="both"/>
            </w:pPr>
            <w:r>
              <w:t>J</w:t>
            </w:r>
            <w:r w:rsidR="00525CE6" w:rsidRPr="00FE72D5">
              <w:t xml:space="preserve">a minētie kritēriji būs sasniegti un būs vērojama pozitīva attīstības tendence, kas liecinās par nereģistrētās nodarbinātības mazināšanos augļkopības un dārzkopības nozarē un budžeta ieņēmumu pieaugumu, sezonas laukstrādnieku ienākuma nodokļa režīma efektivitāte tiks atkārtoti vērtēta vēl pēc trīs gadiem, paredzot, ka otrajā vērtēšanas periodā legāli nodarbināto sezonas laukstrādnieku skaits un nodokļu ieņēmumi pieaugs trīskārši, salīdzinājumā ar pirmo vērtēšanas periodu. Atkārtotās sezonas laukstrādnieku ienākuma nodokļa režīma efektivitātes izvērtēšanas termiņš – 2021.gada 1.februāris. </w:t>
            </w:r>
          </w:p>
          <w:p w:rsidR="005378A9" w:rsidRPr="00AE5E95" w:rsidRDefault="00525CE6" w:rsidP="00AE5E95">
            <w:pPr>
              <w:ind w:firstLine="125"/>
              <w:jc w:val="both"/>
            </w:pPr>
            <w:r w:rsidRPr="00FE72D5">
              <w:t xml:space="preserve">Ja ziņojumā, kas tiks sagatavots līdz 2018.gada 1.februārim, apkopotie dati liecinās par to, ka sezonas laukstrādnieku ienākuma nodokļa režīma efektivitātes izvērtēšanai izvirzītie kritēriji nav sasniegti, tiks lemts par grozījumiem likumā „Par iedzīvotāju ienākuma nodokli” saistībā ar sezonas laukstrādnieku ienākuma nodokļa režīma regulējošās normas izslēgšanu. </w:t>
            </w:r>
            <w:r w:rsidR="006E50D1" w:rsidRPr="006E50D1">
              <w:rPr>
                <w:rFonts w:eastAsia="Calibri"/>
                <w:lang w:eastAsia="en-US"/>
              </w:rPr>
              <w:t xml:space="preserve"> </w:t>
            </w:r>
          </w:p>
        </w:tc>
      </w:tr>
      <w:tr w:rsidR="00DC36D0" w:rsidRPr="00353A9E" w:rsidTr="006717BA">
        <w:trPr>
          <w:trHeight w:val="208"/>
          <w:tblCellSpacing w:w="0" w:type="dxa"/>
        </w:trPr>
        <w:tc>
          <w:tcPr>
            <w:tcW w:w="821" w:type="dxa"/>
            <w:gridSpan w:val="4"/>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lastRenderedPageBreak/>
              <w:t> 5.</w:t>
            </w:r>
          </w:p>
        </w:tc>
        <w:tc>
          <w:tcPr>
            <w:tcW w:w="3426" w:type="dxa"/>
            <w:gridSpan w:val="3"/>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Projekta izstrādē iesaistītās institūcijas</w:t>
            </w:r>
          </w:p>
        </w:tc>
        <w:tc>
          <w:tcPr>
            <w:tcW w:w="5124" w:type="dxa"/>
            <w:gridSpan w:val="4"/>
            <w:tcBorders>
              <w:top w:val="outset" w:sz="6" w:space="0" w:color="auto"/>
              <w:left w:val="outset" w:sz="6" w:space="0" w:color="auto"/>
              <w:bottom w:val="outset" w:sz="6" w:space="0" w:color="auto"/>
              <w:right w:val="outset" w:sz="6" w:space="0" w:color="auto"/>
            </w:tcBorders>
            <w:hideMark/>
          </w:tcPr>
          <w:p w:rsidR="00353A9E" w:rsidRPr="00FE72D5" w:rsidRDefault="00525CE6" w:rsidP="002A4367">
            <w:pPr>
              <w:jc w:val="both"/>
            </w:pPr>
            <w:r w:rsidRPr="00FE72D5">
              <w:t>Labklājības ministrij</w:t>
            </w:r>
            <w:r w:rsidR="007414A2" w:rsidRPr="00FE72D5">
              <w:t>a</w:t>
            </w:r>
            <w:r w:rsidRPr="00FE72D5">
              <w:t>, Zemkopības ministrij</w:t>
            </w:r>
            <w:r w:rsidR="007414A2" w:rsidRPr="00FE72D5">
              <w:t>a</w:t>
            </w:r>
            <w:r w:rsidRPr="00FE72D5">
              <w:t>, Lauku atbalsta dienests, Valsts ieņēmumu dienests, Valsts darba inspekcija</w:t>
            </w:r>
            <w:r w:rsidR="002A4367">
              <w:t xml:space="preserve"> un</w:t>
            </w:r>
            <w:r w:rsidRPr="00FE72D5">
              <w:t xml:space="preserve"> Valsts sociālās apdrošināšanas aģentūr</w:t>
            </w:r>
            <w:r w:rsidR="008212E4">
              <w:t>a</w:t>
            </w:r>
            <w:r w:rsidR="002A4367">
              <w:t>.</w:t>
            </w:r>
            <w:r w:rsidR="007414A2" w:rsidRPr="00FE72D5">
              <w:t>.</w:t>
            </w:r>
            <w:r w:rsidRPr="00FE72D5">
              <w:t xml:space="preserve"> </w:t>
            </w:r>
          </w:p>
        </w:tc>
      </w:tr>
      <w:tr w:rsidR="00DC36D0" w:rsidRPr="00353A9E" w:rsidTr="006717BA">
        <w:trPr>
          <w:trHeight w:val="504"/>
          <w:tblCellSpacing w:w="0" w:type="dxa"/>
        </w:trPr>
        <w:tc>
          <w:tcPr>
            <w:tcW w:w="821" w:type="dxa"/>
            <w:gridSpan w:val="4"/>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6.</w:t>
            </w:r>
          </w:p>
        </w:tc>
        <w:tc>
          <w:tcPr>
            <w:tcW w:w="3426" w:type="dxa"/>
            <w:gridSpan w:val="3"/>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Iemesli, kādēļ netika nodrošināta sabiedrības līdzdalība</w:t>
            </w:r>
          </w:p>
        </w:tc>
        <w:tc>
          <w:tcPr>
            <w:tcW w:w="5124" w:type="dxa"/>
            <w:gridSpan w:val="4"/>
            <w:tcBorders>
              <w:top w:val="outset" w:sz="6" w:space="0" w:color="auto"/>
              <w:left w:val="outset" w:sz="6" w:space="0" w:color="auto"/>
              <w:bottom w:val="outset" w:sz="6" w:space="0" w:color="auto"/>
              <w:right w:val="outset" w:sz="6" w:space="0" w:color="auto"/>
            </w:tcBorders>
            <w:hideMark/>
          </w:tcPr>
          <w:p w:rsidR="00353A9E" w:rsidRPr="00353A9E" w:rsidRDefault="0027668D" w:rsidP="00993B99">
            <w:r>
              <w:t>Nav</w:t>
            </w:r>
            <w:r w:rsidR="00203F38">
              <w:t xml:space="preserve"> attiecināms.</w:t>
            </w:r>
          </w:p>
        </w:tc>
      </w:tr>
      <w:tr w:rsidR="00DC36D0" w:rsidRPr="00353A9E" w:rsidTr="006717BA">
        <w:trPr>
          <w:tblCellSpacing w:w="0" w:type="dxa"/>
        </w:trPr>
        <w:tc>
          <w:tcPr>
            <w:tcW w:w="821" w:type="dxa"/>
            <w:gridSpan w:val="4"/>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7.</w:t>
            </w:r>
          </w:p>
        </w:tc>
        <w:tc>
          <w:tcPr>
            <w:tcW w:w="3426" w:type="dxa"/>
            <w:gridSpan w:val="3"/>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Cita informācija</w:t>
            </w:r>
          </w:p>
        </w:tc>
        <w:tc>
          <w:tcPr>
            <w:tcW w:w="5124" w:type="dxa"/>
            <w:gridSpan w:val="4"/>
            <w:tcBorders>
              <w:top w:val="outset" w:sz="6" w:space="0" w:color="auto"/>
              <w:left w:val="outset" w:sz="6" w:space="0" w:color="auto"/>
              <w:bottom w:val="outset" w:sz="6" w:space="0" w:color="auto"/>
              <w:right w:val="outset" w:sz="6" w:space="0" w:color="auto"/>
            </w:tcBorders>
            <w:hideMark/>
          </w:tcPr>
          <w:p w:rsidR="00353A9E" w:rsidRPr="00353A9E" w:rsidRDefault="00ED6FCA" w:rsidP="00E07FB5">
            <w:r>
              <w:t>Nav.</w:t>
            </w:r>
          </w:p>
        </w:tc>
      </w:tr>
      <w:tr w:rsidR="00C322B4" w:rsidRPr="00353A9E" w:rsidTr="006717BA">
        <w:trPr>
          <w:tblCellSpacing w:w="0" w:type="dxa"/>
        </w:trPr>
        <w:tc>
          <w:tcPr>
            <w:tcW w:w="9371" w:type="dxa"/>
            <w:gridSpan w:val="11"/>
            <w:tcBorders>
              <w:top w:val="outset" w:sz="6" w:space="0" w:color="auto"/>
              <w:left w:val="outset" w:sz="6" w:space="0" w:color="auto"/>
              <w:bottom w:val="outset" w:sz="6" w:space="0" w:color="auto"/>
              <w:right w:val="outset" w:sz="6" w:space="0" w:color="auto"/>
            </w:tcBorders>
            <w:vAlign w:val="center"/>
            <w:hideMark/>
          </w:tcPr>
          <w:p w:rsidR="00353A9E" w:rsidRPr="008621E2" w:rsidRDefault="00353A9E" w:rsidP="004551E2">
            <w:pPr>
              <w:jc w:val="center"/>
              <w:rPr>
                <w:b/>
              </w:rPr>
            </w:pPr>
            <w:r w:rsidRPr="008621E2">
              <w:rPr>
                <w:b/>
              </w:rPr>
              <w:t>II. Tiesību akta projekta ietekme uz sabiedrību</w:t>
            </w:r>
          </w:p>
        </w:tc>
      </w:tr>
      <w:tr w:rsidR="00DC36D0" w:rsidRPr="00353A9E" w:rsidTr="006717BA">
        <w:trPr>
          <w:trHeight w:val="467"/>
          <w:tblCellSpacing w:w="0" w:type="dxa"/>
        </w:trPr>
        <w:tc>
          <w:tcPr>
            <w:tcW w:w="808" w:type="dxa"/>
            <w:gridSpan w:val="3"/>
            <w:tcBorders>
              <w:top w:val="outset" w:sz="6" w:space="0" w:color="auto"/>
              <w:left w:val="outset" w:sz="6" w:space="0" w:color="auto"/>
              <w:bottom w:val="outset" w:sz="6" w:space="0" w:color="auto"/>
              <w:right w:val="outset" w:sz="6" w:space="0" w:color="auto"/>
            </w:tcBorders>
            <w:hideMark/>
          </w:tcPr>
          <w:p w:rsidR="00F81D29" w:rsidRDefault="00353A9E" w:rsidP="00791766">
            <w:r w:rsidRPr="00353A9E">
              <w:t> </w:t>
            </w:r>
          </w:p>
          <w:p w:rsidR="00353A9E" w:rsidRPr="00353A9E" w:rsidRDefault="00353A9E" w:rsidP="00791766">
            <w:r w:rsidRPr="00353A9E">
              <w:t>1.</w:t>
            </w:r>
          </w:p>
        </w:tc>
        <w:tc>
          <w:tcPr>
            <w:tcW w:w="3510" w:type="dxa"/>
            <w:gridSpan w:val="5"/>
            <w:tcBorders>
              <w:top w:val="outset" w:sz="6" w:space="0" w:color="auto"/>
              <w:left w:val="outset" w:sz="6" w:space="0" w:color="auto"/>
              <w:bottom w:val="outset" w:sz="6" w:space="0" w:color="auto"/>
              <w:right w:val="outset" w:sz="6" w:space="0" w:color="auto"/>
            </w:tcBorders>
            <w:hideMark/>
          </w:tcPr>
          <w:p w:rsidR="00F81D29" w:rsidRDefault="00353A9E" w:rsidP="00791766">
            <w:r w:rsidRPr="00353A9E">
              <w:t> </w:t>
            </w:r>
          </w:p>
          <w:p w:rsidR="00353A9E" w:rsidRPr="00353A9E" w:rsidRDefault="00353A9E" w:rsidP="00791766">
            <w:r w:rsidRPr="00353A9E">
              <w:t xml:space="preserve">Sabiedrības </w:t>
            </w:r>
            <w:proofErr w:type="spellStart"/>
            <w:r w:rsidRPr="00353A9E">
              <w:t>mērķgrupa</w:t>
            </w:r>
            <w:proofErr w:type="spellEnd"/>
          </w:p>
        </w:tc>
        <w:tc>
          <w:tcPr>
            <w:tcW w:w="5053" w:type="dxa"/>
            <w:gridSpan w:val="3"/>
            <w:tcBorders>
              <w:top w:val="outset" w:sz="6" w:space="0" w:color="auto"/>
              <w:left w:val="outset" w:sz="6" w:space="0" w:color="auto"/>
              <w:bottom w:val="outset" w:sz="6" w:space="0" w:color="auto"/>
              <w:right w:val="outset" w:sz="6" w:space="0" w:color="auto"/>
            </w:tcBorders>
            <w:hideMark/>
          </w:tcPr>
          <w:p w:rsidR="00BD77A2" w:rsidRPr="00353A9E" w:rsidRDefault="007414A2" w:rsidP="008F4959">
            <w:pPr>
              <w:jc w:val="both"/>
            </w:pPr>
            <w:r>
              <w:t>Īslaicīgajos sezonālajos darbos nodarbinātās personas, komersanti, kas nodarbina personas īslaicīgajos sezonas darbos</w:t>
            </w:r>
            <w:r w:rsidR="00B158DF">
              <w:t>.</w:t>
            </w:r>
          </w:p>
        </w:tc>
      </w:tr>
      <w:tr w:rsidR="00DC36D0" w:rsidRPr="00353A9E" w:rsidTr="006717BA">
        <w:trPr>
          <w:trHeight w:val="405"/>
          <w:tblCellSpacing w:w="0" w:type="dxa"/>
        </w:trPr>
        <w:tc>
          <w:tcPr>
            <w:tcW w:w="808" w:type="dxa"/>
            <w:gridSpan w:val="3"/>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2.</w:t>
            </w:r>
          </w:p>
        </w:tc>
        <w:tc>
          <w:tcPr>
            <w:tcW w:w="3510" w:type="dxa"/>
            <w:gridSpan w:val="5"/>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xml:space="preserve"> Citas sabiedrības grupas (bez </w:t>
            </w:r>
            <w:proofErr w:type="spellStart"/>
            <w:r w:rsidRPr="00353A9E">
              <w:t>mērķgrupas</w:t>
            </w:r>
            <w:proofErr w:type="spellEnd"/>
            <w:r w:rsidRPr="00353A9E">
              <w:t xml:space="preserve">), kuras tiesiskais regulējums arī ietekmē vai varētu </w:t>
            </w:r>
            <w:r w:rsidRPr="00353A9E">
              <w:lastRenderedPageBreak/>
              <w:t>ietekmēt</w:t>
            </w:r>
          </w:p>
        </w:tc>
        <w:tc>
          <w:tcPr>
            <w:tcW w:w="5053" w:type="dxa"/>
            <w:gridSpan w:val="3"/>
            <w:tcBorders>
              <w:top w:val="outset" w:sz="6" w:space="0" w:color="auto"/>
              <w:left w:val="outset" w:sz="6" w:space="0" w:color="auto"/>
              <w:bottom w:val="outset" w:sz="6" w:space="0" w:color="auto"/>
              <w:right w:val="outset" w:sz="6" w:space="0" w:color="auto"/>
            </w:tcBorders>
            <w:hideMark/>
          </w:tcPr>
          <w:p w:rsidR="0006166B" w:rsidRPr="0006166B" w:rsidRDefault="00B570F1" w:rsidP="00DD27D9">
            <w:pPr>
              <w:jc w:val="both"/>
            </w:pPr>
            <w:r w:rsidRPr="003202C9">
              <w:lastRenderedPageBreak/>
              <w:t>Nav attiecināms</w:t>
            </w:r>
            <w:r>
              <w:t>.</w:t>
            </w:r>
          </w:p>
        </w:tc>
      </w:tr>
      <w:tr w:rsidR="00DC36D0" w:rsidRPr="00353A9E" w:rsidTr="006717BA">
        <w:trPr>
          <w:trHeight w:val="405"/>
          <w:tblCellSpacing w:w="0" w:type="dxa"/>
        </w:trPr>
        <w:tc>
          <w:tcPr>
            <w:tcW w:w="808" w:type="dxa"/>
            <w:gridSpan w:val="3"/>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lastRenderedPageBreak/>
              <w:t> 3.</w:t>
            </w:r>
          </w:p>
        </w:tc>
        <w:tc>
          <w:tcPr>
            <w:tcW w:w="3510" w:type="dxa"/>
            <w:gridSpan w:val="5"/>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Tiesiskā regulējuma finansiālā ietekme</w:t>
            </w:r>
          </w:p>
        </w:tc>
        <w:tc>
          <w:tcPr>
            <w:tcW w:w="5053" w:type="dxa"/>
            <w:gridSpan w:val="3"/>
            <w:tcBorders>
              <w:top w:val="outset" w:sz="6" w:space="0" w:color="auto"/>
              <w:left w:val="outset" w:sz="6" w:space="0" w:color="auto"/>
              <w:bottom w:val="outset" w:sz="6" w:space="0" w:color="auto"/>
              <w:right w:val="outset" w:sz="6" w:space="0" w:color="auto"/>
            </w:tcBorders>
            <w:hideMark/>
          </w:tcPr>
          <w:p w:rsidR="00353A9E" w:rsidRPr="00353A9E" w:rsidRDefault="00F82139" w:rsidP="0063265A">
            <w:pPr>
              <w:jc w:val="both"/>
            </w:pPr>
            <w:r w:rsidRPr="003202C9">
              <w:t>Nav attiecināms</w:t>
            </w:r>
            <w:r>
              <w:t>.</w:t>
            </w:r>
          </w:p>
        </w:tc>
      </w:tr>
      <w:tr w:rsidR="00DC36D0" w:rsidRPr="00353A9E" w:rsidTr="006717BA">
        <w:trPr>
          <w:trHeight w:val="236"/>
          <w:tblCellSpacing w:w="0" w:type="dxa"/>
        </w:trPr>
        <w:tc>
          <w:tcPr>
            <w:tcW w:w="808" w:type="dxa"/>
            <w:gridSpan w:val="3"/>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4.</w:t>
            </w:r>
          </w:p>
        </w:tc>
        <w:tc>
          <w:tcPr>
            <w:tcW w:w="3510" w:type="dxa"/>
            <w:gridSpan w:val="5"/>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Tiesiskā regulējuma nefinansiālā ietekme</w:t>
            </w:r>
          </w:p>
        </w:tc>
        <w:tc>
          <w:tcPr>
            <w:tcW w:w="5053" w:type="dxa"/>
            <w:gridSpan w:val="3"/>
            <w:tcBorders>
              <w:top w:val="outset" w:sz="6" w:space="0" w:color="auto"/>
              <w:left w:val="outset" w:sz="6" w:space="0" w:color="auto"/>
              <w:bottom w:val="outset" w:sz="6" w:space="0" w:color="auto"/>
              <w:right w:val="outset" w:sz="6" w:space="0" w:color="auto"/>
            </w:tcBorders>
            <w:hideMark/>
          </w:tcPr>
          <w:p w:rsidR="00353A9E" w:rsidRPr="00353A9E" w:rsidRDefault="00473E68" w:rsidP="00791766">
            <w:r w:rsidRPr="003202C9">
              <w:t>Nav attiecināms</w:t>
            </w:r>
            <w:r>
              <w:t>.</w:t>
            </w:r>
          </w:p>
        </w:tc>
      </w:tr>
      <w:tr w:rsidR="00DC36D0" w:rsidRPr="00353A9E" w:rsidTr="006717BA">
        <w:trPr>
          <w:trHeight w:val="227"/>
          <w:tblCellSpacing w:w="0" w:type="dxa"/>
        </w:trPr>
        <w:tc>
          <w:tcPr>
            <w:tcW w:w="808" w:type="dxa"/>
            <w:gridSpan w:val="3"/>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5.</w:t>
            </w:r>
          </w:p>
        </w:tc>
        <w:tc>
          <w:tcPr>
            <w:tcW w:w="3510" w:type="dxa"/>
            <w:gridSpan w:val="5"/>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Administratīvās procedūras raksturojums</w:t>
            </w:r>
          </w:p>
        </w:tc>
        <w:tc>
          <w:tcPr>
            <w:tcW w:w="5053" w:type="dxa"/>
            <w:gridSpan w:val="3"/>
            <w:tcBorders>
              <w:top w:val="outset" w:sz="6" w:space="0" w:color="auto"/>
              <w:left w:val="outset" w:sz="6" w:space="0" w:color="auto"/>
              <w:bottom w:val="outset" w:sz="6" w:space="0" w:color="auto"/>
              <w:right w:val="outset" w:sz="6" w:space="0" w:color="auto"/>
            </w:tcBorders>
            <w:hideMark/>
          </w:tcPr>
          <w:p w:rsidR="00353A9E" w:rsidRPr="00353A9E" w:rsidRDefault="00210726" w:rsidP="00677A8C">
            <w:pPr>
              <w:jc w:val="both"/>
            </w:pPr>
            <w:r>
              <w:t>Likumprojektā paredzēts, ka Lauku atbalsta dienests, Valsts ieņēmumu dienests un Valsts sociālās apdrošināšanas aģentūra izstrādā sezonas laukstrādnieku ienākuma nodokļa administrēšanai nepieciešamo programmnodrošinājumu (datu bāzi un informācijas apmaiņas sistēmu).</w:t>
            </w:r>
          </w:p>
        </w:tc>
      </w:tr>
      <w:tr w:rsidR="00DC36D0" w:rsidRPr="00353A9E" w:rsidTr="006717BA">
        <w:trPr>
          <w:trHeight w:val="357"/>
          <w:tblCellSpacing w:w="0" w:type="dxa"/>
        </w:trPr>
        <w:tc>
          <w:tcPr>
            <w:tcW w:w="808" w:type="dxa"/>
            <w:gridSpan w:val="3"/>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6.</w:t>
            </w:r>
          </w:p>
        </w:tc>
        <w:tc>
          <w:tcPr>
            <w:tcW w:w="3510" w:type="dxa"/>
            <w:gridSpan w:val="5"/>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Administratīvo izmaksu monetārs novērtējums</w:t>
            </w:r>
          </w:p>
        </w:tc>
        <w:tc>
          <w:tcPr>
            <w:tcW w:w="5053" w:type="dxa"/>
            <w:gridSpan w:val="3"/>
            <w:tcBorders>
              <w:top w:val="outset" w:sz="6" w:space="0" w:color="auto"/>
              <w:left w:val="outset" w:sz="6" w:space="0" w:color="auto"/>
              <w:bottom w:val="outset" w:sz="6" w:space="0" w:color="auto"/>
              <w:right w:val="outset" w:sz="6" w:space="0" w:color="auto"/>
            </w:tcBorders>
            <w:hideMark/>
          </w:tcPr>
          <w:p w:rsidR="00353A9E" w:rsidRPr="0063265A" w:rsidRDefault="00210726" w:rsidP="00677A8C">
            <w:pPr>
              <w:jc w:val="both"/>
            </w:pPr>
            <w:r>
              <w:t>Valsts ieņēmumu dienestam</w:t>
            </w:r>
            <w:r w:rsidR="005D6CE2">
              <w:t xml:space="preserve"> </w:t>
            </w:r>
            <w:r w:rsidR="005D6CE2" w:rsidRPr="005D6CE2">
              <w:t xml:space="preserve">informācijas sistēmu papildināšanai ar jaunu pārskatu būs nepieciešams finansējums aptuveni 44 105 latu apmērā. </w:t>
            </w:r>
          </w:p>
        </w:tc>
      </w:tr>
      <w:tr w:rsidR="00DC36D0" w:rsidRPr="00353A9E" w:rsidTr="006717BA">
        <w:trPr>
          <w:tblCellSpacing w:w="0" w:type="dxa"/>
        </w:trPr>
        <w:tc>
          <w:tcPr>
            <w:tcW w:w="808" w:type="dxa"/>
            <w:gridSpan w:val="3"/>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7.</w:t>
            </w:r>
          </w:p>
        </w:tc>
        <w:tc>
          <w:tcPr>
            <w:tcW w:w="3510" w:type="dxa"/>
            <w:gridSpan w:val="5"/>
            <w:tcBorders>
              <w:top w:val="outset" w:sz="6" w:space="0" w:color="auto"/>
              <w:left w:val="outset" w:sz="6" w:space="0" w:color="auto"/>
              <w:bottom w:val="outset" w:sz="6" w:space="0" w:color="auto"/>
              <w:right w:val="outset" w:sz="6" w:space="0" w:color="auto"/>
            </w:tcBorders>
            <w:hideMark/>
          </w:tcPr>
          <w:p w:rsidR="00353A9E" w:rsidRPr="00353A9E" w:rsidRDefault="00353A9E" w:rsidP="00791766">
            <w:r w:rsidRPr="00353A9E">
              <w:t> Cita informācija</w:t>
            </w:r>
          </w:p>
        </w:tc>
        <w:tc>
          <w:tcPr>
            <w:tcW w:w="5053" w:type="dxa"/>
            <w:gridSpan w:val="3"/>
            <w:tcBorders>
              <w:top w:val="outset" w:sz="6" w:space="0" w:color="auto"/>
              <w:left w:val="outset" w:sz="6" w:space="0" w:color="auto"/>
              <w:bottom w:val="outset" w:sz="6" w:space="0" w:color="auto"/>
              <w:right w:val="outset" w:sz="6" w:space="0" w:color="auto"/>
            </w:tcBorders>
            <w:hideMark/>
          </w:tcPr>
          <w:p w:rsidR="00353A9E" w:rsidRPr="00353A9E" w:rsidRDefault="00203F38" w:rsidP="00C97C8E">
            <w:r>
              <w:t>Nav.</w:t>
            </w:r>
          </w:p>
        </w:tc>
      </w:tr>
      <w:tr w:rsidR="00473B6E" w:rsidRPr="00473B6E" w:rsidTr="006717BA">
        <w:trPr>
          <w:trHeight w:val="652"/>
          <w:tblCellSpacing w:w="0" w:type="dxa"/>
        </w:trPr>
        <w:tc>
          <w:tcPr>
            <w:tcW w:w="9371" w:type="dxa"/>
            <w:gridSpan w:val="11"/>
            <w:tcBorders>
              <w:top w:val="outset" w:sz="6" w:space="0" w:color="auto"/>
              <w:left w:val="outset" w:sz="6" w:space="0" w:color="auto"/>
              <w:bottom w:val="outset" w:sz="6" w:space="0" w:color="auto"/>
              <w:right w:val="outset" w:sz="6" w:space="0" w:color="auto"/>
            </w:tcBorders>
          </w:tcPr>
          <w:p w:rsidR="00473B6E" w:rsidRPr="004551E2" w:rsidRDefault="00353A9E" w:rsidP="00473B6E">
            <w:pPr>
              <w:jc w:val="center"/>
              <w:rPr>
                <w:rFonts w:eastAsia="Calibri"/>
                <w:b/>
                <w:lang w:eastAsia="en-US"/>
              </w:rPr>
            </w:pPr>
            <w:r w:rsidRPr="004551E2">
              <w:t> </w:t>
            </w:r>
            <w:r w:rsidR="00473B6E" w:rsidRPr="004551E2">
              <w:rPr>
                <w:rFonts w:eastAsia="Calibri"/>
                <w:b/>
                <w:lang w:eastAsia="en-US"/>
              </w:rPr>
              <w:t>III. Tiesību akta projekta ietekme uz valsts budžetu un pašvaldību budžetiem</w:t>
            </w:r>
          </w:p>
        </w:tc>
      </w:tr>
      <w:tr w:rsidR="00473B6E" w:rsidRPr="00473B6E" w:rsidTr="006717BA">
        <w:trPr>
          <w:trHeight w:val="411"/>
          <w:tblCellSpacing w:w="0" w:type="dxa"/>
        </w:trPr>
        <w:tc>
          <w:tcPr>
            <w:tcW w:w="9371" w:type="dxa"/>
            <w:gridSpan w:val="11"/>
            <w:tcBorders>
              <w:top w:val="outset" w:sz="6" w:space="0" w:color="auto"/>
              <w:left w:val="outset" w:sz="6" w:space="0" w:color="auto"/>
              <w:bottom w:val="outset" w:sz="6" w:space="0" w:color="auto"/>
              <w:right w:val="outset" w:sz="6" w:space="0" w:color="auto"/>
            </w:tcBorders>
          </w:tcPr>
          <w:tbl>
            <w:tblPr>
              <w:tblW w:w="9333" w:type="dxa"/>
              <w:tblCellSpacing w:w="0"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29"/>
              <w:gridCol w:w="1701"/>
              <w:gridCol w:w="1276"/>
              <w:gridCol w:w="1275"/>
              <w:gridCol w:w="1276"/>
              <w:gridCol w:w="1276"/>
            </w:tblGrid>
            <w:tr w:rsidR="00473B6E" w:rsidRPr="00473B6E" w:rsidTr="006717BA">
              <w:trPr>
                <w:trHeight w:val="381"/>
                <w:tblCellSpacing w:w="0" w:type="dxa"/>
              </w:trPr>
              <w:tc>
                <w:tcPr>
                  <w:tcW w:w="2529" w:type="dxa"/>
                  <w:vMerge w:val="restart"/>
                </w:tcPr>
                <w:p w:rsidR="00473B6E" w:rsidRPr="0095377B" w:rsidRDefault="00473B6E" w:rsidP="00473B6E">
                  <w:pPr>
                    <w:spacing w:after="200" w:line="276" w:lineRule="auto"/>
                    <w:jc w:val="center"/>
                  </w:pPr>
                  <w:r w:rsidRPr="0095377B">
                    <w:rPr>
                      <w:rFonts w:eastAsia="Calibri"/>
                      <w:b/>
                      <w:bCs/>
                      <w:lang w:eastAsia="en-US"/>
                    </w:rPr>
                    <w:t>Rādītāji</w:t>
                  </w:r>
                </w:p>
              </w:tc>
              <w:tc>
                <w:tcPr>
                  <w:tcW w:w="2977" w:type="dxa"/>
                  <w:gridSpan w:val="2"/>
                </w:tcPr>
                <w:p w:rsidR="00473B6E" w:rsidRPr="0095377B" w:rsidRDefault="00473B6E" w:rsidP="006717BA">
                  <w:pPr>
                    <w:spacing w:after="200" w:line="276" w:lineRule="auto"/>
                    <w:jc w:val="center"/>
                  </w:pPr>
                  <w:r w:rsidRPr="0095377B">
                    <w:rPr>
                      <w:rFonts w:eastAsia="Calibri"/>
                      <w:b/>
                      <w:bCs/>
                      <w:lang w:eastAsia="en-US"/>
                    </w:rPr>
                    <w:t>201</w:t>
                  </w:r>
                  <w:r w:rsidR="006717BA">
                    <w:rPr>
                      <w:rFonts w:eastAsia="Calibri"/>
                      <w:b/>
                      <w:bCs/>
                      <w:lang w:eastAsia="en-US"/>
                    </w:rPr>
                    <w:t>3</w:t>
                  </w:r>
                </w:p>
              </w:tc>
              <w:tc>
                <w:tcPr>
                  <w:tcW w:w="3827" w:type="dxa"/>
                  <w:gridSpan w:val="3"/>
                </w:tcPr>
                <w:p w:rsidR="00473B6E" w:rsidRPr="0095377B" w:rsidRDefault="00473B6E" w:rsidP="00473B6E">
                  <w:pPr>
                    <w:spacing w:after="200" w:line="276" w:lineRule="auto"/>
                    <w:jc w:val="center"/>
                  </w:pPr>
                  <w:r w:rsidRPr="0095377B">
                    <w:rPr>
                      <w:rFonts w:eastAsia="Calibri"/>
                      <w:lang w:eastAsia="en-US"/>
                    </w:rPr>
                    <w:t>Turpmākie trīs gadi (tūkst. latu)</w:t>
                  </w:r>
                </w:p>
              </w:tc>
            </w:tr>
            <w:tr w:rsidR="00473B6E" w:rsidRPr="00473B6E" w:rsidTr="006717BA">
              <w:trPr>
                <w:trHeight w:val="381"/>
                <w:tblCellSpacing w:w="0" w:type="dxa"/>
              </w:trPr>
              <w:tc>
                <w:tcPr>
                  <w:tcW w:w="2529" w:type="dxa"/>
                  <w:vMerge/>
                </w:tcPr>
                <w:p w:rsidR="00473B6E" w:rsidRPr="0095377B" w:rsidRDefault="00473B6E" w:rsidP="00473B6E">
                  <w:pPr>
                    <w:spacing w:after="200" w:line="276" w:lineRule="auto"/>
                    <w:jc w:val="center"/>
                  </w:pPr>
                </w:p>
              </w:tc>
              <w:tc>
                <w:tcPr>
                  <w:tcW w:w="1701" w:type="dxa"/>
                  <w:vMerge w:val="restart"/>
                </w:tcPr>
                <w:p w:rsidR="00473B6E" w:rsidRPr="0095377B" w:rsidRDefault="00473B6E" w:rsidP="00473B6E">
                  <w:pPr>
                    <w:jc w:val="center"/>
                  </w:pPr>
                  <w:r w:rsidRPr="0095377B">
                    <w:rPr>
                      <w:rFonts w:eastAsia="Calibri"/>
                      <w:lang w:eastAsia="en-US"/>
                    </w:rPr>
                    <w:t>Saskaņā ar valsts budžetu kārtējam gadam</w:t>
                  </w:r>
                </w:p>
              </w:tc>
              <w:tc>
                <w:tcPr>
                  <w:tcW w:w="1276" w:type="dxa"/>
                  <w:vMerge w:val="restart"/>
                </w:tcPr>
                <w:p w:rsidR="00473B6E" w:rsidRPr="0095377B" w:rsidRDefault="00473B6E" w:rsidP="00473B6E">
                  <w:pPr>
                    <w:jc w:val="center"/>
                  </w:pPr>
                  <w:r w:rsidRPr="0095377B">
                    <w:rPr>
                      <w:rFonts w:eastAsia="Calibri"/>
                      <w:lang w:eastAsia="en-US"/>
                    </w:rPr>
                    <w:t>Izmaiņas kārtējā gadā, salīdzinot ar budžetu kārtējam gadam</w:t>
                  </w:r>
                </w:p>
              </w:tc>
              <w:tc>
                <w:tcPr>
                  <w:tcW w:w="1275" w:type="dxa"/>
                </w:tcPr>
                <w:p w:rsidR="00473B6E" w:rsidRPr="0095377B" w:rsidRDefault="00473B6E" w:rsidP="006717BA">
                  <w:pPr>
                    <w:jc w:val="center"/>
                  </w:pPr>
                  <w:r w:rsidRPr="0095377B">
                    <w:rPr>
                      <w:rFonts w:eastAsia="Calibri"/>
                      <w:b/>
                      <w:bCs/>
                      <w:lang w:eastAsia="en-US"/>
                    </w:rPr>
                    <w:t>201</w:t>
                  </w:r>
                  <w:r w:rsidR="006717BA">
                    <w:rPr>
                      <w:rFonts w:eastAsia="Calibri"/>
                      <w:b/>
                      <w:bCs/>
                      <w:lang w:eastAsia="en-US"/>
                    </w:rPr>
                    <w:t>4</w:t>
                  </w:r>
                </w:p>
              </w:tc>
              <w:tc>
                <w:tcPr>
                  <w:tcW w:w="1276" w:type="dxa"/>
                </w:tcPr>
                <w:p w:rsidR="00473B6E" w:rsidRPr="0095377B" w:rsidRDefault="00473B6E" w:rsidP="006717BA">
                  <w:pPr>
                    <w:jc w:val="center"/>
                  </w:pPr>
                  <w:r w:rsidRPr="0095377B">
                    <w:rPr>
                      <w:rFonts w:eastAsia="Calibri"/>
                      <w:b/>
                      <w:bCs/>
                      <w:lang w:eastAsia="en-US"/>
                    </w:rPr>
                    <w:t>201</w:t>
                  </w:r>
                  <w:r w:rsidR="006717BA">
                    <w:rPr>
                      <w:rFonts w:eastAsia="Calibri"/>
                      <w:b/>
                      <w:bCs/>
                      <w:lang w:eastAsia="en-US"/>
                    </w:rPr>
                    <w:t>5</w:t>
                  </w:r>
                </w:p>
              </w:tc>
              <w:tc>
                <w:tcPr>
                  <w:tcW w:w="1276" w:type="dxa"/>
                </w:tcPr>
                <w:p w:rsidR="00473B6E" w:rsidRPr="0095377B" w:rsidRDefault="00473B6E" w:rsidP="006717BA">
                  <w:pPr>
                    <w:jc w:val="center"/>
                  </w:pPr>
                  <w:r w:rsidRPr="0095377B">
                    <w:rPr>
                      <w:rFonts w:eastAsia="Calibri"/>
                      <w:b/>
                      <w:bCs/>
                      <w:lang w:eastAsia="en-US"/>
                    </w:rPr>
                    <w:t>201</w:t>
                  </w:r>
                  <w:r w:rsidR="006717BA">
                    <w:rPr>
                      <w:rFonts w:eastAsia="Calibri"/>
                      <w:b/>
                      <w:bCs/>
                      <w:lang w:eastAsia="en-US"/>
                    </w:rPr>
                    <w:t>6</w:t>
                  </w:r>
                </w:p>
              </w:tc>
            </w:tr>
            <w:tr w:rsidR="00473B6E" w:rsidRPr="00473B6E" w:rsidTr="006717BA">
              <w:trPr>
                <w:trHeight w:val="381"/>
                <w:tblCellSpacing w:w="0" w:type="dxa"/>
              </w:trPr>
              <w:tc>
                <w:tcPr>
                  <w:tcW w:w="2529" w:type="dxa"/>
                  <w:vMerge/>
                </w:tcPr>
                <w:p w:rsidR="00473B6E" w:rsidRPr="0095377B" w:rsidRDefault="00473B6E" w:rsidP="00473B6E">
                  <w:pPr>
                    <w:spacing w:after="200" w:line="276" w:lineRule="auto"/>
                    <w:jc w:val="center"/>
                  </w:pPr>
                </w:p>
              </w:tc>
              <w:tc>
                <w:tcPr>
                  <w:tcW w:w="1701" w:type="dxa"/>
                  <w:vMerge/>
                </w:tcPr>
                <w:p w:rsidR="00473B6E" w:rsidRPr="0095377B" w:rsidRDefault="00473B6E" w:rsidP="00473B6E">
                  <w:pPr>
                    <w:jc w:val="center"/>
                  </w:pPr>
                </w:p>
              </w:tc>
              <w:tc>
                <w:tcPr>
                  <w:tcW w:w="1276" w:type="dxa"/>
                  <w:vMerge/>
                </w:tcPr>
                <w:p w:rsidR="00473B6E" w:rsidRPr="0095377B" w:rsidRDefault="00473B6E" w:rsidP="00473B6E">
                  <w:pPr>
                    <w:jc w:val="center"/>
                  </w:pPr>
                </w:p>
              </w:tc>
              <w:tc>
                <w:tcPr>
                  <w:tcW w:w="1275" w:type="dxa"/>
                </w:tcPr>
                <w:p w:rsidR="00473B6E" w:rsidRPr="0095377B" w:rsidRDefault="00473B6E" w:rsidP="00473B6E">
                  <w:pPr>
                    <w:jc w:val="center"/>
                  </w:pPr>
                  <w:r w:rsidRPr="0095377B">
                    <w:rPr>
                      <w:rFonts w:eastAsia="Calibri"/>
                      <w:lang w:eastAsia="en-US"/>
                    </w:rPr>
                    <w:t>Izmaiņas, salīdzinot ar kārtējo (n) gadu</w:t>
                  </w:r>
                </w:p>
              </w:tc>
              <w:tc>
                <w:tcPr>
                  <w:tcW w:w="1276" w:type="dxa"/>
                </w:tcPr>
                <w:p w:rsidR="00473B6E" w:rsidRPr="0095377B" w:rsidRDefault="00473B6E" w:rsidP="00473B6E">
                  <w:pPr>
                    <w:jc w:val="center"/>
                  </w:pPr>
                  <w:r w:rsidRPr="0095377B">
                    <w:rPr>
                      <w:rFonts w:eastAsia="Calibri"/>
                      <w:lang w:eastAsia="en-US"/>
                    </w:rPr>
                    <w:t>Izmaiņas, salīdzinot ar kārtējo (n) gadu</w:t>
                  </w:r>
                </w:p>
              </w:tc>
              <w:tc>
                <w:tcPr>
                  <w:tcW w:w="1276" w:type="dxa"/>
                </w:tcPr>
                <w:p w:rsidR="00473B6E" w:rsidRPr="0095377B" w:rsidRDefault="00473B6E" w:rsidP="00473B6E">
                  <w:pPr>
                    <w:jc w:val="center"/>
                  </w:pPr>
                  <w:r w:rsidRPr="0095377B">
                    <w:rPr>
                      <w:rFonts w:eastAsia="Calibri"/>
                      <w:lang w:eastAsia="en-US"/>
                    </w:rPr>
                    <w:t>Izmaiņas, salīdzinot ar kārtējo (n) gadu</w:t>
                  </w:r>
                </w:p>
              </w:tc>
            </w:tr>
            <w:tr w:rsidR="00473B6E" w:rsidRPr="00473B6E" w:rsidTr="006717BA">
              <w:trPr>
                <w:trHeight w:val="144"/>
                <w:tblCellSpacing w:w="0" w:type="dxa"/>
              </w:trPr>
              <w:tc>
                <w:tcPr>
                  <w:tcW w:w="2529" w:type="dxa"/>
                </w:tcPr>
                <w:p w:rsidR="00473B6E" w:rsidRPr="00473B6E" w:rsidRDefault="00473B6E" w:rsidP="00473B6E">
                  <w:pPr>
                    <w:spacing w:after="200" w:line="276" w:lineRule="auto"/>
                    <w:jc w:val="center"/>
                    <w:rPr>
                      <w:sz w:val="26"/>
                      <w:szCs w:val="26"/>
                    </w:rPr>
                  </w:pPr>
                  <w:r w:rsidRPr="00473B6E">
                    <w:rPr>
                      <w:sz w:val="26"/>
                      <w:szCs w:val="26"/>
                    </w:rPr>
                    <w:t>1</w:t>
                  </w:r>
                </w:p>
              </w:tc>
              <w:tc>
                <w:tcPr>
                  <w:tcW w:w="1701" w:type="dxa"/>
                </w:tcPr>
                <w:p w:rsidR="00473B6E" w:rsidRPr="00473B6E" w:rsidRDefault="00473B6E" w:rsidP="00473B6E">
                  <w:pPr>
                    <w:spacing w:after="200" w:line="276" w:lineRule="auto"/>
                    <w:jc w:val="center"/>
                    <w:rPr>
                      <w:sz w:val="26"/>
                      <w:szCs w:val="26"/>
                    </w:rPr>
                  </w:pPr>
                  <w:r w:rsidRPr="00473B6E">
                    <w:rPr>
                      <w:sz w:val="26"/>
                      <w:szCs w:val="26"/>
                    </w:rPr>
                    <w:t>2</w:t>
                  </w:r>
                </w:p>
              </w:tc>
              <w:tc>
                <w:tcPr>
                  <w:tcW w:w="1276" w:type="dxa"/>
                </w:tcPr>
                <w:p w:rsidR="00473B6E" w:rsidRPr="00473B6E" w:rsidRDefault="00473B6E" w:rsidP="00473B6E">
                  <w:pPr>
                    <w:spacing w:after="200" w:line="276" w:lineRule="auto"/>
                    <w:jc w:val="center"/>
                    <w:rPr>
                      <w:sz w:val="26"/>
                      <w:szCs w:val="26"/>
                    </w:rPr>
                  </w:pPr>
                  <w:r w:rsidRPr="00473B6E">
                    <w:rPr>
                      <w:sz w:val="26"/>
                      <w:szCs w:val="26"/>
                    </w:rPr>
                    <w:t>3</w:t>
                  </w:r>
                </w:p>
              </w:tc>
              <w:tc>
                <w:tcPr>
                  <w:tcW w:w="1275" w:type="dxa"/>
                </w:tcPr>
                <w:p w:rsidR="00473B6E" w:rsidRPr="00473B6E" w:rsidRDefault="00473B6E" w:rsidP="00473B6E">
                  <w:pPr>
                    <w:spacing w:after="200" w:line="276" w:lineRule="auto"/>
                    <w:jc w:val="center"/>
                    <w:rPr>
                      <w:rFonts w:eastAsia="Calibri"/>
                      <w:sz w:val="26"/>
                      <w:szCs w:val="26"/>
                      <w:lang w:eastAsia="en-US"/>
                    </w:rPr>
                  </w:pPr>
                  <w:r w:rsidRPr="00473B6E">
                    <w:rPr>
                      <w:rFonts w:eastAsia="Calibri"/>
                      <w:sz w:val="26"/>
                      <w:szCs w:val="26"/>
                      <w:lang w:eastAsia="en-US"/>
                    </w:rPr>
                    <w:t>4</w:t>
                  </w:r>
                </w:p>
              </w:tc>
              <w:tc>
                <w:tcPr>
                  <w:tcW w:w="1276" w:type="dxa"/>
                </w:tcPr>
                <w:p w:rsidR="00473B6E" w:rsidRPr="00473B6E" w:rsidRDefault="00473B6E" w:rsidP="00473B6E">
                  <w:pPr>
                    <w:spacing w:after="200" w:line="276" w:lineRule="auto"/>
                    <w:jc w:val="center"/>
                    <w:rPr>
                      <w:rFonts w:eastAsia="Calibri"/>
                      <w:sz w:val="26"/>
                      <w:szCs w:val="26"/>
                      <w:lang w:eastAsia="en-US"/>
                    </w:rPr>
                  </w:pPr>
                  <w:r w:rsidRPr="00473B6E">
                    <w:rPr>
                      <w:rFonts w:eastAsia="Calibri"/>
                      <w:sz w:val="26"/>
                      <w:szCs w:val="26"/>
                      <w:lang w:eastAsia="en-US"/>
                    </w:rPr>
                    <w:t>5</w:t>
                  </w:r>
                </w:p>
              </w:tc>
              <w:tc>
                <w:tcPr>
                  <w:tcW w:w="1276" w:type="dxa"/>
                </w:tcPr>
                <w:p w:rsidR="00473B6E" w:rsidRPr="00473B6E" w:rsidRDefault="00473B6E" w:rsidP="00473B6E">
                  <w:pPr>
                    <w:spacing w:after="200" w:line="276" w:lineRule="auto"/>
                    <w:jc w:val="center"/>
                    <w:rPr>
                      <w:rFonts w:eastAsia="Calibri"/>
                      <w:sz w:val="26"/>
                      <w:szCs w:val="26"/>
                      <w:lang w:eastAsia="en-US"/>
                    </w:rPr>
                  </w:pPr>
                  <w:r w:rsidRPr="00473B6E">
                    <w:rPr>
                      <w:rFonts w:eastAsia="Calibri"/>
                      <w:sz w:val="26"/>
                      <w:szCs w:val="26"/>
                      <w:lang w:eastAsia="en-US"/>
                    </w:rPr>
                    <w:t>6</w:t>
                  </w:r>
                </w:p>
              </w:tc>
            </w:tr>
            <w:tr w:rsidR="006717BA" w:rsidRPr="00473B6E" w:rsidTr="00255779">
              <w:trPr>
                <w:trHeight w:val="381"/>
                <w:tblCellSpacing w:w="0" w:type="dxa"/>
              </w:trPr>
              <w:tc>
                <w:tcPr>
                  <w:tcW w:w="2529" w:type="dxa"/>
                </w:tcPr>
                <w:p w:rsidR="006717BA" w:rsidRPr="0095377B" w:rsidRDefault="006717BA" w:rsidP="00473B6E">
                  <w:pPr>
                    <w:rPr>
                      <w:rFonts w:eastAsia="Calibri"/>
                      <w:lang w:eastAsia="en-US"/>
                    </w:rPr>
                  </w:pPr>
                  <w:r w:rsidRPr="0095377B">
                    <w:rPr>
                      <w:rFonts w:eastAsia="Calibri"/>
                      <w:lang w:eastAsia="en-US"/>
                    </w:rPr>
                    <w:t>1. Budžeta ieņēmumi</w:t>
                  </w:r>
                  <w:r>
                    <w:rPr>
                      <w:rFonts w:eastAsia="Calibri"/>
                      <w:lang w:eastAsia="en-US"/>
                    </w:rPr>
                    <w:t>, t.sk.</w:t>
                  </w:r>
                  <w:r w:rsidRPr="0095377B">
                    <w:rPr>
                      <w:rFonts w:eastAsia="Calibri"/>
                      <w:lang w:eastAsia="en-US"/>
                    </w:rPr>
                    <w:t>:</w:t>
                  </w:r>
                </w:p>
              </w:tc>
              <w:tc>
                <w:tcPr>
                  <w:tcW w:w="1701" w:type="dxa"/>
                  <w:vAlign w:val="center"/>
                </w:tcPr>
                <w:p w:rsidR="006717BA" w:rsidRPr="001B234E" w:rsidRDefault="006717BA" w:rsidP="00255779">
                  <w:pPr>
                    <w:jc w:val="center"/>
                  </w:pPr>
                  <w:r>
                    <w:t>2 215 </w:t>
                  </w:r>
                  <w:r w:rsidRPr="006717BA">
                    <w:t>997</w:t>
                  </w:r>
                  <w:r>
                    <w:t>,</w:t>
                  </w:r>
                  <w:r w:rsidRPr="006717BA">
                    <w:t>1</w:t>
                  </w:r>
                </w:p>
              </w:tc>
              <w:tc>
                <w:tcPr>
                  <w:tcW w:w="1276" w:type="dxa"/>
                  <w:vAlign w:val="center"/>
                </w:tcPr>
                <w:p w:rsidR="006717BA" w:rsidRPr="00473B6E" w:rsidRDefault="0021274B" w:rsidP="00255779">
                  <w:pPr>
                    <w:jc w:val="center"/>
                    <w:rPr>
                      <w:sz w:val="26"/>
                      <w:szCs w:val="26"/>
                    </w:rPr>
                  </w:pPr>
                  <w:r>
                    <w:rPr>
                      <w:sz w:val="26"/>
                      <w:szCs w:val="26"/>
                    </w:rPr>
                    <w:t>0</w:t>
                  </w:r>
                </w:p>
              </w:tc>
              <w:tc>
                <w:tcPr>
                  <w:tcW w:w="1275" w:type="dxa"/>
                  <w:vAlign w:val="center"/>
                </w:tcPr>
                <w:p w:rsidR="006717BA" w:rsidRPr="00686D94" w:rsidRDefault="006717BA" w:rsidP="00255779">
                  <w:pPr>
                    <w:jc w:val="center"/>
                    <w:rPr>
                      <w:b/>
                      <w:sz w:val="20"/>
                    </w:rPr>
                  </w:pPr>
                  <w:r>
                    <w:rPr>
                      <w:b/>
                      <w:sz w:val="20"/>
                    </w:rPr>
                    <w:t>+</w:t>
                  </w:r>
                  <w:r w:rsidRPr="006717BA">
                    <w:t>4,5</w:t>
                  </w:r>
                </w:p>
              </w:tc>
              <w:tc>
                <w:tcPr>
                  <w:tcW w:w="1276" w:type="dxa"/>
                  <w:vAlign w:val="center"/>
                </w:tcPr>
                <w:p w:rsidR="006717BA" w:rsidRPr="00686D94" w:rsidRDefault="006717BA" w:rsidP="00255779">
                  <w:pPr>
                    <w:jc w:val="center"/>
                    <w:rPr>
                      <w:b/>
                      <w:sz w:val="20"/>
                    </w:rPr>
                  </w:pPr>
                  <w:r w:rsidRPr="006717BA">
                    <w:t>+43,5</w:t>
                  </w:r>
                </w:p>
              </w:tc>
              <w:tc>
                <w:tcPr>
                  <w:tcW w:w="1276" w:type="dxa"/>
                  <w:vAlign w:val="center"/>
                </w:tcPr>
                <w:p w:rsidR="006717BA" w:rsidRPr="00686D94" w:rsidRDefault="006717BA" w:rsidP="00255779">
                  <w:pPr>
                    <w:jc w:val="center"/>
                    <w:rPr>
                      <w:b/>
                      <w:sz w:val="20"/>
                    </w:rPr>
                  </w:pPr>
                  <w:r w:rsidRPr="006717BA">
                    <w:t>+95,5</w:t>
                  </w:r>
                </w:p>
              </w:tc>
            </w:tr>
            <w:tr w:rsidR="006717BA" w:rsidRPr="00473B6E" w:rsidTr="00255779">
              <w:trPr>
                <w:trHeight w:val="381"/>
                <w:tblCellSpacing w:w="0" w:type="dxa"/>
              </w:trPr>
              <w:tc>
                <w:tcPr>
                  <w:tcW w:w="2529" w:type="dxa"/>
                </w:tcPr>
                <w:p w:rsidR="006717BA" w:rsidRPr="0095377B" w:rsidRDefault="006717BA" w:rsidP="00473B6E">
                  <w:pPr>
                    <w:rPr>
                      <w:rFonts w:eastAsia="Calibri"/>
                      <w:lang w:eastAsia="en-US"/>
                    </w:rPr>
                  </w:pPr>
                  <w:r w:rsidRPr="0095377B">
                    <w:rPr>
                      <w:rFonts w:eastAsia="Calibri"/>
                      <w:lang w:eastAsia="en-US"/>
                    </w:rPr>
                    <w:t>1.1. valsts pamatbudžets, tai skaitā ieņēmumi no maksas pakalpojumiem un citi pašu ieņēmumi</w:t>
                  </w:r>
                </w:p>
              </w:tc>
              <w:tc>
                <w:tcPr>
                  <w:tcW w:w="1701" w:type="dxa"/>
                  <w:vAlign w:val="center"/>
                </w:tcPr>
                <w:p w:rsidR="006717BA" w:rsidRPr="001B234E" w:rsidRDefault="006717BA" w:rsidP="00255779">
                  <w:pPr>
                    <w:jc w:val="center"/>
                  </w:pPr>
                  <w:r>
                    <w:t xml:space="preserve">174 </w:t>
                  </w:r>
                  <w:r w:rsidRPr="006717BA">
                    <w:t>572</w:t>
                  </w:r>
                  <w:r>
                    <w:t>,9</w:t>
                  </w:r>
                </w:p>
              </w:tc>
              <w:tc>
                <w:tcPr>
                  <w:tcW w:w="1276" w:type="dxa"/>
                  <w:vAlign w:val="center"/>
                </w:tcPr>
                <w:p w:rsidR="006717BA" w:rsidRPr="006717BA" w:rsidRDefault="0021274B" w:rsidP="00255779">
                  <w:pPr>
                    <w:jc w:val="center"/>
                  </w:pPr>
                  <w:r>
                    <w:t>0</w:t>
                  </w:r>
                </w:p>
              </w:tc>
              <w:tc>
                <w:tcPr>
                  <w:tcW w:w="1275" w:type="dxa"/>
                  <w:vAlign w:val="center"/>
                </w:tcPr>
                <w:p w:rsidR="006717BA" w:rsidRPr="0095377B" w:rsidRDefault="006717BA" w:rsidP="00255779">
                  <w:pPr>
                    <w:jc w:val="center"/>
                    <w:rPr>
                      <w:rFonts w:eastAsia="Calibri"/>
                      <w:lang w:eastAsia="en-US"/>
                    </w:rPr>
                  </w:pPr>
                  <w:r>
                    <w:rPr>
                      <w:rFonts w:eastAsia="Calibri"/>
                      <w:lang w:eastAsia="en-US"/>
                    </w:rPr>
                    <w:t>+0,</w:t>
                  </w:r>
                  <w:r w:rsidR="00227CC7">
                    <w:rPr>
                      <w:rFonts w:eastAsia="Calibri"/>
                      <w:lang w:eastAsia="en-US"/>
                    </w:rPr>
                    <w:t>1</w:t>
                  </w:r>
                </w:p>
              </w:tc>
              <w:tc>
                <w:tcPr>
                  <w:tcW w:w="1276" w:type="dxa"/>
                  <w:vAlign w:val="center"/>
                </w:tcPr>
                <w:p w:rsidR="006717BA" w:rsidRPr="0095377B" w:rsidRDefault="006717BA" w:rsidP="00255779">
                  <w:pPr>
                    <w:jc w:val="center"/>
                    <w:rPr>
                      <w:rFonts w:eastAsia="Calibri"/>
                      <w:lang w:eastAsia="en-US"/>
                    </w:rPr>
                  </w:pPr>
                  <w:r>
                    <w:rPr>
                      <w:rFonts w:eastAsia="Calibri"/>
                      <w:lang w:eastAsia="en-US"/>
                    </w:rPr>
                    <w:t>+0,9</w:t>
                  </w:r>
                </w:p>
              </w:tc>
              <w:tc>
                <w:tcPr>
                  <w:tcW w:w="1276" w:type="dxa"/>
                  <w:vAlign w:val="center"/>
                </w:tcPr>
                <w:p w:rsidR="006717BA" w:rsidRPr="0095377B" w:rsidRDefault="006717BA" w:rsidP="00255779">
                  <w:pPr>
                    <w:jc w:val="center"/>
                    <w:rPr>
                      <w:rFonts w:eastAsia="Calibri"/>
                      <w:lang w:eastAsia="en-US"/>
                    </w:rPr>
                  </w:pPr>
                  <w:r>
                    <w:rPr>
                      <w:rFonts w:eastAsia="Calibri"/>
                      <w:lang w:eastAsia="en-US"/>
                    </w:rPr>
                    <w:t>+1,9</w:t>
                  </w:r>
                </w:p>
              </w:tc>
            </w:tr>
            <w:tr w:rsidR="006717BA" w:rsidRPr="00473B6E" w:rsidTr="00255779">
              <w:trPr>
                <w:trHeight w:val="599"/>
                <w:tblCellSpacing w:w="0" w:type="dxa"/>
              </w:trPr>
              <w:tc>
                <w:tcPr>
                  <w:tcW w:w="2529" w:type="dxa"/>
                </w:tcPr>
                <w:p w:rsidR="006717BA" w:rsidRPr="0095377B" w:rsidRDefault="006717BA" w:rsidP="00473B6E">
                  <w:pPr>
                    <w:rPr>
                      <w:rFonts w:eastAsia="Calibri"/>
                      <w:lang w:eastAsia="en-US"/>
                    </w:rPr>
                  </w:pPr>
                  <w:r w:rsidRPr="0095377B">
                    <w:rPr>
                      <w:rFonts w:eastAsia="Calibri"/>
                      <w:lang w:eastAsia="en-US"/>
                    </w:rPr>
                    <w:t>1.2. valsts speciālais budžets</w:t>
                  </w:r>
                </w:p>
              </w:tc>
              <w:tc>
                <w:tcPr>
                  <w:tcW w:w="1701" w:type="dxa"/>
                  <w:vAlign w:val="center"/>
                </w:tcPr>
                <w:p w:rsidR="006717BA" w:rsidRPr="001B234E" w:rsidRDefault="006717BA" w:rsidP="00255779">
                  <w:pPr>
                    <w:jc w:val="center"/>
                  </w:pPr>
                  <w:r>
                    <w:t>1 343 </w:t>
                  </w:r>
                  <w:r w:rsidRPr="006717BA">
                    <w:t>132</w:t>
                  </w:r>
                  <w:r>
                    <w:t>,7</w:t>
                  </w:r>
                </w:p>
              </w:tc>
              <w:tc>
                <w:tcPr>
                  <w:tcW w:w="1276" w:type="dxa"/>
                  <w:vAlign w:val="center"/>
                </w:tcPr>
                <w:p w:rsidR="006717BA" w:rsidRPr="006717BA" w:rsidRDefault="0021274B" w:rsidP="00255779">
                  <w:pPr>
                    <w:jc w:val="center"/>
                  </w:pPr>
                  <w:r>
                    <w:t>0</w:t>
                  </w:r>
                </w:p>
              </w:tc>
              <w:tc>
                <w:tcPr>
                  <w:tcW w:w="1275" w:type="dxa"/>
                  <w:vAlign w:val="center"/>
                </w:tcPr>
                <w:p w:rsidR="006717BA" w:rsidRPr="0095377B" w:rsidRDefault="006717BA" w:rsidP="00255779">
                  <w:pPr>
                    <w:jc w:val="center"/>
                    <w:rPr>
                      <w:rFonts w:eastAsia="Calibri"/>
                      <w:lang w:eastAsia="en-US"/>
                    </w:rPr>
                  </w:pPr>
                  <w:r>
                    <w:rPr>
                      <w:rFonts w:eastAsia="Calibri"/>
                      <w:lang w:eastAsia="en-US"/>
                    </w:rPr>
                    <w:t>+4,1</w:t>
                  </w:r>
                </w:p>
              </w:tc>
              <w:tc>
                <w:tcPr>
                  <w:tcW w:w="1276" w:type="dxa"/>
                  <w:vAlign w:val="center"/>
                </w:tcPr>
                <w:p w:rsidR="006717BA" w:rsidRPr="0095377B" w:rsidRDefault="006717BA" w:rsidP="00255779">
                  <w:pPr>
                    <w:jc w:val="center"/>
                    <w:rPr>
                      <w:rFonts w:eastAsia="Calibri"/>
                      <w:lang w:eastAsia="en-US"/>
                    </w:rPr>
                  </w:pPr>
                  <w:r>
                    <w:rPr>
                      <w:rFonts w:eastAsia="Calibri"/>
                      <w:lang w:eastAsia="en-US"/>
                    </w:rPr>
                    <w:t>+39,2</w:t>
                  </w:r>
                </w:p>
              </w:tc>
              <w:tc>
                <w:tcPr>
                  <w:tcW w:w="1276" w:type="dxa"/>
                  <w:vAlign w:val="center"/>
                </w:tcPr>
                <w:p w:rsidR="006717BA" w:rsidRPr="0095377B" w:rsidRDefault="006717BA" w:rsidP="00255779">
                  <w:pPr>
                    <w:jc w:val="center"/>
                    <w:rPr>
                      <w:rFonts w:eastAsia="Calibri"/>
                      <w:lang w:eastAsia="en-US"/>
                    </w:rPr>
                  </w:pPr>
                  <w:r>
                    <w:rPr>
                      <w:rFonts w:eastAsia="Calibri"/>
                      <w:lang w:eastAsia="en-US"/>
                    </w:rPr>
                    <w:t>+85,9</w:t>
                  </w:r>
                </w:p>
              </w:tc>
            </w:tr>
            <w:tr w:rsidR="006717BA" w:rsidRPr="00473B6E" w:rsidTr="00255779">
              <w:trPr>
                <w:trHeight w:val="381"/>
                <w:tblCellSpacing w:w="0" w:type="dxa"/>
              </w:trPr>
              <w:tc>
                <w:tcPr>
                  <w:tcW w:w="2529" w:type="dxa"/>
                </w:tcPr>
                <w:p w:rsidR="006717BA" w:rsidRPr="0095377B" w:rsidRDefault="006717BA" w:rsidP="00473B6E">
                  <w:pPr>
                    <w:rPr>
                      <w:rFonts w:eastAsia="Calibri"/>
                      <w:lang w:eastAsia="en-US"/>
                    </w:rPr>
                  </w:pPr>
                  <w:r w:rsidRPr="0095377B">
                    <w:rPr>
                      <w:rFonts w:eastAsia="Calibri"/>
                      <w:lang w:eastAsia="en-US"/>
                    </w:rPr>
                    <w:t>1.3. pašvaldību budžets</w:t>
                  </w:r>
                </w:p>
              </w:tc>
              <w:tc>
                <w:tcPr>
                  <w:tcW w:w="1701" w:type="dxa"/>
                  <w:vAlign w:val="center"/>
                </w:tcPr>
                <w:p w:rsidR="006717BA" w:rsidRPr="001B234E" w:rsidRDefault="006717BA" w:rsidP="00255779">
                  <w:pPr>
                    <w:jc w:val="center"/>
                  </w:pPr>
                  <w:r>
                    <w:t>698 </w:t>
                  </w:r>
                  <w:r w:rsidRPr="006717BA">
                    <w:t>291</w:t>
                  </w:r>
                  <w:r>
                    <w:t>,6</w:t>
                  </w:r>
                </w:p>
              </w:tc>
              <w:tc>
                <w:tcPr>
                  <w:tcW w:w="1276" w:type="dxa"/>
                  <w:vAlign w:val="center"/>
                </w:tcPr>
                <w:p w:rsidR="006717BA" w:rsidRPr="00473B6E" w:rsidRDefault="0021274B" w:rsidP="00255779">
                  <w:pPr>
                    <w:jc w:val="center"/>
                    <w:rPr>
                      <w:sz w:val="26"/>
                      <w:szCs w:val="26"/>
                    </w:rPr>
                  </w:pPr>
                  <w:r>
                    <w:rPr>
                      <w:sz w:val="26"/>
                      <w:szCs w:val="26"/>
                    </w:rPr>
                    <w:t>0</w:t>
                  </w:r>
                </w:p>
              </w:tc>
              <w:tc>
                <w:tcPr>
                  <w:tcW w:w="1275" w:type="dxa"/>
                  <w:vAlign w:val="center"/>
                </w:tcPr>
                <w:p w:rsidR="006717BA" w:rsidRPr="0095377B" w:rsidRDefault="006717BA" w:rsidP="00255779">
                  <w:pPr>
                    <w:jc w:val="center"/>
                    <w:rPr>
                      <w:rFonts w:eastAsia="Calibri"/>
                      <w:lang w:eastAsia="en-US"/>
                    </w:rPr>
                  </w:pPr>
                  <w:r>
                    <w:rPr>
                      <w:rFonts w:eastAsia="Calibri"/>
                      <w:lang w:eastAsia="en-US"/>
                    </w:rPr>
                    <w:t>+0,4</w:t>
                  </w:r>
                </w:p>
              </w:tc>
              <w:tc>
                <w:tcPr>
                  <w:tcW w:w="1276" w:type="dxa"/>
                  <w:vAlign w:val="center"/>
                </w:tcPr>
                <w:p w:rsidR="006717BA" w:rsidRPr="0095377B" w:rsidRDefault="006717BA" w:rsidP="00255779">
                  <w:pPr>
                    <w:jc w:val="center"/>
                    <w:rPr>
                      <w:rFonts w:eastAsia="Calibri"/>
                      <w:lang w:eastAsia="en-US"/>
                    </w:rPr>
                  </w:pPr>
                  <w:r>
                    <w:rPr>
                      <w:rFonts w:eastAsia="Calibri"/>
                      <w:lang w:eastAsia="en-US"/>
                    </w:rPr>
                    <w:t>+3,5</w:t>
                  </w:r>
                </w:p>
              </w:tc>
              <w:tc>
                <w:tcPr>
                  <w:tcW w:w="1276" w:type="dxa"/>
                  <w:vAlign w:val="center"/>
                </w:tcPr>
                <w:p w:rsidR="006717BA" w:rsidRPr="0095377B" w:rsidRDefault="006717BA" w:rsidP="00255779">
                  <w:pPr>
                    <w:jc w:val="center"/>
                    <w:rPr>
                      <w:rFonts w:eastAsia="Calibri"/>
                      <w:lang w:eastAsia="en-US"/>
                    </w:rPr>
                  </w:pPr>
                  <w:r>
                    <w:rPr>
                      <w:rFonts w:eastAsia="Calibri"/>
                      <w:lang w:eastAsia="en-US"/>
                    </w:rPr>
                    <w:t>+7,6</w:t>
                  </w:r>
                </w:p>
              </w:tc>
            </w:tr>
            <w:tr w:rsidR="006717BA" w:rsidRPr="00473B6E" w:rsidTr="0021274B">
              <w:trPr>
                <w:trHeight w:val="381"/>
                <w:tblCellSpacing w:w="0" w:type="dxa"/>
              </w:trPr>
              <w:tc>
                <w:tcPr>
                  <w:tcW w:w="2529" w:type="dxa"/>
                </w:tcPr>
                <w:p w:rsidR="006717BA" w:rsidRPr="0095377B" w:rsidRDefault="006717BA" w:rsidP="00473B6E">
                  <w:pPr>
                    <w:rPr>
                      <w:rFonts w:eastAsia="Calibri"/>
                      <w:lang w:eastAsia="en-US"/>
                    </w:rPr>
                  </w:pPr>
                  <w:r>
                    <w:rPr>
                      <w:rFonts w:eastAsia="Calibri"/>
                      <w:lang w:eastAsia="en-US"/>
                    </w:rPr>
                    <w:t>2. Budžeta izdevum</w:t>
                  </w:r>
                  <w:r w:rsidRPr="0095377B">
                    <w:rPr>
                      <w:rFonts w:eastAsia="Calibri"/>
                      <w:lang w:eastAsia="en-US"/>
                    </w:rPr>
                    <w:t>i:</w:t>
                  </w:r>
                </w:p>
              </w:tc>
              <w:tc>
                <w:tcPr>
                  <w:tcW w:w="1701" w:type="dxa"/>
                  <w:vAlign w:val="center"/>
                </w:tcPr>
                <w:p w:rsidR="006717BA" w:rsidRPr="00121E5C" w:rsidRDefault="0021274B" w:rsidP="00255779">
                  <w:pPr>
                    <w:jc w:val="center"/>
                  </w:pPr>
                  <w:r w:rsidRPr="00121E5C">
                    <w:t>0</w:t>
                  </w:r>
                </w:p>
              </w:tc>
              <w:tc>
                <w:tcPr>
                  <w:tcW w:w="1276" w:type="dxa"/>
                  <w:vAlign w:val="center"/>
                </w:tcPr>
                <w:p w:rsidR="006717BA" w:rsidRPr="00121E5C" w:rsidRDefault="0021274B" w:rsidP="00255779">
                  <w:pPr>
                    <w:jc w:val="center"/>
                  </w:pPr>
                  <w:r w:rsidRPr="00121E5C">
                    <w:t>0</w:t>
                  </w:r>
                </w:p>
              </w:tc>
              <w:tc>
                <w:tcPr>
                  <w:tcW w:w="1275" w:type="dxa"/>
                  <w:vAlign w:val="center"/>
                </w:tcPr>
                <w:p w:rsidR="006717BA" w:rsidRPr="00121E5C" w:rsidRDefault="00121E5C" w:rsidP="00255779">
                  <w:pPr>
                    <w:jc w:val="center"/>
                    <w:rPr>
                      <w:rFonts w:eastAsia="Calibri"/>
                      <w:lang w:eastAsia="en-US"/>
                    </w:rPr>
                  </w:pPr>
                  <w:r w:rsidRPr="00121E5C">
                    <w:rPr>
                      <w:rFonts w:eastAsia="Calibri"/>
                      <w:lang w:eastAsia="en-US"/>
                    </w:rPr>
                    <w:t>+ 44,1</w:t>
                  </w:r>
                </w:p>
              </w:tc>
              <w:tc>
                <w:tcPr>
                  <w:tcW w:w="1276" w:type="dxa"/>
                  <w:vAlign w:val="center"/>
                </w:tcPr>
                <w:p w:rsidR="006717BA" w:rsidRPr="00121E5C" w:rsidRDefault="0021274B" w:rsidP="00255779">
                  <w:pPr>
                    <w:jc w:val="center"/>
                    <w:rPr>
                      <w:rFonts w:eastAsia="Calibri"/>
                      <w:lang w:eastAsia="en-US"/>
                    </w:rPr>
                  </w:pPr>
                  <w:r w:rsidRPr="00121E5C">
                    <w:rPr>
                      <w:rFonts w:eastAsia="Calibri"/>
                      <w:lang w:eastAsia="en-US"/>
                    </w:rPr>
                    <w:t>0</w:t>
                  </w:r>
                </w:p>
              </w:tc>
              <w:tc>
                <w:tcPr>
                  <w:tcW w:w="1276" w:type="dxa"/>
                  <w:vAlign w:val="center"/>
                </w:tcPr>
                <w:p w:rsidR="006717BA" w:rsidRPr="00121E5C" w:rsidRDefault="0021274B" w:rsidP="00255779">
                  <w:pPr>
                    <w:jc w:val="center"/>
                    <w:rPr>
                      <w:rFonts w:eastAsia="Calibri"/>
                      <w:lang w:eastAsia="en-US"/>
                    </w:rPr>
                  </w:pPr>
                  <w:r w:rsidRPr="00121E5C">
                    <w:rPr>
                      <w:rFonts w:eastAsia="Calibri"/>
                      <w:lang w:eastAsia="en-US"/>
                    </w:rPr>
                    <w:t>0</w:t>
                  </w:r>
                </w:p>
              </w:tc>
            </w:tr>
            <w:tr w:rsidR="006717BA" w:rsidRPr="00473B6E" w:rsidTr="0021274B">
              <w:trPr>
                <w:trHeight w:val="381"/>
                <w:tblCellSpacing w:w="0" w:type="dxa"/>
              </w:trPr>
              <w:tc>
                <w:tcPr>
                  <w:tcW w:w="2529" w:type="dxa"/>
                </w:tcPr>
                <w:p w:rsidR="006717BA" w:rsidRPr="0095377B" w:rsidRDefault="006717BA" w:rsidP="00473B6E">
                  <w:pPr>
                    <w:rPr>
                      <w:rFonts w:eastAsia="Calibri"/>
                      <w:lang w:eastAsia="en-US"/>
                    </w:rPr>
                  </w:pPr>
                  <w:r w:rsidRPr="0095377B">
                    <w:rPr>
                      <w:rFonts w:eastAsia="Calibri"/>
                      <w:lang w:eastAsia="en-US"/>
                    </w:rPr>
                    <w:t>2.1. valsts pamatbudžets</w:t>
                  </w:r>
                </w:p>
              </w:tc>
              <w:tc>
                <w:tcPr>
                  <w:tcW w:w="1701" w:type="dxa"/>
                  <w:vAlign w:val="center"/>
                </w:tcPr>
                <w:p w:rsidR="006717BA" w:rsidRPr="00121E5C" w:rsidRDefault="0021274B" w:rsidP="00255779">
                  <w:pPr>
                    <w:jc w:val="center"/>
                  </w:pPr>
                  <w:r w:rsidRPr="00121E5C">
                    <w:t>0</w:t>
                  </w:r>
                </w:p>
              </w:tc>
              <w:tc>
                <w:tcPr>
                  <w:tcW w:w="1276" w:type="dxa"/>
                  <w:vAlign w:val="center"/>
                </w:tcPr>
                <w:p w:rsidR="006717BA" w:rsidRPr="00121E5C" w:rsidRDefault="0021274B" w:rsidP="00255779">
                  <w:pPr>
                    <w:jc w:val="center"/>
                  </w:pPr>
                  <w:r w:rsidRPr="00121E5C">
                    <w:t>0</w:t>
                  </w:r>
                </w:p>
              </w:tc>
              <w:tc>
                <w:tcPr>
                  <w:tcW w:w="1275" w:type="dxa"/>
                  <w:vAlign w:val="center"/>
                </w:tcPr>
                <w:p w:rsidR="006717BA" w:rsidRPr="00121E5C" w:rsidRDefault="00121E5C" w:rsidP="00255779">
                  <w:pPr>
                    <w:jc w:val="center"/>
                    <w:rPr>
                      <w:rFonts w:eastAsia="Calibri"/>
                      <w:lang w:eastAsia="en-US"/>
                    </w:rPr>
                  </w:pPr>
                  <w:r>
                    <w:rPr>
                      <w:rFonts w:eastAsia="Calibri"/>
                      <w:lang w:eastAsia="en-US"/>
                    </w:rPr>
                    <w:t>+ 44,1</w:t>
                  </w:r>
                </w:p>
              </w:tc>
              <w:tc>
                <w:tcPr>
                  <w:tcW w:w="1276" w:type="dxa"/>
                  <w:vAlign w:val="center"/>
                </w:tcPr>
                <w:p w:rsidR="006717BA" w:rsidRPr="00121E5C" w:rsidRDefault="0021274B" w:rsidP="00255779">
                  <w:pPr>
                    <w:jc w:val="center"/>
                    <w:rPr>
                      <w:rFonts w:eastAsia="Calibri"/>
                      <w:lang w:eastAsia="en-US"/>
                    </w:rPr>
                  </w:pPr>
                  <w:r w:rsidRPr="00121E5C">
                    <w:rPr>
                      <w:rFonts w:eastAsia="Calibri"/>
                      <w:lang w:eastAsia="en-US"/>
                    </w:rPr>
                    <w:t>0</w:t>
                  </w:r>
                </w:p>
              </w:tc>
              <w:tc>
                <w:tcPr>
                  <w:tcW w:w="1276" w:type="dxa"/>
                  <w:vAlign w:val="center"/>
                </w:tcPr>
                <w:p w:rsidR="006717BA" w:rsidRPr="00121E5C" w:rsidRDefault="0021274B" w:rsidP="00255779">
                  <w:pPr>
                    <w:jc w:val="center"/>
                    <w:rPr>
                      <w:rFonts w:eastAsia="Calibri"/>
                      <w:lang w:eastAsia="en-US"/>
                    </w:rPr>
                  </w:pPr>
                  <w:r w:rsidRPr="00121E5C">
                    <w:rPr>
                      <w:rFonts w:eastAsia="Calibri"/>
                      <w:lang w:eastAsia="en-US"/>
                    </w:rPr>
                    <w:t>0</w:t>
                  </w:r>
                </w:p>
              </w:tc>
            </w:tr>
            <w:tr w:rsidR="006717BA" w:rsidRPr="00473B6E" w:rsidTr="0021274B">
              <w:trPr>
                <w:trHeight w:val="381"/>
                <w:tblCellSpacing w:w="0" w:type="dxa"/>
              </w:trPr>
              <w:tc>
                <w:tcPr>
                  <w:tcW w:w="2529" w:type="dxa"/>
                </w:tcPr>
                <w:p w:rsidR="006717BA" w:rsidRPr="0095377B" w:rsidRDefault="006717BA" w:rsidP="00473B6E">
                  <w:pPr>
                    <w:rPr>
                      <w:rFonts w:eastAsia="Calibri"/>
                      <w:lang w:eastAsia="en-US"/>
                    </w:rPr>
                  </w:pPr>
                  <w:r w:rsidRPr="0095377B">
                    <w:rPr>
                      <w:rFonts w:eastAsia="Calibri"/>
                      <w:lang w:eastAsia="en-US"/>
                    </w:rPr>
                    <w:t>2.2. valsts speciālais budžets</w:t>
                  </w:r>
                </w:p>
              </w:tc>
              <w:tc>
                <w:tcPr>
                  <w:tcW w:w="1701" w:type="dxa"/>
                  <w:vAlign w:val="center"/>
                </w:tcPr>
                <w:p w:rsidR="006717BA" w:rsidRPr="00121E5C" w:rsidRDefault="0021274B" w:rsidP="00255779">
                  <w:pPr>
                    <w:jc w:val="center"/>
                  </w:pPr>
                  <w:r w:rsidRPr="00121E5C">
                    <w:t>0</w:t>
                  </w:r>
                </w:p>
              </w:tc>
              <w:tc>
                <w:tcPr>
                  <w:tcW w:w="1276" w:type="dxa"/>
                  <w:vAlign w:val="center"/>
                </w:tcPr>
                <w:p w:rsidR="006717BA" w:rsidRPr="00121E5C" w:rsidRDefault="0021274B" w:rsidP="00255779">
                  <w:pPr>
                    <w:jc w:val="center"/>
                  </w:pPr>
                  <w:r w:rsidRPr="00121E5C">
                    <w:t>0</w:t>
                  </w:r>
                </w:p>
              </w:tc>
              <w:tc>
                <w:tcPr>
                  <w:tcW w:w="1275" w:type="dxa"/>
                  <w:vAlign w:val="center"/>
                </w:tcPr>
                <w:p w:rsidR="006717BA" w:rsidRPr="00121E5C" w:rsidRDefault="0021274B" w:rsidP="00255779">
                  <w:pPr>
                    <w:jc w:val="center"/>
                    <w:rPr>
                      <w:rFonts w:eastAsia="Calibri"/>
                      <w:lang w:eastAsia="en-US"/>
                    </w:rPr>
                  </w:pPr>
                  <w:r w:rsidRPr="00121E5C">
                    <w:rPr>
                      <w:rFonts w:eastAsia="Calibri"/>
                      <w:lang w:eastAsia="en-US"/>
                    </w:rPr>
                    <w:t>0</w:t>
                  </w:r>
                </w:p>
              </w:tc>
              <w:tc>
                <w:tcPr>
                  <w:tcW w:w="1276" w:type="dxa"/>
                  <w:vAlign w:val="center"/>
                </w:tcPr>
                <w:p w:rsidR="006717BA" w:rsidRPr="00121E5C" w:rsidRDefault="0021274B" w:rsidP="00255779">
                  <w:pPr>
                    <w:jc w:val="center"/>
                    <w:rPr>
                      <w:rFonts w:eastAsia="Calibri"/>
                      <w:lang w:eastAsia="en-US"/>
                    </w:rPr>
                  </w:pPr>
                  <w:r w:rsidRPr="00121E5C">
                    <w:rPr>
                      <w:rFonts w:eastAsia="Calibri"/>
                      <w:lang w:eastAsia="en-US"/>
                    </w:rPr>
                    <w:t>0</w:t>
                  </w:r>
                </w:p>
              </w:tc>
              <w:tc>
                <w:tcPr>
                  <w:tcW w:w="1276" w:type="dxa"/>
                  <w:vAlign w:val="center"/>
                </w:tcPr>
                <w:p w:rsidR="006717BA" w:rsidRPr="00121E5C" w:rsidRDefault="0021274B" w:rsidP="00255779">
                  <w:pPr>
                    <w:jc w:val="center"/>
                    <w:rPr>
                      <w:rFonts w:eastAsia="Calibri"/>
                      <w:lang w:eastAsia="en-US"/>
                    </w:rPr>
                  </w:pPr>
                  <w:r w:rsidRPr="00121E5C">
                    <w:rPr>
                      <w:rFonts w:eastAsia="Calibri"/>
                      <w:lang w:eastAsia="en-US"/>
                    </w:rPr>
                    <w:t>0</w:t>
                  </w:r>
                </w:p>
              </w:tc>
            </w:tr>
            <w:tr w:rsidR="006717BA" w:rsidRPr="00473B6E" w:rsidTr="0021274B">
              <w:trPr>
                <w:trHeight w:val="381"/>
                <w:tblCellSpacing w:w="0" w:type="dxa"/>
              </w:trPr>
              <w:tc>
                <w:tcPr>
                  <w:tcW w:w="2529" w:type="dxa"/>
                </w:tcPr>
                <w:p w:rsidR="006717BA" w:rsidRPr="0095377B" w:rsidRDefault="006717BA" w:rsidP="00473B6E">
                  <w:pPr>
                    <w:rPr>
                      <w:rFonts w:eastAsia="Calibri"/>
                      <w:lang w:eastAsia="en-US"/>
                    </w:rPr>
                  </w:pPr>
                  <w:r w:rsidRPr="0095377B">
                    <w:rPr>
                      <w:rFonts w:eastAsia="Calibri"/>
                      <w:lang w:eastAsia="en-US"/>
                    </w:rPr>
                    <w:t>2.3. pašvaldību budžets</w:t>
                  </w:r>
                </w:p>
              </w:tc>
              <w:tc>
                <w:tcPr>
                  <w:tcW w:w="1701" w:type="dxa"/>
                  <w:vAlign w:val="center"/>
                </w:tcPr>
                <w:p w:rsidR="006717BA" w:rsidRPr="00473B6E" w:rsidRDefault="0021274B" w:rsidP="00255779">
                  <w:pPr>
                    <w:jc w:val="center"/>
                    <w:rPr>
                      <w:sz w:val="26"/>
                      <w:szCs w:val="26"/>
                    </w:rPr>
                  </w:pPr>
                  <w:r>
                    <w:rPr>
                      <w:sz w:val="26"/>
                      <w:szCs w:val="26"/>
                    </w:rPr>
                    <w:t>0</w:t>
                  </w:r>
                </w:p>
              </w:tc>
              <w:tc>
                <w:tcPr>
                  <w:tcW w:w="1276" w:type="dxa"/>
                  <w:vAlign w:val="center"/>
                </w:tcPr>
                <w:p w:rsidR="006717BA" w:rsidRPr="00473B6E" w:rsidRDefault="0021274B" w:rsidP="00255779">
                  <w:pPr>
                    <w:jc w:val="center"/>
                    <w:rPr>
                      <w:sz w:val="26"/>
                      <w:szCs w:val="26"/>
                    </w:rPr>
                  </w:pPr>
                  <w:r>
                    <w:rPr>
                      <w:sz w:val="26"/>
                      <w:szCs w:val="26"/>
                    </w:rPr>
                    <w:t>0</w:t>
                  </w:r>
                </w:p>
              </w:tc>
              <w:tc>
                <w:tcPr>
                  <w:tcW w:w="1275" w:type="dxa"/>
                  <w:vAlign w:val="center"/>
                </w:tcPr>
                <w:p w:rsidR="006717BA" w:rsidRPr="0095377B" w:rsidRDefault="0021274B" w:rsidP="00255779">
                  <w:pPr>
                    <w:jc w:val="center"/>
                    <w:rPr>
                      <w:rFonts w:eastAsia="Calibri"/>
                      <w:lang w:eastAsia="en-US"/>
                    </w:rPr>
                  </w:pPr>
                  <w:r>
                    <w:rPr>
                      <w:rFonts w:eastAsia="Calibri"/>
                      <w:lang w:eastAsia="en-US"/>
                    </w:rPr>
                    <w:t>0</w:t>
                  </w:r>
                </w:p>
              </w:tc>
              <w:tc>
                <w:tcPr>
                  <w:tcW w:w="1276" w:type="dxa"/>
                  <w:vAlign w:val="center"/>
                </w:tcPr>
                <w:p w:rsidR="006717BA" w:rsidRPr="0095377B" w:rsidRDefault="0021274B" w:rsidP="00255779">
                  <w:pPr>
                    <w:jc w:val="center"/>
                    <w:rPr>
                      <w:rFonts w:eastAsia="Calibri"/>
                      <w:lang w:eastAsia="en-US"/>
                    </w:rPr>
                  </w:pPr>
                  <w:r>
                    <w:rPr>
                      <w:rFonts w:eastAsia="Calibri"/>
                      <w:lang w:eastAsia="en-US"/>
                    </w:rPr>
                    <w:t>0</w:t>
                  </w:r>
                </w:p>
              </w:tc>
              <w:tc>
                <w:tcPr>
                  <w:tcW w:w="1276" w:type="dxa"/>
                  <w:vAlign w:val="center"/>
                </w:tcPr>
                <w:p w:rsidR="006717BA" w:rsidRPr="0095377B" w:rsidRDefault="0021274B" w:rsidP="00255779">
                  <w:pPr>
                    <w:jc w:val="center"/>
                    <w:rPr>
                      <w:rFonts w:eastAsia="Calibri"/>
                      <w:lang w:eastAsia="en-US"/>
                    </w:rPr>
                  </w:pPr>
                  <w:r>
                    <w:rPr>
                      <w:rFonts w:eastAsia="Calibri"/>
                      <w:lang w:eastAsia="en-US"/>
                    </w:rPr>
                    <w:t>0</w:t>
                  </w:r>
                </w:p>
              </w:tc>
            </w:tr>
            <w:tr w:rsidR="00227CC7" w:rsidRPr="00473B6E" w:rsidTr="0021274B">
              <w:trPr>
                <w:trHeight w:val="381"/>
                <w:tblCellSpacing w:w="0" w:type="dxa"/>
              </w:trPr>
              <w:tc>
                <w:tcPr>
                  <w:tcW w:w="2529" w:type="dxa"/>
                </w:tcPr>
                <w:p w:rsidR="00227CC7" w:rsidRPr="0095377B" w:rsidRDefault="00227CC7" w:rsidP="00473B6E">
                  <w:pPr>
                    <w:rPr>
                      <w:rFonts w:eastAsia="Calibri"/>
                      <w:lang w:eastAsia="en-US"/>
                    </w:rPr>
                  </w:pPr>
                  <w:r w:rsidRPr="0095377B">
                    <w:rPr>
                      <w:rFonts w:eastAsia="Calibri"/>
                      <w:lang w:eastAsia="en-US"/>
                    </w:rPr>
                    <w:t>3. Finansiālā ietekme:</w:t>
                  </w:r>
                </w:p>
              </w:tc>
              <w:tc>
                <w:tcPr>
                  <w:tcW w:w="1701" w:type="dxa"/>
                  <w:vAlign w:val="center"/>
                </w:tcPr>
                <w:p w:rsidR="00227CC7" w:rsidRPr="00473B6E" w:rsidRDefault="0021274B" w:rsidP="00255779">
                  <w:pPr>
                    <w:jc w:val="center"/>
                    <w:rPr>
                      <w:sz w:val="26"/>
                      <w:szCs w:val="26"/>
                    </w:rPr>
                  </w:pPr>
                  <w:r>
                    <w:rPr>
                      <w:sz w:val="26"/>
                      <w:szCs w:val="26"/>
                    </w:rPr>
                    <w:t>0</w:t>
                  </w:r>
                </w:p>
              </w:tc>
              <w:tc>
                <w:tcPr>
                  <w:tcW w:w="1276" w:type="dxa"/>
                  <w:vAlign w:val="center"/>
                </w:tcPr>
                <w:p w:rsidR="00227CC7" w:rsidRPr="00473B6E" w:rsidRDefault="0021274B" w:rsidP="00255779">
                  <w:pPr>
                    <w:jc w:val="center"/>
                    <w:rPr>
                      <w:sz w:val="26"/>
                      <w:szCs w:val="26"/>
                    </w:rPr>
                  </w:pPr>
                  <w:r>
                    <w:rPr>
                      <w:sz w:val="26"/>
                      <w:szCs w:val="26"/>
                    </w:rPr>
                    <w:t>0</w:t>
                  </w:r>
                </w:p>
              </w:tc>
              <w:tc>
                <w:tcPr>
                  <w:tcW w:w="1275" w:type="dxa"/>
                  <w:vAlign w:val="center"/>
                </w:tcPr>
                <w:p w:rsidR="00227CC7" w:rsidRPr="00686D94" w:rsidRDefault="00121E5C" w:rsidP="00255779">
                  <w:pPr>
                    <w:jc w:val="center"/>
                    <w:rPr>
                      <w:b/>
                      <w:sz w:val="20"/>
                    </w:rPr>
                  </w:pPr>
                  <w:r>
                    <w:t>- 39,6</w:t>
                  </w:r>
                </w:p>
              </w:tc>
              <w:tc>
                <w:tcPr>
                  <w:tcW w:w="1276" w:type="dxa"/>
                  <w:vAlign w:val="center"/>
                </w:tcPr>
                <w:p w:rsidR="00227CC7" w:rsidRPr="00686D94" w:rsidRDefault="00227CC7" w:rsidP="00255779">
                  <w:pPr>
                    <w:jc w:val="center"/>
                    <w:rPr>
                      <w:b/>
                      <w:sz w:val="20"/>
                    </w:rPr>
                  </w:pPr>
                  <w:r w:rsidRPr="006717BA">
                    <w:t>+43,5</w:t>
                  </w:r>
                </w:p>
              </w:tc>
              <w:tc>
                <w:tcPr>
                  <w:tcW w:w="1276" w:type="dxa"/>
                  <w:vAlign w:val="center"/>
                </w:tcPr>
                <w:p w:rsidR="00227CC7" w:rsidRPr="00686D94" w:rsidRDefault="00227CC7" w:rsidP="00255779">
                  <w:pPr>
                    <w:jc w:val="center"/>
                    <w:rPr>
                      <w:b/>
                      <w:sz w:val="20"/>
                    </w:rPr>
                  </w:pPr>
                  <w:r w:rsidRPr="006717BA">
                    <w:t>+95,5</w:t>
                  </w:r>
                </w:p>
              </w:tc>
            </w:tr>
            <w:tr w:rsidR="00227CC7" w:rsidRPr="00473B6E" w:rsidTr="0021274B">
              <w:trPr>
                <w:trHeight w:val="381"/>
                <w:tblCellSpacing w:w="0" w:type="dxa"/>
              </w:trPr>
              <w:tc>
                <w:tcPr>
                  <w:tcW w:w="2529" w:type="dxa"/>
                </w:tcPr>
                <w:p w:rsidR="00227CC7" w:rsidRPr="0095377B" w:rsidRDefault="00227CC7" w:rsidP="00473B6E">
                  <w:pPr>
                    <w:rPr>
                      <w:rFonts w:eastAsia="Calibri"/>
                      <w:lang w:eastAsia="en-US"/>
                    </w:rPr>
                  </w:pPr>
                  <w:r w:rsidRPr="0095377B">
                    <w:rPr>
                      <w:rFonts w:eastAsia="Calibri"/>
                      <w:lang w:eastAsia="en-US"/>
                    </w:rPr>
                    <w:t>3.1. valsts pamatbudžets</w:t>
                  </w:r>
                </w:p>
              </w:tc>
              <w:tc>
                <w:tcPr>
                  <w:tcW w:w="1701" w:type="dxa"/>
                  <w:vAlign w:val="center"/>
                </w:tcPr>
                <w:p w:rsidR="00227CC7" w:rsidRPr="00473B6E" w:rsidRDefault="0021274B" w:rsidP="00255779">
                  <w:pPr>
                    <w:jc w:val="center"/>
                    <w:rPr>
                      <w:sz w:val="26"/>
                      <w:szCs w:val="26"/>
                    </w:rPr>
                  </w:pPr>
                  <w:r>
                    <w:rPr>
                      <w:sz w:val="26"/>
                      <w:szCs w:val="26"/>
                    </w:rPr>
                    <w:t>0</w:t>
                  </w:r>
                </w:p>
              </w:tc>
              <w:tc>
                <w:tcPr>
                  <w:tcW w:w="1276" w:type="dxa"/>
                  <w:vAlign w:val="center"/>
                </w:tcPr>
                <w:p w:rsidR="00227CC7" w:rsidRPr="00473B6E" w:rsidRDefault="0021274B" w:rsidP="00255779">
                  <w:pPr>
                    <w:jc w:val="center"/>
                    <w:rPr>
                      <w:sz w:val="26"/>
                      <w:szCs w:val="26"/>
                    </w:rPr>
                  </w:pPr>
                  <w:r>
                    <w:rPr>
                      <w:sz w:val="26"/>
                      <w:szCs w:val="26"/>
                    </w:rPr>
                    <w:t>0</w:t>
                  </w:r>
                </w:p>
              </w:tc>
              <w:tc>
                <w:tcPr>
                  <w:tcW w:w="1275" w:type="dxa"/>
                  <w:vAlign w:val="center"/>
                </w:tcPr>
                <w:p w:rsidR="00227CC7" w:rsidRPr="0095377B" w:rsidRDefault="00121E5C" w:rsidP="00255779">
                  <w:pPr>
                    <w:jc w:val="center"/>
                    <w:rPr>
                      <w:rFonts w:eastAsia="Calibri"/>
                      <w:lang w:eastAsia="en-US"/>
                    </w:rPr>
                  </w:pPr>
                  <w:r>
                    <w:rPr>
                      <w:rFonts w:eastAsia="Calibri"/>
                      <w:lang w:eastAsia="en-US"/>
                    </w:rPr>
                    <w:t>- 44,0</w:t>
                  </w:r>
                </w:p>
              </w:tc>
              <w:tc>
                <w:tcPr>
                  <w:tcW w:w="1276" w:type="dxa"/>
                  <w:vAlign w:val="center"/>
                </w:tcPr>
                <w:p w:rsidR="00227CC7" w:rsidRPr="0095377B" w:rsidRDefault="00227CC7" w:rsidP="00255779">
                  <w:pPr>
                    <w:jc w:val="center"/>
                    <w:rPr>
                      <w:rFonts w:eastAsia="Calibri"/>
                      <w:lang w:eastAsia="en-US"/>
                    </w:rPr>
                  </w:pPr>
                  <w:r>
                    <w:rPr>
                      <w:rFonts w:eastAsia="Calibri"/>
                      <w:lang w:eastAsia="en-US"/>
                    </w:rPr>
                    <w:t>+0,9</w:t>
                  </w:r>
                </w:p>
              </w:tc>
              <w:tc>
                <w:tcPr>
                  <w:tcW w:w="1276" w:type="dxa"/>
                  <w:vAlign w:val="center"/>
                </w:tcPr>
                <w:p w:rsidR="00227CC7" w:rsidRPr="0095377B" w:rsidRDefault="00227CC7" w:rsidP="00255779">
                  <w:pPr>
                    <w:jc w:val="center"/>
                    <w:rPr>
                      <w:rFonts w:eastAsia="Calibri"/>
                      <w:lang w:eastAsia="en-US"/>
                    </w:rPr>
                  </w:pPr>
                  <w:r>
                    <w:rPr>
                      <w:rFonts w:eastAsia="Calibri"/>
                      <w:lang w:eastAsia="en-US"/>
                    </w:rPr>
                    <w:t>+1,9</w:t>
                  </w:r>
                </w:p>
              </w:tc>
            </w:tr>
            <w:tr w:rsidR="00227CC7" w:rsidRPr="00473B6E" w:rsidTr="0021274B">
              <w:trPr>
                <w:trHeight w:val="381"/>
                <w:tblCellSpacing w:w="0" w:type="dxa"/>
              </w:trPr>
              <w:tc>
                <w:tcPr>
                  <w:tcW w:w="2529" w:type="dxa"/>
                </w:tcPr>
                <w:p w:rsidR="00227CC7" w:rsidRPr="0095377B" w:rsidRDefault="00227CC7" w:rsidP="00473B6E">
                  <w:pPr>
                    <w:rPr>
                      <w:rFonts w:eastAsia="Calibri"/>
                      <w:lang w:eastAsia="en-US"/>
                    </w:rPr>
                  </w:pPr>
                  <w:r w:rsidRPr="0095377B">
                    <w:rPr>
                      <w:rFonts w:eastAsia="Calibri"/>
                      <w:lang w:eastAsia="en-US"/>
                    </w:rPr>
                    <w:lastRenderedPageBreak/>
                    <w:t>3.2. speciālais budžets</w:t>
                  </w:r>
                </w:p>
              </w:tc>
              <w:tc>
                <w:tcPr>
                  <w:tcW w:w="1701" w:type="dxa"/>
                  <w:vAlign w:val="center"/>
                </w:tcPr>
                <w:p w:rsidR="00227CC7" w:rsidRPr="00473B6E" w:rsidRDefault="0021274B" w:rsidP="00255779">
                  <w:pPr>
                    <w:jc w:val="center"/>
                    <w:rPr>
                      <w:sz w:val="26"/>
                      <w:szCs w:val="26"/>
                    </w:rPr>
                  </w:pPr>
                  <w:r>
                    <w:rPr>
                      <w:sz w:val="26"/>
                      <w:szCs w:val="26"/>
                    </w:rPr>
                    <w:t>0</w:t>
                  </w:r>
                </w:p>
              </w:tc>
              <w:tc>
                <w:tcPr>
                  <w:tcW w:w="1276" w:type="dxa"/>
                  <w:vAlign w:val="center"/>
                </w:tcPr>
                <w:p w:rsidR="00227CC7" w:rsidRPr="00473B6E" w:rsidRDefault="0021274B" w:rsidP="00255779">
                  <w:pPr>
                    <w:jc w:val="center"/>
                    <w:rPr>
                      <w:sz w:val="26"/>
                      <w:szCs w:val="26"/>
                    </w:rPr>
                  </w:pPr>
                  <w:r>
                    <w:rPr>
                      <w:sz w:val="26"/>
                      <w:szCs w:val="26"/>
                    </w:rPr>
                    <w:t>0</w:t>
                  </w:r>
                </w:p>
              </w:tc>
              <w:tc>
                <w:tcPr>
                  <w:tcW w:w="1275" w:type="dxa"/>
                  <w:vAlign w:val="center"/>
                </w:tcPr>
                <w:p w:rsidR="00227CC7" w:rsidRPr="0095377B" w:rsidRDefault="00227CC7" w:rsidP="00255779">
                  <w:pPr>
                    <w:jc w:val="center"/>
                    <w:rPr>
                      <w:rFonts w:eastAsia="Calibri"/>
                      <w:lang w:eastAsia="en-US"/>
                    </w:rPr>
                  </w:pPr>
                  <w:r>
                    <w:rPr>
                      <w:rFonts w:eastAsia="Calibri"/>
                      <w:lang w:eastAsia="en-US"/>
                    </w:rPr>
                    <w:t>+4,1</w:t>
                  </w:r>
                </w:p>
              </w:tc>
              <w:tc>
                <w:tcPr>
                  <w:tcW w:w="1276" w:type="dxa"/>
                  <w:vAlign w:val="center"/>
                </w:tcPr>
                <w:p w:rsidR="00227CC7" w:rsidRPr="0095377B" w:rsidRDefault="00227CC7" w:rsidP="00255779">
                  <w:pPr>
                    <w:jc w:val="center"/>
                    <w:rPr>
                      <w:rFonts w:eastAsia="Calibri"/>
                      <w:lang w:eastAsia="en-US"/>
                    </w:rPr>
                  </w:pPr>
                  <w:r>
                    <w:rPr>
                      <w:rFonts w:eastAsia="Calibri"/>
                      <w:lang w:eastAsia="en-US"/>
                    </w:rPr>
                    <w:t>+39,2</w:t>
                  </w:r>
                </w:p>
              </w:tc>
              <w:tc>
                <w:tcPr>
                  <w:tcW w:w="1276" w:type="dxa"/>
                  <w:vAlign w:val="center"/>
                </w:tcPr>
                <w:p w:rsidR="00227CC7" w:rsidRPr="0095377B" w:rsidRDefault="00227CC7" w:rsidP="00255779">
                  <w:pPr>
                    <w:jc w:val="center"/>
                    <w:rPr>
                      <w:rFonts w:eastAsia="Calibri"/>
                      <w:lang w:eastAsia="en-US"/>
                    </w:rPr>
                  </w:pPr>
                  <w:r>
                    <w:rPr>
                      <w:rFonts w:eastAsia="Calibri"/>
                      <w:lang w:eastAsia="en-US"/>
                    </w:rPr>
                    <w:t>+85,9</w:t>
                  </w:r>
                </w:p>
              </w:tc>
            </w:tr>
            <w:tr w:rsidR="00227CC7" w:rsidRPr="00473B6E" w:rsidTr="0021274B">
              <w:trPr>
                <w:trHeight w:val="381"/>
                <w:tblCellSpacing w:w="0" w:type="dxa"/>
              </w:trPr>
              <w:tc>
                <w:tcPr>
                  <w:tcW w:w="2529" w:type="dxa"/>
                </w:tcPr>
                <w:p w:rsidR="00227CC7" w:rsidRDefault="00227CC7" w:rsidP="00473B6E">
                  <w:pPr>
                    <w:rPr>
                      <w:rFonts w:eastAsia="Calibri"/>
                      <w:lang w:eastAsia="en-US"/>
                    </w:rPr>
                  </w:pPr>
                  <w:r w:rsidRPr="0095377B">
                    <w:rPr>
                      <w:rFonts w:eastAsia="Calibri"/>
                      <w:lang w:eastAsia="en-US"/>
                    </w:rPr>
                    <w:t>3.3. pašvaldību budžets</w:t>
                  </w:r>
                </w:p>
                <w:p w:rsidR="00227CC7" w:rsidRPr="0095377B" w:rsidRDefault="00227CC7" w:rsidP="0021729A">
                  <w:pPr>
                    <w:pStyle w:val="NormalWeb"/>
                    <w:spacing w:before="0" w:beforeAutospacing="0" w:after="0" w:afterAutospacing="0"/>
                    <w:ind w:left="280"/>
                    <w:rPr>
                      <w:rFonts w:eastAsia="Calibri"/>
                      <w:lang w:eastAsia="en-US"/>
                    </w:rPr>
                  </w:pPr>
                </w:p>
              </w:tc>
              <w:tc>
                <w:tcPr>
                  <w:tcW w:w="1701" w:type="dxa"/>
                  <w:vAlign w:val="center"/>
                </w:tcPr>
                <w:p w:rsidR="00227CC7" w:rsidRPr="00473B6E" w:rsidRDefault="0021274B" w:rsidP="00255779">
                  <w:pPr>
                    <w:jc w:val="center"/>
                    <w:rPr>
                      <w:sz w:val="26"/>
                      <w:szCs w:val="26"/>
                    </w:rPr>
                  </w:pPr>
                  <w:r>
                    <w:rPr>
                      <w:sz w:val="26"/>
                      <w:szCs w:val="26"/>
                    </w:rPr>
                    <w:t>0</w:t>
                  </w:r>
                </w:p>
              </w:tc>
              <w:tc>
                <w:tcPr>
                  <w:tcW w:w="1276" w:type="dxa"/>
                  <w:vAlign w:val="center"/>
                </w:tcPr>
                <w:p w:rsidR="00227CC7" w:rsidRPr="00473B6E" w:rsidRDefault="0021274B" w:rsidP="00255779">
                  <w:pPr>
                    <w:jc w:val="center"/>
                    <w:rPr>
                      <w:sz w:val="26"/>
                      <w:szCs w:val="26"/>
                    </w:rPr>
                  </w:pPr>
                  <w:r>
                    <w:rPr>
                      <w:sz w:val="26"/>
                      <w:szCs w:val="26"/>
                    </w:rPr>
                    <w:t>0</w:t>
                  </w:r>
                </w:p>
              </w:tc>
              <w:tc>
                <w:tcPr>
                  <w:tcW w:w="1275" w:type="dxa"/>
                  <w:vAlign w:val="center"/>
                </w:tcPr>
                <w:p w:rsidR="00227CC7" w:rsidRPr="0095377B" w:rsidRDefault="00227CC7" w:rsidP="00255779">
                  <w:pPr>
                    <w:jc w:val="center"/>
                    <w:rPr>
                      <w:rFonts w:eastAsia="Calibri"/>
                      <w:lang w:eastAsia="en-US"/>
                    </w:rPr>
                  </w:pPr>
                  <w:r>
                    <w:rPr>
                      <w:rFonts w:eastAsia="Calibri"/>
                      <w:lang w:eastAsia="en-US"/>
                    </w:rPr>
                    <w:t>+0,4</w:t>
                  </w:r>
                </w:p>
              </w:tc>
              <w:tc>
                <w:tcPr>
                  <w:tcW w:w="1276" w:type="dxa"/>
                  <w:vAlign w:val="center"/>
                </w:tcPr>
                <w:p w:rsidR="00227CC7" w:rsidRPr="0095377B" w:rsidRDefault="00227CC7" w:rsidP="00255779">
                  <w:pPr>
                    <w:jc w:val="center"/>
                    <w:rPr>
                      <w:rFonts w:eastAsia="Calibri"/>
                      <w:lang w:eastAsia="en-US"/>
                    </w:rPr>
                  </w:pPr>
                  <w:r>
                    <w:rPr>
                      <w:rFonts w:eastAsia="Calibri"/>
                      <w:lang w:eastAsia="en-US"/>
                    </w:rPr>
                    <w:t>+3,5</w:t>
                  </w:r>
                </w:p>
              </w:tc>
              <w:tc>
                <w:tcPr>
                  <w:tcW w:w="1276" w:type="dxa"/>
                  <w:vAlign w:val="center"/>
                </w:tcPr>
                <w:p w:rsidR="00227CC7" w:rsidRPr="0095377B" w:rsidRDefault="00227CC7" w:rsidP="00255779">
                  <w:pPr>
                    <w:jc w:val="center"/>
                    <w:rPr>
                      <w:rFonts w:eastAsia="Calibri"/>
                      <w:lang w:eastAsia="en-US"/>
                    </w:rPr>
                  </w:pPr>
                  <w:r>
                    <w:rPr>
                      <w:rFonts w:eastAsia="Calibri"/>
                      <w:lang w:eastAsia="en-US"/>
                    </w:rPr>
                    <w:t>+7,6</w:t>
                  </w:r>
                </w:p>
              </w:tc>
            </w:tr>
            <w:tr w:rsidR="00227CC7" w:rsidRPr="00473B6E" w:rsidTr="0021274B">
              <w:trPr>
                <w:trHeight w:val="381"/>
                <w:tblCellSpacing w:w="0" w:type="dxa"/>
              </w:trPr>
              <w:tc>
                <w:tcPr>
                  <w:tcW w:w="2529" w:type="dxa"/>
                  <w:vMerge w:val="restart"/>
                </w:tcPr>
                <w:p w:rsidR="00227CC7" w:rsidRPr="0095377B" w:rsidRDefault="00227CC7" w:rsidP="00473B6E">
                  <w:pPr>
                    <w:rPr>
                      <w:rFonts w:eastAsia="Calibri"/>
                      <w:lang w:eastAsia="en-US"/>
                    </w:rPr>
                  </w:pPr>
                  <w:r w:rsidRPr="0095377B">
                    <w:rPr>
                      <w:rFonts w:eastAsia="Calibri"/>
                      <w:lang w:eastAsia="en-US"/>
                    </w:rPr>
                    <w:t>4. Finanšu līdzekļi papildu izde</w:t>
                  </w:r>
                  <w:r w:rsidRPr="0095377B">
                    <w:rPr>
                      <w:rFonts w:eastAsia="Calibri"/>
                      <w:lang w:eastAsia="en-US"/>
                    </w:rPr>
                    <w:softHyphen/>
                    <w:t>vumu finansēšanai (kompensējošu izdevumu samazinājumu norāda ar "+" zīmi)</w:t>
                  </w:r>
                </w:p>
              </w:tc>
              <w:tc>
                <w:tcPr>
                  <w:tcW w:w="1701" w:type="dxa"/>
                  <w:vMerge w:val="restart"/>
                  <w:vAlign w:val="center"/>
                </w:tcPr>
                <w:p w:rsidR="00227CC7" w:rsidRPr="00473B6E" w:rsidRDefault="0021274B" w:rsidP="00255779">
                  <w:pPr>
                    <w:jc w:val="center"/>
                    <w:rPr>
                      <w:sz w:val="26"/>
                      <w:szCs w:val="26"/>
                    </w:rPr>
                  </w:pPr>
                  <w:r>
                    <w:rPr>
                      <w:sz w:val="26"/>
                      <w:szCs w:val="26"/>
                    </w:rPr>
                    <w:t>X</w:t>
                  </w:r>
                </w:p>
              </w:tc>
              <w:tc>
                <w:tcPr>
                  <w:tcW w:w="1276" w:type="dxa"/>
                  <w:vAlign w:val="center"/>
                </w:tcPr>
                <w:p w:rsidR="00227CC7" w:rsidRPr="00473B6E" w:rsidRDefault="0021274B" w:rsidP="00255779">
                  <w:pPr>
                    <w:jc w:val="center"/>
                    <w:rPr>
                      <w:sz w:val="26"/>
                      <w:szCs w:val="26"/>
                    </w:rPr>
                  </w:pPr>
                  <w:r>
                    <w:rPr>
                      <w:sz w:val="26"/>
                      <w:szCs w:val="26"/>
                    </w:rPr>
                    <w:t>0</w:t>
                  </w:r>
                </w:p>
              </w:tc>
              <w:tc>
                <w:tcPr>
                  <w:tcW w:w="1275" w:type="dxa"/>
                  <w:vAlign w:val="center"/>
                </w:tcPr>
                <w:p w:rsidR="00227CC7" w:rsidRPr="00473B6E" w:rsidRDefault="0021274B" w:rsidP="00255779">
                  <w:pPr>
                    <w:jc w:val="center"/>
                    <w:rPr>
                      <w:rFonts w:eastAsia="Calibri"/>
                      <w:sz w:val="26"/>
                      <w:szCs w:val="26"/>
                      <w:lang w:eastAsia="en-US"/>
                    </w:rPr>
                  </w:pPr>
                  <w:r>
                    <w:rPr>
                      <w:rFonts w:eastAsia="Calibri"/>
                      <w:sz w:val="26"/>
                      <w:szCs w:val="26"/>
                      <w:lang w:eastAsia="en-US"/>
                    </w:rPr>
                    <w:t>0</w:t>
                  </w:r>
                </w:p>
              </w:tc>
              <w:tc>
                <w:tcPr>
                  <w:tcW w:w="1276" w:type="dxa"/>
                  <w:vAlign w:val="center"/>
                </w:tcPr>
                <w:p w:rsidR="00227CC7" w:rsidRPr="00473B6E" w:rsidRDefault="0021274B" w:rsidP="00255779">
                  <w:pPr>
                    <w:jc w:val="center"/>
                    <w:rPr>
                      <w:rFonts w:eastAsia="Calibri"/>
                      <w:sz w:val="26"/>
                      <w:szCs w:val="26"/>
                      <w:lang w:eastAsia="en-US"/>
                    </w:rPr>
                  </w:pPr>
                  <w:r>
                    <w:rPr>
                      <w:rFonts w:eastAsia="Calibri"/>
                      <w:sz w:val="26"/>
                      <w:szCs w:val="26"/>
                      <w:lang w:eastAsia="en-US"/>
                    </w:rPr>
                    <w:t>0</w:t>
                  </w:r>
                </w:p>
              </w:tc>
              <w:tc>
                <w:tcPr>
                  <w:tcW w:w="1276" w:type="dxa"/>
                  <w:vAlign w:val="center"/>
                </w:tcPr>
                <w:p w:rsidR="00227CC7" w:rsidRPr="00473B6E" w:rsidRDefault="0021274B" w:rsidP="00255779">
                  <w:pPr>
                    <w:jc w:val="center"/>
                    <w:rPr>
                      <w:rFonts w:eastAsia="Calibri"/>
                      <w:sz w:val="26"/>
                      <w:szCs w:val="26"/>
                      <w:lang w:eastAsia="en-US"/>
                    </w:rPr>
                  </w:pPr>
                  <w:r>
                    <w:rPr>
                      <w:rFonts w:eastAsia="Calibri"/>
                      <w:sz w:val="26"/>
                      <w:szCs w:val="26"/>
                      <w:lang w:eastAsia="en-US"/>
                    </w:rPr>
                    <w:t>0</w:t>
                  </w:r>
                </w:p>
              </w:tc>
            </w:tr>
            <w:tr w:rsidR="00227CC7" w:rsidRPr="00473B6E" w:rsidTr="0021274B">
              <w:trPr>
                <w:trHeight w:val="381"/>
                <w:tblCellSpacing w:w="0" w:type="dxa"/>
              </w:trPr>
              <w:tc>
                <w:tcPr>
                  <w:tcW w:w="2529" w:type="dxa"/>
                  <w:vMerge/>
                </w:tcPr>
                <w:p w:rsidR="00227CC7" w:rsidRPr="0095377B" w:rsidRDefault="00227CC7" w:rsidP="00473B6E">
                  <w:pPr>
                    <w:jc w:val="center"/>
                    <w:rPr>
                      <w:rFonts w:eastAsia="Calibri"/>
                      <w:lang w:eastAsia="en-US"/>
                    </w:rPr>
                  </w:pPr>
                </w:p>
              </w:tc>
              <w:tc>
                <w:tcPr>
                  <w:tcW w:w="1701" w:type="dxa"/>
                  <w:vMerge/>
                  <w:vAlign w:val="center"/>
                </w:tcPr>
                <w:p w:rsidR="00227CC7" w:rsidRPr="00473B6E" w:rsidRDefault="00227CC7" w:rsidP="00255779">
                  <w:pPr>
                    <w:jc w:val="center"/>
                    <w:rPr>
                      <w:sz w:val="26"/>
                      <w:szCs w:val="26"/>
                    </w:rPr>
                  </w:pPr>
                </w:p>
              </w:tc>
              <w:tc>
                <w:tcPr>
                  <w:tcW w:w="1276" w:type="dxa"/>
                  <w:vAlign w:val="center"/>
                </w:tcPr>
                <w:p w:rsidR="00227CC7" w:rsidRPr="00473B6E" w:rsidRDefault="0021274B" w:rsidP="00255779">
                  <w:pPr>
                    <w:jc w:val="center"/>
                    <w:rPr>
                      <w:sz w:val="26"/>
                      <w:szCs w:val="26"/>
                    </w:rPr>
                  </w:pPr>
                  <w:r>
                    <w:rPr>
                      <w:sz w:val="26"/>
                      <w:szCs w:val="26"/>
                    </w:rPr>
                    <w:t>0</w:t>
                  </w:r>
                </w:p>
              </w:tc>
              <w:tc>
                <w:tcPr>
                  <w:tcW w:w="1275" w:type="dxa"/>
                  <w:vAlign w:val="center"/>
                </w:tcPr>
                <w:p w:rsidR="00227CC7" w:rsidRPr="00473B6E" w:rsidRDefault="0021274B" w:rsidP="00255779">
                  <w:pPr>
                    <w:jc w:val="center"/>
                    <w:rPr>
                      <w:rFonts w:eastAsia="Calibri"/>
                      <w:sz w:val="26"/>
                      <w:szCs w:val="26"/>
                      <w:lang w:eastAsia="en-US"/>
                    </w:rPr>
                  </w:pPr>
                  <w:r>
                    <w:rPr>
                      <w:rFonts w:eastAsia="Calibri"/>
                      <w:sz w:val="26"/>
                      <w:szCs w:val="26"/>
                      <w:lang w:eastAsia="en-US"/>
                    </w:rPr>
                    <w:t>0</w:t>
                  </w:r>
                </w:p>
              </w:tc>
              <w:tc>
                <w:tcPr>
                  <w:tcW w:w="1276" w:type="dxa"/>
                  <w:vAlign w:val="center"/>
                </w:tcPr>
                <w:p w:rsidR="00227CC7" w:rsidRPr="00473B6E" w:rsidRDefault="0021274B" w:rsidP="00255779">
                  <w:pPr>
                    <w:jc w:val="center"/>
                    <w:rPr>
                      <w:rFonts w:eastAsia="Calibri"/>
                      <w:sz w:val="26"/>
                      <w:szCs w:val="26"/>
                      <w:lang w:eastAsia="en-US"/>
                    </w:rPr>
                  </w:pPr>
                  <w:r>
                    <w:rPr>
                      <w:rFonts w:eastAsia="Calibri"/>
                      <w:sz w:val="26"/>
                      <w:szCs w:val="26"/>
                      <w:lang w:eastAsia="en-US"/>
                    </w:rPr>
                    <w:t>0</w:t>
                  </w:r>
                </w:p>
              </w:tc>
              <w:tc>
                <w:tcPr>
                  <w:tcW w:w="1276" w:type="dxa"/>
                  <w:vAlign w:val="center"/>
                </w:tcPr>
                <w:p w:rsidR="00227CC7" w:rsidRPr="00473B6E" w:rsidRDefault="0021274B" w:rsidP="00255779">
                  <w:pPr>
                    <w:jc w:val="center"/>
                    <w:rPr>
                      <w:rFonts w:eastAsia="Calibri"/>
                      <w:sz w:val="26"/>
                      <w:szCs w:val="26"/>
                      <w:lang w:eastAsia="en-US"/>
                    </w:rPr>
                  </w:pPr>
                  <w:r>
                    <w:rPr>
                      <w:rFonts w:eastAsia="Calibri"/>
                      <w:sz w:val="26"/>
                      <w:szCs w:val="26"/>
                      <w:lang w:eastAsia="en-US"/>
                    </w:rPr>
                    <w:t>0</w:t>
                  </w:r>
                </w:p>
              </w:tc>
            </w:tr>
            <w:tr w:rsidR="00227CC7" w:rsidRPr="00473B6E" w:rsidTr="0021274B">
              <w:trPr>
                <w:trHeight w:val="381"/>
                <w:tblCellSpacing w:w="0" w:type="dxa"/>
              </w:trPr>
              <w:tc>
                <w:tcPr>
                  <w:tcW w:w="2529" w:type="dxa"/>
                  <w:vMerge/>
                </w:tcPr>
                <w:p w:rsidR="00227CC7" w:rsidRPr="0095377B" w:rsidRDefault="00227CC7" w:rsidP="00473B6E">
                  <w:pPr>
                    <w:jc w:val="center"/>
                    <w:rPr>
                      <w:rFonts w:eastAsia="Calibri"/>
                      <w:lang w:eastAsia="en-US"/>
                    </w:rPr>
                  </w:pPr>
                </w:p>
              </w:tc>
              <w:tc>
                <w:tcPr>
                  <w:tcW w:w="1701" w:type="dxa"/>
                  <w:vMerge/>
                  <w:vAlign w:val="center"/>
                </w:tcPr>
                <w:p w:rsidR="00227CC7" w:rsidRPr="00473B6E" w:rsidRDefault="00227CC7" w:rsidP="00255779">
                  <w:pPr>
                    <w:jc w:val="center"/>
                    <w:rPr>
                      <w:sz w:val="26"/>
                      <w:szCs w:val="26"/>
                    </w:rPr>
                  </w:pPr>
                </w:p>
              </w:tc>
              <w:tc>
                <w:tcPr>
                  <w:tcW w:w="1276" w:type="dxa"/>
                  <w:vAlign w:val="center"/>
                </w:tcPr>
                <w:p w:rsidR="00227CC7" w:rsidRPr="00473B6E" w:rsidRDefault="0021274B" w:rsidP="00255779">
                  <w:pPr>
                    <w:jc w:val="center"/>
                    <w:rPr>
                      <w:sz w:val="26"/>
                      <w:szCs w:val="26"/>
                    </w:rPr>
                  </w:pPr>
                  <w:r>
                    <w:rPr>
                      <w:sz w:val="26"/>
                      <w:szCs w:val="26"/>
                    </w:rPr>
                    <w:t>0</w:t>
                  </w:r>
                </w:p>
              </w:tc>
              <w:tc>
                <w:tcPr>
                  <w:tcW w:w="1275" w:type="dxa"/>
                  <w:vAlign w:val="center"/>
                </w:tcPr>
                <w:p w:rsidR="00227CC7" w:rsidRPr="00473B6E" w:rsidRDefault="0021274B" w:rsidP="00255779">
                  <w:pPr>
                    <w:jc w:val="center"/>
                    <w:rPr>
                      <w:rFonts w:eastAsia="Calibri"/>
                      <w:sz w:val="26"/>
                      <w:szCs w:val="26"/>
                      <w:lang w:eastAsia="en-US"/>
                    </w:rPr>
                  </w:pPr>
                  <w:r>
                    <w:rPr>
                      <w:rFonts w:eastAsia="Calibri"/>
                      <w:sz w:val="26"/>
                      <w:szCs w:val="26"/>
                      <w:lang w:eastAsia="en-US"/>
                    </w:rPr>
                    <w:t>0</w:t>
                  </w:r>
                </w:p>
              </w:tc>
              <w:tc>
                <w:tcPr>
                  <w:tcW w:w="1276" w:type="dxa"/>
                  <w:vAlign w:val="center"/>
                </w:tcPr>
                <w:p w:rsidR="00227CC7" w:rsidRPr="00473B6E" w:rsidRDefault="0021274B" w:rsidP="00255779">
                  <w:pPr>
                    <w:jc w:val="center"/>
                    <w:rPr>
                      <w:rFonts w:eastAsia="Calibri"/>
                      <w:sz w:val="26"/>
                      <w:szCs w:val="26"/>
                      <w:lang w:eastAsia="en-US"/>
                    </w:rPr>
                  </w:pPr>
                  <w:r>
                    <w:rPr>
                      <w:rFonts w:eastAsia="Calibri"/>
                      <w:sz w:val="26"/>
                      <w:szCs w:val="26"/>
                      <w:lang w:eastAsia="en-US"/>
                    </w:rPr>
                    <w:t>0</w:t>
                  </w:r>
                </w:p>
              </w:tc>
              <w:tc>
                <w:tcPr>
                  <w:tcW w:w="1276" w:type="dxa"/>
                  <w:vAlign w:val="center"/>
                </w:tcPr>
                <w:p w:rsidR="00227CC7" w:rsidRPr="00473B6E" w:rsidRDefault="0021274B" w:rsidP="00255779">
                  <w:pPr>
                    <w:jc w:val="center"/>
                    <w:rPr>
                      <w:rFonts w:eastAsia="Calibri"/>
                      <w:sz w:val="26"/>
                      <w:szCs w:val="26"/>
                      <w:lang w:eastAsia="en-US"/>
                    </w:rPr>
                  </w:pPr>
                  <w:r>
                    <w:rPr>
                      <w:rFonts w:eastAsia="Calibri"/>
                      <w:sz w:val="26"/>
                      <w:szCs w:val="26"/>
                      <w:lang w:eastAsia="en-US"/>
                    </w:rPr>
                    <w:t>0</w:t>
                  </w:r>
                </w:p>
              </w:tc>
            </w:tr>
            <w:tr w:rsidR="00227CC7" w:rsidRPr="00473B6E" w:rsidTr="0021274B">
              <w:trPr>
                <w:trHeight w:val="381"/>
                <w:tblCellSpacing w:w="0" w:type="dxa"/>
              </w:trPr>
              <w:tc>
                <w:tcPr>
                  <w:tcW w:w="2529" w:type="dxa"/>
                </w:tcPr>
                <w:p w:rsidR="00227CC7" w:rsidRPr="0095377B" w:rsidRDefault="00227CC7" w:rsidP="00473B6E">
                  <w:pPr>
                    <w:rPr>
                      <w:rFonts w:eastAsia="Calibri"/>
                      <w:lang w:eastAsia="en-US"/>
                    </w:rPr>
                  </w:pPr>
                  <w:r w:rsidRPr="0095377B">
                    <w:rPr>
                      <w:rFonts w:eastAsia="Calibri"/>
                      <w:lang w:eastAsia="en-US"/>
                    </w:rPr>
                    <w:t>5. Precizēta finansiālā ietekme:</w:t>
                  </w:r>
                </w:p>
              </w:tc>
              <w:tc>
                <w:tcPr>
                  <w:tcW w:w="1701" w:type="dxa"/>
                  <w:vMerge w:val="restart"/>
                  <w:vAlign w:val="center"/>
                </w:tcPr>
                <w:p w:rsidR="00227CC7" w:rsidRPr="00473B6E" w:rsidRDefault="0021274B" w:rsidP="00255779">
                  <w:pPr>
                    <w:jc w:val="center"/>
                    <w:rPr>
                      <w:sz w:val="26"/>
                      <w:szCs w:val="26"/>
                    </w:rPr>
                  </w:pPr>
                  <w:r>
                    <w:rPr>
                      <w:sz w:val="26"/>
                      <w:szCs w:val="26"/>
                    </w:rPr>
                    <w:t>X</w:t>
                  </w:r>
                </w:p>
              </w:tc>
              <w:tc>
                <w:tcPr>
                  <w:tcW w:w="1276" w:type="dxa"/>
                  <w:vAlign w:val="center"/>
                </w:tcPr>
                <w:p w:rsidR="00227CC7" w:rsidRPr="00473B6E" w:rsidRDefault="0021274B" w:rsidP="00255779">
                  <w:pPr>
                    <w:jc w:val="center"/>
                    <w:rPr>
                      <w:sz w:val="26"/>
                      <w:szCs w:val="26"/>
                    </w:rPr>
                  </w:pPr>
                  <w:r>
                    <w:rPr>
                      <w:sz w:val="26"/>
                      <w:szCs w:val="26"/>
                    </w:rPr>
                    <w:t>0</w:t>
                  </w:r>
                </w:p>
              </w:tc>
              <w:tc>
                <w:tcPr>
                  <w:tcW w:w="1275" w:type="dxa"/>
                  <w:vAlign w:val="center"/>
                </w:tcPr>
                <w:p w:rsidR="00227CC7" w:rsidRPr="00473B6E" w:rsidRDefault="0021274B" w:rsidP="00255779">
                  <w:pPr>
                    <w:jc w:val="center"/>
                    <w:rPr>
                      <w:rFonts w:eastAsia="Calibri"/>
                      <w:sz w:val="26"/>
                      <w:szCs w:val="26"/>
                      <w:lang w:eastAsia="en-US"/>
                    </w:rPr>
                  </w:pPr>
                  <w:r>
                    <w:rPr>
                      <w:rFonts w:eastAsia="Calibri"/>
                      <w:sz w:val="26"/>
                      <w:szCs w:val="26"/>
                      <w:lang w:eastAsia="en-US"/>
                    </w:rPr>
                    <w:t>0</w:t>
                  </w:r>
                </w:p>
              </w:tc>
              <w:tc>
                <w:tcPr>
                  <w:tcW w:w="1276" w:type="dxa"/>
                  <w:vAlign w:val="center"/>
                </w:tcPr>
                <w:p w:rsidR="00227CC7" w:rsidRPr="00473B6E" w:rsidRDefault="0021274B" w:rsidP="00255779">
                  <w:pPr>
                    <w:jc w:val="center"/>
                    <w:rPr>
                      <w:rFonts w:eastAsia="Calibri"/>
                      <w:sz w:val="26"/>
                      <w:szCs w:val="26"/>
                      <w:lang w:eastAsia="en-US"/>
                    </w:rPr>
                  </w:pPr>
                  <w:r>
                    <w:rPr>
                      <w:rFonts w:eastAsia="Calibri"/>
                      <w:sz w:val="26"/>
                      <w:szCs w:val="26"/>
                      <w:lang w:eastAsia="en-US"/>
                    </w:rPr>
                    <w:t>0</w:t>
                  </w:r>
                </w:p>
              </w:tc>
              <w:tc>
                <w:tcPr>
                  <w:tcW w:w="1276" w:type="dxa"/>
                  <w:vAlign w:val="center"/>
                </w:tcPr>
                <w:p w:rsidR="00227CC7" w:rsidRPr="00473B6E" w:rsidRDefault="0021274B" w:rsidP="00255779">
                  <w:pPr>
                    <w:jc w:val="center"/>
                    <w:rPr>
                      <w:rFonts w:eastAsia="Calibri"/>
                      <w:sz w:val="26"/>
                      <w:szCs w:val="26"/>
                      <w:lang w:eastAsia="en-US"/>
                    </w:rPr>
                  </w:pPr>
                  <w:r>
                    <w:rPr>
                      <w:rFonts w:eastAsia="Calibri"/>
                      <w:sz w:val="26"/>
                      <w:szCs w:val="26"/>
                      <w:lang w:eastAsia="en-US"/>
                    </w:rPr>
                    <w:t>0</w:t>
                  </w:r>
                </w:p>
              </w:tc>
            </w:tr>
            <w:tr w:rsidR="00227CC7" w:rsidRPr="00473B6E" w:rsidTr="0021274B">
              <w:trPr>
                <w:trHeight w:val="381"/>
                <w:tblCellSpacing w:w="0" w:type="dxa"/>
              </w:trPr>
              <w:tc>
                <w:tcPr>
                  <w:tcW w:w="2529" w:type="dxa"/>
                </w:tcPr>
                <w:p w:rsidR="00227CC7" w:rsidRPr="0095377B" w:rsidRDefault="00227CC7" w:rsidP="00473B6E">
                  <w:pPr>
                    <w:rPr>
                      <w:rFonts w:eastAsia="Calibri"/>
                      <w:lang w:eastAsia="en-US"/>
                    </w:rPr>
                  </w:pPr>
                  <w:r w:rsidRPr="0095377B">
                    <w:rPr>
                      <w:rFonts w:eastAsia="Calibri"/>
                      <w:lang w:eastAsia="en-US"/>
                    </w:rPr>
                    <w:t>5.1. valsts pamatbudžets</w:t>
                  </w:r>
                </w:p>
              </w:tc>
              <w:tc>
                <w:tcPr>
                  <w:tcW w:w="1701" w:type="dxa"/>
                  <w:vMerge/>
                  <w:vAlign w:val="center"/>
                </w:tcPr>
                <w:p w:rsidR="00227CC7" w:rsidRPr="00473B6E" w:rsidRDefault="00227CC7" w:rsidP="00255779">
                  <w:pPr>
                    <w:jc w:val="center"/>
                    <w:rPr>
                      <w:sz w:val="26"/>
                      <w:szCs w:val="26"/>
                    </w:rPr>
                  </w:pPr>
                </w:p>
              </w:tc>
              <w:tc>
                <w:tcPr>
                  <w:tcW w:w="1276" w:type="dxa"/>
                  <w:vAlign w:val="center"/>
                </w:tcPr>
                <w:p w:rsidR="00227CC7" w:rsidRPr="00473B6E" w:rsidRDefault="0021274B" w:rsidP="00255779">
                  <w:pPr>
                    <w:jc w:val="center"/>
                    <w:rPr>
                      <w:sz w:val="26"/>
                      <w:szCs w:val="26"/>
                    </w:rPr>
                  </w:pPr>
                  <w:r>
                    <w:rPr>
                      <w:sz w:val="26"/>
                      <w:szCs w:val="26"/>
                    </w:rPr>
                    <w:t>0</w:t>
                  </w:r>
                </w:p>
              </w:tc>
              <w:tc>
                <w:tcPr>
                  <w:tcW w:w="1275" w:type="dxa"/>
                  <w:vAlign w:val="center"/>
                </w:tcPr>
                <w:p w:rsidR="00227CC7" w:rsidRPr="00473B6E" w:rsidRDefault="0021274B" w:rsidP="00255779">
                  <w:pPr>
                    <w:jc w:val="center"/>
                    <w:rPr>
                      <w:rFonts w:eastAsia="Calibri"/>
                      <w:sz w:val="26"/>
                      <w:szCs w:val="26"/>
                      <w:lang w:eastAsia="en-US"/>
                    </w:rPr>
                  </w:pPr>
                  <w:r>
                    <w:rPr>
                      <w:rFonts w:eastAsia="Calibri"/>
                      <w:sz w:val="26"/>
                      <w:szCs w:val="26"/>
                      <w:lang w:eastAsia="en-US"/>
                    </w:rPr>
                    <w:t>0</w:t>
                  </w:r>
                </w:p>
              </w:tc>
              <w:tc>
                <w:tcPr>
                  <w:tcW w:w="1276" w:type="dxa"/>
                  <w:vAlign w:val="center"/>
                </w:tcPr>
                <w:p w:rsidR="00227CC7" w:rsidRPr="00473B6E" w:rsidRDefault="0021274B" w:rsidP="00255779">
                  <w:pPr>
                    <w:jc w:val="center"/>
                    <w:rPr>
                      <w:rFonts w:eastAsia="Calibri"/>
                      <w:sz w:val="26"/>
                      <w:szCs w:val="26"/>
                      <w:lang w:eastAsia="en-US"/>
                    </w:rPr>
                  </w:pPr>
                  <w:r>
                    <w:rPr>
                      <w:rFonts w:eastAsia="Calibri"/>
                      <w:sz w:val="26"/>
                      <w:szCs w:val="26"/>
                      <w:lang w:eastAsia="en-US"/>
                    </w:rPr>
                    <w:t>0</w:t>
                  </w:r>
                </w:p>
              </w:tc>
              <w:tc>
                <w:tcPr>
                  <w:tcW w:w="1276" w:type="dxa"/>
                  <w:vAlign w:val="center"/>
                </w:tcPr>
                <w:p w:rsidR="00227CC7" w:rsidRPr="00473B6E" w:rsidRDefault="0021274B" w:rsidP="00255779">
                  <w:pPr>
                    <w:jc w:val="center"/>
                    <w:rPr>
                      <w:rFonts w:eastAsia="Calibri"/>
                      <w:sz w:val="26"/>
                      <w:szCs w:val="26"/>
                      <w:lang w:eastAsia="en-US"/>
                    </w:rPr>
                  </w:pPr>
                  <w:r>
                    <w:rPr>
                      <w:rFonts w:eastAsia="Calibri"/>
                      <w:sz w:val="26"/>
                      <w:szCs w:val="26"/>
                      <w:lang w:eastAsia="en-US"/>
                    </w:rPr>
                    <w:t>0</w:t>
                  </w:r>
                </w:p>
              </w:tc>
            </w:tr>
            <w:tr w:rsidR="00227CC7" w:rsidRPr="00473B6E" w:rsidTr="0021274B">
              <w:trPr>
                <w:trHeight w:val="381"/>
                <w:tblCellSpacing w:w="0" w:type="dxa"/>
              </w:trPr>
              <w:tc>
                <w:tcPr>
                  <w:tcW w:w="2529" w:type="dxa"/>
                </w:tcPr>
                <w:p w:rsidR="00227CC7" w:rsidRPr="0095377B" w:rsidRDefault="00227CC7" w:rsidP="00473B6E">
                  <w:pPr>
                    <w:rPr>
                      <w:rFonts w:eastAsia="Calibri"/>
                      <w:lang w:eastAsia="en-US"/>
                    </w:rPr>
                  </w:pPr>
                  <w:r w:rsidRPr="0095377B">
                    <w:rPr>
                      <w:rFonts w:eastAsia="Calibri"/>
                      <w:lang w:eastAsia="en-US"/>
                    </w:rPr>
                    <w:t>5.2. speciālais budžets</w:t>
                  </w:r>
                </w:p>
              </w:tc>
              <w:tc>
                <w:tcPr>
                  <w:tcW w:w="1701" w:type="dxa"/>
                  <w:vMerge/>
                  <w:vAlign w:val="center"/>
                </w:tcPr>
                <w:p w:rsidR="00227CC7" w:rsidRPr="00473B6E" w:rsidRDefault="00227CC7" w:rsidP="00255779">
                  <w:pPr>
                    <w:jc w:val="center"/>
                    <w:rPr>
                      <w:sz w:val="26"/>
                      <w:szCs w:val="26"/>
                    </w:rPr>
                  </w:pPr>
                </w:p>
              </w:tc>
              <w:tc>
                <w:tcPr>
                  <w:tcW w:w="1276" w:type="dxa"/>
                  <w:vAlign w:val="center"/>
                </w:tcPr>
                <w:p w:rsidR="00227CC7" w:rsidRPr="00473B6E" w:rsidRDefault="0021274B" w:rsidP="00255779">
                  <w:pPr>
                    <w:jc w:val="center"/>
                    <w:rPr>
                      <w:sz w:val="26"/>
                      <w:szCs w:val="26"/>
                    </w:rPr>
                  </w:pPr>
                  <w:r>
                    <w:rPr>
                      <w:sz w:val="26"/>
                      <w:szCs w:val="26"/>
                    </w:rPr>
                    <w:t>0</w:t>
                  </w:r>
                </w:p>
              </w:tc>
              <w:tc>
                <w:tcPr>
                  <w:tcW w:w="1275" w:type="dxa"/>
                  <w:vAlign w:val="center"/>
                </w:tcPr>
                <w:p w:rsidR="00227CC7" w:rsidRPr="00473B6E" w:rsidRDefault="0021274B" w:rsidP="00255779">
                  <w:pPr>
                    <w:jc w:val="center"/>
                    <w:rPr>
                      <w:rFonts w:eastAsia="Calibri"/>
                      <w:sz w:val="26"/>
                      <w:szCs w:val="26"/>
                      <w:lang w:eastAsia="en-US"/>
                    </w:rPr>
                  </w:pPr>
                  <w:r>
                    <w:rPr>
                      <w:rFonts w:eastAsia="Calibri"/>
                      <w:sz w:val="26"/>
                      <w:szCs w:val="26"/>
                      <w:lang w:eastAsia="en-US"/>
                    </w:rPr>
                    <w:t>0</w:t>
                  </w:r>
                </w:p>
              </w:tc>
              <w:tc>
                <w:tcPr>
                  <w:tcW w:w="1276" w:type="dxa"/>
                  <w:vAlign w:val="center"/>
                </w:tcPr>
                <w:p w:rsidR="00227CC7" w:rsidRPr="00473B6E" w:rsidRDefault="0021274B" w:rsidP="00255779">
                  <w:pPr>
                    <w:jc w:val="center"/>
                    <w:rPr>
                      <w:rFonts w:eastAsia="Calibri"/>
                      <w:sz w:val="26"/>
                      <w:szCs w:val="26"/>
                      <w:lang w:eastAsia="en-US"/>
                    </w:rPr>
                  </w:pPr>
                  <w:r>
                    <w:rPr>
                      <w:rFonts w:eastAsia="Calibri"/>
                      <w:sz w:val="26"/>
                      <w:szCs w:val="26"/>
                      <w:lang w:eastAsia="en-US"/>
                    </w:rPr>
                    <w:t>0</w:t>
                  </w:r>
                </w:p>
              </w:tc>
              <w:tc>
                <w:tcPr>
                  <w:tcW w:w="1276" w:type="dxa"/>
                  <w:vAlign w:val="center"/>
                </w:tcPr>
                <w:p w:rsidR="00227CC7" w:rsidRPr="00473B6E" w:rsidRDefault="0021274B" w:rsidP="00255779">
                  <w:pPr>
                    <w:jc w:val="center"/>
                    <w:rPr>
                      <w:rFonts w:eastAsia="Calibri"/>
                      <w:sz w:val="26"/>
                      <w:szCs w:val="26"/>
                      <w:lang w:eastAsia="en-US"/>
                    </w:rPr>
                  </w:pPr>
                  <w:r>
                    <w:rPr>
                      <w:rFonts w:eastAsia="Calibri"/>
                      <w:sz w:val="26"/>
                      <w:szCs w:val="26"/>
                      <w:lang w:eastAsia="en-US"/>
                    </w:rPr>
                    <w:t>0</w:t>
                  </w:r>
                </w:p>
              </w:tc>
            </w:tr>
            <w:tr w:rsidR="00227CC7" w:rsidRPr="00473B6E" w:rsidTr="0021274B">
              <w:trPr>
                <w:trHeight w:val="381"/>
                <w:tblCellSpacing w:w="0" w:type="dxa"/>
              </w:trPr>
              <w:tc>
                <w:tcPr>
                  <w:tcW w:w="2529" w:type="dxa"/>
                </w:tcPr>
                <w:p w:rsidR="00227CC7" w:rsidRPr="0095377B" w:rsidRDefault="00227CC7" w:rsidP="00473B6E">
                  <w:pPr>
                    <w:rPr>
                      <w:rFonts w:eastAsia="Calibri"/>
                      <w:lang w:eastAsia="en-US"/>
                    </w:rPr>
                  </w:pPr>
                  <w:r w:rsidRPr="0095377B">
                    <w:rPr>
                      <w:rFonts w:eastAsia="Calibri"/>
                      <w:lang w:eastAsia="en-US"/>
                    </w:rPr>
                    <w:t>5.3. pašvaldību budžets</w:t>
                  </w:r>
                </w:p>
              </w:tc>
              <w:tc>
                <w:tcPr>
                  <w:tcW w:w="1701" w:type="dxa"/>
                  <w:vMerge/>
                  <w:vAlign w:val="center"/>
                </w:tcPr>
                <w:p w:rsidR="00227CC7" w:rsidRPr="00473B6E" w:rsidRDefault="00227CC7" w:rsidP="00255779">
                  <w:pPr>
                    <w:jc w:val="center"/>
                    <w:rPr>
                      <w:sz w:val="26"/>
                      <w:szCs w:val="26"/>
                    </w:rPr>
                  </w:pPr>
                </w:p>
              </w:tc>
              <w:tc>
                <w:tcPr>
                  <w:tcW w:w="1276" w:type="dxa"/>
                  <w:vAlign w:val="center"/>
                </w:tcPr>
                <w:p w:rsidR="00227CC7" w:rsidRPr="00473B6E" w:rsidRDefault="0021274B" w:rsidP="00255779">
                  <w:pPr>
                    <w:jc w:val="center"/>
                    <w:rPr>
                      <w:sz w:val="26"/>
                      <w:szCs w:val="26"/>
                    </w:rPr>
                  </w:pPr>
                  <w:r>
                    <w:rPr>
                      <w:sz w:val="26"/>
                      <w:szCs w:val="26"/>
                    </w:rPr>
                    <w:t>0</w:t>
                  </w:r>
                </w:p>
              </w:tc>
              <w:tc>
                <w:tcPr>
                  <w:tcW w:w="1275" w:type="dxa"/>
                  <w:vAlign w:val="center"/>
                </w:tcPr>
                <w:p w:rsidR="00227CC7" w:rsidRPr="00473B6E" w:rsidRDefault="0021274B" w:rsidP="00255779">
                  <w:pPr>
                    <w:jc w:val="center"/>
                    <w:rPr>
                      <w:rFonts w:eastAsia="Calibri"/>
                      <w:sz w:val="26"/>
                      <w:szCs w:val="26"/>
                      <w:lang w:eastAsia="en-US"/>
                    </w:rPr>
                  </w:pPr>
                  <w:r>
                    <w:rPr>
                      <w:rFonts w:eastAsia="Calibri"/>
                      <w:sz w:val="26"/>
                      <w:szCs w:val="26"/>
                      <w:lang w:eastAsia="en-US"/>
                    </w:rPr>
                    <w:t>0</w:t>
                  </w:r>
                </w:p>
              </w:tc>
              <w:tc>
                <w:tcPr>
                  <w:tcW w:w="1276" w:type="dxa"/>
                  <w:vAlign w:val="center"/>
                </w:tcPr>
                <w:p w:rsidR="00227CC7" w:rsidRPr="00473B6E" w:rsidRDefault="0021274B" w:rsidP="00255779">
                  <w:pPr>
                    <w:jc w:val="center"/>
                    <w:rPr>
                      <w:rFonts w:eastAsia="Calibri"/>
                      <w:sz w:val="26"/>
                      <w:szCs w:val="26"/>
                      <w:lang w:eastAsia="en-US"/>
                    </w:rPr>
                  </w:pPr>
                  <w:r>
                    <w:rPr>
                      <w:rFonts w:eastAsia="Calibri"/>
                      <w:sz w:val="26"/>
                      <w:szCs w:val="26"/>
                      <w:lang w:eastAsia="en-US"/>
                    </w:rPr>
                    <w:t>0</w:t>
                  </w:r>
                </w:p>
              </w:tc>
              <w:tc>
                <w:tcPr>
                  <w:tcW w:w="1276" w:type="dxa"/>
                  <w:vAlign w:val="center"/>
                </w:tcPr>
                <w:p w:rsidR="00227CC7" w:rsidRPr="00473B6E" w:rsidRDefault="0021274B" w:rsidP="00255779">
                  <w:pPr>
                    <w:jc w:val="center"/>
                    <w:rPr>
                      <w:rFonts w:eastAsia="Calibri"/>
                      <w:sz w:val="26"/>
                      <w:szCs w:val="26"/>
                      <w:lang w:eastAsia="en-US"/>
                    </w:rPr>
                  </w:pPr>
                  <w:r>
                    <w:rPr>
                      <w:rFonts w:eastAsia="Calibri"/>
                      <w:sz w:val="26"/>
                      <w:szCs w:val="26"/>
                      <w:lang w:eastAsia="en-US"/>
                    </w:rPr>
                    <w:t>0</w:t>
                  </w:r>
                </w:p>
              </w:tc>
            </w:tr>
            <w:tr w:rsidR="00227CC7" w:rsidRPr="00473B6E" w:rsidTr="006717BA">
              <w:trPr>
                <w:trHeight w:val="381"/>
                <w:tblCellSpacing w:w="0" w:type="dxa"/>
              </w:trPr>
              <w:tc>
                <w:tcPr>
                  <w:tcW w:w="2529" w:type="dxa"/>
                </w:tcPr>
                <w:p w:rsidR="00227CC7" w:rsidRPr="0095377B" w:rsidRDefault="00227CC7" w:rsidP="00473B6E">
                  <w:pPr>
                    <w:rPr>
                      <w:rFonts w:eastAsia="Calibri"/>
                      <w:lang w:eastAsia="en-US"/>
                    </w:rPr>
                  </w:pPr>
                  <w:r w:rsidRPr="0095377B">
                    <w:rPr>
                      <w:rFonts w:eastAsia="Calibri"/>
                      <w:lang w:eastAsia="en-US"/>
                    </w:rPr>
                    <w:t>6. Detalizēts ieņēmumu un izdevu</w:t>
                  </w:r>
                  <w:r w:rsidRPr="0095377B">
                    <w:rPr>
                      <w:rFonts w:eastAsia="Calibri"/>
                      <w:lang w:eastAsia="en-US"/>
                    </w:rPr>
                    <w:softHyphen/>
                    <w:t>mu aprēķins (ja nepieciešams, detalizētu ieņēmumu un izdevumu</w:t>
                  </w:r>
                  <w:r>
                    <w:rPr>
                      <w:rFonts w:eastAsia="Calibri"/>
                      <w:lang w:eastAsia="en-US"/>
                    </w:rPr>
                    <w:t xml:space="preserve"> aprēķinu var pievienot anotācij</w:t>
                  </w:r>
                  <w:r w:rsidRPr="0095377B">
                    <w:rPr>
                      <w:rFonts w:eastAsia="Calibri"/>
                      <w:lang w:eastAsia="en-US"/>
                    </w:rPr>
                    <w:t>as pielikumā):</w:t>
                  </w:r>
                </w:p>
              </w:tc>
              <w:tc>
                <w:tcPr>
                  <w:tcW w:w="6804" w:type="dxa"/>
                  <w:gridSpan w:val="5"/>
                  <w:vMerge w:val="restart"/>
                </w:tcPr>
                <w:p w:rsidR="00227CC7" w:rsidRDefault="00227CC7" w:rsidP="005A258C">
                  <w:pPr>
                    <w:ind w:firstLine="302"/>
                    <w:jc w:val="both"/>
                  </w:pPr>
                  <w:r w:rsidRPr="00BF740E">
                    <w:t>Pēc Zemkopības ministrijas ap</w:t>
                  </w:r>
                  <w:r w:rsidR="0003456D">
                    <w:t>rēķiniem</w:t>
                  </w:r>
                  <w:r w:rsidRPr="00BF740E">
                    <w:t xml:space="preserve"> ik gadu augļkopības un dārzkopības nozarē kopumā (ievērojot nevienmērīgo nozares nodarbinātības specifiku ar augstāku nodarbināto skaitu ražas novākšanas laikā) ir jānodarbina aptuveni 38 500 sezonas darbinieku</w:t>
                  </w:r>
                  <w:r>
                    <w:t>.</w:t>
                  </w:r>
                </w:p>
                <w:p w:rsidR="00227CC7" w:rsidRDefault="00227CC7" w:rsidP="005A258C">
                  <w:pPr>
                    <w:ind w:firstLine="302"/>
                    <w:jc w:val="both"/>
                  </w:pPr>
                  <w:r>
                    <w:t xml:space="preserve">Saskaņā ar šiem grozījumiem sezonas laukstrādniekiem tiks piemērots būtiski atvieglots nodokļu maksāšanas režīms, līdz ar to tiek pieņemts, ka jau 2014. gadā būtiski pieaugs sezonas darbos legāli nodarbināto skaits, </w:t>
                  </w:r>
                  <w:r w:rsidR="000B19F9">
                    <w:t xml:space="preserve">pakāpeniski </w:t>
                  </w:r>
                  <w:r>
                    <w:t xml:space="preserve">2017. gadā sasniedzot 20% no faktiski nepieciešamā sezonas darbos nodarbināto skaita augļkopības un dārzkopības nozarē un nodokļos iekasējot 259,9 tūkst. latu. </w:t>
                  </w:r>
                </w:p>
                <w:p w:rsidR="00227CC7" w:rsidRDefault="000B19F9" w:rsidP="005A258C">
                  <w:pPr>
                    <w:ind w:firstLine="302"/>
                    <w:jc w:val="both"/>
                  </w:pPr>
                  <w:r>
                    <w:t xml:space="preserve">Ieņēmumi aprēķināti pēc 2017. gada ieņēmumu aprēķināšanas algoritma: </w:t>
                  </w:r>
                  <w:r w:rsidR="00227CC7">
                    <w:t>7</w:t>
                  </w:r>
                  <w:r w:rsidR="00227CC7" w:rsidRPr="002F6442">
                    <w:t>700 (darbinieki) x 25 (vidējais nostrādāto dienu skaits) x 9 (vidējā samaksa dienā) x</w:t>
                  </w:r>
                  <w:r w:rsidR="00227CC7">
                    <w:t xml:space="preserve"> 15% (nodoklis) = 259,9 tūkst. latu.</w:t>
                  </w:r>
                </w:p>
                <w:tbl>
                  <w:tblPr>
                    <w:tblStyle w:val="TableGrid"/>
                    <w:tblW w:w="0" w:type="auto"/>
                    <w:tblLayout w:type="fixed"/>
                    <w:tblLook w:val="04A0" w:firstRow="1" w:lastRow="0" w:firstColumn="1" w:lastColumn="0" w:noHBand="0" w:noVBand="1"/>
                  </w:tblPr>
                  <w:tblGrid>
                    <w:gridCol w:w="2849"/>
                    <w:gridCol w:w="885"/>
                    <w:gridCol w:w="886"/>
                    <w:gridCol w:w="886"/>
                    <w:gridCol w:w="886"/>
                  </w:tblGrid>
                  <w:tr w:rsidR="00227CC7" w:rsidRPr="002F6442" w:rsidTr="002F6442">
                    <w:trPr>
                      <w:trHeight w:val="230"/>
                    </w:trPr>
                    <w:tc>
                      <w:tcPr>
                        <w:tcW w:w="2849" w:type="dxa"/>
                      </w:tcPr>
                      <w:p w:rsidR="00227CC7" w:rsidRPr="002F6442" w:rsidRDefault="00227CC7" w:rsidP="00BF740E">
                        <w:pPr>
                          <w:jc w:val="both"/>
                          <w:rPr>
                            <w:sz w:val="20"/>
                          </w:rPr>
                        </w:pPr>
                      </w:p>
                    </w:tc>
                    <w:tc>
                      <w:tcPr>
                        <w:tcW w:w="885" w:type="dxa"/>
                      </w:tcPr>
                      <w:p w:rsidR="00227CC7" w:rsidRPr="002F6442" w:rsidRDefault="00227CC7" w:rsidP="002F6442">
                        <w:pPr>
                          <w:jc w:val="center"/>
                          <w:rPr>
                            <w:b/>
                            <w:sz w:val="20"/>
                          </w:rPr>
                        </w:pPr>
                        <w:r w:rsidRPr="002F6442">
                          <w:rPr>
                            <w:b/>
                            <w:sz w:val="20"/>
                          </w:rPr>
                          <w:t>2014</w:t>
                        </w:r>
                      </w:p>
                    </w:tc>
                    <w:tc>
                      <w:tcPr>
                        <w:tcW w:w="886" w:type="dxa"/>
                      </w:tcPr>
                      <w:p w:rsidR="00227CC7" w:rsidRPr="002F6442" w:rsidRDefault="00227CC7" w:rsidP="002F6442">
                        <w:pPr>
                          <w:jc w:val="center"/>
                          <w:rPr>
                            <w:b/>
                            <w:sz w:val="20"/>
                          </w:rPr>
                        </w:pPr>
                        <w:r w:rsidRPr="002F6442">
                          <w:rPr>
                            <w:b/>
                            <w:sz w:val="20"/>
                          </w:rPr>
                          <w:t>2015</w:t>
                        </w:r>
                      </w:p>
                    </w:tc>
                    <w:tc>
                      <w:tcPr>
                        <w:tcW w:w="886" w:type="dxa"/>
                      </w:tcPr>
                      <w:p w:rsidR="00227CC7" w:rsidRPr="002F6442" w:rsidRDefault="00227CC7" w:rsidP="002F6442">
                        <w:pPr>
                          <w:jc w:val="center"/>
                          <w:rPr>
                            <w:b/>
                            <w:sz w:val="20"/>
                          </w:rPr>
                        </w:pPr>
                        <w:r w:rsidRPr="002F6442">
                          <w:rPr>
                            <w:b/>
                            <w:sz w:val="20"/>
                          </w:rPr>
                          <w:t>2016</w:t>
                        </w:r>
                      </w:p>
                    </w:tc>
                    <w:tc>
                      <w:tcPr>
                        <w:tcW w:w="886" w:type="dxa"/>
                      </w:tcPr>
                      <w:p w:rsidR="00227CC7" w:rsidRPr="002F6442" w:rsidRDefault="00227CC7" w:rsidP="002F6442">
                        <w:pPr>
                          <w:jc w:val="center"/>
                          <w:rPr>
                            <w:b/>
                            <w:sz w:val="20"/>
                          </w:rPr>
                        </w:pPr>
                        <w:r w:rsidRPr="002F6442">
                          <w:rPr>
                            <w:b/>
                            <w:sz w:val="20"/>
                          </w:rPr>
                          <w:t>2017</w:t>
                        </w:r>
                      </w:p>
                    </w:tc>
                  </w:tr>
                  <w:tr w:rsidR="00227CC7" w:rsidRPr="002F6442" w:rsidTr="002F6442">
                    <w:trPr>
                      <w:trHeight w:val="230"/>
                    </w:trPr>
                    <w:tc>
                      <w:tcPr>
                        <w:tcW w:w="2849" w:type="dxa"/>
                      </w:tcPr>
                      <w:p w:rsidR="00227CC7" w:rsidRPr="002F6442" w:rsidRDefault="00227CC7" w:rsidP="00BF740E">
                        <w:pPr>
                          <w:jc w:val="both"/>
                          <w:rPr>
                            <w:sz w:val="20"/>
                          </w:rPr>
                        </w:pPr>
                        <w:r>
                          <w:rPr>
                            <w:sz w:val="20"/>
                          </w:rPr>
                          <w:t>Legāli nodarbinātie, % no faktiski nepieciešamā skaita</w:t>
                        </w:r>
                      </w:p>
                    </w:tc>
                    <w:tc>
                      <w:tcPr>
                        <w:tcW w:w="885" w:type="dxa"/>
                      </w:tcPr>
                      <w:p w:rsidR="00227CC7" w:rsidRPr="002F6442" w:rsidRDefault="00227CC7" w:rsidP="00686D94">
                        <w:pPr>
                          <w:spacing w:line="360" w:lineRule="auto"/>
                          <w:jc w:val="center"/>
                          <w:rPr>
                            <w:sz w:val="20"/>
                          </w:rPr>
                        </w:pPr>
                        <w:r>
                          <w:rPr>
                            <w:sz w:val="20"/>
                          </w:rPr>
                          <w:t>7%</w:t>
                        </w:r>
                      </w:p>
                    </w:tc>
                    <w:tc>
                      <w:tcPr>
                        <w:tcW w:w="886" w:type="dxa"/>
                      </w:tcPr>
                      <w:p w:rsidR="00227CC7" w:rsidRPr="002F6442" w:rsidRDefault="00227CC7" w:rsidP="00686D94">
                        <w:pPr>
                          <w:jc w:val="center"/>
                          <w:rPr>
                            <w:sz w:val="20"/>
                          </w:rPr>
                        </w:pPr>
                        <w:r>
                          <w:rPr>
                            <w:sz w:val="20"/>
                          </w:rPr>
                          <w:t>10%</w:t>
                        </w:r>
                      </w:p>
                    </w:tc>
                    <w:tc>
                      <w:tcPr>
                        <w:tcW w:w="886" w:type="dxa"/>
                      </w:tcPr>
                      <w:p w:rsidR="00227CC7" w:rsidRPr="002F6442" w:rsidRDefault="00227CC7" w:rsidP="00686D94">
                        <w:pPr>
                          <w:jc w:val="center"/>
                          <w:rPr>
                            <w:sz w:val="20"/>
                          </w:rPr>
                        </w:pPr>
                        <w:r>
                          <w:rPr>
                            <w:sz w:val="20"/>
                          </w:rPr>
                          <w:t>14%</w:t>
                        </w:r>
                      </w:p>
                    </w:tc>
                    <w:tc>
                      <w:tcPr>
                        <w:tcW w:w="886" w:type="dxa"/>
                      </w:tcPr>
                      <w:p w:rsidR="00227CC7" w:rsidRPr="002F6442" w:rsidRDefault="00227CC7" w:rsidP="00686D94">
                        <w:pPr>
                          <w:jc w:val="center"/>
                          <w:rPr>
                            <w:sz w:val="20"/>
                          </w:rPr>
                        </w:pPr>
                        <w:r>
                          <w:rPr>
                            <w:sz w:val="20"/>
                          </w:rPr>
                          <w:t>20%</w:t>
                        </w:r>
                      </w:p>
                    </w:tc>
                  </w:tr>
                  <w:tr w:rsidR="00227CC7" w:rsidRPr="002F6442" w:rsidTr="002F6442">
                    <w:trPr>
                      <w:trHeight w:val="230"/>
                    </w:trPr>
                    <w:tc>
                      <w:tcPr>
                        <w:tcW w:w="2849" w:type="dxa"/>
                      </w:tcPr>
                      <w:p w:rsidR="00227CC7" w:rsidRPr="002F6442" w:rsidRDefault="00227CC7" w:rsidP="00BF740E">
                        <w:pPr>
                          <w:jc w:val="both"/>
                          <w:rPr>
                            <w:sz w:val="20"/>
                          </w:rPr>
                        </w:pPr>
                        <w:r>
                          <w:rPr>
                            <w:sz w:val="20"/>
                          </w:rPr>
                          <w:t>Legāli nodarbinātie, skaits</w:t>
                        </w:r>
                      </w:p>
                    </w:tc>
                    <w:tc>
                      <w:tcPr>
                        <w:tcW w:w="885" w:type="dxa"/>
                      </w:tcPr>
                      <w:p w:rsidR="00227CC7" w:rsidRPr="002F6442" w:rsidRDefault="00227CC7" w:rsidP="00686D94">
                        <w:pPr>
                          <w:jc w:val="center"/>
                          <w:rPr>
                            <w:sz w:val="20"/>
                          </w:rPr>
                        </w:pPr>
                        <w:r>
                          <w:rPr>
                            <w:sz w:val="20"/>
                          </w:rPr>
                          <w:t>2695</w:t>
                        </w:r>
                      </w:p>
                    </w:tc>
                    <w:tc>
                      <w:tcPr>
                        <w:tcW w:w="886" w:type="dxa"/>
                      </w:tcPr>
                      <w:p w:rsidR="00227CC7" w:rsidRPr="002F6442" w:rsidRDefault="00227CC7" w:rsidP="00686D94">
                        <w:pPr>
                          <w:jc w:val="center"/>
                          <w:rPr>
                            <w:sz w:val="20"/>
                          </w:rPr>
                        </w:pPr>
                        <w:r>
                          <w:rPr>
                            <w:sz w:val="20"/>
                          </w:rPr>
                          <w:t>3850</w:t>
                        </w:r>
                      </w:p>
                    </w:tc>
                    <w:tc>
                      <w:tcPr>
                        <w:tcW w:w="886" w:type="dxa"/>
                      </w:tcPr>
                      <w:p w:rsidR="00227CC7" w:rsidRPr="002F6442" w:rsidRDefault="00227CC7" w:rsidP="00686D94">
                        <w:pPr>
                          <w:jc w:val="center"/>
                          <w:rPr>
                            <w:sz w:val="20"/>
                          </w:rPr>
                        </w:pPr>
                        <w:r>
                          <w:rPr>
                            <w:sz w:val="20"/>
                          </w:rPr>
                          <w:t>5390</w:t>
                        </w:r>
                      </w:p>
                    </w:tc>
                    <w:tc>
                      <w:tcPr>
                        <w:tcW w:w="886" w:type="dxa"/>
                      </w:tcPr>
                      <w:p w:rsidR="00227CC7" w:rsidRPr="002F6442" w:rsidRDefault="00227CC7" w:rsidP="00686D94">
                        <w:pPr>
                          <w:jc w:val="center"/>
                          <w:rPr>
                            <w:sz w:val="20"/>
                          </w:rPr>
                        </w:pPr>
                        <w:r>
                          <w:rPr>
                            <w:sz w:val="20"/>
                          </w:rPr>
                          <w:t>7700</w:t>
                        </w:r>
                      </w:p>
                    </w:tc>
                  </w:tr>
                  <w:tr w:rsidR="00227CC7" w:rsidRPr="002F6442" w:rsidTr="002F6442">
                    <w:trPr>
                      <w:trHeight w:val="230"/>
                    </w:trPr>
                    <w:tc>
                      <w:tcPr>
                        <w:tcW w:w="2849" w:type="dxa"/>
                      </w:tcPr>
                      <w:p w:rsidR="00227CC7" w:rsidRPr="002F6442" w:rsidRDefault="00227CC7" w:rsidP="00BF740E">
                        <w:pPr>
                          <w:jc w:val="both"/>
                          <w:rPr>
                            <w:sz w:val="20"/>
                          </w:rPr>
                        </w:pPr>
                        <w:r>
                          <w:rPr>
                            <w:sz w:val="20"/>
                          </w:rPr>
                          <w:t>Ieņēmumi (15% nodokļa likme), tūkst. latu</w:t>
                        </w:r>
                      </w:p>
                    </w:tc>
                    <w:tc>
                      <w:tcPr>
                        <w:tcW w:w="885" w:type="dxa"/>
                      </w:tcPr>
                      <w:p w:rsidR="00227CC7" w:rsidRPr="002F6442" w:rsidRDefault="00227CC7" w:rsidP="00686D94">
                        <w:pPr>
                          <w:jc w:val="center"/>
                          <w:rPr>
                            <w:sz w:val="20"/>
                          </w:rPr>
                        </w:pPr>
                        <w:r>
                          <w:rPr>
                            <w:sz w:val="20"/>
                          </w:rPr>
                          <w:t>+91,0</w:t>
                        </w:r>
                      </w:p>
                    </w:tc>
                    <w:tc>
                      <w:tcPr>
                        <w:tcW w:w="886" w:type="dxa"/>
                      </w:tcPr>
                      <w:p w:rsidR="00227CC7" w:rsidRPr="002F6442" w:rsidRDefault="00227CC7" w:rsidP="00686D94">
                        <w:pPr>
                          <w:jc w:val="center"/>
                          <w:rPr>
                            <w:sz w:val="20"/>
                          </w:rPr>
                        </w:pPr>
                        <w:r>
                          <w:rPr>
                            <w:sz w:val="20"/>
                          </w:rPr>
                          <w:t>+129,9</w:t>
                        </w:r>
                      </w:p>
                    </w:tc>
                    <w:tc>
                      <w:tcPr>
                        <w:tcW w:w="886" w:type="dxa"/>
                      </w:tcPr>
                      <w:p w:rsidR="00227CC7" w:rsidRPr="002F6442" w:rsidRDefault="00227CC7" w:rsidP="00686D94">
                        <w:pPr>
                          <w:jc w:val="center"/>
                          <w:rPr>
                            <w:sz w:val="20"/>
                          </w:rPr>
                        </w:pPr>
                        <w:r>
                          <w:rPr>
                            <w:sz w:val="20"/>
                          </w:rPr>
                          <w:t>+181,9</w:t>
                        </w:r>
                      </w:p>
                    </w:tc>
                    <w:tc>
                      <w:tcPr>
                        <w:tcW w:w="886" w:type="dxa"/>
                      </w:tcPr>
                      <w:p w:rsidR="00227CC7" w:rsidRPr="002F6442" w:rsidRDefault="00227CC7" w:rsidP="00686D94">
                        <w:pPr>
                          <w:jc w:val="center"/>
                          <w:rPr>
                            <w:sz w:val="20"/>
                          </w:rPr>
                        </w:pPr>
                        <w:r>
                          <w:rPr>
                            <w:sz w:val="20"/>
                          </w:rPr>
                          <w:t>+259,9</w:t>
                        </w:r>
                      </w:p>
                    </w:tc>
                  </w:tr>
                  <w:tr w:rsidR="00227CC7" w:rsidRPr="002F6442" w:rsidTr="002F6442">
                    <w:trPr>
                      <w:trHeight w:val="230"/>
                    </w:trPr>
                    <w:tc>
                      <w:tcPr>
                        <w:tcW w:w="2849" w:type="dxa"/>
                      </w:tcPr>
                      <w:p w:rsidR="00227CC7" w:rsidRPr="002F6442" w:rsidRDefault="00227CC7" w:rsidP="00BF740E">
                        <w:pPr>
                          <w:jc w:val="both"/>
                          <w:rPr>
                            <w:sz w:val="20"/>
                          </w:rPr>
                        </w:pPr>
                        <w:r>
                          <w:rPr>
                            <w:sz w:val="20"/>
                          </w:rPr>
                          <w:t>Ietekme uz budžetu (atskaitot jau šobrīd iekasēto nodokļos), tūkst. latu, t.sk*.:</w:t>
                        </w:r>
                      </w:p>
                    </w:tc>
                    <w:tc>
                      <w:tcPr>
                        <w:tcW w:w="885" w:type="dxa"/>
                      </w:tcPr>
                      <w:p w:rsidR="00227CC7" w:rsidRPr="00686D94" w:rsidRDefault="00227CC7" w:rsidP="00686D94">
                        <w:pPr>
                          <w:jc w:val="center"/>
                          <w:rPr>
                            <w:b/>
                            <w:sz w:val="20"/>
                          </w:rPr>
                        </w:pPr>
                        <w:r>
                          <w:rPr>
                            <w:b/>
                            <w:sz w:val="20"/>
                          </w:rPr>
                          <w:t>+</w:t>
                        </w:r>
                        <w:r w:rsidRPr="00686D94">
                          <w:rPr>
                            <w:b/>
                            <w:sz w:val="20"/>
                          </w:rPr>
                          <w:t>4,5</w:t>
                        </w:r>
                      </w:p>
                    </w:tc>
                    <w:tc>
                      <w:tcPr>
                        <w:tcW w:w="886" w:type="dxa"/>
                      </w:tcPr>
                      <w:p w:rsidR="00227CC7" w:rsidRPr="00686D94" w:rsidRDefault="00227CC7" w:rsidP="00686D94">
                        <w:pPr>
                          <w:jc w:val="center"/>
                          <w:rPr>
                            <w:b/>
                            <w:sz w:val="20"/>
                          </w:rPr>
                        </w:pPr>
                        <w:r>
                          <w:rPr>
                            <w:b/>
                            <w:sz w:val="20"/>
                          </w:rPr>
                          <w:t>+</w:t>
                        </w:r>
                        <w:r w:rsidRPr="00686D94">
                          <w:rPr>
                            <w:b/>
                            <w:sz w:val="20"/>
                          </w:rPr>
                          <w:t>43,5</w:t>
                        </w:r>
                      </w:p>
                    </w:tc>
                    <w:tc>
                      <w:tcPr>
                        <w:tcW w:w="886" w:type="dxa"/>
                      </w:tcPr>
                      <w:p w:rsidR="00227CC7" w:rsidRPr="00686D94" w:rsidRDefault="00227CC7" w:rsidP="00686D94">
                        <w:pPr>
                          <w:jc w:val="center"/>
                          <w:rPr>
                            <w:b/>
                            <w:sz w:val="20"/>
                          </w:rPr>
                        </w:pPr>
                        <w:r>
                          <w:rPr>
                            <w:b/>
                            <w:sz w:val="20"/>
                          </w:rPr>
                          <w:t>+</w:t>
                        </w:r>
                        <w:r w:rsidRPr="00686D94">
                          <w:rPr>
                            <w:b/>
                            <w:sz w:val="20"/>
                          </w:rPr>
                          <w:t>95,5</w:t>
                        </w:r>
                      </w:p>
                    </w:tc>
                    <w:tc>
                      <w:tcPr>
                        <w:tcW w:w="886" w:type="dxa"/>
                      </w:tcPr>
                      <w:p w:rsidR="00227CC7" w:rsidRPr="00686D94" w:rsidRDefault="00227CC7" w:rsidP="00686D94">
                        <w:pPr>
                          <w:jc w:val="center"/>
                          <w:rPr>
                            <w:b/>
                            <w:sz w:val="20"/>
                          </w:rPr>
                        </w:pPr>
                        <w:r>
                          <w:rPr>
                            <w:b/>
                            <w:sz w:val="20"/>
                          </w:rPr>
                          <w:t>+</w:t>
                        </w:r>
                        <w:r w:rsidRPr="00686D94">
                          <w:rPr>
                            <w:b/>
                            <w:sz w:val="20"/>
                          </w:rPr>
                          <w:t>173,4</w:t>
                        </w:r>
                      </w:p>
                    </w:tc>
                  </w:tr>
                  <w:tr w:rsidR="00227CC7" w:rsidRPr="002F6442" w:rsidTr="002F6442">
                    <w:trPr>
                      <w:trHeight w:val="230"/>
                    </w:trPr>
                    <w:tc>
                      <w:tcPr>
                        <w:tcW w:w="2849" w:type="dxa"/>
                      </w:tcPr>
                      <w:p w:rsidR="00227CC7" w:rsidRPr="00686D94" w:rsidRDefault="00227CC7" w:rsidP="00686D94">
                        <w:pPr>
                          <w:jc w:val="right"/>
                          <w:rPr>
                            <w:i/>
                            <w:sz w:val="20"/>
                          </w:rPr>
                        </w:pPr>
                        <w:r w:rsidRPr="00686D94">
                          <w:rPr>
                            <w:i/>
                            <w:sz w:val="20"/>
                          </w:rPr>
                          <w:t>valsts sociālās apdrošināšanas iemaksas</w:t>
                        </w:r>
                      </w:p>
                    </w:tc>
                    <w:tc>
                      <w:tcPr>
                        <w:tcW w:w="885" w:type="dxa"/>
                      </w:tcPr>
                      <w:p w:rsidR="00227CC7" w:rsidRPr="00686D94" w:rsidRDefault="00227CC7" w:rsidP="00686D94">
                        <w:pPr>
                          <w:jc w:val="center"/>
                          <w:rPr>
                            <w:i/>
                            <w:sz w:val="20"/>
                          </w:rPr>
                        </w:pPr>
                        <w:r>
                          <w:rPr>
                            <w:i/>
                            <w:sz w:val="20"/>
                          </w:rPr>
                          <w:t>+4,1</w:t>
                        </w:r>
                      </w:p>
                    </w:tc>
                    <w:tc>
                      <w:tcPr>
                        <w:tcW w:w="886" w:type="dxa"/>
                      </w:tcPr>
                      <w:p w:rsidR="00227CC7" w:rsidRPr="00686D94" w:rsidRDefault="00227CC7" w:rsidP="00686D94">
                        <w:pPr>
                          <w:jc w:val="center"/>
                          <w:rPr>
                            <w:i/>
                            <w:sz w:val="20"/>
                          </w:rPr>
                        </w:pPr>
                        <w:r>
                          <w:rPr>
                            <w:i/>
                            <w:sz w:val="20"/>
                          </w:rPr>
                          <w:t>+39,2</w:t>
                        </w:r>
                      </w:p>
                    </w:tc>
                    <w:tc>
                      <w:tcPr>
                        <w:tcW w:w="886" w:type="dxa"/>
                      </w:tcPr>
                      <w:p w:rsidR="00227CC7" w:rsidRPr="00686D94" w:rsidRDefault="00227CC7" w:rsidP="00686D94">
                        <w:pPr>
                          <w:jc w:val="center"/>
                          <w:rPr>
                            <w:i/>
                            <w:sz w:val="20"/>
                          </w:rPr>
                        </w:pPr>
                        <w:r>
                          <w:rPr>
                            <w:i/>
                            <w:sz w:val="20"/>
                          </w:rPr>
                          <w:t>+85,9</w:t>
                        </w:r>
                      </w:p>
                    </w:tc>
                    <w:tc>
                      <w:tcPr>
                        <w:tcW w:w="886" w:type="dxa"/>
                      </w:tcPr>
                      <w:p w:rsidR="00227CC7" w:rsidRPr="00686D94" w:rsidRDefault="00227CC7" w:rsidP="00686D94">
                        <w:pPr>
                          <w:jc w:val="center"/>
                          <w:rPr>
                            <w:i/>
                            <w:sz w:val="20"/>
                          </w:rPr>
                        </w:pPr>
                        <w:r>
                          <w:rPr>
                            <w:i/>
                            <w:sz w:val="20"/>
                          </w:rPr>
                          <w:t>+156,1</w:t>
                        </w:r>
                      </w:p>
                    </w:tc>
                  </w:tr>
                  <w:tr w:rsidR="00227CC7" w:rsidRPr="002F6442" w:rsidTr="002F6442">
                    <w:trPr>
                      <w:trHeight w:val="230"/>
                    </w:trPr>
                    <w:tc>
                      <w:tcPr>
                        <w:tcW w:w="2849" w:type="dxa"/>
                      </w:tcPr>
                      <w:p w:rsidR="00227CC7" w:rsidRPr="00686D94" w:rsidRDefault="00227CC7" w:rsidP="00686D94">
                        <w:pPr>
                          <w:jc w:val="right"/>
                          <w:rPr>
                            <w:i/>
                            <w:sz w:val="20"/>
                          </w:rPr>
                        </w:pPr>
                        <w:r w:rsidRPr="00686D94">
                          <w:rPr>
                            <w:i/>
                            <w:sz w:val="20"/>
                          </w:rPr>
                          <w:t>iedzīvotāju ienākuma nodokļa ieņēmumi</w:t>
                        </w:r>
                      </w:p>
                    </w:tc>
                    <w:tc>
                      <w:tcPr>
                        <w:tcW w:w="885" w:type="dxa"/>
                      </w:tcPr>
                      <w:p w:rsidR="00227CC7" w:rsidRPr="00686D94" w:rsidRDefault="00227CC7" w:rsidP="00686D94">
                        <w:pPr>
                          <w:jc w:val="center"/>
                          <w:rPr>
                            <w:i/>
                            <w:sz w:val="20"/>
                          </w:rPr>
                        </w:pPr>
                        <w:r>
                          <w:rPr>
                            <w:i/>
                            <w:sz w:val="20"/>
                          </w:rPr>
                          <w:t>+0,5</w:t>
                        </w:r>
                      </w:p>
                    </w:tc>
                    <w:tc>
                      <w:tcPr>
                        <w:tcW w:w="886" w:type="dxa"/>
                      </w:tcPr>
                      <w:p w:rsidR="00227CC7" w:rsidRPr="00686D94" w:rsidRDefault="00227CC7" w:rsidP="00686D94">
                        <w:pPr>
                          <w:jc w:val="center"/>
                          <w:rPr>
                            <w:i/>
                            <w:sz w:val="20"/>
                          </w:rPr>
                        </w:pPr>
                        <w:r>
                          <w:rPr>
                            <w:i/>
                            <w:sz w:val="20"/>
                          </w:rPr>
                          <w:t>+4,4</w:t>
                        </w:r>
                      </w:p>
                    </w:tc>
                    <w:tc>
                      <w:tcPr>
                        <w:tcW w:w="886" w:type="dxa"/>
                      </w:tcPr>
                      <w:p w:rsidR="00227CC7" w:rsidRPr="00686D94" w:rsidRDefault="00227CC7" w:rsidP="00686D94">
                        <w:pPr>
                          <w:jc w:val="center"/>
                          <w:rPr>
                            <w:i/>
                            <w:sz w:val="20"/>
                          </w:rPr>
                        </w:pPr>
                        <w:r>
                          <w:rPr>
                            <w:i/>
                            <w:sz w:val="20"/>
                          </w:rPr>
                          <w:t>+9,5</w:t>
                        </w:r>
                      </w:p>
                    </w:tc>
                    <w:tc>
                      <w:tcPr>
                        <w:tcW w:w="886" w:type="dxa"/>
                      </w:tcPr>
                      <w:p w:rsidR="00227CC7" w:rsidRPr="00686D94" w:rsidRDefault="00227CC7" w:rsidP="00686D94">
                        <w:pPr>
                          <w:jc w:val="center"/>
                          <w:rPr>
                            <w:i/>
                            <w:sz w:val="20"/>
                          </w:rPr>
                        </w:pPr>
                        <w:r>
                          <w:rPr>
                            <w:i/>
                            <w:sz w:val="20"/>
                          </w:rPr>
                          <w:t>+17,3</w:t>
                        </w:r>
                      </w:p>
                    </w:tc>
                  </w:tr>
                </w:tbl>
                <w:p w:rsidR="00227CC7" w:rsidRDefault="00227CC7" w:rsidP="00BF740E">
                  <w:pPr>
                    <w:jc w:val="both"/>
                    <w:rPr>
                      <w:sz w:val="20"/>
                    </w:rPr>
                  </w:pPr>
                  <w:r w:rsidRPr="00686D94">
                    <w:rPr>
                      <w:sz w:val="20"/>
                    </w:rPr>
                    <w:t>*pēc sadalījuma 90% VSAOI, 10% IIN</w:t>
                  </w:r>
                </w:p>
                <w:p w:rsidR="00121E5C" w:rsidRDefault="00121E5C" w:rsidP="00BF740E">
                  <w:pPr>
                    <w:jc w:val="both"/>
                    <w:rPr>
                      <w:sz w:val="20"/>
                    </w:rPr>
                  </w:pPr>
                </w:p>
                <w:p w:rsidR="00121E5C" w:rsidRDefault="006A522B" w:rsidP="0012151A">
                  <w:pPr>
                    <w:jc w:val="both"/>
                  </w:pPr>
                  <w:r>
                    <w:t>Lai Valsts ieņēmumu dienests varētu administrēt sezonas laukstrādnieku nodokli</w:t>
                  </w:r>
                  <w:r w:rsidR="00F962B2">
                    <w:t>,</w:t>
                  </w:r>
                  <w:r>
                    <w:t xml:space="preserve"> </w:t>
                  </w:r>
                  <w:r w:rsidR="00F962B2">
                    <w:t>tam 2014.gadā ir nepieciešams papildu valsts budžeta finansējums</w:t>
                  </w:r>
                  <w:r>
                    <w:t xml:space="preserve"> Ls 44</w:t>
                  </w:r>
                  <w:r w:rsidR="00F962B2">
                    <w:t> </w:t>
                  </w:r>
                  <w:r>
                    <w:t>105</w:t>
                  </w:r>
                  <w:r w:rsidR="00F962B2">
                    <w:t xml:space="preserve"> latu apmērā</w:t>
                  </w:r>
                  <w:r>
                    <w:t>, tas ir:</w:t>
                  </w:r>
                </w:p>
                <w:p w:rsidR="0012151A" w:rsidRPr="00A518A8" w:rsidRDefault="0012151A" w:rsidP="0012151A">
                  <w:pPr>
                    <w:pStyle w:val="ListParagraph"/>
                    <w:numPr>
                      <w:ilvl w:val="0"/>
                      <w:numId w:val="35"/>
                    </w:numPr>
                    <w:contextualSpacing w:val="0"/>
                    <w:jc w:val="both"/>
                    <w:rPr>
                      <w:b/>
                      <w:sz w:val="22"/>
                      <w:szCs w:val="22"/>
                    </w:rPr>
                  </w:pPr>
                  <w:r w:rsidRPr="00A518A8">
                    <w:rPr>
                      <w:b/>
                    </w:rPr>
                    <w:t>Nodokļu informācijas sistēmā (NIS):</w:t>
                  </w:r>
                </w:p>
                <w:p w:rsidR="0012151A" w:rsidRPr="00A518A8" w:rsidRDefault="0012151A" w:rsidP="0012151A">
                  <w:pPr>
                    <w:pStyle w:val="ListParagraph"/>
                    <w:numPr>
                      <w:ilvl w:val="0"/>
                      <w:numId w:val="36"/>
                    </w:numPr>
                    <w:contextualSpacing w:val="0"/>
                    <w:jc w:val="both"/>
                    <w:rPr>
                      <w:b/>
                    </w:rPr>
                  </w:pPr>
                  <w:r w:rsidRPr="00A518A8">
                    <w:rPr>
                      <w:b/>
                    </w:rPr>
                    <w:t xml:space="preserve">jauna saraksta un formas loga izstrādes darbietilpība </w:t>
                  </w:r>
                  <w:r w:rsidRPr="00A518A8">
                    <w:rPr>
                      <w:b/>
                    </w:rPr>
                    <w:lastRenderedPageBreak/>
                    <w:t>52 c/d apjomā  (tajā skaitā projektēšanas darbu veikšana, ņemot vērā arī nepieciešamo datu apmaiņas nodrošināšanu ar Valsts sociālās apdrošināšanas aģentūru (VSAA) un Iedzīvotāju ienākuma nodokļa teritoriālo sadalījumu);</w:t>
                  </w:r>
                </w:p>
                <w:p w:rsidR="0012151A" w:rsidRPr="00A518A8" w:rsidRDefault="0012151A" w:rsidP="0012151A">
                  <w:pPr>
                    <w:pStyle w:val="ListParagraph"/>
                    <w:numPr>
                      <w:ilvl w:val="0"/>
                      <w:numId w:val="36"/>
                    </w:numPr>
                    <w:contextualSpacing w:val="0"/>
                    <w:jc w:val="both"/>
                    <w:rPr>
                      <w:b/>
                    </w:rPr>
                  </w:pPr>
                  <w:r w:rsidRPr="00A518A8">
                    <w:rPr>
                      <w:b/>
                    </w:rPr>
                    <w:t>datu apmaiņas ar VSAA  realizācija  3 c/d apjomā;</w:t>
                  </w:r>
                </w:p>
                <w:p w:rsidR="0012151A" w:rsidRPr="00A518A8" w:rsidRDefault="0012151A" w:rsidP="0012151A">
                  <w:pPr>
                    <w:pStyle w:val="ListParagraph"/>
                    <w:numPr>
                      <w:ilvl w:val="0"/>
                      <w:numId w:val="36"/>
                    </w:numPr>
                    <w:contextualSpacing w:val="0"/>
                    <w:jc w:val="both"/>
                    <w:rPr>
                      <w:b/>
                    </w:rPr>
                  </w:pPr>
                  <w:r w:rsidRPr="00A518A8">
                    <w:rPr>
                      <w:b/>
                    </w:rPr>
                    <w:t>izmaiņu realizācija iedzīvotāju ienākuma nodokļa teritoriālā sadalījuma procedūrās - 4 c/d apjomā;</w:t>
                  </w:r>
                </w:p>
                <w:p w:rsidR="0012151A" w:rsidRPr="00A518A8" w:rsidRDefault="0012151A" w:rsidP="0012151A">
                  <w:pPr>
                    <w:pStyle w:val="ListParagraph"/>
                    <w:numPr>
                      <w:ilvl w:val="0"/>
                      <w:numId w:val="36"/>
                    </w:numPr>
                    <w:contextualSpacing w:val="0"/>
                    <w:jc w:val="both"/>
                    <w:rPr>
                      <w:b/>
                    </w:rPr>
                  </w:pPr>
                  <w:r w:rsidRPr="00A518A8">
                    <w:rPr>
                      <w:b/>
                    </w:rPr>
                    <w:t>izmaiņu realizācija nodokļu maksātājam (NM) izsniedzamajā izziņā par fiziskās personas ienākumiem (tajā skaitā atbilstošās izmaiņas Izziņu informācijas sistēmas (IZIS)  projektējumā un Datu noliktavas sistēmā (DNS)) - 1 c/d apjomā;</w:t>
                  </w:r>
                </w:p>
                <w:p w:rsidR="0012151A" w:rsidRPr="00A518A8" w:rsidRDefault="0012151A" w:rsidP="0012151A">
                  <w:pPr>
                    <w:pStyle w:val="ListParagraph"/>
                    <w:numPr>
                      <w:ilvl w:val="0"/>
                      <w:numId w:val="36"/>
                    </w:numPr>
                    <w:contextualSpacing w:val="0"/>
                    <w:jc w:val="both"/>
                    <w:rPr>
                      <w:b/>
                    </w:rPr>
                  </w:pPr>
                  <w:r w:rsidRPr="00A518A8">
                    <w:rPr>
                      <w:b/>
                    </w:rPr>
                    <w:t>kopējās  izmaiņas NIS  </w:t>
                  </w:r>
                  <w:r w:rsidRPr="00A518A8">
                    <w:rPr>
                      <w:b/>
                      <w:bCs/>
                    </w:rPr>
                    <w:t>- 60 c/d  apjomā (60*272,25= 16335 Ls).</w:t>
                  </w:r>
                </w:p>
                <w:p w:rsidR="0012151A" w:rsidRPr="00A518A8" w:rsidRDefault="0012151A" w:rsidP="0012151A">
                  <w:pPr>
                    <w:pStyle w:val="ListParagraph"/>
                    <w:numPr>
                      <w:ilvl w:val="0"/>
                      <w:numId w:val="35"/>
                    </w:numPr>
                    <w:contextualSpacing w:val="0"/>
                    <w:jc w:val="both"/>
                    <w:rPr>
                      <w:b/>
                    </w:rPr>
                  </w:pPr>
                  <w:r w:rsidRPr="00A518A8">
                    <w:rPr>
                      <w:b/>
                    </w:rPr>
                    <w:t>Elektroniskās deklarēšanas sistēmā (EDS):</w:t>
                  </w:r>
                </w:p>
                <w:p w:rsidR="0012151A" w:rsidRPr="00A518A8" w:rsidRDefault="0012151A" w:rsidP="0012151A">
                  <w:pPr>
                    <w:pStyle w:val="ListParagraph"/>
                    <w:numPr>
                      <w:ilvl w:val="0"/>
                      <w:numId w:val="36"/>
                    </w:numPr>
                    <w:contextualSpacing w:val="0"/>
                    <w:jc w:val="both"/>
                    <w:rPr>
                      <w:b/>
                    </w:rPr>
                  </w:pPr>
                  <w:r w:rsidRPr="00A518A8">
                    <w:rPr>
                      <w:b/>
                    </w:rPr>
                    <w:t>jaunā dokumenta projektēšana, t.sk. datu ielādēšanai no LAD XML faila – 10 c/d apjomā;</w:t>
                  </w:r>
                </w:p>
                <w:p w:rsidR="0012151A" w:rsidRPr="00A518A8" w:rsidRDefault="0012151A" w:rsidP="0012151A">
                  <w:pPr>
                    <w:pStyle w:val="ListParagraph"/>
                    <w:numPr>
                      <w:ilvl w:val="0"/>
                      <w:numId w:val="36"/>
                    </w:numPr>
                    <w:contextualSpacing w:val="0"/>
                    <w:jc w:val="both"/>
                    <w:rPr>
                      <w:b/>
                    </w:rPr>
                  </w:pPr>
                  <w:r w:rsidRPr="00A518A8">
                    <w:rPr>
                      <w:b/>
                    </w:rPr>
                    <w:t>dokumenta ievadformas un datu izvietošanas NIS DB realizācija 17 c/d apjomā;</w:t>
                  </w:r>
                </w:p>
                <w:p w:rsidR="0012151A" w:rsidRPr="00A518A8" w:rsidRDefault="0012151A" w:rsidP="0012151A">
                  <w:pPr>
                    <w:pStyle w:val="ListParagraph"/>
                    <w:numPr>
                      <w:ilvl w:val="0"/>
                      <w:numId w:val="36"/>
                    </w:numPr>
                    <w:contextualSpacing w:val="0"/>
                    <w:jc w:val="both"/>
                    <w:rPr>
                      <w:b/>
                    </w:rPr>
                  </w:pPr>
                  <w:r w:rsidRPr="00A518A8">
                    <w:rPr>
                      <w:b/>
                    </w:rPr>
                    <w:t>testēšana un dokumentēšana - 5 c/d apjomā;</w:t>
                  </w:r>
                </w:p>
                <w:p w:rsidR="0012151A" w:rsidRPr="00A518A8" w:rsidRDefault="0012151A" w:rsidP="0012151A">
                  <w:pPr>
                    <w:pStyle w:val="ListParagraph"/>
                    <w:numPr>
                      <w:ilvl w:val="0"/>
                      <w:numId w:val="36"/>
                    </w:numPr>
                    <w:contextualSpacing w:val="0"/>
                    <w:jc w:val="both"/>
                    <w:rPr>
                      <w:b/>
                    </w:rPr>
                  </w:pPr>
                  <w:r w:rsidRPr="00A518A8">
                    <w:rPr>
                      <w:b/>
                    </w:rPr>
                    <w:t>kopējās  izmaiņas EDS  </w:t>
                  </w:r>
                  <w:r w:rsidRPr="00A518A8">
                    <w:rPr>
                      <w:b/>
                      <w:bCs/>
                    </w:rPr>
                    <w:t>- 32 c/d (32*272,25=8712 Ls).</w:t>
                  </w:r>
                </w:p>
                <w:p w:rsidR="0012151A" w:rsidRPr="00A518A8" w:rsidRDefault="0012151A" w:rsidP="0012151A">
                  <w:pPr>
                    <w:pStyle w:val="ListParagraph"/>
                    <w:numPr>
                      <w:ilvl w:val="0"/>
                      <w:numId w:val="35"/>
                    </w:numPr>
                    <w:contextualSpacing w:val="0"/>
                    <w:jc w:val="both"/>
                    <w:rPr>
                      <w:b/>
                    </w:rPr>
                  </w:pPr>
                  <w:r w:rsidRPr="00A518A8">
                    <w:rPr>
                      <w:b/>
                    </w:rPr>
                    <w:t>Datu noliktavas sistēmā (DNS):</w:t>
                  </w:r>
                </w:p>
                <w:p w:rsidR="0012151A" w:rsidRPr="00A518A8" w:rsidRDefault="0012151A" w:rsidP="0012151A">
                  <w:pPr>
                    <w:pStyle w:val="ListParagraph"/>
                    <w:numPr>
                      <w:ilvl w:val="0"/>
                      <w:numId w:val="36"/>
                    </w:numPr>
                    <w:contextualSpacing w:val="0"/>
                    <w:jc w:val="both"/>
                    <w:rPr>
                      <w:b/>
                    </w:rPr>
                  </w:pPr>
                  <w:r w:rsidRPr="00A518A8">
                    <w:rPr>
                      <w:b/>
                    </w:rPr>
                    <w:t>izmaiņas DNS datubāzē;</w:t>
                  </w:r>
                </w:p>
                <w:p w:rsidR="0012151A" w:rsidRPr="00A518A8" w:rsidRDefault="0012151A" w:rsidP="0012151A">
                  <w:pPr>
                    <w:pStyle w:val="ListParagraph"/>
                    <w:numPr>
                      <w:ilvl w:val="0"/>
                      <w:numId w:val="36"/>
                    </w:numPr>
                    <w:contextualSpacing w:val="0"/>
                    <w:jc w:val="both"/>
                    <w:rPr>
                      <w:b/>
                    </w:rPr>
                  </w:pPr>
                  <w:r w:rsidRPr="00A518A8">
                    <w:rPr>
                      <w:b/>
                    </w:rPr>
                    <w:t>izmaiņas datu transformācijās;</w:t>
                  </w:r>
                </w:p>
                <w:p w:rsidR="0012151A" w:rsidRPr="00A518A8" w:rsidRDefault="0012151A" w:rsidP="0012151A">
                  <w:pPr>
                    <w:pStyle w:val="ListParagraph"/>
                    <w:numPr>
                      <w:ilvl w:val="0"/>
                      <w:numId w:val="36"/>
                    </w:numPr>
                    <w:contextualSpacing w:val="0"/>
                    <w:jc w:val="both"/>
                    <w:rPr>
                      <w:b/>
                    </w:rPr>
                  </w:pPr>
                  <w:r w:rsidRPr="00A518A8">
                    <w:rPr>
                      <w:b/>
                    </w:rPr>
                    <w:t>jaunas klases, objektu un filtru analīzes sistēmās „NM iesniegtie dokumenti (2)” un „Informācijas CSP (2)” izveide;</w:t>
                  </w:r>
                </w:p>
                <w:p w:rsidR="0012151A" w:rsidRPr="00A518A8" w:rsidRDefault="0012151A" w:rsidP="0012151A">
                  <w:pPr>
                    <w:pStyle w:val="ListParagraph"/>
                    <w:numPr>
                      <w:ilvl w:val="0"/>
                      <w:numId w:val="36"/>
                    </w:numPr>
                    <w:contextualSpacing w:val="0"/>
                    <w:jc w:val="both"/>
                    <w:rPr>
                      <w:b/>
                    </w:rPr>
                  </w:pPr>
                  <w:r w:rsidRPr="00A518A8">
                    <w:rPr>
                      <w:b/>
                    </w:rPr>
                    <w:t>izmaiņas esošajos pārskatos, kuros tiek veikta NM - fizisko personu ienākumu analīze;</w:t>
                  </w:r>
                </w:p>
                <w:p w:rsidR="0012151A" w:rsidRPr="00A518A8" w:rsidRDefault="0012151A" w:rsidP="0012151A">
                  <w:pPr>
                    <w:pStyle w:val="ListParagraph"/>
                    <w:numPr>
                      <w:ilvl w:val="0"/>
                      <w:numId w:val="36"/>
                    </w:numPr>
                    <w:contextualSpacing w:val="0"/>
                    <w:jc w:val="both"/>
                    <w:rPr>
                      <w:b/>
                    </w:rPr>
                  </w:pPr>
                  <w:r w:rsidRPr="00A518A8">
                    <w:rPr>
                      <w:b/>
                    </w:rPr>
                    <w:t>dokumenta „pps_vid_dn_nmdokunv_2.docx” papildināšana un lietotāja rokasgrāmatas aktualizēšana;</w:t>
                  </w:r>
                </w:p>
                <w:p w:rsidR="0012151A" w:rsidRPr="00A518A8" w:rsidRDefault="0012151A" w:rsidP="0012151A">
                  <w:pPr>
                    <w:pStyle w:val="ListParagraph"/>
                    <w:numPr>
                      <w:ilvl w:val="0"/>
                      <w:numId w:val="36"/>
                    </w:numPr>
                    <w:contextualSpacing w:val="0"/>
                    <w:jc w:val="both"/>
                    <w:rPr>
                      <w:b/>
                    </w:rPr>
                  </w:pPr>
                  <w:r w:rsidRPr="00A518A8">
                    <w:rPr>
                      <w:b/>
                    </w:rPr>
                    <w:t>kopējās  izmaiņas DNS  </w:t>
                  </w:r>
                  <w:r w:rsidRPr="00A518A8">
                    <w:rPr>
                      <w:b/>
                      <w:bCs/>
                    </w:rPr>
                    <w:t>- 42 c/d apjomā (42*272,25= 11435 Ls).</w:t>
                  </w:r>
                </w:p>
                <w:p w:rsidR="0012151A" w:rsidRPr="00A518A8" w:rsidRDefault="0012151A" w:rsidP="0012151A">
                  <w:pPr>
                    <w:pStyle w:val="ListParagraph"/>
                    <w:numPr>
                      <w:ilvl w:val="0"/>
                      <w:numId w:val="35"/>
                    </w:numPr>
                    <w:contextualSpacing w:val="0"/>
                    <w:jc w:val="both"/>
                    <w:rPr>
                      <w:b/>
                    </w:rPr>
                  </w:pPr>
                  <w:r w:rsidRPr="00A518A8">
                    <w:rPr>
                      <w:b/>
                    </w:rPr>
                    <w:t xml:space="preserve">VID </w:t>
                  </w:r>
                  <w:proofErr w:type="spellStart"/>
                  <w:r w:rsidRPr="00A518A8">
                    <w:rPr>
                      <w:b/>
                    </w:rPr>
                    <w:t>WEBservisu</w:t>
                  </w:r>
                  <w:proofErr w:type="spellEnd"/>
                  <w:r w:rsidRPr="00A518A8">
                    <w:rPr>
                      <w:b/>
                    </w:rPr>
                    <w:t xml:space="preserve"> sistēmā (VIDWS) un Nodokļu maksātāju datu sistēmā (NMDS):</w:t>
                  </w:r>
                </w:p>
                <w:p w:rsidR="0012151A" w:rsidRPr="00A518A8" w:rsidRDefault="0012151A" w:rsidP="0012151A">
                  <w:pPr>
                    <w:pStyle w:val="ListParagraph"/>
                    <w:numPr>
                      <w:ilvl w:val="0"/>
                      <w:numId w:val="37"/>
                    </w:numPr>
                    <w:contextualSpacing w:val="0"/>
                    <w:jc w:val="both"/>
                    <w:rPr>
                      <w:b/>
                    </w:rPr>
                  </w:pPr>
                  <w:r w:rsidRPr="00A518A8">
                    <w:rPr>
                      <w:b/>
                    </w:rPr>
                    <w:t>WIDWS izmaiņas datu apmaiņā ar Korupcijas novēršanas un apkarošanas biroju (KNAB), Uzturlīdzekļu garantijas fonda administrāciju (UGFA), EDS, Audita atbalsta informācijas sistēmu (ASIS), Valsts darba inspekciju (VDI);</w:t>
                  </w:r>
                </w:p>
                <w:p w:rsidR="0012151A" w:rsidRPr="00A518A8" w:rsidRDefault="0012151A" w:rsidP="0012151A">
                  <w:pPr>
                    <w:pStyle w:val="ListParagraph"/>
                    <w:numPr>
                      <w:ilvl w:val="0"/>
                      <w:numId w:val="37"/>
                    </w:numPr>
                    <w:contextualSpacing w:val="0"/>
                    <w:jc w:val="both"/>
                    <w:rPr>
                      <w:b/>
                    </w:rPr>
                  </w:pPr>
                  <w:r w:rsidRPr="00A518A8">
                    <w:rPr>
                      <w:b/>
                    </w:rPr>
                    <w:t>NMDS nepieciešamas izmaiņas pārskatos „Darba devēju aprēķinātās Valsts sociālās apdrošināšanas obligātās iemaksas” un „Darba devēju ieturētais Iedzīvotāju ienākuma nodoklis”</w:t>
                  </w:r>
                </w:p>
                <w:p w:rsidR="0012151A" w:rsidRPr="00A518A8" w:rsidRDefault="0012151A" w:rsidP="0012151A">
                  <w:pPr>
                    <w:pStyle w:val="ListParagraph"/>
                    <w:numPr>
                      <w:ilvl w:val="0"/>
                      <w:numId w:val="37"/>
                    </w:numPr>
                    <w:contextualSpacing w:val="0"/>
                    <w:jc w:val="both"/>
                    <w:rPr>
                      <w:b/>
                    </w:rPr>
                  </w:pPr>
                  <w:r w:rsidRPr="00A518A8">
                    <w:rPr>
                      <w:b/>
                    </w:rPr>
                    <w:t xml:space="preserve">kopējās  izmaiņas (ieskaitot izmaiņu projektējuma sagatavošanu) VIDWS un NMDS </w:t>
                  </w:r>
                  <w:r w:rsidRPr="00A518A8">
                    <w:rPr>
                      <w:b/>
                      <w:bCs/>
                    </w:rPr>
                    <w:t>- 24 c/d apjomā (24*272,25=6534 Ls).</w:t>
                  </w:r>
                </w:p>
                <w:p w:rsidR="0012151A" w:rsidRPr="00677A8C" w:rsidRDefault="0012151A" w:rsidP="0012151A">
                  <w:pPr>
                    <w:pStyle w:val="ListParagraph"/>
                    <w:numPr>
                      <w:ilvl w:val="0"/>
                      <w:numId w:val="35"/>
                    </w:numPr>
                    <w:contextualSpacing w:val="0"/>
                    <w:jc w:val="both"/>
                    <w:rPr>
                      <w:b/>
                    </w:rPr>
                  </w:pPr>
                  <w:r w:rsidRPr="00A518A8">
                    <w:rPr>
                      <w:b/>
                    </w:rPr>
                    <w:t xml:space="preserve">Fizisko personu riska analīzes sistēmā (FPRAS): jaunu </w:t>
                  </w:r>
                  <w:r w:rsidRPr="00A518A8">
                    <w:rPr>
                      <w:b/>
                    </w:rPr>
                    <w:lastRenderedPageBreak/>
                    <w:t xml:space="preserve">riska faktoru izstrāde, esošo riska kritēriju formulu labošana, izmaiņu testēšanai un minēto izmaiņu aprakstīšanai FPRAS dokumentācijā </w:t>
                  </w:r>
                  <w:r w:rsidRPr="00A518A8">
                    <w:rPr>
                      <w:b/>
                      <w:bCs/>
                    </w:rPr>
                    <w:t>-  4 c/d apjomā (4*272,25=1089 Ls).</w:t>
                  </w:r>
                </w:p>
              </w:tc>
            </w:tr>
            <w:tr w:rsidR="00227CC7" w:rsidRPr="00473B6E" w:rsidTr="006717BA">
              <w:trPr>
                <w:trHeight w:val="381"/>
                <w:tblCellSpacing w:w="0" w:type="dxa"/>
              </w:trPr>
              <w:tc>
                <w:tcPr>
                  <w:tcW w:w="2529" w:type="dxa"/>
                </w:tcPr>
                <w:p w:rsidR="00227CC7" w:rsidRPr="00121E5C" w:rsidRDefault="00227CC7" w:rsidP="00121E5C">
                  <w:pPr>
                    <w:pStyle w:val="ListParagraph"/>
                    <w:numPr>
                      <w:ilvl w:val="1"/>
                      <w:numId w:val="33"/>
                    </w:numPr>
                    <w:rPr>
                      <w:rFonts w:eastAsia="Calibri"/>
                      <w:lang w:eastAsia="en-US"/>
                    </w:rPr>
                  </w:pPr>
                  <w:r w:rsidRPr="00121E5C">
                    <w:rPr>
                      <w:rFonts w:eastAsia="Calibri"/>
                      <w:lang w:eastAsia="en-US"/>
                    </w:rPr>
                    <w:t>detalizēts ieņēmumu aprēķins</w:t>
                  </w:r>
                </w:p>
                <w:p w:rsidR="00121E5C" w:rsidRDefault="00121E5C" w:rsidP="00121E5C">
                  <w:pPr>
                    <w:rPr>
                      <w:rFonts w:eastAsia="Calibri"/>
                      <w:lang w:eastAsia="en-US"/>
                    </w:rPr>
                  </w:pPr>
                </w:p>
                <w:p w:rsidR="00121E5C" w:rsidRDefault="00121E5C" w:rsidP="00121E5C">
                  <w:pPr>
                    <w:rPr>
                      <w:rFonts w:eastAsia="Calibri"/>
                      <w:lang w:eastAsia="en-US"/>
                    </w:rPr>
                  </w:pPr>
                </w:p>
                <w:p w:rsidR="00121E5C" w:rsidRDefault="00121E5C" w:rsidP="00121E5C">
                  <w:pPr>
                    <w:rPr>
                      <w:rFonts w:eastAsia="Calibri"/>
                      <w:lang w:eastAsia="en-US"/>
                    </w:rPr>
                  </w:pPr>
                </w:p>
                <w:p w:rsidR="00121E5C" w:rsidRDefault="00121E5C" w:rsidP="00121E5C">
                  <w:pPr>
                    <w:rPr>
                      <w:rFonts w:eastAsia="Calibri"/>
                      <w:lang w:eastAsia="en-US"/>
                    </w:rPr>
                  </w:pPr>
                </w:p>
                <w:p w:rsidR="00121E5C" w:rsidRDefault="00121E5C" w:rsidP="00121E5C">
                  <w:pPr>
                    <w:rPr>
                      <w:rFonts w:eastAsia="Calibri"/>
                      <w:lang w:eastAsia="en-US"/>
                    </w:rPr>
                  </w:pPr>
                </w:p>
                <w:p w:rsidR="00121E5C" w:rsidRDefault="00121E5C" w:rsidP="00121E5C">
                  <w:pPr>
                    <w:rPr>
                      <w:rFonts w:eastAsia="Calibri"/>
                      <w:lang w:eastAsia="en-US"/>
                    </w:rPr>
                  </w:pPr>
                </w:p>
                <w:p w:rsidR="00121E5C" w:rsidRDefault="00121E5C" w:rsidP="00121E5C">
                  <w:pPr>
                    <w:rPr>
                      <w:rFonts w:eastAsia="Calibri"/>
                      <w:lang w:eastAsia="en-US"/>
                    </w:rPr>
                  </w:pPr>
                </w:p>
                <w:p w:rsidR="00121E5C" w:rsidRDefault="00121E5C" w:rsidP="00121E5C">
                  <w:pPr>
                    <w:rPr>
                      <w:rFonts w:eastAsia="Calibri"/>
                      <w:lang w:eastAsia="en-US"/>
                    </w:rPr>
                  </w:pPr>
                </w:p>
                <w:p w:rsidR="00121E5C" w:rsidRDefault="00121E5C" w:rsidP="00121E5C">
                  <w:pPr>
                    <w:rPr>
                      <w:rFonts w:eastAsia="Calibri"/>
                      <w:lang w:eastAsia="en-US"/>
                    </w:rPr>
                  </w:pPr>
                </w:p>
                <w:p w:rsidR="00121E5C" w:rsidRDefault="00121E5C" w:rsidP="00121E5C">
                  <w:pPr>
                    <w:rPr>
                      <w:rFonts w:eastAsia="Calibri"/>
                      <w:lang w:eastAsia="en-US"/>
                    </w:rPr>
                  </w:pPr>
                </w:p>
                <w:p w:rsidR="00121E5C" w:rsidRDefault="00121E5C" w:rsidP="00121E5C">
                  <w:pPr>
                    <w:rPr>
                      <w:rFonts w:eastAsia="Calibri"/>
                      <w:lang w:eastAsia="en-US"/>
                    </w:rPr>
                  </w:pPr>
                </w:p>
                <w:p w:rsidR="00121E5C" w:rsidRDefault="00121E5C" w:rsidP="00121E5C">
                  <w:pPr>
                    <w:rPr>
                      <w:rFonts w:eastAsia="Calibri"/>
                      <w:lang w:eastAsia="en-US"/>
                    </w:rPr>
                  </w:pPr>
                </w:p>
                <w:p w:rsidR="00121E5C" w:rsidRDefault="00121E5C" w:rsidP="00121E5C">
                  <w:pPr>
                    <w:rPr>
                      <w:rFonts w:eastAsia="Calibri"/>
                      <w:lang w:eastAsia="en-US"/>
                    </w:rPr>
                  </w:pPr>
                </w:p>
                <w:p w:rsidR="00121E5C" w:rsidRDefault="00121E5C" w:rsidP="00121E5C">
                  <w:pPr>
                    <w:rPr>
                      <w:rFonts w:eastAsia="Calibri"/>
                      <w:lang w:eastAsia="en-US"/>
                    </w:rPr>
                  </w:pPr>
                </w:p>
                <w:p w:rsidR="00121E5C" w:rsidRDefault="00121E5C" w:rsidP="00121E5C">
                  <w:pPr>
                    <w:rPr>
                      <w:rFonts w:eastAsia="Calibri"/>
                      <w:lang w:eastAsia="en-US"/>
                    </w:rPr>
                  </w:pPr>
                </w:p>
                <w:p w:rsidR="00121E5C" w:rsidRPr="00121E5C" w:rsidRDefault="00121E5C" w:rsidP="00121E5C">
                  <w:pPr>
                    <w:rPr>
                      <w:rFonts w:eastAsia="Calibri"/>
                      <w:lang w:eastAsia="en-US"/>
                    </w:rPr>
                  </w:pPr>
                </w:p>
              </w:tc>
              <w:tc>
                <w:tcPr>
                  <w:tcW w:w="6804" w:type="dxa"/>
                  <w:gridSpan w:val="5"/>
                  <w:vMerge/>
                </w:tcPr>
                <w:p w:rsidR="00227CC7" w:rsidRPr="00473B6E" w:rsidRDefault="00227CC7" w:rsidP="00473B6E">
                  <w:pPr>
                    <w:spacing w:after="200" w:line="276" w:lineRule="auto"/>
                    <w:jc w:val="center"/>
                    <w:rPr>
                      <w:rFonts w:eastAsia="Calibri"/>
                      <w:sz w:val="26"/>
                      <w:szCs w:val="26"/>
                      <w:lang w:eastAsia="en-US"/>
                    </w:rPr>
                  </w:pPr>
                </w:p>
              </w:tc>
            </w:tr>
            <w:tr w:rsidR="00227CC7" w:rsidRPr="00473B6E" w:rsidTr="006717BA">
              <w:trPr>
                <w:trHeight w:val="381"/>
                <w:tblCellSpacing w:w="0" w:type="dxa"/>
              </w:trPr>
              <w:tc>
                <w:tcPr>
                  <w:tcW w:w="2529" w:type="dxa"/>
                </w:tcPr>
                <w:p w:rsidR="00227CC7" w:rsidRPr="0095377B" w:rsidRDefault="00227CC7" w:rsidP="00473B6E">
                  <w:pPr>
                    <w:rPr>
                      <w:rFonts w:eastAsia="Calibri"/>
                      <w:lang w:eastAsia="en-US"/>
                    </w:rPr>
                  </w:pPr>
                  <w:r w:rsidRPr="0095377B">
                    <w:rPr>
                      <w:rFonts w:eastAsia="Calibri"/>
                      <w:lang w:eastAsia="en-US"/>
                    </w:rPr>
                    <w:t>6.2. detalizēts izdevumu aprēķins</w:t>
                  </w:r>
                </w:p>
              </w:tc>
              <w:tc>
                <w:tcPr>
                  <w:tcW w:w="6804" w:type="dxa"/>
                  <w:gridSpan w:val="5"/>
                  <w:vMerge/>
                </w:tcPr>
                <w:p w:rsidR="00227CC7" w:rsidRPr="00473B6E" w:rsidRDefault="00227CC7" w:rsidP="00473B6E">
                  <w:pPr>
                    <w:spacing w:after="200" w:line="276" w:lineRule="auto"/>
                    <w:jc w:val="center"/>
                    <w:rPr>
                      <w:rFonts w:eastAsia="Calibri"/>
                      <w:sz w:val="26"/>
                      <w:szCs w:val="26"/>
                      <w:lang w:eastAsia="en-US"/>
                    </w:rPr>
                  </w:pPr>
                </w:p>
              </w:tc>
            </w:tr>
            <w:tr w:rsidR="00227CC7" w:rsidRPr="00473B6E" w:rsidTr="006717BA">
              <w:trPr>
                <w:trHeight w:val="381"/>
                <w:tblCellSpacing w:w="0" w:type="dxa"/>
              </w:trPr>
              <w:tc>
                <w:tcPr>
                  <w:tcW w:w="2529" w:type="dxa"/>
                </w:tcPr>
                <w:p w:rsidR="00227CC7" w:rsidRPr="0095377B" w:rsidRDefault="00227CC7" w:rsidP="00473B6E">
                  <w:pPr>
                    <w:rPr>
                      <w:rFonts w:eastAsia="Calibri"/>
                      <w:lang w:eastAsia="en-US"/>
                    </w:rPr>
                  </w:pPr>
                  <w:r w:rsidRPr="0095377B">
                    <w:rPr>
                      <w:rFonts w:eastAsia="Calibri"/>
                      <w:lang w:eastAsia="en-US"/>
                    </w:rPr>
                    <w:lastRenderedPageBreak/>
                    <w:t>7. Cita informācija</w:t>
                  </w:r>
                </w:p>
              </w:tc>
              <w:tc>
                <w:tcPr>
                  <w:tcW w:w="6804" w:type="dxa"/>
                  <w:gridSpan w:val="5"/>
                </w:tcPr>
                <w:p w:rsidR="00F962B2" w:rsidRDefault="00955D0F" w:rsidP="0007124B">
                  <w:pPr>
                    <w:jc w:val="both"/>
                  </w:pPr>
                  <w:r>
                    <w:t>Jautājums</w:t>
                  </w:r>
                  <w:r w:rsidRPr="00E07FB5">
                    <w:t xml:space="preserve"> par Finanšu ministrijai (Valsts ieņēmumu dienestam) 2014.gadā programmnodrošinājuma izveidošanai un ieviešanai nepieciešamo finansējumu 44 105 latu apmērā </w:t>
                  </w:r>
                  <w:r>
                    <w:t xml:space="preserve">tiks </w:t>
                  </w:r>
                  <w:r w:rsidRPr="00E07FB5">
                    <w:t>skatīt</w:t>
                  </w:r>
                  <w:r>
                    <w:t xml:space="preserve">s </w:t>
                  </w:r>
                  <w:r w:rsidRPr="00E07FB5">
                    <w:t>Ministru kabinetā likumprojekta "Par vidējā termiņa budžeta ietvaru 2014., 2015., un 2016.gadam" un likumprojekta "Par valsts budžetu 2014.gadam" sagatavošanas procesā kopā ar visu ministriju un citu centrālo valsts iestāžu jauno politikas iniciatīvu pieprasījumiem atbilstoši valsts budžeta iespējām</w:t>
                  </w:r>
                  <w:r>
                    <w:t>.</w:t>
                  </w:r>
                  <w:r w:rsidR="00F962B2" w:rsidRPr="00121E5C">
                    <w:t xml:space="preserve"> </w:t>
                  </w:r>
                </w:p>
                <w:p w:rsidR="00227CC7" w:rsidRPr="00473B6E" w:rsidRDefault="00F962B2" w:rsidP="0007124B">
                  <w:pPr>
                    <w:jc w:val="both"/>
                    <w:rPr>
                      <w:rFonts w:eastAsia="Calibri"/>
                      <w:sz w:val="26"/>
                      <w:szCs w:val="26"/>
                      <w:lang w:eastAsia="en-US"/>
                    </w:rPr>
                  </w:pPr>
                  <w:r w:rsidRPr="00121E5C">
                    <w:t>Lauku atbalsta dienesta un Valsts sociālās apdrošināšanas aģentūras ar programmnodrošinājuma izveidi saistītie izdevumi tiks segti esošā budžeta ietvaros.</w:t>
                  </w:r>
                </w:p>
              </w:tc>
            </w:tr>
          </w:tbl>
          <w:p w:rsidR="00473B6E" w:rsidRPr="00473B6E" w:rsidRDefault="00473B6E" w:rsidP="00473B6E">
            <w:pPr>
              <w:jc w:val="center"/>
              <w:rPr>
                <w:rFonts w:eastAsia="Calibri"/>
                <w:sz w:val="28"/>
                <w:szCs w:val="28"/>
                <w:lang w:eastAsia="en-US"/>
              </w:rPr>
            </w:pPr>
          </w:p>
        </w:tc>
      </w:tr>
      <w:tr w:rsidR="00473B6E" w:rsidRPr="00473B6E" w:rsidTr="006717BA">
        <w:trPr>
          <w:tblCellSpacing w:w="0" w:type="dxa"/>
        </w:trPr>
        <w:tc>
          <w:tcPr>
            <w:tcW w:w="9371" w:type="dxa"/>
            <w:gridSpan w:val="11"/>
            <w:tcBorders>
              <w:top w:val="outset" w:sz="6" w:space="0" w:color="auto"/>
              <w:left w:val="outset" w:sz="6" w:space="0" w:color="auto"/>
              <w:bottom w:val="outset" w:sz="6" w:space="0" w:color="auto"/>
              <w:right w:val="outset" w:sz="6" w:space="0" w:color="auto"/>
            </w:tcBorders>
          </w:tcPr>
          <w:p w:rsidR="00473B6E" w:rsidRPr="00EE5399" w:rsidRDefault="00473B6E" w:rsidP="00473B6E">
            <w:pPr>
              <w:jc w:val="center"/>
              <w:rPr>
                <w:rFonts w:eastAsia="Calibri"/>
                <w:b/>
                <w:lang w:eastAsia="en-US"/>
              </w:rPr>
            </w:pPr>
            <w:r w:rsidRPr="00EE5399">
              <w:rPr>
                <w:rFonts w:eastAsia="Calibri"/>
                <w:b/>
                <w:lang w:eastAsia="en-US"/>
              </w:rPr>
              <w:lastRenderedPageBreak/>
              <w:t>IV. Tiesību akta projekta ietekme uz spēkā esošo tiesību normu sistēmu</w:t>
            </w:r>
          </w:p>
        </w:tc>
      </w:tr>
      <w:tr w:rsidR="008D7E3E" w:rsidRPr="00473B6E" w:rsidTr="006717BA">
        <w:trPr>
          <w:tblCellSpacing w:w="0" w:type="dxa"/>
        </w:trPr>
        <w:tc>
          <w:tcPr>
            <w:tcW w:w="564" w:type="dxa"/>
            <w:gridSpan w:val="2"/>
            <w:tcBorders>
              <w:top w:val="outset" w:sz="6" w:space="0" w:color="auto"/>
              <w:left w:val="outset" w:sz="6" w:space="0" w:color="auto"/>
              <w:bottom w:val="outset" w:sz="6" w:space="0" w:color="auto"/>
              <w:right w:val="outset" w:sz="6" w:space="0" w:color="auto"/>
            </w:tcBorders>
          </w:tcPr>
          <w:p w:rsidR="008D7E3E" w:rsidRPr="00EE5399" w:rsidRDefault="008D7E3E" w:rsidP="0092433B">
            <w:pPr>
              <w:jc w:val="both"/>
              <w:rPr>
                <w:rFonts w:eastAsia="Calibri"/>
                <w:lang w:eastAsia="en-US"/>
              </w:rPr>
            </w:pPr>
            <w:r w:rsidRPr="00EE5399">
              <w:rPr>
                <w:rFonts w:eastAsia="Calibri"/>
                <w:lang w:eastAsia="en-US"/>
              </w:rPr>
              <w:t> 1.</w:t>
            </w:r>
          </w:p>
        </w:tc>
        <w:tc>
          <w:tcPr>
            <w:tcW w:w="2683" w:type="dxa"/>
            <w:gridSpan w:val="4"/>
            <w:tcBorders>
              <w:top w:val="outset" w:sz="6" w:space="0" w:color="auto"/>
              <w:left w:val="outset" w:sz="6" w:space="0" w:color="auto"/>
              <w:bottom w:val="outset" w:sz="6" w:space="0" w:color="auto"/>
              <w:right w:val="outset" w:sz="6" w:space="0" w:color="auto"/>
            </w:tcBorders>
          </w:tcPr>
          <w:p w:rsidR="008D7E3E" w:rsidRPr="00EE5399" w:rsidRDefault="008D7E3E" w:rsidP="008D7E3E">
            <w:pPr>
              <w:rPr>
                <w:rFonts w:eastAsia="Calibri"/>
                <w:lang w:eastAsia="en-US"/>
              </w:rPr>
            </w:pPr>
            <w:r w:rsidRPr="00EE5399">
              <w:rPr>
                <w:rFonts w:eastAsia="Calibri"/>
                <w:lang w:eastAsia="en-US"/>
              </w:rPr>
              <w:t>Nepieciešamie saistītie tiesību aktu projekti</w:t>
            </w:r>
          </w:p>
        </w:tc>
        <w:tc>
          <w:tcPr>
            <w:tcW w:w="6124" w:type="dxa"/>
            <w:gridSpan w:val="5"/>
            <w:tcBorders>
              <w:top w:val="outset" w:sz="6" w:space="0" w:color="auto"/>
              <w:left w:val="outset" w:sz="6" w:space="0" w:color="auto"/>
              <w:bottom w:val="outset" w:sz="6" w:space="0" w:color="auto"/>
              <w:right w:val="outset" w:sz="6" w:space="0" w:color="auto"/>
            </w:tcBorders>
          </w:tcPr>
          <w:p w:rsidR="008D7E3E" w:rsidRDefault="00521C4A" w:rsidP="00C0714E">
            <w:pPr>
              <w:jc w:val="both"/>
              <w:rPr>
                <w:rFonts w:eastAsia="Calibri"/>
                <w:bCs/>
              </w:rPr>
            </w:pPr>
            <w:r w:rsidRPr="000F2EE8">
              <w:t>Likumprojekt</w:t>
            </w:r>
            <w:r>
              <w:t>s</w:t>
            </w:r>
            <w:r w:rsidRPr="000F2EE8">
              <w:t xml:space="preserve"> „Grozījumi likumā “Par iedzīvotāju ienākuma nodokli””</w:t>
            </w:r>
            <w:r>
              <w:t xml:space="preserve"> jāvirza vienotā paketē ar likumprojektu „Grozījumi likumā „Par valsts sociālo apdrošināšanu””, kura izstrāde ir Labklājības ministrijas kompetencē. Pēc l</w:t>
            </w:r>
            <w:r w:rsidR="008D7E3E" w:rsidRPr="008D7E3E">
              <w:t>ikuma</w:t>
            </w:r>
            <w:r>
              <w:t xml:space="preserve"> „</w:t>
            </w:r>
            <w:r w:rsidR="00C0714E">
              <w:t>P</w:t>
            </w:r>
            <w:r>
              <w:t xml:space="preserve">ar iedzīvotāju ienākuma nodokli” un </w:t>
            </w:r>
            <w:r w:rsidR="00C500F4">
              <w:t xml:space="preserve">likuma </w:t>
            </w:r>
            <w:r>
              <w:t>„Par valsts sociālo apdrošināšanu”</w:t>
            </w:r>
            <w:r w:rsidR="008D7E3E" w:rsidRPr="008D7E3E">
              <w:t xml:space="preserve"> grozījumu </w:t>
            </w:r>
            <w:r>
              <w:t>pieņemšanas</w:t>
            </w:r>
            <w:r w:rsidR="008D7E3E" w:rsidRPr="008D7E3E">
              <w:t xml:space="preserve"> nepieciešams veikt grozījumus </w:t>
            </w:r>
            <w:r w:rsidR="00FE72D5" w:rsidRPr="00521C4A">
              <w:rPr>
                <w:rFonts w:eastAsia="Calibri"/>
                <w:bCs/>
              </w:rPr>
              <w:t>Ministru kabineta 2008.gada 25.augusta noteikumos Nr.677 „Noteikumi par iedzīvotāju ienākuma nodokļa paziņojumiem”</w:t>
            </w:r>
            <w:r>
              <w:rPr>
                <w:rFonts w:eastAsia="Calibri"/>
                <w:bCs/>
              </w:rPr>
              <w:t xml:space="preserve">, </w:t>
            </w:r>
            <w:r w:rsidRPr="00521C4A">
              <w:rPr>
                <w:rFonts w:eastAsia="Calibri"/>
                <w:bCs/>
              </w:rPr>
              <w:t>Ministru kabineta 2010.gada 7.septembra noteikumos Nr.827 „Noteikumi par valsts sociālās apdrošināšanas obligāto iemaksu veicēju reģistrāciju un ziņojumiem par valsts sociālās apdrošināšanas obligātajām iemaksām un iedzīvotāju ienākuma nodokli”</w:t>
            </w:r>
            <w:r w:rsidR="00003935">
              <w:rPr>
                <w:rFonts w:eastAsia="Calibri"/>
                <w:bCs/>
              </w:rPr>
              <w:t xml:space="preserve"> (grozījumu izstrāde šajā normatīvajā aktā ir Labklājības ministrijas kompetencē).  </w:t>
            </w:r>
          </w:p>
          <w:p w:rsidR="00823BAA" w:rsidRPr="00B158DF" w:rsidRDefault="00823BAA" w:rsidP="00823BAA">
            <w:pPr>
              <w:tabs>
                <w:tab w:val="left" w:pos="993"/>
              </w:tabs>
              <w:jc w:val="both"/>
              <w:rPr>
                <w:lang w:eastAsia="en-US"/>
              </w:rPr>
            </w:pPr>
            <w:r w:rsidRPr="00B158DF">
              <w:rPr>
                <w:lang w:eastAsia="en-US"/>
              </w:rPr>
              <w:t xml:space="preserve">Zemkopības ministrijai </w:t>
            </w:r>
            <w:r w:rsidR="00FA6E3D" w:rsidRPr="00B158DF">
              <w:rPr>
                <w:lang w:eastAsia="en-US"/>
              </w:rPr>
              <w:t xml:space="preserve">līdz 2014.gada 1.martam </w:t>
            </w:r>
            <w:r w:rsidR="00A637E2" w:rsidRPr="00B158DF">
              <w:rPr>
                <w:lang w:eastAsia="en-US"/>
              </w:rPr>
              <w:t xml:space="preserve">ir </w:t>
            </w:r>
            <w:r w:rsidR="00FA6E3D" w:rsidRPr="00B158DF">
              <w:rPr>
                <w:lang w:eastAsia="en-US"/>
              </w:rPr>
              <w:t>jā</w:t>
            </w:r>
            <w:r w:rsidRPr="00B158DF">
              <w:rPr>
                <w:lang w:eastAsia="en-US"/>
              </w:rPr>
              <w:t xml:space="preserve">izstrādā </w:t>
            </w:r>
            <w:r w:rsidR="00FA6E3D" w:rsidRPr="00B158DF">
              <w:rPr>
                <w:lang w:eastAsia="en-US"/>
              </w:rPr>
              <w:t>šā likumprojekta 14.pantā noteikto</w:t>
            </w:r>
            <w:r w:rsidRPr="00B158DF">
              <w:rPr>
                <w:lang w:eastAsia="en-US"/>
              </w:rPr>
              <w:t xml:space="preserve"> Ministru kabineta kārtību:</w:t>
            </w:r>
          </w:p>
          <w:p w:rsidR="00823BAA" w:rsidRPr="00B158DF" w:rsidRDefault="00823BAA" w:rsidP="00823BAA">
            <w:pPr>
              <w:ind w:firstLine="709"/>
              <w:contextualSpacing/>
              <w:jc w:val="both"/>
              <w:rPr>
                <w:lang w:eastAsia="en-US"/>
              </w:rPr>
            </w:pPr>
            <w:r w:rsidRPr="00B158DF">
              <w:rPr>
                <w:lang w:eastAsia="en-US"/>
              </w:rPr>
              <w:t xml:space="preserve">1) kādā reģistrē sezonas laukstrādnieku ienākuma izmaksātājus un sezonas laukstrādnieku ienākuma nodokļa maksātājus; </w:t>
            </w:r>
          </w:p>
          <w:p w:rsidR="00823BAA" w:rsidRPr="00B158DF" w:rsidRDefault="00823BAA" w:rsidP="00823BAA">
            <w:pPr>
              <w:ind w:firstLine="709"/>
              <w:contextualSpacing/>
              <w:jc w:val="both"/>
              <w:rPr>
                <w:lang w:eastAsia="en-US"/>
              </w:rPr>
            </w:pPr>
            <w:r w:rsidRPr="00B158DF">
              <w:rPr>
                <w:lang w:eastAsia="en-US"/>
              </w:rPr>
              <w:t>2) kādā sezonas laukstrādnieka ienākuma nodokļa informācijas sistēma tiek izmantota sezonas laukstrādnieka ienākuma nodokļa režīma piemērošanai, administrēšanai un kontrolēšanai, kā arī sezonas laukstrādnieku ienākuma un šī ienākuma nodokļa aprēķināšanai;</w:t>
            </w:r>
          </w:p>
          <w:p w:rsidR="00823BAA" w:rsidRPr="00B158DF" w:rsidRDefault="00823BAA" w:rsidP="00823BAA">
            <w:pPr>
              <w:ind w:firstLine="709"/>
              <w:contextualSpacing/>
              <w:jc w:val="both"/>
              <w:rPr>
                <w:lang w:eastAsia="en-US"/>
              </w:rPr>
            </w:pPr>
            <w:r w:rsidRPr="00B158DF">
              <w:rPr>
                <w:lang w:eastAsia="en-US"/>
              </w:rPr>
              <w:t>3) kādā Valsts ieņēmumu dienestam un Valsts darba inspekcijai tiek nodrošināta informācijas piekļuve par sezonas laukstrādnieku ienākuma nodokļa maksātājiem;</w:t>
            </w:r>
          </w:p>
          <w:p w:rsidR="00823BAA" w:rsidRPr="00B158DF" w:rsidRDefault="00823BAA" w:rsidP="00823BAA">
            <w:pPr>
              <w:ind w:firstLine="709"/>
              <w:contextualSpacing/>
              <w:jc w:val="both"/>
              <w:rPr>
                <w:lang w:eastAsia="en-US"/>
              </w:rPr>
            </w:pPr>
            <w:r w:rsidRPr="00B158DF">
              <w:rPr>
                <w:lang w:eastAsia="en-US"/>
              </w:rPr>
              <w:t xml:space="preserve">4) </w:t>
            </w:r>
            <w:r w:rsidRPr="00B158DF">
              <w:rPr>
                <w:color w:val="000000"/>
              </w:rPr>
              <w:t xml:space="preserve"> </w:t>
            </w:r>
            <w:r w:rsidRPr="00B158DF">
              <w:rPr>
                <w:lang w:eastAsia="en-US"/>
              </w:rPr>
              <w:t>kādā sezonas laukstrādnieku ienākuma izmaksātājam tiek nodrošināta informācijas piekļuve par lauksaimniecības sezonas darbos nodarbinātā nostrādātajām dienām un aprēķināto atlīdzību.</w:t>
            </w:r>
          </w:p>
          <w:p w:rsidR="00ED6FCA" w:rsidRPr="00ED6FCA" w:rsidRDefault="00ED6FCA" w:rsidP="00ED6FCA">
            <w:pPr>
              <w:contextualSpacing/>
              <w:jc w:val="both"/>
              <w:rPr>
                <w:b/>
                <w:color w:val="000000"/>
              </w:rPr>
            </w:pPr>
            <w:r w:rsidRPr="00B158DF">
              <w:rPr>
                <w:color w:val="000000"/>
              </w:rPr>
              <w:t xml:space="preserve">Finanšu ministrijai sadarbībā ar Labklājības ministriju un Zemkopības ministriju izvērtēt sezonas laukstrādnieku ienākuma nodokļa ieviešanas gaitu un rezultātus un līdz </w:t>
            </w:r>
            <w:r w:rsidRPr="00B158DF">
              <w:rPr>
                <w:color w:val="000000"/>
              </w:rPr>
              <w:lastRenderedPageBreak/>
              <w:t>2018.gada 1.februārim iesniegt Ministru kabinetā ziņojumu par to.</w:t>
            </w:r>
          </w:p>
        </w:tc>
      </w:tr>
      <w:tr w:rsidR="008D7E3E" w:rsidRPr="00473B6E" w:rsidTr="006717BA">
        <w:trPr>
          <w:tblCellSpacing w:w="0" w:type="dxa"/>
        </w:trPr>
        <w:tc>
          <w:tcPr>
            <w:tcW w:w="564" w:type="dxa"/>
            <w:gridSpan w:val="2"/>
            <w:tcBorders>
              <w:top w:val="outset" w:sz="6" w:space="0" w:color="auto"/>
              <w:left w:val="outset" w:sz="6" w:space="0" w:color="auto"/>
              <w:bottom w:val="outset" w:sz="6" w:space="0" w:color="auto"/>
              <w:right w:val="outset" w:sz="6" w:space="0" w:color="auto"/>
            </w:tcBorders>
          </w:tcPr>
          <w:p w:rsidR="008D7E3E" w:rsidRPr="00EE5399" w:rsidRDefault="008D7E3E" w:rsidP="0092433B">
            <w:pPr>
              <w:jc w:val="both"/>
              <w:rPr>
                <w:rFonts w:eastAsia="Calibri"/>
                <w:lang w:eastAsia="en-US"/>
              </w:rPr>
            </w:pPr>
            <w:r w:rsidRPr="00EE5399">
              <w:rPr>
                <w:rFonts w:eastAsia="Calibri"/>
                <w:lang w:eastAsia="en-US"/>
              </w:rPr>
              <w:lastRenderedPageBreak/>
              <w:t> 2.</w:t>
            </w:r>
          </w:p>
        </w:tc>
        <w:tc>
          <w:tcPr>
            <w:tcW w:w="2683" w:type="dxa"/>
            <w:gridSpan w:val="4"/>
            <w:tcBorders>
              <w:top w:val="outset" w:sz="6" w:space="0" w:color="auto"/>
              <w:left w:val="outset" w:sz="6" w:space="0" w:color="auto"/>
              <w:bottom w:val="outset" w:sz="6" w:space="0" w:color="auto"/>
              <w:right w:val="outset" w:sz="6" w:space="0" w:color="auto"/>
            </w:tcBorders>
          </w:tcPr>
          <w:p w:rsidR="008D7E3E" w:rsidRPr="00EE5399" w:rsidRDefault="008D7E3E" w:rsidP="0092433B">
            <w:pPr>
              <w:jc w:val="both"/>
              <w:rPr>
                <w:rFonts w:eastAsia="Calibri"/>
                <w:lang w:eastAsia="en-US"/>
              </w:rPr>
            </w:pPr>
            <w:r w:rsidRPr="00EE5399">
              <w:rPr>
                <w:rFonts w:eastAsia="Calibri"/>
                <w:lang w:eastAsia="en-US"/>
              </w:rPr>
              <w:t> Cita informācija</w:t>
            </w:r>
          </w:p>
        </w:tc>
        <w:tc>
          <w:tcPr>
            <w:tcW w:w="6124" w:type="dxa"/>
            <w:gridSpan w:val="5"/>
            <w:tcBorders>
              <w:top w:val="outset" w:sz="6" w:space="0" w:color="auto"/>
              <w:left w:val="outset" w:sz="6" w:space="0" w:color="auto"/>
              <w:bottom w:val="outset" w:sz="6" w:space="0" w:color="auto"/>
              <w:right w:val="outset" w:sz="6" w:space="0" w:color="auto"/>
            </w:tcBorders>
          </w:tcPr>
          <w:p w:rsidR="008D7E3E" w:rsidRPr="007352D7" w:rsidRDefault="008D7E3E" w:rsidP="0092433B">
            <w:pPr>
              <w:jc w:val="both"/>
              <w:rPr>
                <w:rFonts w:eastAsia="Calibri"/>
                <w:lang w:eastAsia="en-US"/>
              </w:rPr>
            </w:pPr>
            <w:r w:rsidRPr="007352D7">
              <w:rPr>
                <w:rFonts w:eastAsia="Calibri"/>
                <w:lang w:eastAsia="en-US"/>
              </w:rPr>
              <w:t>Nav</w:t>
            </w:r>
            <w:r>
              <w:rPr>
                <w:rFonts w:eastAsia="Calibri"/>
                <w:lang w:eastAsia="en-US"/>
              </w:rPr>
              <w:t>.</w:t>
            </w:r>
          </w:p>
        </w:tc>
      </w:tr>
      <w:tr w:rsidR="00473B6E" w:rsidRPr="00473B6E" w:rsidTr="006717BA">
        <w:tblPrEx>
          <w:tblCellSpacing w:w="0" w:type="nil"/>
          <w:tblCellMar>
            <w:top w:w="30" w:type="dxa"/>
            <w:left w:w="30" w:type="dxa"/>
            <w:bottom w:w="30" w:type="dxa"/>
            <w:right w:w="30" w:type="dxa"/>
          </w:tblCellMar>
        </w:tblPrEx>
        <w:tc>
          <w:tcPr>
            <w:tcW w:w="9371" w:type="dxa"/>
            <w:gridSpan w:val="11"/>
            <w:tcBorders>
              <w:top w:val="outset" w:sz="6" w:space="0" w:color="auto"/>
              <w:left w:val="outset" w:sz="6" w:space="0" w:color="auto"/>
              <w:bottom w:val="outset" w:sz="6" w:space="0" w:color="auto"/>
              <w:right w:val="outset" w:sz="6" w:space="0" w:color="auto"/>
            </w:tcBorders>
            <w:vAlign w:val="center"/>
          </w:tcPr>
          <w:p w:rsidR="00473B6E" w:rsidRPr="00EE5399" w:rsidRDefault="00473B6E" w:rsidP="00473B6E">
            <w:pPr>
              <w:jc w:val="center"/>
              <w:rPr>
                <w:rFonts w:eastAsia="Calibri"/>
                <w:b/>
                <w:lang w:eastAsia="en-US"/>
              </w:rPr>
            </w:pPr>
            <w:r w:rsidRPr="00473B6E">
              <w:rPr>
                <w:rFonts w:eastAsia="Calibri"/>
                <w:sz w:val="28"/>
                <w:szCs w:val="28"/>
                <w:lang w:eastAsia="en-US"/>
              </w:rPr>
              <w:t> </w:t>
            </w:r>
            <w:r w:rsidRPr="00EE5399">
              <w:rPr>
                <w:rFonts w:eastAsia="Calibri"/>
                <w:b/>
                <w:lang w:eastAsia="en-US"/>
              </w:rPr>
              <w:t>V. Tiesību akta projekta atbilstība Latvijas Republikas starptautiskajām saistībām</w:t>
            </w:r>
          </w:p>
        </w:tc>
      </w:tr>
      <w:tr w:rsidR="00CB6A1F" w:rsidRPr="00473B6E" w:rsidTr="006717BA">
        <w:tblPrEx>
          <w:tblCellSpacing w:w="0" w:type="nil"/>
          <w:tblCellMar>
            <w:top w:w="30" w:type="dxa"/>
            <w:left w:w="30" w:type="dxa"/>
            <w:bottom w:w="30" w:type="dxa"/>
            <w:right w:w="30" w:type="dxa"/>
          </w:tblCellMar>
        </w:tblPrEx>
        <w:trPr>
          <w:trHeight w:val="406"/>
        </w:trPr>
        <w:tc>
          <w:tcPr>
            <w:tcW w:w="9371" w:type="dxa"/>
            <w:gridSpan w:val="11"/>
            <w:tcBorders>
              <w:top w:val="outset" w:sz="6" w:space="0" w:color="auto"/>
              <w:left w:val="outset" w:sz="6" w:space="0" w:color="auto"/>
              <w:bottom w:val="outset" w:sz="6" w:space="0" w:color="auto"/>
              <w:right w:val="outset" w:sz="6" w:space="0" w:color="auto"/>
            </w:tcBorders>
            <w:vAlign w:val="center"/>
          </w:tcPr>
          <w:p w:rsidR="00CB6A1F" w:rsidRPr="00EE5399" w:rsidRDefault="00CB6A1F" w:rsidP="00CB6A1F">
            <w:pPr>
              <w:jc w:val="center"/>
              <w:rPr>
                <w:rFonts w:eastAsia="Calibri"/>
                <w:lang w:eastAsia="en-US"/>
              </w:rPr>
            </w:pPr>
            <w:r>
              <w:rPr>
                <w:rFonts w:eastAsia="Calibri"/>
                <w:lang w:eastAsia="en-US"/>
              </w:rPr>
              <w:t>Likumprojekts šo jomu neskar.</w:t>
            </w:r>
          </w:p>
        </w:tc>
      </w:tr>
      <w:tr w:rsidR="00473B6E" w:rsidRPr="00473B6E" w:rsidTr="006717BA">
        <w:trPr>
          <w:tblCellSpacing w:w="0" w:type="dxa"/>
        </w:trPr>
        <w:tc>
          <w:tcPr>
            <w:tcW w:w="9371" w:type="dxa"/>
            <w:gridSpan w:val="11"/>
            <w:tcBorders>
              <w:top w:val="outset" w:sz="6" w:space="0" w:color="auto"/>
              <w:left w:val="outset" w:sz="6" w:space="0" w:color="auto"/>
              <w:bottom w:val="outset" w:sz="6" w:space="0" w:color="auto"/>
              <w:right w:val="outset" w:sz="6" w:space="0" w:color="auto"/>
            </w:tcBorders>
          </w:tcPr>
          <w:p w:rsidR="00473B6E" w:rsidRPr="00EE5399" w:rsidRDefault="00473B6E" w:rsidP="00473B6E">
            <w:pPr>
              <w:jc w:val="center"/>
              <w:rPr>
                <w:rFonts w:eastAsia="Calibri"/>
                <w:b/>
                <w:lang w:eastAsia="en-US"/>
              </w:rPr>
            </w:pPr>
            <w:r w:rsidRPr="00EE5399">
              <w:rPr>
                <w:rFonts w:eastAsia="Calibri"/>
                <w:b/>
                <w:lang w:eastAsia="en-US"/>
              </w:rPr>
              <w:t>VI. Sabiedrības līdzdalība un šīs līdzdalības rezultāti</w:t>
            </w:r>
          </w:p>
        </w:tc>
      </w:tr>
      <w:tr w:rsidR="00473B6E" w:rsidRPr="00473B6E" w:rsidTr="006717BA">
        <w:trPr>
          <w:trHeight w:val="342"/>
          <w:tblCellSpacing w:w="0" w:type="dxa"/>
        </w:trPr>
        <w:tc>
          <w:tcPr>
            <w:tcW w:w="9371" w:type="dxa"/>
            <w:gridSpan w:val="11"/>
            <w:tcBorders>
              <w:top w:val="outset" w:sz="6" w:space="0" w:color="auto"/>
              <w:left w:val="outset" w:sz="6" w:space="0" w:color="auto"/>
              <w:right w:val="outset" w:sz="6" w:space="0" w:color="auto"/>
            </w:tcBorders>
          </w:tcPr>
          <w:tbl>
            <w:tblPr>
              <w:tblW w:w="9333" w:type="dxa"/>
              <w:tblCellSpacing w:w="0"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
              <w:gridCol w:w="2376"/>
              <w:gridCol w:w="6390"/>
            </w:tblGrid>
            <w:tr w:rsidR="000A2707" w:rsidRPr="0028053B" w:rsidTr="00B158DF">
              <w:trPr>
                <w:tblCellSpacing w:w="0" w:type="dxa"/>
              </w:trPr>
              <w:tc>
                <w:tcPr>
                  <w:tcW w:w="567" w:type="dxa"/>
                </w:tcPr>
                <w:p w:rsidR="000A2707" w:rsidRPr="0028053B" w:rsidRDefault="000A2707" w:rsidP="00364E87">
                  <w:pPr>
                    <w:spacing w:before="100" w:beforeAutospacing="1" w:after="100" w:afterAutospacing="1"/>
                    <w:rPr>
                      <w:bCs/>
                    </w:rPr>
                  </w:pPr>
                  <w:r w:rsidRPr="0028053B">
                    <w:rPr>
                      <w:bCs/>
                    </w:rPr>
                    <w:t>1.</w:t>
                  </w:r>
                </w:p>
              </w:tc>
              <w:tc>
                <w:tcPr>
                  <w:tcW w:w="2376" w:type="dxa"/>
                </w:tcPr>
                <w:p w:rsidR="000A2707" w:rsidRPr="0028053B" w:rsidRDefault="000A2707" w:rsidP="00364E87">
                  <w:pPr>
                    <w:spacing w:before="100" w:beforeAutospacing="1" w:after="100" w:afterAutospacing="1"/>
                    <w:rPr>
                      <w:bCs/>
                    </w:rPr>
                  </w:pPr>
                  <w:r w:rsidRPr="0028053B">
                    <w:rPr>
                      <w:bCs/>
                    </w:rPr>
                    <w:t>Sabiedrības informēšana par projekta izstrādes uzsākšanu</w:t>
                  </w:r>
                </w:p>
              </w:tc>
              <w:tc>
                <w:tcPr>
                  <w:tcW w:w="6390" w:type="dxa"/>
                </w:tcPr>
                <w:p w:rsidR="000A2707" w:rsidRPr="0028053B" w:rsidRDefault="000A2707" w:rsidP="002A4367">
                  <w:pPr>
                    <w:spacing w:before="100" w:beforeAutospacing="1" w:after="100" w:afterAutospacing="1"/>
                    <w:jc w:val="both"/>
                    <w:rPr>
                      <w:b/>
                      <w:bCs/>
                    </w:rPr>
                  </w:pPr>
                  <w:r w:rsidRPr="0028053B">
                    <w:t xml:space="preserve">Likumprojekta izstrādes laikā notika konsultācijas ar </w:t>
                  </w:r>
                  <w:r>
                    <w:t>augļkopības un dārzkopības nozari pārstāvošām nevalstiskajām organizācijām.</w:t>
                  </w:r>
                </w:p>
              </w:tc>
            </w:tr>
            <w:tr w:rsidR="000A2707" w:rsidRPr="0028053B" w:rsidTr="00B158DF">
              <w:trPr>
                <w:tblCellSpacing w:w="0" w:type="dxa"/>
              </w:trPr>
              <w:tc>
                <w:tcPr>
                  <w:tcW w:w="567" w:type="dxa"/>
                </w:tcPr>
                <w:p w:rsidR="000A2707" w:rsidRPr="0028053B" w:rsidRDefault="000A2707" w:rsidP="00364E87">
                  <w:pPr>
                    <w:spacing w:before="100" w:beforeAutospacing="1" w:after="100" w:afterAutospacing="1"/>
                    <w:rPr>
                      <w:bCs/>
                    </w:rPr>
                  </w:pPr>
                  <w:r w:rsidRPr="0028053B">
                    <w:rPr>
                      <w:bCs/>
                    </w:rPr>
                    <w:t>2.</w:t>
                  </w:r>
                </w:p>
              </w:tc>
              <w:tc>
                <w:tcPr>
                  <w:tcW w:w="2376" w:type="dxa"/>
                </w:tcPr>
                <w:p w:rsidR="000A2707" w:rsidRPr="0028053B" w:rsidRDefault="000A2707" w:rsidP="00364E87">
                  <w:pPr>
                    <w:spacing w:before="100" w:beforeAutospacing="1" w:after="100" w:afterAutospacing="1"/>
                    <w:ind w:left="-15"/>
                    <w:rPr>
                      <w:bCs/>
                    </w:rPr>
                  </w:pPr>
                  <w:r w:rsidRPr="0028053B">
                    <w:rPr>
                      <w:bCs/>
                    </w:rPr>
                    <w:t>Sabiedrības līdzdalība projekta izstrādē</w:t>
                  </w:r>
                </w:p>
              </w:tc>
              <w:tc>
                <w:tcPr>
                  <w:tcW w:w="6390" w:type="dxa"/>
                </w:tcPr>
                <w:p w:rsidR="000A2707" w:rsidRDefault="000A2707" w:rsidP="00364E87">
                  <w:pPr>
                    <w:jc w:val="both"/>
                  </w:pPr>
                  <w:r>
                    <w:t xml:space="preserve">Likumprojekta izstrādē piedalījās augļkopības un dārzkopības nozari pārstāvošās nevalstiskās organizācijas. </w:t>
                  </w:r>
                </w:p>
                <w:p w:rsidR="000A2707" w:rsidRPr="0028053B" w:rsidRDefault="000A2707" w:rsidP="00364E87">
                  <w:pPr>
                    <w:jc w:val="both"/>
                    <w:rPr>
                      <w:bCs/>
                    </w:rPr>
                  </w:pPr>
                </w:p>
              </w:tc>
            </w:tr>
            <w:tr w:rsidR="000A2707" w:rsidRPr="0028053B" w:rsidTr="00B158DF">
              <w:trPr>
                <w:tblCellSpacing w:w="0" w:type="dxa"/>
              </w:trPr>
              <w:tc>
                <w:tcPr>
                  <w:tcW w:w="567" w:type="dxa"/>
                </w:tcPr>
                <w:p w:rsidR="000A2707" w:rsidRPr="0028053B" w:rsidRDefault="000A2707" w:rsidP="00364E87">
                  <w:pPr>
                    <w:spacing w:before="100" w:beforeAutospacing="1" w:after="100" w:afterAutospacing="1"/>
                    <w:rPr>
                      <w:bCs/>
                    </w:rPr>
                  </w:pPr>
                  <w:r w:rsidRPr="0028053B">
                    <w:rPr>
                      <w:bCs/>
                    </w:rPr>
                    <w:t>3.</w:t>
                  </w:r>
                </w:p>
              </w:tc>
              <w:tc>
                <w:tcPr>
                  <w:tcW w:w="2376" w:type="dxa"/>
                </w:tcPr>
                <w:p w:rsidR="000A2707" w:rsidRPr="0028053B" w:rsidRDefault="000A2707" w:rsidP="00364E87">
                  <w:pPr>
                    <w:spacing w:before="100" w:beforeAutospacing="1" w:after="100" w:afterAutospacing="1"/>
                    <w:rPr>
                      <w:bCs/>
                    </w:rPr>
                  </w:pPr>
                  <w:r w:rsidRPr="0028053B">
                    <w:rPr>
                      <w:bCs/>
                    </w:rPr>
                    <w:t>Sabiedrības līdzdalības rezultāti</w:t>
                  </w:r>
                </w:p>
              </w:tc>
              <w:tc>
                <w:tcPr>
                  <w:tcW w:w="6390" w:type="dxa"/>
                </w:tcPr>
                <w:p w:rsidR="000A2707" w:rsidRPr="0028053B" w:rsidRDefault="000A2707" w:rsidP="000A2707">
                  <w:pPr>
                    <w:spacing w:before="100" w:beforeAutospacing="1" w:after="100" w:afterAutospacing="1"/>
                    <w:jc w:val="both"/>
                    <w:rPr>
                      <w:b/>
                      <w:bCs/>
                    </w:rPr>
                  </w:pPr>
                  <w:r>
                    <w:t>Projekta apspriešanas procesā tika ņemti vērā augļkopības un dārzkopības nozari pārstāvošo nevalstisko organizāciju izteiktie priekšlikumi un iestrādāti likumprojektā.</w:t>
                  </w:r>
                </w:p>
              </w:tc>
            </w:tr>
            <w:tr w:rsidR="000A2707" w:rsidRPr="0028053B" w:rsidTr="00B158DF">
              <w:trPr>
                <w:tblCellSpacing w:w="0" w:type="dxa"/>
              </w:trPr>
              <w:tc>
                <w:tcPr>
                  <w:tcW w:w="567" w:type="dxa"/>
                </w:tcPr>
                <w:p w:rsidR="000A2707" w:rsidRPr="0028053B" w:rsidRDefault="000A2707" w:rsidP="00364E87">
                  <w:pPr>
                    <w:spacing w:before="100" w:beforeAutospacing="1" w:after="100" w:afterAutospacing="1"/>
                    <w:rPr>
                      <w:bCs/>
                    </w:rPr>
                  </w:pPr>
                  <w:r w:rsidRPr="0028053B">
                    <w:rPr>
                      <w:bCs/>
                    </w:rPr>
                    <w:t>4.</w:t>
                  </w:r>
                </w:p>
              </w:tc>
              <w:tc>
                <w:tcPr>
                  <w:tcW w:w="2376" w:type="dxa"/>
                </w:tcPr>
                <w:p w:rsidR="000A2707" w:rsidRPr="0028053B" w:rsidRDefault="000A2707" w:rsidP="00364E87">
                  <w:pPr>
                    <w:spacing w:before="100" w:beforeAutospacing="1" w:after="100" w:afterAutospacing="1"/>
                    <w:rPr>
                      <w:bCs/>
                    </w:rPr>
                  </w:pPr>
                  <w:r w:rsidRPr="0028053B">
                    <w:rPr>
                      <w:bCs/>
                    </w:rPr>
                    <w:t>Saeimas un ekspertu līdzdalība</w:t>
                  </w:r>
                </w:p>
              </w:tc>
              <w:tc>
                <w:tcPr>
                  <w:tcW w:w="6390" w:type="dxa"/>
                </w:tcPr>
                <w:p w:rsidR="000A2707" w:rsidRPr="0028053B" w:rsidRDefault="000A2707" w:rsidP="00364E87">
                  <w:pPr>
                    <w:spacing w:before="100" w:beforeAutospacing="1" w:after="100" w:afterAutospacing="1"/>
                    <w:rPr>
                      <w:bCs/>
                    </w:rPr>
                  </w:pPr>
                  <w:r w:rsidRPr="0028053B">
                    <w:rPr>
                      <w:bCs/>
                    </w:rPr>
                    <w:t>Nav attiecināms.</w:t>
                  </w:r>
                </w:p>
              </w:tc>
            </w:tr>
            <w:tr w:rsidR="000A2707" w:rsidRPr="0028053B" w:rsidTr="00B158DF">
              <w:trPr>
                <w:tblCellSpacing w:w="0" w:type="dxa"/>
              </w:trPr>
              <w:tc>
                <w:tcPr>
                  <w:tcW w:w="567" w:type="dxa"/>
                </w:tcPr>
                <w:p w:rsidR="000A2707" w:rsidRPr="0028053B" w:rsidRDefault="000A2707" w:rsidP="00364E87">
                  <w:pPr>
                    <w:spacing w:before="100" w:beforeAutospacing="1" w:after="100" w:afterAutospacing="1"/>
                    <w:rPr>
                      <w:bCs/>
                    </w:rPr>
                  </w:pPr>
                  <w:r w:rsidRPr="0028053B">
                    <w:rPr>
                      <w:bCs/>
                    </w:rPr>
                    <w:t>5.</w:t>
                  </w:r>
                </w:p>
              </w:tc>
              <w:tc>
                <w:tcPr>
                  <w:tcW w:w="2376" w:type="dxa"/>
                </w:tcPr>
                <w:p w:rsidR="000A2707" w:rsidRPr="0028053B" w:rsidRDefault="000A2707" w:rsidP="00364E87">
                  <w:pPr>
                    <w:spacing w:before="100" w:beforeAutospacing="1" w:after="100" w:afterAutospacing="1"/>
                    <w:rPr>
                      <w:bCs/>
                    </w:rPr>
                  </w:pPr>
                  <w:r w:rsidRPr="0028053B">
                    <w:rPr>
                      <w:bCs/>
                    </w:rPr>
                    <w:t>Cita informācija</w:t>
                  </w:r>
                </w:p>
              </w:tc>
              <w:tc>
                <w:tcPr>
                  <w:tcW w:w="6390" w:type="dxa"/>
                </w:tcPr>
                <w:p w:rsidR="000A2707" w:rsidRPr="0028053B" w:rsidRDefault="000A2707" w:rsidP="00364E87">
                  <w:pPr>
                    <w:spacing w:before="100" w:beforeAutospacing="1" w:after="100" w:afterAutospacing="1"/>
                    <w:rPr>
                      <w:bCs/>
                    </w:rPr>
                  </w:pPr>
                  <w:r w:rsidRPr="0028053B">
                    <w:rPr>
                      <w:bCs/>
                    </w:rPr>
                    <w:t>Nav.</w:t>
                  </w:r>
                </w:p>
              </w:tc>
            </w:tr>
          </w:tbl>
          <w:p w:rsidR="00473B6E" w:rsidRPr="00260F5A" w:rsidRDefault="00473B6E" w:rsidP="00DC2CE0">
            <w:pPr>
              <w:jc w:val="center"/>
              <w:rPr>
                <w:rFonts w:eastAsia="Calibri"/>
                <w:lang w:eastAsia="en-US"/>
              </w:rPr>
            </w:pPr>
          </w:p>
        </w:tc>
      </w:tr>
      <w:tr w:rsidR="00473B6E" w:rsidRPr="00473B6E" w:rsidTr="006717BA">
        <w:trPr>
          <w:gridBefore w:val="1"/>
          <w:gridAfter w:val="1"/>
          <w:wBefore w:w="41" w:type="dxa"/>
          <w:wAfter w:w="293" w:type="dxa"/>
          <w:tblCellSpacing w:w="0" w:type="dxa"/>
        </w:trPr>
        <w:tc>
          <w:tcPr>
            <w:tcW w:w="9037" w:type="dxa"/>
            <w:gridSpan w:val="9"/>
            <w:tcBorders>
              <w:top w:val="outset" w:sz="6" w:space="0" w:color="auto"/>
              <w:left w:val="outset" w:sz="6" w:space="0" w:color="auto"/>
              <w:bottom w:val="outset" w:sz="6" w:space="0" w:color="auto"/>
              <w:right w:val="outset" w:sz="6" w:space="0" w:color="auto"/>
            </w:tcBorders>
          </w:tcPr>
          <w:p w:rsidR="00473B6E" w:rsidRPr="001E7BBE" w:rsidRDefault="00473B6E" w:rsidP="00473B6E">
            <w:pPr>
              <w:jc w:val="center"/>
              <w:rPr>
                <w:rFonts w:eastAsia="Calibri"/>
                <w:b/>
                <w:lang w:eastAsia="en-US"/>
              </w:rPr>
            </w:pPr>
            <w:r w:rsidRPr="001E7BBE">
              <w:rPr>
                <w:rFonts w:eastAsia="Calibri"/>
                <w:b/>
                <w:lang w:eastAsia="en-US"/>
              </w:rPr>
              <w:t>VII. Tiesību akta projekta izpildes nodrošināšana un tās ietekme uz institūcijām</w:t>
            </w:r>
          </w:p>
        </w:tc>
      </w:tr>
      <w:tr w:rsidR="00DC36D0" w:rsidRPr="00473B6E" w:rsidTr="006717BA">
        <w:trPr>
          <w:gridBefore w:val="1"/>
          <w:gridAfter w:val="1"/>
          <w:wBefore w:w="41" w:type="dxa"/>
          <w:wAfter w:w="293" w:type="dxa"/>
          <w:trHeight w:val="427"/>
          <w:tblCellSpacing w:w="0" w:type="dxa"/>
        </w:trPr>
        <w:tc>
          <w:tcPr>
            <w:tcW w:w="812" w:type="dxa"/>
            <w:gridSpan w:val="4"/>
            <w:tcBorders>
              <w:top w:val="outset" w:sz="6" w:space="0" w:color="auto"/>
              <w:left w:val="outset" w:sz="6" w:space="0" w:color="auto"/>
              <w:bottom w:val="outset" w:sz="6" w:space="0" w:color="auto"/>
              <w:right w:val="outset" w:sz="6" w:space="0" w:color="auto"/>
            </w:tcBorders>
          </w:tcPr>
          <w:p w:rsidR="00473B6E" w:rsidRPr="008A6AE3" w:rsidRDefault="00473B6E" w:rsidP="00473B6E">
            <w:pPr>
              <w:jc w:val="both"/>
              <w:rPr>
                <w:rFonts w:eastAsia="Calibri"/>
                <w:lang w:eastAsia="en-US"/>
              </w:rPr>
            </w:pPr>
            <w:r w:rsidRPr="008A6AE3">
              <w:rPr>
                <w:rFonts w:eastAsia="Calibri"/>
                <w:lang w:eastAsia="en-US"/>
              </w:rPr>
              <w:t> 1.</w:t>
            </w:r>
          </w:p>
        </w:tc>
        <w:tc>
          <w:tcPr>
            <w:tcW w:w="4350" w:type="dxa"/>
            <w:gridSpan w:val="4"/>
            <w:tcBorders>
              <w:top w:val="outset" w:sz="6" w:space="0" w:color="auto"/>
              <w:left w:val="outset" w:sz="6" w:space="0" w:color="auto"/>
              <w:bottom w:val="outset" w:sz="6" w:space="0" w:color="auto"/>
              <w:right w:val="outset" w:sz="6" w:space="0" w:color="auto"/>
            </w:tcBorders>
          </w:tcPr>
          <w:p w:rsidR="00473B6E" w:rsidRPr="008A6AE3" w:rsidRDefault="00473B6E" w:rsidP="00991A43">
            <w:pPr>
              <w:rPr>
                <w:rFonts w:eastAsia="Calibri"/>
                <w:lang w:eastAsia="en-US"/>
              </w:rPr>
            </w:pPr>
            <w:r w:rsidRPr="008A6AE3">
              <w:rPr>
                <w:rFonts w:eastAsia="Calibri"/>
                <w:lang w:eastAsia="en-US"/>
              </w:rPr>
              <w:t> Projekta izpildē iesaistītās institūcijas</w:t>
            </w:r>
          </w:p>
        </w:tc>
        <w:tc>
          <w:tcPr>
            <w:tcW w:w="3875" w:type="dxa"/>
            <w:tcBorders>
              <w:top w:val="outset" w:sz="6" w:space="0" w:color="auto"/>
              <w:left w:val="outset" w:sz="6" w:space="0" w:color="auto"/>
              <w:bottom w:val="outset" w:sz="6" w:space="0" w:color="auto"/>
              <w:right w:val="outset" w:sz="6" w:space="0" w:color="auto"/>
            </w:tcBorders>
          </w:tcPr>
          <w:p w:rsidR="00473B6E" w:rsidRPr="00260F5A" w:rsidRDefault="00C76B4B" w:rsidP="003C58C7">
            <w:pPr>
              <w:jc w:val="both"/>
              <w:rPr>
                <w:rFonts w:eastAsia="Calibri"/>
                <w:lang w:eastAsia="en-US"/>
              </w:rPr>
            </w:pPr>
            <w:r>
              <w:rPr>
                <w:rFonts w:eastAsia="Calibri"/>
                <w:lang w:eastAsia="en-US"/>
              </w:rPr>
              <w:t>Finanšu ministrija</w:t>
            </w:r>
            <w:r w:rsidR="00FB2379">
              <w:rPr>
                <w:rFonts w:eastAsia="Calibri"/>
                <w:lang w:eastAsia="en-US"/>
              </w:rPr>
              <w:t xml:space="preserve">, Zemkopības ministrija, </w:t>
            </w:r>
            <w:r w:rsidR="003C06B0">
              <w:rPr>
                <w:rFonts w:eastAsia="Calibri"/>
                <w:lang w:eastAsia="en-US"/>
              </w:rPr>
              <w:t xml:space="preserve">Labklājības ministrija, </w:t>
            </w:r>
            <w:r w:rsidR="00FB2379">
              <w:rPr>
                <w:rFonts w:eastAsia="Calibri"/>
                <w:lang w:eastAsia="en-US"/>
              </w:rPr>
              <w:t>Lauku atbalsta dienests</w:t>
            </w:r>
            <w:r>
              <w:rPr>
                <w:rFonts w:eastAsia="Calibri"/>
                <w:lang w:eastAsia="en-US"/>
              </w:rPr>
              <w:t xml:space="preserve"> un</w:t>
            </w:r>
            <w:r w:rsidR="007F2A8B">
              <w:rPr>
                <w:rFonts w:eastAsia="Calibri"/>
                <w:lang w:eastAsia="en-US"/>
              </w:rPr>
              <w:t xml:space="preserve"> </w:t>
            </w:r>
            <w:r w:rsidR="00473B6E" w:rsidRPr="00260F5A">
              <w:rPr>
                <w:rFonts w:eastAsia="Calibri"/>
                <w:lang w:eastAsia="en-US"/>
              </w:rPr>
              <w:t>Valsts ieņēmumu dienests.</w:t>
            </w:r>
          </w:p>
        </w:tc>
      </w:tr>
      <w:tr w:rsidR="00DC36D0" w:rsidRPr="00473B6E" w:rsidTr="006717BA">
        <w:trPr>
          <w:gridBefore w:val="1"/>
          <w:gridAfter w:val="1"/>
          <w:wBefore w:w="41" w:type="dxa"/>
          <w:wAfter w:w="293" w:type="dxa"/>
          <w:trHeight w:val="463"/>
          <w:tblCellSpacing w:w="0" w:type="dxa"/>
        </w:trPr>
        <w:tc>
          <w:tcPr>
            <w:tcW w:w="812" w:type="dxa"/>
            <w:gridSpan w:val="4"/>
            <w:tcBorders>
              <w:top w:val="outset" w:sz="6" w:space="0" w:color="auto"/>
              <w:left w:val="outset" w:sz="6" w:space="0" w:color="auto"/>
              <w:bottom w:val="outset" w:sz="6" w:space="0" w:color="auto"/>
              <w:right w:val="outset" w:sz="6" w:space="0" w:color="auto"/>
            </w:tcBorders>
          </w:tcPr>
          <w:p w:rsidR="00473B6E" w:rsidRPr="008A6AE3" w:rsidRDefault="00473B6E" w:rsidP="00473B6E">
            <w:pPr>
              <w:jc w:val="both"/>
              <w:rPr>
                <w:rFonts w:eastAsia="Calibri"/>
                <w:lang w:eastAsia="en-US"/>
              </w:rPr>
            </w:pPr>
            <w:r w:rsidRPr="008A6AE3">
              <w:rPr>
                <w:rFonts w:eastAsia="Calibri"/>
                <w:lang w:eastAsia="en-US"/>
              </w:rPr>
              <w:t> 2.</w:t>
            </w:r>
          </w:p>
        </w:tc>
        <w:tc>
          <w:tcPr>
            <w:tcW w:w="4350" w:type="dxa"/>
            <w:gridSpan w:val="4"/>
            <w:tcBorders>
              <w:top w:val="outset" w:sz="6" w:space="0" w:color="auto"/>
              <w:left w:val="outset" w:sz="6" w:space="0" w:color="auto"/>
              <w:bottom w:val="outset" w:sz="6" w:space="0" w:color="auto"/>
              <w:right w:val="outset" w:sz="6" w:space="0" w:color="auto"/>
            </w:tcBorders>
          </w:tcPr>
          <w:p w:rsidR="00473B6E" w:rsidRPr="008A6AE3" w:rsidRDefault="00473B6E" w:rsidP="00991A43">
            <w:pPr>
              <w:rPr>
                <w:rFonts w:eastAsia="Calibri"/>
                <w:lang w:eastAsia="en-US"/>
              </w:rPr>
            </w:pPr>
            <w:r w:rsidRPr="008A6AE3">
              <w:rPr>
                <w:rFonts w:eastAsia="Calibri"/>
                <w:lang w:eastAsia="en-US"/>
              </w:rPr>
              <w:t> Projekta izpildes ietekme uz pārvaldes funkcijām</w:t>
            </w:r>
          </w:p>
        </w:tc>
        <w:tc>
          <w:tcPr>
            <w:tcW w:w="3875" w:type="dxa"/>
            <w:tcBorders>
              <w:top w:val="outset" w:sz="6" w:space="0" w:color="auto"/>
              <w:left w:val="outset" w:sz="6" w:space="0" w:color="auto"/>
              <w:bottom w:val="outset" w:sz="6" w:space="0" w:color="auto"/>
              <w:right w:val="outset" w:sz="6" w:space="0" w:color="auto"/>
            </w:tcBorders>
          </w:tcPr>
          <w:p w:rsidR="00473B6E" w:rsidRPr="00260F5A" w:rsidRDefault="00473B6E" w:rsidP="003C58C7">
            <w:pPr>
              <w:jc w:val="both"/>
              <w:rPr>
                <w:rFonts w:eastAsia="Calibri"/>
                <w:lang w:eastAsia="en-US"/>
              </w:rPr>
            </w:pPr>
            <w:r w:rsidRPr="00260F5A">
              <w:rPr>
                <w:rFonts w:eastAsia="Calibri"/>
                <w:lang w:eastAsia="en-US"/>
              </w:rPr>
              <w:t>Projekts šo jomu neskar.</w:t>
            </w:r>
          </w:p>
        </w:tc>
      </w:tr>
      <w:tr w:rsidR="00DC36D0" w:rsidRPr="00473B6E" w:rsidTr="006717BA">
        <w:trPr>
          <w:gridBefore w:val="1"/>
          <w:gridAfter w:val="1"/>
          <w:wBefore w:w="41" w:type="dxa"/>
          <w:wAfter w:w="293" w:type="dxa"/>
          <w:trHeight w:val="725"/>
          <w:tblCellSpacing w:w="0" w:type="dxa"/>
        </w:trPr>
        <w:tc>
          <w:tcPr>
            <w:tcW w:w="812" w:type="dxa"/>
            <w:gridSpan w:val="4"/>
            <w:tcBorders>
              <w:top w:val="outset" w:sz="6" w:space="0" w:color="auto"/>
              <w:left w:val="outset" w:sz="6" w:space="0" w:color="auto"/>
              <w:bottom w:val="outset" w:sz="6" w:space="0" w:color="auto"/>
              <w:right w:val="outset" w:sz="6" w:space="0" w:color="auto"/>
            </w:tcBorders>
          </w:tcPr>
          <w:p w:rsidR="00473B6E" w:rsidRPr="008A6AE3" w:rsidRDefault="00473B6E" w:rsidP="00473B6E">
            <w:pPr>
              <w:jc w:val="both"/>
              <w:rPr>
                <w:rFonts w:eastAsia="Calibri"/>
                <w:lang w:eastAsia="en-US"/>
              </w:rPr>
            </w:pPr>
            <w:r w:rsidRPr="008A6AE3">
              <w:rPr>
                <w:rFonts w:eastAsia="Calibri"/>
                <w:lang w:eastAsia="en-US"/>
              </w:rPr>
              <w:t> 3.</w:t>
            </w:r>
          </w:p>
        </w:tc>
        <w:tc>
          <w:tcPr>
            <w:tcW w:w="4350" w:type="dxa"/>
            <w:gridSpan w:val="4"/>
            <w:tcBorders>
              <w:top w:val="outset" w:sz="6" w:space="0" w:color="auto"/>
              <w:left w:val="outset" w:sz="6" w:space="0" w:color="auto"/>
              <w:bottom w:val="outset" w:sz="6" w:space="0" w:color="auto"/>
              <w:right w:val="outset" w:sz="6" w:space="0" w:color="auto"/>
            </w:tcBorders>
          </w:tcPr>
          <w:p w:rsidR="00473B6E" w:rsidRPr="008A6AE3" w:rsidRDefault="00473B6E" w:rsidP="00991A43">
            <w:pPr>
              <w:rPr>
                <w:rFonts w:eastAsia="Calibri"/>
                <w:lang w:eastAsia="en-US"/>
              </w:rPr>
            </w:pPr>
            <w:r w:rsidRPr="008A6AE3">
              <w:rPr>
                <w:rFonts w:eastAsia="Calibri"/>
                <w:lang w:eastAsia="en-US"/>
              </w:rPr>
              <w:t> Projekta izpildes ietekme uz pārvaldes institucionālo struktūru.</w:t>
            </w:r>
          </w:p>
          <w:p w:rsidR="00473B6E" w:rsidRPr="008A6AE3" w:rsidRDefault="00473B6E" w:rsidP="00991A43">
            <w:pPr>
              <w:rPr>
                <w:rFonts w:eastAsia="Calibri"/>
                <w:lang w:eastAsia="en-US"/>
              </w:rPr>
            </w:pPr>
            <w:r w:rsidRPr="008A6AE3">
              <w:rPr>
                <w:rFonts w:eastAsia="Calibri"/>
                <w:lang w:eastAsia="en-US"/>
              </w:rPr>
              <w:t>Jaunu institūciju izveide</w:t>
            </w:r>
          </w:p>
        </w:tc>
        <w:tc>
          <w:tcPr>
            <w:tcW w:w="3875" w:type="dxa"/>
            <w:tcBorders>
              <w:top w:val="outset" w:sz="6" w:space="0" w:color="auto"/>
              <w:left w:val="outset" w:sz="6" w:space="0" w:color="auto"/>
              <w:bottom w:val="outset" w:sz="6" w:space="0" w:color="auto"/>
              <w:right w:val="outset" w:sz="6" w:space="0" w:color="auto"/>
            </w:tcBorders>
          </w:tcPr>
          <w:p w:rsidR="00473B6E" w:rsidRPr="00260F5A" w:rsidRDefault="00473B6E" w:rsidP="003C58C7">
            <w:pPr>
              <w:jc w:val="both"/>
              <w:rPr>
                <w:rFonts w:eastAsia="Calibri"/>
                <w:lang w:eastAsia="en-US"/>
              </w:rPr>
            </w:pPr>
            <w:r w:rsidRPr="00260F5A">
              <w:rPr>
                <w:rFonts w:eastAsia="Calibri"/>
                <w:lang w:eastAsia="en-US"/>
              </w:rPr>
              <w:t>Jaunas institūcijas nav nepieciešams izveidot.</w:t>
            </w:r>
          </w:p>
        </w:tc>
      </w:tr>
      <w:tr w:rsidR="00DC36D0" w:rsidRPr="00473B6E" w:rsidTr="006717BA">
        <w:trPr>
          <w:gridBefore w:val="1"/>
          <w:gridAfter w:val="1"/>
          <w:wBefore w:w="41" w:type="dxa"/>
          <w:wAfter w:w="293" w:type="dxa"/>
          <w:trHeight w:val="780"/>
          <w:tblCellSpacing w:w="0" w:type="dxa"/>
        </w:trPr>
        <w:tc>
          <w:tcPr>
            <w:tcW w:w="812" w:type="dxa"/>
            <w:gridSpan w:val="4"/>
            <w:tcBorders>
              <w:top w:val="outset" w:sz="6" w:space="0" w:color="auto"/>
              <w:left w:val="outset" w:sz="6" w:space="0" w:color="auto"/>
              <w:bottom w:val="outset" w:sz="6" w:space="0" w:color="auto"/>
              <w:right w:val="outset" w:sz="6" w:space="0" w:color="auto"/>
            </w:tcBorders>
          </w:tcPr>
          <w:p w:rsidR="00473B6E" w:rsidRPr="008A6AE3" w:rsidRDefault="00473B6E" w:rsidP="00473B6E">
            <w:pPr>
              <w:jc w:val="both"/>
              <w:rPr>
                <w:rFonts w:eastAsia="Calibri"/>
                <w:lang w:eastAsia="en-US"/>
              </w:rPr>
            </w:pPr>
            <w:r w:rsidRPr="008A6AE3">
              <w:rPr>
                <w:rFonts w:eastAsia="Calibri"/>
                <w:lang w:eastAsia="en-US"/>
              </w:rPr>
              <w:t> 4.</w:t>
            </w:r>
          </w:p>
        </w:tc>
        <w:tc>
          <w:tcPr>
            <w:tcW w:w="4350" w:type="dxa"/>
            <w:gridSpan w:val="4"/>
            <w:tcBorders>
              <w:top w:val="outset" w:sz="6" w:space="0" w:color="auto"/>
              <w:left w:val="outset" w:sz="6" w:space="0" w:color="auto"/>
              <w:bottom w:val="outset" w:sz="6" w:space="0" w:color="auto"/>
              <w:right w:val="outset" w:sz="6" w:space="0" w:color="auto"/>
            </w:tcBorders>
          </w:tcPr>
          <w:p w:rsidR="00473B6E" w:rsidRPr="008A6AE3" w:rsidRDefault="00473B6E" w:rsidP="00991A43">
            <w:pPr>
              <w:rPr>
                <w:rFonts w:eastAsia="Calibri"/>
                <w:lang w:eastAsia="en-US"/>
              </w:rPr>
            </w:pPr>
            <w:r w:rsidRPr="008A6AE3">
              <w:rPr>
                <w:rFonts w:eastAsia="Calibri"/>
                <w:lang w:eastAsia="en-US"/>
              </w:rPr>
              <w:t> Projekta izpildes ietekme uz pārvaldes institucionālo struktūru.</w:t>
            </w:r>
          </w:p>
          <w:p w:rsidR="00473B6E" w:rsidRPr="008A6AE3" w:rsidRDefault="00473B6E" w:rsidP="00991A43">
            <w:pPr>
              <w:rPr>
                <w:rFonts w:eastAsia="Calibri"/>
                <w:lang w:eastAsia="en-US"/>
              </w:rPr>
            </w:pPr>
            <w:r w:rsidRPr="008A6AE3">
              <w:rPr>
                <w:rFonts w:eastAsia="Calibri"/>
                <w:lang w:eastAsia="en-US"/>
              </w:rPr>
              <w:t>Esošu institūciju likvidācija</w:t>
            </w:r>
          </w:p>
        </w:tc>
        <w:tc>
          <w:tcPr>
            <w:tcW w:w="3875" w:type="dxa"/>
            <w:tcBorders>
              <w:top w:val="outset" w:sz="6" w:space="0" w:color="auto"/>
              <w:left w:val="outset" w:sz="6" w:space="0" w:color="auto"/>
              <w:bottom w:val="outset" w:sz="6" w:space="0" w:color="auto"/>
              <w:right w:val="outset" w:sz="6" w:space="0" w:color="auto"/>
            </w:tcBorders>
          </w:tcPr>
          <w:p w:rsidR="00473B6E" w:rsidRPr="00260F5A" w:rsidRDefault="00473B6E" w:rsidP="003C58C7">
            <w:pPr>
              <w:jc w:val="both"/>
              <w:rPr>
                <w:rFonts w:eastAsia="Calibri"/>
                <w:lang w:eastAsia="en-US"/>
              </w:rPr>
            </w:pPr>
            <w:r w:rsidRPr="00260F5A">
              <w:rPr>
                <w:rFonts w:eastAsia="Calibri"/>
                <w:lang w:eastAsia="en-US"/>
              </w:rPr>
              <w:t>Nav plānota esošu institūciju likvidācija.</w:t>
            </w:r>
          </w:p>
        </w:tc>
      </w:tr>
      <w:tr w:rsidR="00DC36D0" w:rsidRPr="00473B6E" w:rsidTr="006717BA">
        <w:trPr>
          <w:gridBefore w:val="1"/>
          <w:gridAfter w:val="1"/>
          <w:wBefore w:w="41" w:type="dxa"/>
          <w:wAfter w:w="293" w:type="dxa"/>
          <w:trHeight w:val="703"/>
          <w:tblCellSpacing w:w="0" w:type="dxa"/>
        </w:trPr>
        <w:tc>
          <w:tcPr>
            <w:tcW w:w="812" w:type="dxa"/>
            <w:gridSpan w:val="4"/>
            <w:tcBorders>
              <w:top w:val="outset" w:sz="6" w:space="0" w:color="auto"/>
              <w:left w:val="outset" w:sz="6" w:space="0" w:color="auto"/>
              <w:bottom w:val="outset" w:sz="6" w:space="0" w:color="auto"/>
              <w:right w:val="outset" w:sz="6" w:space="0" w:color="auto"/>
            </w:tcBorders>
          </w:tcPr>
          <w:p w:rsidR="00473B6E" w:rsidRPr="008A6AE3" w:rsidRDefault="00473B6E" w:rsidP="00473B6E">
            <w:pPr>
              <w:jc w:val="both"/>
              <w:rPr>
                <w:rFonts w:eastAsia="Calibri"/>
                <w:lang w:eastAsia="en-US"/>
              </w:rPr>
            </w:pPr>
            <w:r w:rsidRPr="008A6AE3">
              <w:rPr>
                <w:rFonts w:eastAsia="Calibri"/>
                <w:lang w:eastAsia="en-US"/>
              </w:rPr>
              <w:t> 5.</w:t>
            </w:r>
          </w:p>
        </w:tc>
        <w:tc>
          <w:tcPr>
            <w:tcW w:w="4350" w:type="dxa"/>
            <w:gridSpan w:val="4"/>
            <w:tcBorders>
              <w:top w:val="outset" w:sz="6" w:space="0" w:color="auto"/>
              <w:left w:val="outset" w:sz="6" w:space="0" w:color="auto"/>
              <w:bottom w:val="outset" w:sz="6" w:space="0" w:color="auto"/>
              <w:right w:val="outset" w:sz="6" w:space="0" w:color="auto"/>
            </w:tcBorders>
          </w:tcPr>
          <w:p w:rsidR="00473B6E" w:rsidRPr="008A6AE3" w:rsidRDefault="00473B6E" w:rsidP="00991A43">
            <w:pPr>
              <w:rPr>
                <w:rFonts w:eastAsia="Calibri"/>
                <w:lang w:eastAsia="en-US"/>
              </w:rPr>
            </w:pPr>
            <w:r w:rsidRPr="008A6AE3">
              <w:rPr>
                <w:rFonts w:eastAsia="Calibri"/>
                <w:lang w:eastAsia="en-US"/>
              </w:rPr>
              <w:t> Projekta izpildes ietekme uz pārvaldes institucionālo struktūru.</w:t>
            </w:r>
          </w:p>
          <w:p w:rsidR="00473B6E" w:rsidRPr="008A6AE3" w:rsidRDefault="00473B6E" w:rsidP="00991A43">
            <w:pPr>
              <w:rPr>
                <w:rFonts w:eastAsia="Calibri"/>
                <w:lang w:eastAsia="en-US"/>
              </w:rPr>
            </w:pPr>
            <w:r w:rsidRPr="008A6AE3">
              <w:rPr>
                <w:rFonts w:eastAsia="Calibri"/>
                <w:lang w:eastAsia="en-US"/>
              </w:rPr>
              <w:t>Esošu institūciju reorganizācija</w:t>
            </w:r>
          </w:p>
        </w:tc>
        <w:tc>
          <w:tcPr>
            <w:tcW w:w="3875" w:type="dxa"/>
            <w:tcBorders>
              <w:top w:val="outset" w:sz="6" w:space="0" w:color="auto"/>
              <w:left w:val="outset" w:sz="6" w:space="0" w:color="auto"/>
              <w:bottom w:val="outset" w:sz="6" w:space="0" w:color="auto"/>
              <w:right w:val="outset" w:sz="6" w:space="0" w:color="auto"/>
            </w:tcBorders>
          </w:tcPr>
          <w:p w:rsidR="00473B6E" w:rsidRPr="00260F5A" w:rsidRDefault="00473B6E" w:rsidP="003C58C7">
            <w:pPr>
              <w:jc w:val="both"/>
              <w:rPr>
                <w:rFonts w:eastAsia="Calibri"/>
                <w:lang w:eastAsia="en-US"/>
              </w:rPr>
            </w:pPr>
            <w:r w:rsidRPr="00260F5A">
              <w:rPr>
                <w:rFonts w:eastAsia="Calibri"/>
                <w:lang w:eastAsia="en-US"/>
              </w:rPr>
              <w:t>Nav plānota esošu institūciju reorganizācija.</w:t>
            </w:r>
          </w:p>
        </w:tc>
      </w:tr>
      <w:tr w:rsidR="00DC36D0" w:rsidRPr="00473B6E" w:rsidTr="006717BA">
        <w:trPr>
          <w:gridBefore w:val="1"/>
          <w:gridAfter w:val="1"/>
          <w:wBefore w:w="41" w:type="dxa"/>
          <w:wAfter w:w="293" w:type="dxa"/>
          <w:trHeight w:val="701"/>
          <w:tblCellSpacing w:w="0" w:type="dxa"/>
        </w:trPr>
        <w:tc>
          <w:tcPr>
            <w:tcW w:w="812" w:type="dxa"/>
            <w:gridSpan w:val="4"/>
            <w:tcBorders>
              <w:top w:val="outset" w:sz="6" w:space="0" w:color="auto"/>
              <w:left w:val="outset" w:sz="6" w:space="0" w:color="auto"/>
              <w:bottom w:val="outset" w:sz="6" w:space="0" w:color="auto"/>
              <w:right w:val="outset" w:sz="6" w:space="0" w:color="auto"/>
            </w:tcBorders>
          </w:tcPr>
          <w:p w:rsidR="00473B6E" w:rsidRPr="008A6AE3" w:rsidRDefault="00473B6E" w:rsidP="00473B6E">
            <w:pPr>
              <w:jc w:val="both"/>
              <w:rPr>
                <w:rFonts w:eastAsia="Calibri"/>
                <w:lang w:eastAsia="en-US"/>
              </w:rPr>
            </w:pPr>
            <w:r w:rsidRPr="008A6AE3">
              <w:rPr>
                <w:rFonts w:eastAsia="Calibri"/>
                <w:lang w:eastAsia="en-US"/>
              </w:rPr>
              <w:t> 6.</w:t>
            </w:r>
          </w:p>
        </w:tc>
        <w:tc>
          <w:tcPr>
            <w:tcW w:w="4350" w:type="dxa"/>
            <w:gridSpan w:val="4"/>
            <w:tcBorders>
              <w:top w:val="outset" w:sz="6" w:space="0" w:color="auto"/>
              <w:left w:val="outset" w:sz="6" w:space="0" w:color="auto"/>
              <w:bottom w:val="outset" w:sz="6" w:space="0" w:color="auto"/>
              <w:right w:val="outset" w:sz="6" w:space="0" w:color="auto"/>
            </w:tcBorders>
          </w:tcPr>
          <w:p w:rsidR="00473B6E" w:rsidRPr="008A6AE3" w:rsidRDefault="00473B6E" w:rsidP="00991A43">
            <w:pPr>
              <w:rPr>
                <w:rFonts w:eastAsia="Calibri"/>
                <w:lang w:eastAsia="en-US"/>
              </w:rPr>
            </w:pPr>
            <w:r w:rsidRPr="008A6AE3">
              <w:rPr>
                <w:rFonts w:eastAsia="Calibri"/>
                <w:lang w:eastAsia="en-US"/>
              </w:rPr>
              <w:t> Cita informācija</w:t>
            </w:r>
          </w:p>
        </w:tc>
        <w:tc>
          <w:tcPr>
            <w:tcW w:w="3875" w:type="dxa"/>
            <w:tcBorders>
              <w:top w:val="outset" w:sz="6" w:space="0" w:color="auto"/>
              <w:left w:val="outset" w:sz="6" w:space="0" w:color="auto"/>
              <w:bottom w:val="outset" w:sz="6" w:space="0" w:color="auto"/>
              <w:right w:val="outset" w:sz="6" w:space="0" w:color="auto"/>
            </w:tcBorders>
          </w:tcPr>
          <w:p w:rsidR="00473B6E" w:rsidRPr="00260F5A" w:rsidRDefault="00FB2379" w:rsidP="00991A43">
            <w:pPr>
              <w:rPr>
                <w:rFonts w:eastAsia="Calibri"/>
                <w:lang w:eastAsia="en-US"/>
              </w:rPr>
            </w:pPr>
            <w:r>
              <w:rPr>
                <w:rFonts w:eastAsia="Calibri"/>
                <w:lang w:eastAsia="en-US"/>
              </w:rPr>
              <w:t>Nav</w:t>
            </w:r>
            <w:r w:rsidR="00473B6E" w:rsidRPr="00260F5A">
              <w:rPr>
                <w:rFonts w:eastAsia="Calibri"/>
                <w:lang w:eastAsia="en-US"/>
              </w:rPr>
              <w:t>.</w:t>
            </w:r>
          </w:p>
        </w:tc>
      </w:tr>
    </w:tbl>
    <w:p w:rsidR="00454CFA" w:rsidRDefault="00454CFA" w:rsidP="00791766">
      <w:pPr>
        <w:rPr>
          <w:bCs/>
          <w:iCs/>
          <w:sz w:val="28"/>
          <w:szCs w:val="28"/>
        </w:rPr>
      </w:pPr>
    </w:p>
    <w:p w:rsidR="00D75B09" w:rsidRDefault="00D75B09" w:rsidP="00D75B09">
      <w:pPr>
        <w:ind w:firstLine="709"/>
        <w:jc w:val="both"/>
        <w:rPr>
          <w:sz w:val="28"/>
          <w:szCs w:val="28"/>
          <w:lang w:eastAsia="en-US"/>
        </w:rPr>
      </w:pPr>
      <w:r>
        <w:rPr>
          <w:sz w:val="28"/>
          <w:szCs w:val="28"/>
          <w:lang w:eastAsia="en-US"/>
        </w:rPr>
        <w:t>Finanšu ministrs</w:t>
      </w:r>
      <w:r w:rsidRPr="00AC5214">
        <w:rPr>
          <w:sz w:val="28"/>
          <w:szCs w:val="28"/>
          <w:lang w:eastAsia="en-US"/>
        </w:rPr>
        <w:tab/>
      </w:r>
      <w:r w:rsidRPr="00AC5214">
        <w:rPr>
          <w:sz w:val="28"/>
          <w:szCs w:val="28"/>
          <w:lang w:eastAsia="en-US"/>
        </w:rPr>
        <w:tab/>
      </w:r>
      <w:r w:rsidRPr="00AC5214">
        <w:rPr>
          <w:sz w:val="28"/>
          <w:szCs w:val="28"/>
          <w:lang w:eastAsia="en-US"/>
        </w:rPr>
        <w:tab/>
      </w:r>
      <w:r w:rsidRPr="00AC5214">
        <w:rPr>
          <w:sz w:val="28"/>
          <w:szCs w:val="28"/>
          <w:lang w:eastAsia="en-US"/>
        </w:rPr>
        <w:tab/>
      </w:r>
      <w:r w:rsidRPr="00AC5214">
        <w:rPr>
          <w:sz w:val="28"/>
          <w:szCs w:val="28"/>
          <w:lang w:eastAsia="en-US"/>
        </w:rPr>
        <w:tab/>
      </w:r>
      <w:r w:rsidRPr="00AC5214">
        <w:rPr>
          <w:sz w:val="28"/>
          <w:szCs w:val="28"/>
          <w:lang w:eastAsia="en-US"/>
        </w:rPr>
        <w:tab/>
      </w:r>
      <w:r w:rsidRPr="00AC5214">
        <w:rPr>
          <w:sz w:val="28"/>
          <w:szCs w:val="28"/>
          <w:lang w:eastAsia="en-US"/>
        </w:rPr>
        <w:tab/>
      </w:r>
      <w:r w:rsidRPr="00AC5214">
        <w:rPr>
          <w:sz w:val="28"/>
          <w:szCs w:val="28"/>
          <w:lang w:eastAsia="en-US"/>
        </w:rPr>
        <w:tab/>
      </w:r>
      <w:r w:rsidR="00F74311">
        <w:rPr>
          <w:sz w:val="28"/>
          <w:szCs w:val="28"/>
          <w:lang w:eastAsia="en-US"/>
        </w:rPr>
        <w:t>A.Vilks</w:t>
      </w:r>
    </w:p>
    <w:p w:rsidR="00B158DF" w:rsidRDefault="00B158DF" w:rsidP="005C3CCD">
      <w:pPr>
        <w:rPr>
          <w:sz w:val="20"/>
          <w:szCs w:val="20"/>
        </w:rPr>
      </w:pPr>
    </w:p>
    <w:p w:rsidR="00B158DF" w:rsidRDefault="00B158DF" w:rsidP="005C3CCD">
      <w:pPr>
        <w:rPr>
          <w:sz w:val="20"/>
          <w:szCs w:val="20"/>
        </w:rPr>
      </w:pPr>
    </w:p>
    <w:p w:rsidR="00B158DF" w:rsidRDefault="00B158DF" w:rsidP="005C3CCD">
      <w:pPr>
        <w:rPr>
          <w:sz w:val="20"/>
          <w:szCs w:val="20"/>
        </w:rPr>
      </w:pPr>
      <w:r>
        <w:rPr>
          <w:sz w:val="20"/>
          <w:szCs w:val="20"/>
        </w:rPr>
        <w:t>30.07.2013</w:t>
      </w:r>
    </w:p>
    <w:p w:rsidR="005C3CCD" w:rsidRPr="005C3CCD" w:rsidRDefault="005C3CCD" w:rsidP="005C3CCD">
      <w:pPr>
        <w:rPr>
          <w:iCs/>
          <w:sz w:val="20"/>
          <w:szCs w:val="20"/>
          <w:lang w:eastAsia="en-US"/>
        </w:rPr>
      </w:pPr>
      <w:r w:rsidRPr="005C3CCD">
        <w:rPr>
          <w:iCs/>
          <w:sz w:val="20"/>
          <w:szCs w:val="20"/>
          <w:lang w:eastAsia="en-US"/>
        </w:rPr>
        <w:fldChar w:fldCharType="begin"/>
      </w:r>
      <w:r w:rsidRPr="005C3CCD">
        <w:rPr>
          <w:iCs/>
          <w:sz w:val="20"/>
          <w:szCs w:val="20"/>
          <w:lang w:eastAsia="en-US"/>
        </w:rPr>
        <w:instrText xml:space="preserve"> NUMWORDS   \* MERGEFORMAT </w:instrText>
      </w:r>
      <w:r w:rsidRPr="005C3CCD">
        <w:rPr>
          <w:iCs/>
          <w:sz w:val="20"/>
          <w:szCs w:val="20"/>
          <w:lang w:eastAsia="en-US"/>
        </w:rPr>
        <w:fldChar w:fldCharType="separate"/>
      </w:r>
      <w:r w:rsidR="00CD1DC9">
        <w:rPr>
          <w:iCs/>
          <w:noProof/>
          <w:sz w:val="20"/>
          <w:szCs w:val="20"/>
          <w:lang w:eastAsia="en-US"/>
        </w:rPr>
        <w:t>2501</w:t>
      </w:r>
      <w:r w:rsidRPr="005C3CCD">
        <w:rPr>
          <w:iCs/>
          <w:sz w:val="20"/>
          <w:szCs w:val="20"/>
          <w:lang w:eastAsia="en-US"/>
        </w:rPr>
        <w:fldChar w:fldCharType="end"/>
      </w:r>
    </w:p>
    <w:p w:rsidR="005C3CCD" w:rsidRPr="005C3CCD" w:rsidRDefault="005C3CCD" w:rsidP="005C3CCD">
      <w:pPr>
        <w:jc w:val="both"/>
        <w:rPr>
          <w:sz w:val="20"/>
          <w:szCs w:val="20"/>
          <w:lang w:eastAsia="en-US"/>
        </w:rPr>
      </w:pPr>
      <w:r w:rsidRPr="005C3CCD">
        <w:rPr>
          <w:sz w:val="20"/>
          <w:szCs w:val="20"/>
          <w:lang w:eastAsia="en-US"/>
        </w:rPr>
        <w:t>Finanšu ministrijas Tiešo nodokļu departamenta</w:t>
      </w:r>
    </w:p>
    <w:p w:rsidR="005C3CCD" w:rsidRPr="005C3CCD" w:rsidRDefault="005C3CCD" w:rsidP="005C3CCD">
      <w:pPr>
        <w:rPr>
          <w:sz w:val="20"/>
          <w:szCs w:val="20"/>
          <w:lang w:eastAsia="en-US"/>
        </w:rPr>
      </w:pPr>
      <w:r w:rsidRPr="005C3CCD">
        <w:rPr>
          <w:sz w:val="20"/>
          <w:szCs w:val="20"/>
          <w:lang w:eastAsia="en-US"/>
        </w:rPr>
        <w:t xml:space="preserve">Īpašuma un iedzīvotāju ienākuma nodokļu nodaļas </w:t>
      </w:r>
    </w:p>
    <w:p w:rsidR="005C3CCD" w:rsidRPr="005C3CCD" w:rsidRDefault="005C3CCD" w:rsidP="005C3CCD">
      <w:pPr>
        <w:rPr>
          <w:sz w:val="20"/>
          <w:szCs w:val="20"/>
          <w:lang w:val="en-US" w:eastAsia="en-US"/>
        </w:rPr>
      </w:pPr>
      <w:proofErr w:type="spellStart"/>
      <w:proofErr w:type="gramStart"/>
      <w:r w:rsidRPr="005C3CCD">
        <w:rPr>
          <w:sz w:val="20"/>
          <w:szCs w:val="20"/>
          <w:lang w:val="en-US" w:eastAsia="en-US"/>
        </w:rPr>
        <w:t>vecākā</w:t>
      </w:r>
      <w:proofErr w:type="spellEnd"/>
      <w:proofErr w:type="gramEnd"/>
      <w:r w:rsidRPr="005C3CCD">
        <w:rPr>
          <w:sz w:val="20"/>
          <w:szCs w:val="20"/>
          <w:lang w:val="en-US" w:eastAsia="en-US"/>
        </w:rPr>
        <w:t xml:space="preserve"> </w:t>
      </w:r>
      <w:proofErr w:type="spellStart"/>
      <w:r w:rsidRPr="005C3CCD">
        <w:rPr>
          <w:sz w:val="20"/>
          <w:szCs w:val="20"/>
          <w:lang w:val="en-US" w:eastAsia="en-US"/>
        </w:rPr>
        <w:t>referente</w:t>
      </w:r>
      <w:proofErr w:type="spellEnd"/>
    </w:p>
    <w:p w:rsidR="005C3CCD" w:rsidRPr="005C3CCD" w:rsidRDefault="005C3CCD" w:rsidP="005C3CCD">
      <w:pPr>
        <w:rPr>
          <w:sz w:val="20"/>
          <w:szCs w:val="20"/>
          <w:lang w:val="en-US" w:eastAsia="en-US"/>
        </w:rPr>
      </w:pPr>
      <w:r w:rsidRPr="005C3CCD">
        <w:rPr>
          <w:sz w:val="20"/>
          <w:szCs w:val="20"/>
          <w:lang w:val="en-US" w:eastAsia="en-US"/>
        </w:rPr>
        <w:t xml:space="preserve">Zoldnere 67095492, </w:t>
      </w:r>
      <w:proofErr w:type="spellStart"/>
      <w:r w:rsidRPr="005C3CCD">
        <w:rPr>
          <w:sz w:val="20"/>
          <w:szCs w:val="20"/>
          <w:lang w:val="en-US" w:eastAsia="en-US"/>
        </w:rPr>
        <w:t>fakss</w:t>
      </w:r>
      <w:proofErr w:type="spellEnd"/>
      <w:r w:rsidRPr="005C3CCD">
        <w:rPr>
          <w:sz w:val="20"/>
          <w:szCs w:val="20"/>
          <w:lang w:val="en-US" w:eastAsia="en-US"/>
        </w:rPr>
        <w:t xml:space="preserve"> 67095421</w:t>
      </w:r>
    </w:p>
    <w:p w:rsidR="004368E3" w:rsidRPr="009F4215" w:rsidRDefault="00253891" w:rsidP="005C3CCD">
      <w:pPr>
        <w:rPr>
          <w:sz w:val="20"/>
          <w:szCs w:val="20"/>
        </w:rPr>
      </w:pPr>
      <w:hyperlink r:id="rId12" w:history="1">
        <w:r w:rsidR="005C3CCD" w:rsidRPr="005C3CCD">
          <w:rPr>
            <w:color w:val="0000FF"/>
            <w:sz w:val="20"/>
            <w:szCs w:val="20"/>
            <w:u w:val="single"/>
            <w:lang w:val="en-US" w:eastAsia="en-US"/>
          </w:rPr>
          <w:t>Vanda.Zoldnere@fm.gov.lv</w:t>
        </w:r>
      </w:hyperlink>
    </w:p>
    <w:sectPr w:rsidR="004368E3" w:rsidRPr="009F4215" w:rsidSect="003225E2">
      <w:headerReference w:type="even" r:id="rId13"/>
      <w:headerReference w:type="default" r:id="rId14"/>
      <w:footerReference w:type="even" r:id="rId15"/>
      <w:footerReference w:type="default" r:id="rId16"/>
      <w:headerReference w:type="first" r:id="rId17"/>
      <w:footerReference w:type="first" r:id="rId18"/>
      <w:pgSz w:w="11906" w:h="16838" w:code="9"/>
      <w:pgMar w:top="851" w:right="1134" w:bottom="1134" w:left="1701" w:header="709" w:footer="10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891" w:rsidRDefault="00253891">
      <w:r>
        <w:separator/>
      </w:r>
    </w:p>
  </w:endnote>
  <w:endnote w:type="continuationSeparator" w:id="0">
    <w:p w:rsidR="00253891" w:rsidRDefault="00253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22F" w:rsidRDefault="00D4522F" w:rsidP="005577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522F" w:rsidRDefault="00D4522F" w:rsidP="00E672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22F" w:rsidRPr="00432A31" w:rsidRDefault="00D4522F" w:rsidP="00432A31">
    <w:pPr>
      <w:pStyle w:val="naislab"/>
      <w:spacing w:before="0" w:after="0"/>
      <w:jc w:val="both"/>
      <w:rPr>
        <w:bCs/>
        <w:sz w:val="20"/>
        <w:szCs w:val="20"/>
        <w:lang w:val="pt-BR"/>
      </w:rPr>
    </w:pPr>
    <w:r>
      <w:rPr>
        <w:sz w:val="20"/>
        <w:szCs w:val="20"/>
      </w:rPr>
      <w:fldChar w:fldCharType="begin"/>
    </w:r>
    <w:r>
      <w:rPr>
        <w:sz w:val="20"/>
        <w:szCs w:val="20"/>
      </w:rPr>
      <w:instrText xml:space="preserve"> FILENAME   \* MERGEFORMAT </w:instrText>
    </w:r>
    <w:r>
      <w:rPr>
        <w:sz w:val="20"/>
        <w:szCs w:val="20"/>
      </w:rPr>
      <w:fldChar w:fldCharType="separate"/>
    </w:r>
    <w:r w:rsidR="00B158DF">
      <w:rPr>
        <w:noProof/>
        <w:sz w:val="20"/>
        <w:szCs w:val="20"/>
      </w:rPr>
      <w:t>FMAnot_300713_IIN_lauk.docx</w:t>
    </w:r>
    <w:r>
      <w:rPr>
        <w:sz w:val="20"/>
        <w:szCs w:val="20"/>
      </w:rPr>
      <w:fldChar w:fldCharType="end"/>
    </w:r>
    <w:r>
      <w:rPr>
        <w:sz w:val="20"/>
        <w:szCs w:val="20"/>
      </w:rPr>
      <w:t xml:space="preserve">; Anotācija likumprojektam </w:t>
    </w:r>
    <w:r w:rsidRPr="00006F71">
      <w:rPr>
        <w:sz w:val="20"/>
        <w:szCs w:val="20"/>
      </w:rPr>
      <w:t>„Grozījumi likumā “Par iedzīvotāju ienākuma nodokli””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22F" w:rsidRPr="004864E2" w:rsidRDefault="00D4522F" w:rsidP="004864E2">
    <w:pPr>
      <w:pStyle w:val="naislab"/>
      <w:spacing w:before="0" w:after="0"/>
      <w:jc w:val="both"/>
      <w:rPr>
        <w:bCs/>
        <w:sz w:val="20"/>
        <w:szCs w:val="20"/>
        <w:lang w:val="pt-BR"/>
      </w:rPr>
    </w:pPr>
    <w:r>
      <w:rPr>
        <w:sz w:val="20"/>
        <w:szCs w:val="20"/>
      </w:rPr>
      <w:fldChar w:fldCharType="begin"/>
    </w:r>
    <w:r>
      <w:rPr>
        <w:sz w:val="20"/>
        <w:szCs w:val="20"/>
      </w:rPr>
      <w:instrText xml:space="preserve"> FILENAME   \* MERGEFORMAT </w:instrText>
    </w:r>
    <w:r>
      <w:rPr>
        <w:sz w:val="20"/>
        <w:szCs w:val="20"/>
      </w:rPr>
      <w:fldChar w:fldCharType="separate"/>
    </w:r>
    <w:r w:rsidR="00B158DF">
      <w:rPr>
        <w:noProof/>
        <w:sz w:val="20"/>
        <w:szCs w:val="20"/>
      </w:rPr>
      <w:t>FMAnot_300713_IIN_lauk.docx</w:t>
    </w:r>
    <w:r>
      <w:rPr>
        <w:sz w:val="20"/>
        <w:szCs w:val="20"/>
      </w:rPr>
      <w:fldChar w:fldCharType="end"/>
    </w:r>
    <w:r>
      <w:rPr>
        <w:sz w:val="20"/>
        <w:szCs w:val="20"/>
      </w:rPr>
      <w:t xml:space="preserve">; Anotācija likumprojektam </w:t>
    </w:r>
    <w:r w:rsidRPr="00006F71">
      <w:rPr>
        <w:sz w:val="20"/>
        <w:szCs w:val="20"/>
      </w:rPr>
      <w:t>„Grozījumi likumā “Par iedzīvotāju ienākuma nodokli””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891" w:rsidRDefault="00253891">
      <w:r>
        <w:separator/>
      </w:r>
    </w:p>
  </w:footnote>
  <w:footnote w:type="continuationSeparator" w:id="0">
    <w:p w:rsidR="00253891" w:rsidRDefault="00253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22F" w:rsidRDefault="00D4522F" w:rsidP="00F11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522F" w:rsidRDefault="00D452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22F" w:rsidRDefault="00D4522F" w:rsidP="00F11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4B3E">
      <w:rPr>
        <w:rStyle w:val="PageNumber"/>
        <w:noProof/>
      </w:rPr>
      <w:t>9</w:t>
    </w:r>
    <w:r>
      <w:rPr>
        <w:rStyle w:val="PageNumber"/>
      </w:rPr>
      <w:fldChar w:fldCharType="end"/>
    </w:r>
  </w:p>
  <w:p w:rsidR="00D4522F" w:rsidRPr="004F7101" w:rsidRDefault="00D4522F" w:rsidP="004F7101">
    <w:pPr>
      <w:pStyle w:val="Header"/>
      <w:jc w:val="right"/>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22F" w:rsidRDefault="00D4522F">
    <w:pPr>
      <w:pStyle w:val="Header"/>
      <w:jc w:val="center"/>
    </w:pPr>
  </w:p>
  <w:p w:rsidR="00D4522F" w:rsidRDefault="00D452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40555"/>
    <w:multiLevelType w:val="hybridMultilevel"/>
    <w:tmpl w:val="3752A3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97D2C15"/>
    <w:multiLevelType w:val="hybridMultilevel"/>
    <w:tmpl w:val="58F2A526"/>
    <w:lvl w:ilvl="0" w:tplc="0409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0A504B1D"/>
    <w:multiLevelType w:val="hybridMultilevel"/>
    <w:tmpl w:val="CF9045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EA20BF8"/>
    <w:multiLevelType w:val="hybridMultilevel"/>
    <w:tmpl w:val="F370C808"/>
    <w:lvl w:ilvl="0" w:tplc="39D61500">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4">
    <w:nsid w:val="10A83A21"/>
    <w:multiLevelType w:val="hybridMultilevel"/>
    <w:tmpl w:val="95F2E6A6"/>
    <w:lvl w:ilvl="0" w:tplc="B5B808B0">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5">
    <w:nsid w:val="142D2E56"/>
    <w:multiLevelType w:val="hybridMultilevel"/>
    <w:tmpl w:val="A440B85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A7E1463"/>
    <w:multiLevelType w:val="multilevel"/>
    <w:tmpl w:val="93A461A4"/>
    <w:lvl w:ilvl="0">
      <w:start w:val="1"/>
      <w:numFmt w:val="decimal"/>
      <w:lvlText w:val="%1."/>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
    <w:nsid w:val="1FF239BD"/>
    <w:multiLevelType w:val="hybridMultilevel"/>
    <w:tmpl w:val="3F0E54C0"/>
    <w:lvl w:ilvl="0" w:tplc="749E5C6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1543F64"/>
    <w:multiLevelType w:val="hybridMultilevel"/>
    <w:tmpl w:val="89A2B390"/>
    <w:lvl w:ilvl="0" w:tplc="0426000F">
      <w:start w:val="1"/>
      <w:numFmt w:val="decimal"/>
      <w:lvlText w:val="%1."/>
      <w:lvlJc w:val="left"/>
      <w:pPr>
        <w:ind w:left="1080" w:hanging="360"/>
      </w:p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nsid w:val="282E3671"/>
    <w:multiLevelType w:val="multilevel"/>
    <w:tmpl w:val="75D85108"/>
    <w:lvl w:ilvl="0">
      <w:start w:val="1"/>
      <w:numFmt w:val="decimal"/>
      <w:lvlText w:val="%1."/>
      <w:lvlJc w:val="left"/>
      <w:pPr>
        <w:ind w:left="4755" w:hanging="360"/>
      </w:pPr>
      <w:rPr>
        <w:rFonts w:hint="default"/>
      </w:rPr>
    </w:lvl>
    <w:lvl w:ilvl="1">
      <w:start w:val="1"/>
      <w:numFmt w:val="decimal"/>
      <w:isLgl/>
      <w:lvlText w:val="%1.%2."/>
      <w:lvlJc w:val="left"/>
      <w:pPr>
        <w:ind w:left="2563" w:hanging="720"/>
      </w:pPr>
      <w:rPr>
        <w:rFonts w:hint="default"/>
      </w:rPr>
    </w:lvl>
    <w:lvl w:ilvl="2">
      <w:start w:val="1"/>
      <w:numFmt w:val="decimal"/>
      <w:isLgl/>
      <w:lvlText w:val="%1.%2.%3."/>
      <w:lvlJc w:val="left"/>
      <w:pPr>
        <w:ind w:left="3686" w:hanging="720"/>
      </w:pPr>
      <w:rPr>
        <w:rFonts w:hint="default"/>
      </w:rPr>
    </w:lvl>
    <w:lvl w:ilvl="3">
      <w:start w:val="1"/>
      <w:numFmt w:val="decimal"/>
      <w:isLgl/>
      <w:lvlText w:val="%1.%2.%3.%4."/>
      <w:lvlJc w:val="left"/>
      <w:pPr>
        <w:ind w:left="5169" w:hanging="1080"/>
      </w:pPr>
      <w:rPr>
        <w:rFonts w:hint="default"/>
      </w:rPr>
    </w:lvl>
    <w:lvl w:ilvl="4">
      <w:start w:val="1"/>
      <w:numFmt w:val="decimal"/>
      <w:isLgl/>
      <w:lvlText w:val="%1.%2.%3.%4.%5."/>
      <w:lvlJc w:val="left"/>
      <w:pPr>
        <w:ind w:left="6292" w:hanging="1080"/>
      </w:pPr>
      <w:rPr>
        <w:rFonts w:hint="default"/>
      </w:rPr>
    </w:lvl>
    <w:lvl w:ilvl="5">
      <w:start w:val="1"/>
      <w:numFmt w:val="decimal"/>
      <w:isLgl/>
      <w:lvlText w:val="%1.%2.%3.%4.%5.%6."/>
      <w:lvlJc w:val="left"/>
      <w:pPr>
        <w:ind w:left="7775" w:hanging="1440"/>
      </w:pPr>
      <w:rPr>
        <w:rFonts w:hint="default"/>
      </w:rPr>
    </w:lvl>
    <w:lvl w:ilvl="6">
      <w:start w:val="1"/>
      <w:numFmt w:val="decimal"/>
      <w:isLgl/>
      <w:lvlText w:val="%1.%2.%3.%4.%5.%6.%7."/>
      <w:lvlJc w:val="left"/>
      <w:pPr>
        <w:ind w:left="9258" w:hanging="1800"/>
      </w:pPr>
      <w:rPr>
        <w:rFonts w:hint="default"/>
      </w:rPr>
    </w:lvl>
    <w:lvl w:ilvl="7">
      <w:start w:val="1"/>
      <w:numFmt w:val="decimal"/>
      <w:isLgl/>
      <w:lvlText w:val="%1.%2.%3.%4.%5.%6.%7.%8."/>
      <w:lvlJc w:val="left"/>
      <w:pPr>
        <w:ind w:left="10381" w:hanging="1800"/>
      </w:pPr>
      <w:rPr>
        <w:rFonts w:hint="default"/>
      </w:rPr>
    </w:lvl>
    <w:lvl w:ilvl="8">
      <w:start w:val="1"/>
      <w:numFmt w:val="decimal"/>
      <w:isLgl/>
      <w:lvlText w:val="%1.%2.%3.%4.%5.%6.%7.%8.%9."/>
      <w:lvlJc w:val="left"/>
      <w:pPr>
        <w:ind w:left="11864" w:hanging="2160"/>
      </w:pPr>
      <w:rPr>
        <w:rFonts w:hint="default"/>
      </w:rPr>
    </w:lvl>
  </w:abstractNum>
  <w:abstractNum w:abstractNumId="10">
    <w:nsid w:val="2B8134CE"/>
    <w:multiLevelType w:val="hybridMultilevel"/>
    <w:tmpl w:val="DD08FBA8"/>
    <w:lvl w:ilvl="0" w:tplc="B5B808B0">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1">
    <w:nsid w:val="2C4920E7"/>
    <w:multiLevelType w:val="hybridMultilevel"/>
    <w:tmpl w:val="8CD0AD06"/>
    <w:lvl w:ilvl="0" w:tplc="B212D8C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D0A1AFC"/>
    <w:multiLevelType w:val="multilevel"/>
    <w:tmpl w:val="E8EC62E2"/>
    <w:lvl w:ilvl="0">
      <w:start w:val="3"/>
      <w:numFmt w:val="decimal"/>
      <w:lvlText w:val="%1."/>
      <w:lvlJc w:val="left"/>
      <w:pPr>
        <w:ind w:left="360" w:hanging="360"/>
      </w:pPr>
      <w:rPr>
        <w:rFonts w:hint="default"/>
      </w:rPr>
    </w:lvl>
    <w:lvl w:ilvl="1">
      <w:start w:val="1"/>
      <w:numFmt w:val="decimal"/>
      <w:lvlText w:val="%1.%2."/>
      <w:lvlJc w:val="left"/>
      <w:pPr>
        <w:ind w:left="485" w:hanging="360"/>
      </w:pPr>
      <w:rPr>
        <w:rFonts w:hint="default"/>
      </w:rPr>
    </w:lvl>
    <w:lvl w:ilvl="2">
      <w:start w:val="1"/>
      <w:numFmt w:val="decimal"/>
      <w:lvlText w:val="%1.%2.%3."/>
      <w:lvlJc w:val="left"/>
      <w:pPr>
        <w:ind w:left="970" w:hanging="720"/>
      </w:pPr>
      <w:rPr>
        <w:rFonts w:hint="default"/>
      </w:rPr>
    </w:lvl>
    <w:lvl w:ilvl="3">
      <w:start w:val="1"/>
      <w:numFmt w:val="decimal"/>
      <w:lvlText w:val="%1.%2.%3.%4."/>
      <w:lvlJc w:val="left"/>
      <w:pPr>
        <w:ind w:left="1095" w:hanging="720"/>
      </w:pPr>
      <w:rPr>
        <w:rFonts w:hint="default"/>
      </w:rPr>
    </w:lvl>
    <w:lvl w:ilvl="4">
      <w:start w:val="1"/>
      <w:numFmt w:val="decimal"/>
      <w:lvlText w:val="%1.%2.%3.%4.%5."/>
      <w:lvlJc w:val="left"/>
      <w:pPr>
        <w:ind w:left="1580" w:hanging="1080"/>
      </w:pPr>
      <w:rPr>
        <w:rFonts w:hint="default"/>
      </w:rPr>
    </w:lvl>
    <w:lvl w:ilvl="5">
      <w:start w:val="1"/>
      <w:numFmt w:val="decimal"/>
      <w:lvlText w:val="%1.%2.%3.%4.%5.%6."/>
      <w:lvlJc w:val="left"/>
      <w:pPr>
        <w:ind w:left="1705" w:hanging="108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315" w:hanging="1440"/>
      </w:pPr>
      <w:rPr>
        <w:rFonts w:hint="default"/>
      </w:rPr>
    </w:lvl>
    <w:lvl w:ilvl="8">
      <w:start w:val="1"/>
      <w:numFmt w:val="decimal"/>
      <w:lvlText w:val="%1.%2.%3.%4.%5.%6.%7.%8.%9."/>
      <w:lvlJc w:val="left"/>
      <w:pPr>
        <w:ind w:left="2800" w:hanging="1800"/>
      </w:pPr>
      <w:rPr>
        <w:rFonts w:hint="default"/>
      </w:rPr>
    </w:lvl>
  </w:abstractNum>
  <w:abstractNum w:abstractNumId="13">
    <w:nsid w:val="2FB26E01"/>
    <w:multiLevelType w:val="hybridMultilevel"/>
    <w:tmpl w:val="CF9C3A9A"/>
    <w:lvl w:ilvl="0" w:tplc="DC4E50B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36034BC6"/>
    <w:multiLevelType w:val="hybridMultilevel"/>
    <w:tmpl w:val="832EF0C8"/>
    <w:lvl w:ilvl="0" w:tplc="BF3861CE">
      <w:start w:val="8"/>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3A3F451E"/>
    <w:multiLevelType w:val="hybridMultilevel"/>
    <w:tmpl w:val="2368C634"/>
    <w:lvl w:ilvl="0" w:tplc="BF107CC6">
      <w:start w:val="2"/>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6">
    <w:nsid w:val="3DE07CA9"/>
    <w:multiLevelType w:val="hybridMultilevel"/>
    <w:tmpl w:val="10B0B358"/>
    <w:lvl w:ilvl="0" w:tplc="19A2AE3E">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FE33924"/>
    <w:multiLevelType w:val="multilevel"/>
    <w:tmpl w:val="9A486CBA"/>
    <w:lvl w:ilvl="0">
      <w:start w:val="1"/>
      <w:numFmt w:val="decimal"/>
      <w:lvlText w:val="%1."/>
      <w:lvlJc w:val="left"/>
      <w:pPr>
        <w:tabs>
          <w:tab w:val="num" w:pos="1060"/>
        </w:tabs>
        <w:ind w:left="1060" w:hanging="360"/>
      </w:pPr>
      <w:rPr>
        <w:rFonts w:hint="default"/>
      </w:rPr>
    </w:lvl>
    <w:lvl w:ilvl="1">
      <w:start w:val="2"/>
      <w:numFmt w:val="decimal"/>
      <w:isLgl/>
      <w:lvlText w:val="%1.%2."/>
      <w:lvlJc w:val="left"/>
      <w:pPr>
        <w:ind w:left="1060" w:hanging="360"/>
      </w:pPr>
      <w:rPr>
        <w:rFonts w:hint="default"/>
      </w:rPr>
    </w:lvl>
    <w:lvl w:ilvl="2">
      <w:start w:val="1"/>
      <w:numFmt w:val="decimal"/>
      <w:isLgl/>
      <w:lvlText w:val="%1.%2.%3."/>
      <w:lvlJc w:val="left"/>
      <w:pPr>
        <w:ind w:left="1420" w:hanging="720"/>
      </w:pPr>
      <w:rPr>
        <w:rFonts w:hint="default"/>
      </w:rPr>
    </w:lvl>
    <w:lvl w:ilvl="3">
      <w:start w:val="1"/>
      <w:numFmt w:val="decimal"/>
      <w:isLgl/>
      <w:lvlText w:val="%1.%2.%3.%4."/>
      <w:lvlJc w:val="left"/>
      <w:pPr>
        <w:ind w:left="1420" w:hanging="720"/>
      </w:pPr>
      <w:rPr>
        <w:rFonts w:hint="default"/>
      </w:rPr>
    </w:lvl>
    <w:lvl w:ilvl="4">
      <w:start w:val="1"/>
      <w:numFmt w:val="decimal"/>
      <w:isLgl/>
      <w:lvlText w:val="%1.%2.%3.%4.%5."/>
      <w:lvlJc w:val="left"/>
      <w:pPr>
        <w:ind w:left="1780" w:hanging="1080"/>
      </w:pPr>
      <w:rPr>
        <w:rFonts w:hint="default"/>
      </w:rPr>
    </w:lvl>
    <w:lvl w:ilvl="5">
      <w:start w:val="1"/>
      <w:numFmt w:val="decimal"/>
      <w:isLgl/>
      <w:lvlText w:val="%1.%2.%3.%4.%5.%6."/>
      <w:lvlJc w:val="left"/>
      <w:pPr>
        <w:ind w:left="1780" w:hanging="1080"/>
      </w:pPr>
      <w:rPr>
        <w:rFonts w:hint="default"/>
      </w:rPr>
    </w:lvl>
    <w:lvl w:ilvl="6">
      <w:start w:val="1"/>
      <w:numFmt w:val="decimal"/>
      <w:isLgl/>
      <w:lvlText w:val="%1.%2.%3.%4.%5.%6.%7."/>
      <w:lvlJc w:val="left"/>
      <w:pPr>
        <w:ind w:left="2140" w:hanging="1440"/>
      </w:pPr>
      <w:rPr>
        <w:rFonts w:hint="default"/>
      </w:rPr>
    </w:lvl>
    <w:lvl w:ilvl="7">
      <w:start w:val="1"/>
      <w:numFmt w:val="decimal"/>
      <w:isLgl/>
      <w:lvlText w:val="%1.%2.%3.%4.%5.%6.%7.%8."/>
      <w:lvlJc w:val="left"/>
      <w:pPr>
        <w:ind w:left="2140" w:hanging="1440"/>
      </w:pPr>
      <w:rPr>
        <w:rFonts w:hint="default"/>
      </w:rPr>
    </w:lvl>
    <w:lvl w:ilvl="8">
      <w:start w:val="1"/>
      <w:numFmt w:val="decimal"/>
      <w:isLgl/>
      <w:lvlText w:val="%1.%2.%3.%4.%5.%6.%7.%8.%9."/>
      <w:lvlJc w:val="left"/>
      <w:pPr>
        <w:ind w:left="2500" w:hanging="1800"/>
      </w:pPr>
      <w:rPr>
        <w:rFonts w:hint="default"/>
      </w:rPr>
    </w:lvl>
  </w:abstractNum>
  <w:abstractNum w:abstractNumId="18">
    <w:nsid w:val="400C469E"/>
    <w:multiLevelType w:val="hybridMultilevel"/>
    <w:tmpl w:val="E226581A"/>
    <w:lvl w:ilvl="0" w:tplc="BF3861CE">
      <w:start w:val="8"/>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nsid w:val="42835DE0"/>
    <w:multiLevelType w:val="hybridMultilevel"/>
    <w:tmpl w:val="60727DA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0">
    <w:nsid w:val="43C520BA"/>
    <w:multiLevelType w:val="hybridMultilevel"/>
    <w:tmpl w:val="7088B33E"/>
    <w:lvl w:ilvl="0" w:tplc="0426000D">
      <w:start w:val="1"/>
      <w:numFmt w:val="bullet"/>
      <w:lvlText w:val=""/>
      <w:lvlJc w:val="left"/>
      <w:pPr>
        <w:ind w:left="2138" w:hanging="360"/>
      </w:pPr>
      <w:rPr>
        <w:rFonts w:ascii="Wingdings" w:hAnsi="Wingdings"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21">
    <w:nsid w:val="463931A4"/>
    <w:multiLevelType w:val="hybridMultilevel"/>
    <w:tmpl w:val="F05CC1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63F174B"/>
    <w:multiLevelType w:val="hybridMultilevel"/>
    <w:tmpl w:val="531EF74E"/>
    <w:lvl w:ilvl="0" w:tplc="1BF00E0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4F1E048C"/>
    <w:multiLevelType w:val="hybridMultilevel"/>
    <w:tmpl w:val="E33AB39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nsid w:val="51403BAA"/>
    <w:multiLevelType w:val="hybridMultilevel"/>
    <w:tmpl w:val="D9C4D1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1F01ABC"/>
    <w:multiLevelType w:val="hybridMultilevel"/>
    <w:tmpl w:val="3FAC29A8"/>
    <w:lvl w:ilvl="0" w:tplc="C8BA455C">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5AAD642B"/>
    <w:multiLevelType w:val="hybridMultilevel"/>
    <w:tmpl w:val="1D2226EA"/>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C4E78F2"/>
    <w:multiLevelType w:val="hybridMultilevel"/>
    <w:tmpl w:val="959E34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D1C4263"/>
    <w:multiLevelType w:val="hybridMultilevel"/>
    <w:tmpl w:val="67BE6714"/>
    <w:lvl w:ilvl="0" w:tplc="687E25B0">
      <w:start w:val="1"/>
      <w:numFmt w:val="decimal"/>
      <w:lvlText w:val="%1)"/>
      <w:lvlJc w:val="left"/>
      <w:pPr>
        <w:ind w:left="784" w:hanging="360"/>
      </w:pPr>
      <w:rPr>
        <w:rFonts w:hint="default"/>
      </w:rPr>
    </w:lvl>
    <w:lvl w:ilvl="1" w:tplc="04260019" w:tentative="1">
      <w:start w:val="1"/>
      <w:numFmt w:val="lowerLetter"/>
      <w:lvlText w:val="%2."/>
      <w:lvlJc w:val="left"/>
      <w:pPr>
        <w:ind w:left="1504" w:hanging="360"/>
      </w:pPr>
    </w:lvl>
    <w:lvl w:ilvl="2" w:tplc="0426001B" w:tentative="1">
      <w:start w:val="1"/>
      <w:numFmt w:val="lowerRoman"/>
      <w:lvlText w:val="%3."/>
      <w:lvlJc w:val="right"/>
      <w:pPr>
        <w:ind w:left="2224" w:hanging="180"/>
      </w:pPr>
    </w:lvl>
    <w:lvl w:ilvl="3" w:tplc="0426000F" w:tentative="1">
      <w:start w:val="1"/>
      <w:numFmt w:val="decimal"/>
      <w:lvlText w:val="%4."/>
      <w:lvlJc w:val="left"/>
      <w:pPr>
        <w:ind w:left="2944" w:hanging="360"/>
      </w:pPr>
    </w:lvl>
    <w:lvl w:ilvl="4" w:tplc="04260019" w:tentative="1">
      <w:start w:val="1"/>
      <w:numFmt w:val="lowerLetter"/>
      <w:lvlText w:val="%5."/>
      <w:lvlJc w:val="left"/>
      <w:pPr>
        <w:ind w:left="3664" w:hanging="360"/>
      </w:pPr>
    </w:lvl>
    <w:lvl w:ilvl="5" w:tplc="0426001B" w:tentative="1">
      <w:start w:val="1"/>
      <w:numFmt w:val="lowerRoman"/>
      <w:lvlText w:val="%6."/>
      <w:lvlJc w:val="right"/>
      <w:pPr>
        <w:ind w:left="4384" w:hanging="180"/>
      </w:pPr>
    </w:lvl>
    <w:lvl w:ilvl="6" w:tplc="0426000F" w:tentative="1">
      <w:start w:val="1"/>
      <w:numFmt w:val="decimal"/>
      <w:lvlText w:val="%7."/>
      <w:lvlJc w:val="left"/>
      <w:pPr>
        <w:ind w:left="5104" w:hanging="360"/>
      </w:pPr>
    </w:lvl>
    <w:lvl w:ilvl="7" w:tplc="04260019" w:tentative="1">
      <w:start w:val="1"/>
      <w:numFmt w:val="lowerLetter"/>
      <w:lvlText w:val="%8."/>
      <w:lvlJc w:val="left"/>
      <w:pPr>
        <w:ind w:left="5824" w:hanging="360"/>
      </w:pPr>
    </w:lvl>
    <w:lvl w:ilvl="8" w:tplc="0426001B" w:tentative="1">
      <w:start w:val="1"/>
      <w:numFmt w:val="lowerRoman"/>
      <w:lvlText w:val="%9."/>
      <w:lvlJc w:val="right"/>
      <w:pPr>
        <w:ind w:left="6544" w:hanging="180"/>
      </w:pPr>
    </w:lvl>
  </w:abstractNum>
  <w:abstractNum w:abstractNumId="29">
    <w:nsid w:val="5F9B1411"/>
    <w:multiLevelType w:val="hybridMultilevel"/>
    <w:tmpl w:val="E1B0A3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0C53BA4"/>
    <w:multiLevelType w:val="hybridMultilevel"/>
    <w:tmpl w:val="29E49E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3075DC7"/>
    <w:multiLevelType w:val="multilevel"/>
    <w:tmpl w:val="E8303E42"/>
    <w:lvl w:ilvl="0">
      <w:start w:val="1"/>
      <w:numFmt w:val="decimal"/>
      <w:lvlText w:val="%1)"/>
      <w:lvlJc w:val="left"/>
      <w:pPr>
        <w:ind w:left="360" w:hanging="360"/>
      </w:pPr>
      <w:rPr>
        <w:rFonts w:hint="default"/>
      </w:rPr>
    </w:lvl>
    <w:lvl w:ilvl="1">
      <w:start w:val="1"/>
      <w:numFmt w:val="decimal"/>
      <w:lvlText w:val="%1.%2."/>
      <w:lvlJc w:val="left"/>
      <w:pPr>
        <w:ind w:left="485" w:hanging="360"/>
      </w:pPr>
      <w:rPr>
        <w:rFonts w:hint="default"/>
      </w:rPr>
    </w:lvl>
    <w:lvl w:ilvl="2">
      <w:start w:val="1"/>
      <w:numFmt w:val="decimal"/>
      <w:lvlText w:val="%1.%2.%3."/>
      <w:lvlJc w:val="left"/>
      <w:pPr>
        <w:ind w:left="970" w:hanging="720"/>
      </w:pPr>
      <w:rPr>
        <w:rFonts w:hint="default"/>
      </w:rPr>
    </w:lvl>
    <w:lvl w:ilvl="3">
      <w:start w:val="1"/>
      <w:numFmt w:val="decimal"/>
      <w:lvlText w:val="%1.%2.%3.%4."/>
      <w:lvlJc w:val="left"/>
      <w:pPr>
        <w:ind w:left="1095" w:hanging="720"/>
      </w:pPr>
      <w:rPr>
        <w:rFonts w:hint="default"/>
      </w:rPr>
    </w:lvl>
    <w:lvl w:ilvl="4">
      <w:start w:val="1"/>
      <w:numFmt w:val="decimal"/>
      <w:lvlText w:val="%1.%2.%3.%4.%5."/>
      <w:lvlJc w:val="left"/>
      <w:pPr>
        <w:ind w:left="1580" w:hanging="1080"/>
      </w:pPr>
      <w:rPr>
        <w:rFonts w:hint="default"/>
      </w:rPr>
    </w:lvl>
    <w:lvl w:ilvl="5">
      <w:start w:val="1"/>
      <w:numFmt w:val="decimal"/>
      <w:lvlText w:val="%1.%2.%3.%4.%5.%6."/>
      <w:lvlJc w:val="left"/>
      <w:pPr>
        <w:ind w:left="1705" w:hanging="108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315" w:hanging="1440"/>
      </w:pPr>
      <w:rPr>
        <w:rFonts w:hint="default"/>
      </w:rPr>
    </w:lvl>
    <w:lvl w:ilvl="8">
      <w:start w:val="1"/>
      <w:numFmt w:val="decimal"/>
      <w:lvlText w:val="%1.%2.%3.%4.%5.%6.%7.%8.%9."/>
      <w:lvlJc w:val="left"/>
      <w:pPr>
        <w:ind w:left="2800" w:hanging="1800"/>
      </w:pPr>
      <w:rPr>
        <w:rFonts w:hint="default"/>
      </w:rPr>
    </w:lvl>
  </w:abstractNum>
  <w:abstractNum w:abstractNumId="32">
    <w:nsid w:val="66F6270D"/>
    <w:multiLevelType w:val="hybridMultilevel"/>
    <w:tmpl w:val="7E6449DE"/>
    <w:lvl w:ilvl="0" w:tplc="90DA789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3">
    <w:nsid w:val="6A1E4601"/>
    <w:multiLevelType w:val="hybridMultilevel"/>
    <w:tmpl w:val="47B4159E"/>
    <w:lvl w:ilvl="0" w:tplc="8F7AD7D8">
      <w:start w:val="1"/>
      <w:numFmt w:val="decimal"/>
      <w:lvlText w:val="%1."/>
      <w:lvlJc w:val="left"/>
      <w:pPr>
        <w:tabs>
          <w:tab w:val="num" w:pos="360"/>
        </w:tabs>
        <w:ind w:left="360" w:hanging="360"/>
      </w:pPr>
      <w:rPr>
        <w:rFonts w:hint="default"/>
      </w:rPr>
    </w:lvl>
    <w:lvl w:ilvl="1" w:tplc="FEFEF7F8">
      <w:numFmt w:val="none"/>
      <w:lvlText w:val=""/>
      <w:lvlJc w:val="left"/>
      <w:pPr>
        <w:tabs>
          <w:tab w:val="num" w:pos="360"/>
        </w:tabs>
      </w:pPr>
    </w:lvl>
    <w:lvl w:ilvl="2" w:tplc="791EFDD4">
      <w:numFmt w:val="none"/>
      <w:lvlText w:val=""/>
      <w:lvlJc w:val="left"/>
      <w:pPr>
        <w:tabs>
          <w:tab w:val="num" w:pos="360"/>
        </w:tabs>
      </w:pPr>
    </w:lvl>
    <w:lvl w:ilvl="3" w:tplc="48BEF74C">
      <w:numFmt w:val="none"/>
      <w:lvlText w:val=""/>
      <w:lvlJc w:val="left"/>
      <w:pPr>
        <w:tabs>
          <w:tab w:val="num" w:pos="360"/>
        </w:tabs>
      </w:pPr>
    </w:lvl>
    <w:lvl w:ilvl="4" w:tplc="D6BC9678">
      <w:numFmt w:val="none"/>
      <w:lvlText w:val=""/>
      <w:lvlJc w:val="left"/>
      <w:pPr>
        <w:tabs>
          <w:tab w:val="num" w:pos="360"/>
        </w:tabs>
      </w:pPr>
    </w:lvl>
    <w:lvl w:ilvl="5" w:tplc="16AC13DC">
      <w:numFmt w:val="none"/>
      <w:lvlText w:val=""/>
      <w:lvlJc w:val="left"/>
      <w:pPr>
        <w:tabs>
          <w:tab w:val="num" w:pos="360"/>
        </w:tabs>
      </w:pPr>
    </w:lvl>
    <w:lvl w:ilvl="6" w:tplc="245E9D74">
      <w:numFmt w:val="none"/>
      <w:lvlText w:val=""/>
      <w:lvlJc w:val="left"/>
      <w:pPr>
        <w:tabs>
          <w:tab w:val="num" w:pos="360"/>
        </w:tabs>
      </w:pPr>
    </w:lvl>
    <w:lvl w:ilvl="7" w:tplc="D1AAE5D4">
      <w:numFmt w:val="none"/>
      <w:lvlText w:val=""/>
      <w:lvlJc w:val="left"/>
      <w:pPr>
        <w:tabs>
          <w:tab w:val="num" w:pos="360"/>
        </w:tabs>
      </w:pPr>
    </w:lvl>
    <w:lvl w:ilvl="8" w:tplc="8C30A5C2">
      <w:numFmt w:val="none"/>
      <w:lvlText w:val=""/>
      <w:lvlJc w:val="left"/>
      <w:pPr>
        <w:tabs>
          <w:tab w:val="num" w:pos="360"/>
        </w:tabs>
      </w:pPr>
    </w:lvl>
  </w:abstractNum>
  <w:abstractNum w:abstractNumId="34">
    <w:nsid w:val="78757767"/>
    <w:multiLevelType w:val="hybridMultilevel"/>
    <w:tmpl w:val="7A8A9D4E"/>
    <w:lvl w:ilvl="0" w:tplc="0409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5">
    <w:nsid w:val="7C300F6F"/>
    <w:multiLevelType w:val="hybridMultilevel"/>
    <w:tmpl w:val="26FC0E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7E8B5DE6"/>
    <w:multiLevelType w:val="hybridMultilevel"/>
    <w:tmpl w:val="24C4E6AC"/>
    <w:lvl w:ilvl="0" w:tplc="6556153C">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num w:numId="1">
    <w:abstractNumId w:val="36"/>
  </w:num>
  <w:num w:numId="2">
    <w:abstractNumId w:val="33"/>
  </w:num>
  <w:num w:numId="3">
    <w:abstractNumId w:val="34"/>
  </w:num>
  <w:num w:numId="4">
    <w:abstractNumId w:val="1"/>
  </w:num>
  <w:num w:numId="5">
    <w:abstractNumId w:val="3"/>
  </w:num>
  <w:num w:numId="6">
    <w:abstractNumId w:val="15"/>
  </w:num>
  <w:num w:numId="7">
    <w:abstractNumId w:val="24"/>
  </w:num>
  <w:num w:numId="8">
    <w:abstractNumId w:val="35"/>
  </w:num>
  <w:num w:numId="9">
    <w:abstractNumId w:val="17"/>
  </w:num>
  <w:num w:numId="10">
    <w:abstractNumId w:val="30"/>
  </w:num>
  <w:num w:numId="11">
    <w:abstractNumId w:val="11"/>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0"/>
  </w:num>
  <w:num w:numId="15">
    <w:abstractNumId w:val="28"/>
  </w:num>
  <w:num w:numId="16">
    <w:abstractNumId w:val="27"/>
  </w:num>
  <w:num w:numId="17">
    <w:abstractNumId w:val="2"/>
  </w:num>
  <w:num w:numId="18">
    <w:abstractNumId w:val="25"/>
  </w:num>
  <w:num w:numId="19">
    <w:abstractNumId w:val="16"/>
  </w:num>
  <w:num w:numId="20">
    <w:abstractNumId w:val="21"/>
  </w:num>
  <w:num w:numId="21">
    <w:abstractNumId w:val="7"/>
  </w:num>
  <w:num w:numId="22">
    <w:abstractNumId w:val="13"/>
  </w:num>
  <w:num w:numId="23">
    <w:abstractNumId w:val="22"/>
  </w:num>
  <w:num w:numId="24">
    <w:abstractNumId w:val="14"/>
  </w:num>
  <w:num w:numId="25">
    <w:abstractNumId w:val="18"/>
  </w:num>
  <w:num w:numId="26">
    <w:abstractNumId w:val="9"/>
  </w:num>
  <w:num w:numId="27">
    <w:abstractNumId w:val="20"/>
  </w:num>
  <w:num w:numId="28">
    <w:abstractNumId w:val="32"/>
  </w:num>
  <w:num w:numId="29">
    <w:abstractNumId w:val="19"/>
  </w:num>
  <w:num w:numId="30">
    <w:abstractNumId w:val="8"/>
  </w:num>
  <w:num w:numId="31">
    <w:abstractNumId w:val="6"/>
  </w:num>
  <w:num w:numId="32">
    <w:abstractNumId w:val="5"/>
  </w:num>
  <w:num w:numId="33">
    <w:abstractNumId w:val="12"/>
  </w:num>
  <w:num w:numId="34">
    <w:abstractNumId w:val="31"/>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10"/>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239"/>
    <w:rsid w:val="0000013D"/>
    <w:rsid w:val="00002099"/>
    <w:rsid w:val="000023A3"/>
    <w:rsid w:val="00002826"/>
    <w:rsid w:val="000037D1"/>
    <w:rsid w:val="000038AC"/>
    <w:rsid w:val="00003935"/>
    <w:rsid w:val="00004F5E"/>
    <w:rsid w:val="0000548E"/>
    <w:rsid w:val="000066BE"/>
    <w:rsid w:val="00006F71"/>
    <w:rsid w:val="00007705"/>
    <w:rsid w:val="000110C9"/>
    <w:rsid w:val="000139BE"/>
    <w:rsid w:val="00013A27"/>
    <w:rsid w:val="00015014"/>
    <w:rsid w:val="000155B9"/>
    <w:rsid w:val="00016DD1"/>
    <w:rsid w:val="0001718B"/>
    <w:rsid w:val="00017BB7"/>
    <w:rsid w:val="0002124D"/>
    <w:rsid w:val="0002214B"/>
    <w:rsid w:val="00023EB3"/>
    <w:rsid w:val="0002441D"/>
    <w:rsid w:val="00025259"/>
    <w:rsid w:val="00027EED"/>
    <w:rsid w:val="00031574"/>
    <w:rsid w:val="00031F99"/>
    <w:rsid w:val="00032913"/>
    <w:rsid w:val="000337D8"/>
    <w:rsid w:val="0003456D"/>
    <w:rsid w:val="000346F8"/>
    <w:rsid w:val="00035354"/>
    <w:rsid w:val="00036703"/>
    <w:rsid w:val="00040E0A"/>
    <w:rsid w:val="00040E7B"/>
    <w:rsid w:val="00041FE6"/>
    <w:rsid w:val="000439F0"/>
    <w:rsid w:val="00043DB9"/>
    <w:rsid w:val="000444D9"/>
    <w:rsid w:val="0004541B"/>
    <w:rsid w:val="00045F01"/>
    <w:rsid w:val="00045FE1"/>
    <w:rsid w:val="00047CB9"/>
    <w:rsid w:val="00047D53"/>
    <w:rsid w:val="000506D8"/>
    <w:rsid w:val="0005107F"/>
    <w:rsid w:val="00051A01"/>
    <w:rsid w:val="00052A78"/>
    <w:rsid w:val="00053BB9"/>
    <w:rsid w:val="000549EE"/>
    <w:rsid w:val="000566F9"/>
    <w:rsid w:val="00057000"/>
    <w:rsid w:val="0005736C"/>
    <w:rsid w:val="00057C6A"/>
    <w:rsid w:val="00057F0B"/>
    <w:rsid w:val="00060AB5"/>
    <w:rsid w:val="0006166B"/>
    <w:rsid w:val="00063185"/>
    <w:rsid w:val="00063764"/>
    <w:rsid w:val="000648DA"/>
    <w:rsid w:val="000654F2"/>
    <w:rsid w:val="00065C39"/>
    <w:rsid w:val="00066F97"/>
    <w:rsid w:val="0007105F"/>
    <w:rsid w:val="0007124B"/>
    <w:rsid w:val="00072671"/>
    <w:rsid w:val="00072C11"/>
    <w:rsid w:val="000733D6"/>
    <w:rsid w:val="00073FA9"/>
    <w:rsid w:val="000744B1"/>
    <w:rsid w:val="00074B2B"/>
    <w:rsid w:val="00081580"/>
    <w:rsid w:val="00084265"/>
    <w:rsid w:val="00087B78"/>
    <w:rsid w:val="00090348"/>
    <w:rsid w:val="00092756"/>
    <w:rsid w:val="00093E4A"/>
    <w:rsid w:val="0009421C"/>
    <w:rsid w:val="000944C2"/>
    <w:rsid w:val="00096DF4"/>
    <w:rsid w:val="00096F73"/>
    <w:rsid w:val="00097F11"/>
    <w:rsid w:val="000A10BB"/>
    <w:rsid w:val="000A2707"/>
    <w:rsid w:val="000A3197"/>
    <w:rsid w:val="000A33BF"/>
    <w:rsid w:val="000A4130"/>
    <w:rsid w:val="000A4C8F"/>
    <w:rsid w:val="000A569A"/>
    <w:rsid w:val="000A6650"/>
    <w:rsid w:val="000B0129"/>
    <w:rsid w:val="000B19AF"/>
    <w:rsid w:val="000B19F9"/>
    <w:rsid w:val="000B2EA2"/>
    <w:rsid w:val="000B4ACB"/>
    <w:rsid w:val="000B4C35"/>
    <w:rsid w:val="000B7151"/>
    <w:rsid w:val="000B7C20"/>
    <w:rsid w:val="000C2366"/>
    <w:rsid w:val="000C57C3"/>
    <w:rsid w:val="000C609C"/>
    <w:rsid w:val="000C728E"/>
    <w:rsid w:val="000D04BB"/>
    <w:rsid w:val="000D27D1"/>
    <w:rsid w:val="000D2826"/>
    <w:rsid w:val="000D4220"/>
    <w:rsid w:val="000D4ACE"/>
    <w:rsid w:val="000D6EDF"/>
    <w:rsid w:val="000D775C"/>
    <w:rsid w:val="000E0A41"/>
    <w:rsid w:val="000E0B55"/>
    <w:rsid w:val="000E3151"/>
    <w:rsid w:val="000E36BB"/>
    <w:rsid w:val="000E46F3"/>
    <w:rsid w:val="000E654B"/>
    <w:rsid w:val="000F01C4"/>
    <w:rsid w:val="000F1969"/>
    <w:rsid w:val="000F2EE8"/>
    <w:rsid w:val="000F37F0"/>
    <w:rsid w:val="000F5642"/>
    <w:rsid w:val="000F67EB"/>
    <w:rsid w:val="0010237D"/>
    <w:rsid w:val="001044CC"/>
    <w:rsid w:val="001051D2"/>
    <w:rsid w:val="001114B6"/>
    <w:rsid w:val="001146CF"/>
    <w:rsid w:val="00114B61"/>
    <w:rsid w:val="00114F1C"/>
    <w:rsid w:val="001166E6"/>
    <w:rsid w:val="001167B2"/>
    <w:rsid w:val="001173E0"/>
    <w:rsid w:val="001201E5"/>
    <w:rsid w:val="0012151A"/>
    <w:rsid w:val="00121BBA"/>
    <w:rsid w:val="00121E5C"/>
    <w:rsid w:val="0012288B"/>
    <w:rsid w:val="0012314A"/>
    <w:rsid w:val="0012363C"/>
    <w:rsid w:val="001237BA"/>
    <w:rsid w:val="001251C7"/>
    <w:rsid w:val="00125621"/>
    <w:rsid w:val="001274DC"/>
    <w:rsid w:val="0013206E"/>
    <w:rsid w:val="0013579F"/>
    <w:rsid w:val="00135A06"/>
    <w:rsid w:val="00136F74"/>
    <w:rsid w:val="0013717B"/>
    <w:rsid w:val="00137240"/>
    <w:rsid w:val="0013789E"/>
    <w:rsid w:val="00140B20"/>
    <w:rsid w:val="001428B2"/>
    <w:rsid w:val="00143130"/>
    <w:rsid w:val="001448FD"/>
    <w:rsid w:val="00146830"/>
    <w:rsid w:val="00147D29"/>
    <w:rsid w:val="00151C47"/>
    <w:rsid w:val="00151DC5"/>
    <w:rsid w:val="001542B7"/>
    <w:rsid w:val="00154C6F"/>
    <w:rsid w:val="0016059D"/>
    <w:rsid w:val="00160B43"/>
    <w:rsid w:val="00160F5C"/>
    <w:rsid w:val="001634F1"/>
    <w:rsid w:val="00165B9B"/>
    <w:rsid w:val="001668EA"/>
    <w:rsid w:val="00166B4A"/>
    <w:rsid w:val="00167FAE"/>
    <w:rsid w:val="00171775"/>
    <w:rsid w:val="00172BA3"/>
    <w:rsid w:val="00174655"/>
    <w:rsid w:val="00174F40"/>
    <w:rsid w:val="00175BA1"/>
    <w:rsid w:val="0018015A"/>
    <w:rsid w:val="001829C7"/>
    <w:rsid w:val="001834F5"/>
    <w:rsid w:val="0018701E"/>
    <w:rsid w:val="00187902"/>
    <w:rsid w:val="00190708"/>
    <w:rsid w:val="00193630"/>
    <w:rsid w:val="001937CD"/>
    <w:rsid w:val="00195386"/>
    <w:rsid w:val="00197F7C"/>
    <w:rsid w:val="001A1047"/>
    <w:rsid w:val="001A2291"/>
    <w:rsid w:val="001B1222"/>
    <w:rsid w:val="001B234E"/>
    <w:rsid w:val="001B2CA8"/>
    <w:rsid w:val="001B4731"/>
    <w:rsid w:val="001B4F4E"/>
    <w:rsid w:val="001B5795"/>
    <w:rsid w:val="001B5C7A"/>
    <w:rsid w:val="001B74E9"/>
    <w:rsid w:val="001C1C65"/>
    <w:rsid w:val="001C2C54"/>
    <w:rsid w:val="001C5B40"/>
    <w:rsid w:val="001C784F"/>
    <w:rsid w:val="001D3CB9"/>
    <w:rsid w:val="001E02BD"/>
    <w:rsid w:val="001E02EF"/>
    <w:rsid w:val="001E03C0"/>
    <w:rsid w:val="001E1D76"/>
    <w:rsid w:val="001E2796"/>
    <w:rsid w:val="001E290B"/>
    <w:rsid w:val="001E3915"/>
    <w:rsid w:val="001E3C26"/>
    <w:rsid w:val="001E3E6D"/>
    <w:rsid w:val="001E4704"/>
    <w:rsid w:val="001E626A"/>
    <w:rsid w:val="001E6E99"/>
    <w:rsid w:val="001E796F"/>
    <w:rsid w:val="001E7BBE"/>
    <w:rsid w:val="001F012A"/>
    <w:rsid w:val="001F06B9"/>
    <w:rsid w:val="001F089C"/>
    <w:rsid w:val="001F0AF8"/>
    <w:rsid w:val="001F2B6C"/>
    <w:rsid w:val="001F31C6"/>
    <w:rsid w:val="001F393F"/>
    <w:rsid w:val="001F4064"/>
    <w:rsid w:val="001F6564"/>
    <w:rsid w:val="00200090"/>
    <w:rsid w:val="00203F38"/>
    <w:rsid w:val="00204106"/>
    <w:rsid w:val="002047AC"/>
    <w:rsid w:val="00205E66"/>
    <w:rsid w:val="002067BD"/>
    <w:rsid w:val="00206965"/>
    <w:rsid w:val="00207335"/>
    <w:rsid w:val="002102F0"/>
    <w:rsid w:val="00210726"/>
    <w:rsid w:val="0021196D"/>
    <w:rsid w:val="00212321"/>
    <w:rsid w:val="0021274B"/>
    <w:rsid w:val="00212CDB"/>
    <w:rsid w:val="002144A3"/>
    <w:rsid w:val="002147DE"/>
    <w:rsid w:val="002162A1"/>
    <w:rsid w:val="0021729A"/>
    <w:rsid w:val="00217F40"/>
    <w:rsid w:val="00220F22"/>
    <w:rsid w:val="002237FF"/>
    <w:rsid w:val="002261D5"/>
    <w:rsid w:val="0022688C"/>
    <w:rsid w:val="00227CC7"/>
    <w:rsid w:val="00230194"/>
    <w:rsid w:val="00230F04"/>
    <w:rsid w:val="002361D3"/>
    <w:rsid w:val="00236243"/>
    <w:rsid w:val="00242385"/>
    <w:rsid w:val="00243891"/>
    <w:rsid w:val="00243FCE"/>
    <w:rsid w:val="00244B07"/>
    <w:rsid w:val="00245644"/>
    <w:rsid w:val="00245E7A"/>
    <w:rsid w:val="00247528"/>
    <w:rsid w:val="00247D6F"/>
    <w:rsid w:val="00247E99"/>
    <w:rsid w:val="00251722"/>
    <w:rsid w:val="00251E5A"/>
    <w:rsid w:val="00251FE7"/>
    <w:rsid w:val="002523D7"/>
    <w:rsid w:val="00252FB3"/>
    <w:rsid w:val="00253117"/>
    <w:rsid w:val="00253891"/>
    <w:rsid w:val="00255779"/>
    <w:rsid w:val="00255A73"/>
    <w:rsid w:val="0025620E"/>
    <w:rsid w:val="0025682B"/>
    <w:rsid w:val="00256ABD"/>
    <w:rsid w:val="00256AE8"/>
    <w:rsid w:val="0026006B"/>
    <w:rsid w:val="00260F5A"/>
    <w:rsid w:val="00263618"/>
    <w:rsid w:val="00263CEB"/>
    <w:rsid w:val="0026529E"/>
    <w:rsid w:val="002675F4"/>
    <w:rsid w:val="00272727"/>
    <w:rsid w:val="002730AB"/>
    <w:rsid w:val="00273D4B"/>
    <w:rsid w:val="00274CEF"/>
    <w:rsid w:val="0027668D"/>
    <w:rsid w:val="00276CC4"/>
    <w:rsid w:val="00277692"/>
    <w:rsid w:val="00277F90"/>
    <w:rsid w:val="00280047"/>
    <w:rsid w:val="00280A6B"/>
    <w:rsid w:val="00280FFF"/>
    <w:rsid w:val="002811CF"/>
    <w:rsid w:val="00287C5F"/>
    <w:rsid w:val="002901DE"/>
    <w:rsid w:val="00290788"/>
    <w:rsid w:val="002914B8"/>
    <w:rsid w:val="00292757"/>
    <w:rsid w:val="00292759"/>
    <w:rsid w:val="0029376B"/>
    <w:rsid w:val="00297048"/>
    <w:rsid w:val="00297F1A"/>
    <w:rsid w:val="00297FFC"/>
    <w:rsid w:val="002A0BA4"/>
    <w:rsid w:val="002A1A91"/>
    <w:rsid w:val="002A2389"/>
    <w:rsid w:val="002A3320"/>
    <w:rsid w:val="002A33A2"/>
    <w:rsid w:val="002A4367"/>
    <w:rsid w:val="002A45E0"/>
    <w:rsid w:val="002B100D"/>
    <w:rsid w:val="002B19C2"/>
    <w:rsid w:val="002B1E4F"/>
    <w:rsid w:val="002B4701"/>
    <w:rsid w:val="002B6FAF"/>
    <w:rsid w:val="002B72DE"/>
    <w:rsid w:val="002C0A77"/>
    <w:rsid w:val="002C1DAD"/>
    <w:rsid w:val="002C463A"/>
    <w:rsid w:val="002C5456"/>
    <w:rsid w:val="002C6535"/>
    <w:rsid w:val="002C66F4"/>
    <w:rsid w:val="002C6A92"/>
    <w:rsid w:val="002D089D"/>
    <w:rsid w:val="002D113F"/>
    <w:rsid w:val="002D1A8F"/>
    <w:rsid w:val="002D227F"/>
    <w:rsid w:val="002D25DC"/>
    <w:rsid w:val="002D27AA"/>
    <w:rsid w:val="002D2955"/>
    <w:rsid w:val="002D49DC"/>
    <w:rsid w:val="002D4CC2"/>
    <w:rsid w:val="002D5C4A"/>
    <w:rsid w:val="002D6931"/>
    <w:rsid w:val="002D69F9"/>
    <w:rsid w:val="002D78FA"/>
    <w:rsid w:val="002D7958"/>
    <w:rsid w:val="002D7B87"/>
    <w:rsid w:val="002D7FB6"/>
    <w:rsid w:val="002E05DB"/>
    <w:rsid w:val="002E426E"/>
    <w:rsid w:val="002E443A"/>
    <w:rsid w:val="002E5C61"/>
    <w:rsid w:val="002E636C"/>
    <w:rsid w:val="002E63B3"/>
    <w:rsid w:val="002E6AA6"/>
    <w:rsid w:val="002E7758"/>
    <w:rsid w:val="002F05A0"/>
    <w:rsid w:val="002F6442"/>
    <w:rsid w:val="002F6E1A"/>
    <w:rsid w:val="00303319"/>
    <w:rsid w:val="003034C2"/>
    <w:rsid w:val="00310C75"/>
    <w:rsid w:val="0031297B"/>
    <w:rsid w:val="003148DA"/>
    <w:rsid w:val="00314F97"/>
    <w:rsid w:val="00316A49"/>
    <w:rsid w:val="003225E2"/>
    <w:rsid w:val="00322DEC"/>
    <w:rsid w:val="00322E6F"/>
    <w:rsid w:val="00323BD8"/>
    <w:rsid w:val="0032418A"/>
    <w:rsid w:val="00324AC2"/>
    <w:rsid w:val="00325C6A"/>
    <w:rsid w:val="0032691E"/>
    <w:rsid w:val="00327F4B"/>
    <w:rsid w:val="00331977"/>
    <w:rsid w:val="00331DF1"/>
    <w:rsid w:val="003362E7"/>
    <w:rsid w:val="003367D8"/>
    <w:rsid w:val="00336EB6"/>
    <w:rsid w:val="00340456"/>
    <w:rsid w:val="003422F5"/>
    <w:rsid w:val="00343AC7"/>
    <w:rsid w:val="00343C43"/>
    <w:rsid w:val="00345ECA"/>
    <w:rsid w:val="00346539"/>
    <w:rsid w:val="00346F79"/>
    <w:rsid w:val="00350386"/>
    <w:rsid w:val="003505A7"/>
    <w:rsid w:val="0035132A"/>
    <w:rsid w:val="00351C61"/>
    <w:rsid w:val="00352639"/>
    <w:rsid w:val="0035263D"/>
    <w:rsid w:val="00353A9E"/>
    <w:rsid w:val="00356281"/>
    <w:rsid w:val="0035665B"/>
    <w:rsid w:val="00360DBA"/>
    <w:rsid w:val="003621A9"/>
    <w:rsid w:val="003621E5"/>
    <w:rsid w:val="00362830"/>
    <w:rsid w:val="00362CDA"/>
    <w:rsid w:val="0036307F"/>
    <w:rsid w:val="00365595"/>
    <w:rsid w:val="003658EE"/>
    <w:rsid w:val="0036626C"/>
    <w:rsid w:val="003665F8"/>
    <w:rsid w:val="00366DB5"/>
    <w:rsid w:val="00373F94"/>
    <w:rsid w:val="003756A5"/>
    <w:rsid w:val="003774D3"/>
    <w:rsid w:val="00377F28"/>
    <w:rsid w:val="00380ADB"/>
    <w:rsid w:val="00383334"/>
    <w:rsid w:val="00386744"/>
    <w:rsid w:val="00386F32"/>
    <w:rsid w:val="00387916"/>
    <w:rsid w:val="0039194F"/>
    <w:rsid w:val="00391FC6"/>
    <w:rsid w:val="00393D80"/>
    <w:rsid w:val="00394242"/>
    <w:rsid w:val="003953CD"/>
    <w:rsid w:val="00396405"/>
    <w:rsid w:val="003A0B50"/>
    <w:rsid w:val="003A1839"/>
    <w:rsid w:val="003A1CCF"/>
    <w:rsid w:val="003A1F0B"/>
    <w:rsid w:val="003A3ECB"/>
    <w:rsid w:val="003A4BA0"/>
    <w:rsid w:val="003A4BE0"/>
    <w:rsid w:val="003A4E6B"/>
    <w:rsid w:val="003A52FE"/>
    <w:rsid w:val="003A57AD"/>
    <w:rsid w:val="003A6E58"/>
    <w:rsid w:val="003A70A0"/>
    <w:rsid w:val="003B10C7"/>
    <w:rsid w:val="003B28C2"/>
    <w:rsid w:val="003B30D3"/>
    <w:rsid w:val="003B34F9"/>
    <w:rsid w:val="003B34FC"/>
    <w:rsid w:val="003B444C"/>
    <w:rsid w:val="003B7AE2"/>
    <w:rsid w:val="003C06B0"/>
    <w:rsid w:val="003C1B1E"/>
    <w:rsid w:val="003C2AF9"/>
    <w:rsid w:val="003C37CA"/>
    <w:rsid w:val="003C5117"/>
    <w:rsid w:val="003C5840"/>
    <w:rsid w:val="003C58C7"/>
    <w:rsid w:val="003C62DB"/>
    <w:rsid w:val="003C78E6"/>
    <w:rsid w:val="003D0A24"/>
    <w:rsid w:val="003D0ED1"/>
    <w:rsid w:val="003D25D7"/>
    <w:rsid w:val="003D4145"/>
    <w:rsid w:val="003D47D5"/>
    <w:rsid w:val="003D5418"/>
    <w:rsid w:val="003D69F3"/>
    <w:rsid w:val="003D6C31"/>
    <w:rsid w:val="003E01FE"/>
    <w:rsid w:val="003E0D97"/>
    <w:rsid w:val="003E2622"/>
    <w:rsid w:val="003E2A10"/>
    <w:rsid w:val="003E4712"/>
    <w:rsid w:val="003E55F8"/>
    <w:rsid w:val="003E62D2"/>
    <w:rsid w:val="003F0115"/>
    <w:rsid w:val="003F0227"/>
    <w:rsid w:val="003F14B5"/>
    <w:rsid w:val="003F4BFA"/>
    <w:rsid w:val="003F54B7"/>
    <w:rsid w:val="003F5D8F"/>
    <w:rsid w:val="003F5DF4"/>
    <w:rsid w:val="003F6951"/>
    <w:rsid w:val="003F6A91"/>
    <w:rsid w:val="00401523"/>
    <w:rsid w:val="00402105"/>
    <w:rsid w:val="004038AD"/>
    <w:rsid w:val="004042CA"/>
    <w:rsid w:val="00410F9A"/>
    <w:rsid w:val="0041192B"/>
    <w:rsid w:val="004144D5"/>
    <w:rsid w:val="0041698F"/>
    <w:rsid w:val="004173EC"/>
    <w:rsid w:val="00417CEB"/>
    <w:rsid w:val="004235DA"/>
    <w:rsid w:val="00423D96"/>
    <w:rsid w:val="0042749E"/>
    <w:rsid w:val="004274C4"/>
    <w:rsid w:val="004305E1"/>
    <w:rsid w:val="00432A31"/>
    <w:rsid w:val="00433324"/>
    <w:rsid w:val="00433E14"/>
    <w:rsid w:val="00434BB3"/>
    <w:rsid w:val="00435946"/>
    <w:rsid w:val="004362AA"/>
    <w:rsid w:val="004368E3"/>
    <w:rsid w:val="00436D67"/>
    <w:rsid w:val="004371D9"/>
    <w:rsid w:val="00437903"/>
    <w:rsid w:val="00440EF5"/>
    <w:rsid w:val="00441817"/>
    <w:rsid w:val="00442A67"/>
    <w:rsid w:val="00443D84"/>
    <w:rsid w:val="004462BA"/>
    <w:rsid w:val="00446BCB"/>
    <w:rsid w:val="00447FF3"/>
    <w:rsid w:val="00450FD3"/>
    <w:rsid w:val="00452463"/>
    <w:rsid w:val="004528E6"/>
    <w:rsid w:val="00453C48"/>
    <w:rsid w:val="00454CFA"/>
    <w:rsid w:val="004551E2"/>
    <w:rsid w:val="00456CC0"/>
    <w:rsid w:val="00462DF8"/>
    <w:rsid w:val="00464799"/>
    <w:rsid w:val="00471D23"/>
    <w:rsid w:val="00472661"/>
    <w:rsid w:val="004734D4"/>
    <w:rsid w:val="00473B6E"/>
    <w:rsid w:val="00473E68"/>
    <w:rsid w:val="004740C6"/>
    <w:rsid w:val="00475E96"/>
    <w:rsid w:val="0047704C"/>
    <w:rsid w:val="004775B8"/>
    <w:rsid w:val="00477DD1"/>
    <w:rsid w:val="00481233"/>
    <w:rsid w:val="00481CEC"/>
    <w:rsid w:val="00482CC0"/>
    <w:rsid w:val="004864E2"/>
    <w:rsid w:val="00487128"/>
    <w:rsid w:val="0049352D"/>
    <w:rsid w:val="00493ED1"/>
    <w:rsid w:val="004A2804"/>
    <w:rsid w:val="004A32C9"/>
    <w:rsid w:val="004A3EEC"/>
    <w:rsid w:val="004A5D7C"/>
    <w:rsid w:val="004A5E4A"/>
    <w:rsid w:val="004A6555"/>
    <w:rsid w:val="004A7803"/>
    <w:rsid w:val="004B03AB"/>
    <w:rsid w:val="004B1E69"/>
    <w:rsid w:val="004B6A09"/>
    <w:rsid w:val="004B6D91"/>
    <w:rsid w:val="004C0983"/>
    <w:rsid w:val="004C2A4A"/>
    <w:rsid w:val="004C5748"/>
    <w:rsid w:val="004C5DBD"/>
    <w:rsid w:val="004C7C1C"/>
    <w:rsid w:val="004D100A"/>
    <w:rsid w:val="004D262E"/>
    <w:rsid w:val="004D2863"/>
    <w:rsid w:val="004D6915"/>
    <w:rsid w:val="004D75D3"/>
    <w:rsid w:val="004E03A9"/>
    <w:rsid w:val="004E33EC"/>
    <w:rsid w:val="004E36F0"/>
    <w:rsid w:val="004E3A46"/>
    <w:rsid w:val="004E4172"/>
    <w:rsid w:val="004E4520"/>
    <w:rsid w:val="004E4E4C"/>
    <w:rsid w:val="004E4F4C"/>
    <w:rsid w:val="004E54C1"/>
    <w:rsid w:val="004F07D6"/>
    <w:rsid w:val="004F4651"/>
    <w:rsid w:val="004F4729"/>
    <w:rsid w:val="004F4A5C"/>
    <w:rsid w:val="004F65E9"/>
    <w:rsid w:val="004F7101"/>
    <w:rsid w:val="004F776A"/>
    <w:rsid w:val="00501538"/>
    <w:rsid w:val="00501AC7"/>
    <w:rsid w:val="00502E97"/>
    <w:rsid w:val="005036FC"/>
    <w:rsid w:val="00503B57"/>
    <w:rsid w:val="00505C2E"/>
    <w:rsid w:val="00506850"/>
    <w:rsid w:val="005103B8"/>
    <w:rsid w:val="00511858"/>
    <w:rsid w:val="00511A6E"/>
    <w:rsid w:val="005129CF"/>
    <w:rsid w:val="00512D04"/>
    <w:rsid w:val="00512D27"/>
    <w:rsid w:val="00514BA9"/>
    <w:rsid w:val="00515FFF"/>
    <w:rsid w:val="005163C8"/>
    <w:rsid w:val="0051769F"/>
    <w:rsid w:val="005202A7"/>
    <w:rsid w:val="00521C4A"/>
    <w:rsid w:val="0052366C"/>
    <w:rsid w:val="005239CD"/>
    <w:rsid w:val="00523C3F"/>
    <w:rsid w:val="005244A3"/>
    <w:rsid w:val="00525CE6"/>
    <w:rsid w:val="0052644E"/>
    <w:rsid w:val="0053032F"/>
    <w:rsid w:val="005303BD"/>
    <w:rsid w:val="00531F55"/>
    <w:rsid w:val="00532071"/>
    <w:rsid w:val="00533304"/>
    <w:rsid w:val="00533D63"/>
    <w:rsid w:val="0053419F"/>
    <w:rsid w:val="00534933"/>
    <w:rsid w:val="00534C93"/>
    <w:rsid w:val="0053524E"/>
    <w:rsid w:val="00537878"/>
    <w:rsid w:val="005378A9"/>
    <w:rsid w:val="00537DFF"/>
    <w:rsid w:val="00540205"/>
    <w:rsid w:val="0054067D"/>
    <w:rsid w:val="0054284D"/>
    <w:rsid w:val="00543510"/>
    <w:rsid w:val="005436F4"/>
    <w:rsid w:val="00544C90"/>
    <w:rsid w:val="00546CBC"/>
    <w:rsid w:val="00551E56"/>
    <w:rsid w:val="00552D19"/>
    <w:rsid w:val="005554F2"/>
    <w:rsid w:val="00556434"/>
    <w:rsid w:val="005577C0"/>
    <w:rsid w:val="00560F18"/>
    <w:rsid w:val="005610AE"/>
    <w:rsid w:val="00561A10"/>
    <w:rsid w:val="00562B5E"/>
    <w:rsid w:val="005647CB"/>
    <w:rsid w:val="005706F8"/>
    <w:rsid w:val="0057157D"/>
    <w:rsid w:val="00573F78"/>
    <w:rsid w:val="0057459B"/>
    <w:rsid w:val="00576296"/>
    <w:rsid w:val="00577349"/>
    <w:rsid w:val="00580C3E"/>
    <w:rsid w:val="00580F14"/>
    <w:rsid w:val="0058116E"/>
    <w:rsid w:val="00581902"/>
    <w:rsid w:val="005846AB"/>
    <w:rsid w:val="00586FA9"/>
    <w:rsid w:val="00587248"/>
    <w:rsid w:val="005900F8"/>
    <w:rsid w:val="00592270"/>
    <w:rsid w:val="00594F0F"/>
    <w:rsid w:val="005A0060"/>
    <w:rsid w:val="005A05D6"/>
    <w:rsid w:val="005A0A0B"/>
    <w:rsid w:val="005A2007"/>
    <w:rsid w:val="005A258C"/>
    <w:rsid w:val="005A38BC"/>
    <w:rsid w:val="005A4734"/>
    <w:rsid w:val="005A65B0"/>
    <w:rsid w:val="005A743F"/>
    <w:rsid w:val="005B024F"/>
    <w:rsid w:val="005B0405"/>
    <w:rsid w:val="005B05E5"/>
    <w:rsid w:val="005B1825"/>
    <w:rsid w:val="005B2213"/>
    <w:rsid w:val="005B2727"/>
    <w:rsid w:val="005B4F09"/>
    <w:rsid w:val="005B5A6E"/>
    <w:rsid w:val="005C1C50"/>
    <w:rsid w:val="005C31BF"/>
    <w:rsid w:val="005C3CCD"/>
    <w:rsid w:val="005C615C"/>
    <w:rsid w:val="005C653A"/>
    <w:rsid w:val="005C673A"/>
    <w:rsid w:val="005C708F"/>
    <w:rsid w:val="005D037B"/>
    <w:rsid w:val="005D1999"/>
    <w:rsid w:val="005D3BFA"/>
    <w:rsid w:val="005D4084"/>
    <w:rsid w:val="005D6585"/>
    <w:rsid w:val="005D6CE2"/>
    <w:rsid w:val="005E0432"/>
    <w:rsid w:val="005E063A"/>
    <w:rsid w:val="005E253C"/>
    <w:rsid w:val="005E28C7"/>
    <w:rsid w:val="005E3AE4"/>
    <w:rsid w:val="005E3F85"/>
    <w:rsid w:val="005E52C3"/>
    <w:rsid w:val="005E5E29"/>
    <w:rsid w:val="005E702D"/>
    <w:rsid w:val="005F13AC"/>
    <w:rsid w:val="005F2DC9"/>
    <w:rsid w:val="005F3559"/>
    <w:rsid w:val="005F3E65"/>
    <w:rsid w:val="005F514E"/>
    <w:rsid w:val="005F7DB5"/>
    <w:rsid w:val="005F7EDF"/>
    <w:rsid w:val="00601053"/>
    <w:rsid w:val="00601409"/>
    <w:rsid w:val="00602A8B"/>
    <w:rsid w:val="00603F40"/>
    <w:rsid w:val="006053C7"/>
    <w:rsid w:val="00605B90"/>
    <w:rsid w:val="00613535"/>
    <w:rsid w:val="00615EF9"/>
    <w:rsid w:val="00616E8C"/>
    <w:rsid w:val="00617FF5"/>
    <w:rsid w:val="0062023A"/>
    <w:rsid w:val="00621DE7"/>
    <w:rsid w:val="00622385"/>
    <w:rsid w:val="00622D8B"/>
    <w:rsid w:val="00623810"/>
    <w:rsid w:val="00623AF5"/>
    <w:rsid w:val="00624E3E"/>
    <w:rsid w:val="0062578D"/>
    <w:rsid w:val="006314B2"/>
    <w:rsid w:val="0063265A"/>
    <w:rsid w:val="00637C6D"/>
    <w:rsid w:val="00640B0D"/>
    <w:rsid w:val="006411CF"/>
    <w:rsid w:val="0064166A"/>
    <w:rsid w:val="00641C75"/>
    <w:rsid w:val="00641F73"/>
    <w:rsid w:val="00642972"/>
    <w:rsid w:val="0064425D"/>
    <w:rsid w:val="00644878"/>
    <w:rsid w:val="00645392"/>
    <w:rsid w:val="0064595D"/>
    <w:rsid w:val="0064729F"/>
    <w:rsid w:val="00650DAC"/>
    <w:rsid w:val="00650F9F"/>
    <w:rsid w:val="006535BE"/>
    <w:rsid w:val="006536D7"/>
    <w:rsid w:val="006539AA"/>
    <w:rsid w:val="00653D6B"/>
    <w:rsid w:val="006541D4"/>
    <w:rsid w:val="006541DA"/>
    <w:rsid w:val="006563AC"/>
    <w:rsid w:val="006571DE"/>
    <w:rsid w:val="006578E6"/>
    <w:rsid w:val="00660CF8"/>
    <w:rsid w:val="00660FDC"/>
    <w:rsid w:val="00661722"/>
    <w:rsid w:val="00662AC3"/>
    <w:rsid w:val="00663133"/>
    <w:rsid w:val="00664DDD"/>
    <w:rsid w:val="00666F58"/>
    <w:rsid w:val="006671DA"/>
    <w:rsid w:val="00670E1D"/>
    <w:rsid w:val="00670F1F"/>
    <w:rsid w:val="006717BA"/>
    <w:rsid w:val="00671B1B"/>
    <w:rsid w:val="00671D85"/>
    <w:rsid w:val="00676495"/>
    <w:rsid w:val="00677127"/>
    <w:rsid w:val="00677A8C"/>
    <w:rsid w:val="0068053F"/>
    <w:rsid w:val="00680F0C"/>
    <w:rsid w:val="00682324"/>
    <w:rsid w:val="0068295D"/>
    <w:rsid w:val="00683E2F"/>
    <w:rsid w:val="00685996"/>
    <w:rsid w:val="00686D94"/>
    <w:rsid w:val="00690DA6"/>
    <w:rsid w:val="006915A2"/>
    <w:rsid w:val="0069276A"/>
    <w:rsid w:val="00694EFE"/>
    <w:rsid w:val="006957EF"/>
    <w:rsid w:val="0069591B"/>
    <w:rsid w:val="006961F2"/>
    <w:rsid w:val="006966BD"/>
    <w:rsid w:val="006A195C"/>
    <w:rsid w:val="006A1C48"/>
    <w:rsid w:val="006A2164"/>
    <w:rsid w:val="006A30D7"/>
    <w:rsid w:val="006A3770"/>
    <w:rsid w:val="006A3B65"/>
    <w:rsid w:val="006A3EF2"/>
    <w:rsid w:val="006A434A"/>
    <w:rsid w:val="006A522B"/>
    <w:rsid w:val="006B1890"/>
    <w:rsid w:val="006B1E91"/>
    <w:rsid w:val="006B2374"/>
    <w:rsid w:val="006B2655"/>
    <w:rsid w:val="006B299C"/>
    <w:rsid w:val="006B31A6"/>
    <w:rsid w:val="006B3B23"/>
    <w:rsid w:val="006B4672"/>
    <w:rsid w:val="006B4849"/>
    <w:rsid w:val="006B7056"/>
    <w:rsid w:val="006B75C3"/>
    <w:rsid w:val="006C1684"/>
    <w:rsid w:val="006C2582"/>
    <w:rsid w:val="006C5FC1"/>
    <w:rsid w:val="006C618B"/>
    <w:rsid w:val="006C7F58"/>
    <w:rsid w:val="006D0282"/>
    <w:rsid w:val="006D06DA"/>
    <w:rsid w:val="006D337F"/>
    <w:rsid w:val="006D3469"/>
    <w:rsid w:val="006D47C1"/>
    <w:rsid w:val="006D5A9A"/>
    <w:rsid w:val="006D68A6"/>
    <w:rsid w:val="006D6F72"/>
    <w:rsid w:val="006E0EEB"/>
    <w:rsid w:val="006E17CF"/>
    <w:rsid w:val="006E1DE0"/>
    <w:rsid w:val="006E23AD"/>
    <w:rsid w:val="006E400E"/>
    <w:rsid w:val="006E50D1"/>
    <w:rsid w:val="006E51D2"/>
    <w:rsid w:val="006E547E"/>
    <w:rsid w:val="006E56BA"/>
    <w:rsid w:val="006E5C03"/>
    <w:rsid w:val="006E60C1"/>
    <w:rsid w:val="006F1293"/>
    <w:rsid w:val="006F34B8"/>
    <w:rsid w:val="006F466A"/>
    <w:rsid w:val="006F49E6"/>
    <w:rsid w:val="006F6DA3"/>
    <w:rsid w:val="006F7181"/>
    <w:rsid w:val="006F72C7"/>
    <w:rsid w:val="00700017"/>
    <w:rsid w:val="007032E3"/>
    <w:rsid w:val="00705572"/>
    <w:rsid w:val="00705703"/>
    <w:rsid w:val="00707236"/>
    <w:rsid w:val="00707A02"/>
    <w:rsid w:val="00710011"/>
    <w:rsid w:val="00712E58"/>
    <w:rsid w:val="00713029"/>
    <w:rsid w:val="0071406E"/>
    <w:rsid w:val="0071443D"/>
    <w:rsid w:val="00715B1B"/>
    <w:rsid w:val="00716105"/>
    <w:rsid w:val="00716632"/>
    <w:rsid w:val="00722064"/>
    <w:rsid w:val="007240AB"/>
    <w:rsid w:val="00726B60"/>
    <w:rsid w:val="00727AEB"/>
    <w:rsid w:val="00730ED8"/>
    <w:rsid w:val="00732301"/>
    <w:rsid w:val="00733F6C"/>
    <w:rsid w:val="00734014"/>
    <w:rsid w:val="00734B9F"/>
    <w:rsid w:val="007352D7"/>
    <w:rsid w:val="00735EE3"/>
    <w:rsid w:val="007364E6"/>
    <w:rsid w:val="007379F4"/>
    <w:rsid w:val="00737DB3"/>
    <w:rsid w:val="0074034C"/>
    <w:rsid w:val="007411AD"/>
    <w:rsid w:val="007414A2"/>
    <w:rsid w:val="00742496"/>
    <w:rsid w:val="00742BEE"/>
    <w:rsid w:val="007439EC"/>
    <w:rsid w:val="0074443D"/>
    <w:rsid w:val="00744891"/>
    <w:rsid w:val="00745587"/>
    <w:rsid w:val="00746169"/>
    <w:rsid w:val="007518B4"/>
    <w:rsid w:val="00753920"/>
    <w:rsid w:val="0075650F"/>
    <w:rsid w:val="00761D65"/>
    <w:rsid w:val="00763A8E"/>
    <w:rsid w:val="007643C2"/>
    <w:rsid w:val="007659BC"/>
    <w:rsid w:val="00765A04"/>
    <w:rsid w:val="00765BA6"/>
    <w:rsid w:val="00767BB2"/>
    <w:rsid w:val="00767F03"/>
    <w:rsid w:val="0077029C"/>
    <w:rsid w:val="00770B8F"/>
    <w:rsid w:val="007750A6"/>
    <w:rsid w:val="00775707"/>
    <w:rsid w:val="007767A3"/>
    <w:rsid w:val="00776B5F"/>
    <w:rsid w:val="00780EFF"/>
    <w:rsid w:val="00781431"/>
    <w:rsid w:val="00781781"/>
    <w:rsid w:val="007817D8"/>
    <w:rsid w:val="007854DE"/>
    <w:rsid w:val="00786ED5"/>
    <w:rsid w:val="00790CCD"/>
    <w:rsid w:val="00791766"/>
    <w:rsid w:val="00792B5A"/>
    <w:rsid w:val="00792E4A"/>
    <w:rsid w:val="00792EF3"/>
    <w:rsid w:val="00795392"/>
    <w:rsid w:val="007A3AEF"/>
    <w:rsid w:val="007A5755"/>
    <w:rsid w:val="007A6633"/>
    <w:rsid w:val="007A74B7"/>
    <w:rsid w:val="007B18CC"/>
    <w:rsid w:val="007B1958"/>
    <w:rsid w:val="007B4F46"/>
    <w:rsid w:val="007B5FB7"/>
    <w:rsid w:val="007C12BD"/>
    <w:rsid w:val="007C3EEF"/>
    <w:rsid w:val="007D1250"/>
    <w:rsid w:val="007D3801"/>
    <w:rsid w:val="007D3D6A"/>
    <w:rsid w:val="007D51C7"/>
    <w:rsid w:val="007E02B3"/>
    <w:rsid w:val="007E04C4"/>
    <w:rsid w:val="007E19D7"/>
    <w:rsid w:val="007E1A39"/>
    <w:rsid w:val="007E25B0"/>
    <w:rsid w:val="007E3992"/>
    <w:rsid w:val="007E42D8"/>
    <w:rsid w:val="007E59FC"/>
    <w:rsid w:val="007E6281"/>
    <w:rsid w:val="007E6533"/>
    <w:rsid w:val="007E66A9"/>
    <w:rsid w:val="007E71D0"/>
    <w:rsid w:val="007E7C26"/>
    <w:rsid w:val="007F06F6"/>
    <w:rsid w:val="007F2A8B"/>
    <w:rsid w:val="007F33EF"/>
    <w:rsid w:val="007F34C9"/>
    <w:rsid w:val="007F4220"/>
    <w:rsid w:val="007F44A0"/>
    <w:rsid w:val="007F479A"/>
    <w:rsid w:val="007F499C"/>
    <w:rsid w:val="007F4F39"/>
    <w:rsid w:val="007F7622"/>
    <w:rsid w:val="008015E2"/>
    <w:rsid w:val="00801EAB"/>
    <w:rsid w:val="0080283B"/>
    <w:rsid w:val="00802E77"/>
    <w:rsid w:val="008047ED"/>
    <w:rsid w:val="008052DB"/>
    <w:rsid w:val="008069C4"/>
    <w:rsid w:val="0081010E"/>
    <w:rsid w:val="008113F0"/>
    <w:rsid w:val="00811B5F"/>
    <w:rsid w:val="00811B62"/>
    <w:rsid w:val="00811D87"/>
    <w:rsid w:val="0081419B"/>
    <w:rsid w:val="00814460"/>
    <w:rsid w:val="00814F6A"/>
    <w:rsid w:val="008212E4"/>
    <w:rsid w:val="00822EDE"/>
    <w:rsid w:val="00823BAA"/>
    <w:rsid w:val="008247DA"/>
    <w:rsid w:val="00824A7E"/>
    <w:rsid w:val="00826794"/>
    <w:rsid w:val="00830011"/>
    <w:rsid w:val="008309A0"/>
    <w:rsid w:val="0083152E"/>
    <w:rsid w:val="00832A4E"/>
    <w:rsid w:val="00832B10"/>
    <w:rsid w:val="00833ED3"/>
    <w:rsid w:val="00834128"/>
    <w:rsid w:val="00835E9D"/>
    <w:rsid w:val="0083745B"/>
    <w:rsid w:val="00840E78"/>
    <w:rsid w:val="00841648"/>
    <w:rsid w:val="008428C9"/>
    <w:rsid w:val="00843A91"/>
    <w:rsid w:val="008464C5"/>
    <w:rsid w:val="00847167"/>
    <w:rsid w:val="0084747F"/>
    <w:rsid w:val="00847E52"/>
    <w:rsid w:val="00852749"/>
    <w:rsid w:val="00852981"/>
    <w:rsid w:val="008560EA"/>
    <w:rsid w:val="00860361"/>
    <w:rsid w:val="008621E2"/>
    <w:rsid w:val="008622D0"/>
    <w:rsid w:val="008624A0"/>
    <w:rsid w:val="00862EFB"/>
    <w:rsid w:val="0086374E"/>
    <w:rsid w:val="008641F4"/>
    <w:rsid w:val="00864C5F"/>
    <w:rsid w:val="00865091"/>
    <w:rsid w:val="0086521B"/>
    <w:rsid w:val="00866955"/>
    <w:rsid w:val="00866EE9"/>
    <w:rsid w:val="008704E6"/>
    <w:rsid w:val="00882EF1"/>
    <w:rsid w:val="008832E0"/>
    <w:rsid w:val="00883E6A"/>
    <w:rsid w:val="0088408C"/>
    <w:rsid w:val="008879D7"/>
    <w:rsid w:val="008907D5"/>
    <w:rsid w:val="00890CE7"/>
    <w:rsid w:val="008951DA"/>
    <w:rsid w:val="008A18EE"/>
    <w:rsid w:val="008A2266"/>
    <w:rsid w:val="008A405A"/>
    <w:rsid w:val="008A40EB"/>
    <w:rsid w:val="008A434B"/>
    <w:rsid w:val="008A6AE3"/>
    <w:rsid w:val="008B6D6E"/>
    <w:rsid w:val="008B6F95"/>
    <w:rsid w:val="008C1F57"/>
    <w:rsid w:val="008C2BEC"/>
    <w:rsid w:val="008C4E30"/>
    <w:rsid w:val="008C52E7"/>
    <w:rsid w:val="008C555E"/>
    <w:rsid w:val="008C5A26"/>
    <w:rsid w:val="008C6A18"/>
    <w:rsid w:val="008D407B"/>
    <w:rsid w:val="008D49B3"/>
    <w:rsid w:val="008D4A7D"/>
    <w:rsid w:val="008D4E6A"/>
    <w:rsid w:val="008D5DEC"/>
    <w:rsid w:val="008D6B6F"/>
    <w:rsid w:val="008D7E3E"/>
    <w:rsid w:val="008E04FF"/>
    <w:rsid w:val="008E2914"/>
    <w:rsid w:val="008E6B5D"/>
    <w:rsid w:val="008F1589"/>
    <w:rsid w:val="008F18CF"/>
    <w:rsid w:val="008F27F1"/>
    <w:rsid w:val="008F4959"/>
    <w:rsid w:val="008F4BDA"/>
    <w:rsid w:val="00902709"/>
    <w:rsid w:val="00903425"/>
    <w:rsid w:val="009054B5"/>
    <w:rsid w:val="00905C1C"/>
    <w:rsid w:val="0090777A"/>
    <w:rsid w:val="00910931"/>
    <w:rsid w:val="00910ECA"/>
    <w:rsid w:val="0091167E"/>
    <w:rsid w:val="00911BE3"/>
    <w:rsid w:val="00916463"/>
    <w:rsid w:val="009211DB"/>
    <w:rsid w:val="00921BC5"/>
    <w:rsid w:val="0092264E"/>
    <w:rsid w:val="00924173"/>
    <w:rsid w:val="0092433B"/>
    <w:rsid w:val="0092511A"/>
    <w:rsid w:val="0092681F"/>
    <w:rsid w:val="0092757F"/>
    <w:rsid w:val="00931D3F"/>
    <w:rsid w:val="009339FD"/>
    <w:rsid w:val="0093521E"/>
    <w:rsid w:val="0093608E"/>
    <w:rsid w:val="00936D1C"/>
    <w:rsid w:val="00937F78"/>
    <w:rsid w:val="0094020F"/>
    <w:rsid w:val="0094146D"/>
    <w:rsid w:val="009415C8"/>
    <w:rsid w:val="0094481D"/>
    <w:rsid w:val="00944841"/>
    <w:rsid w:val="009461D8"/>
    <w:rsid w:val="009474EF"/>
    <w:rsid w:val="00950F05"/>
    <w:rsid w:val="00951922"/>
    <w:rsid w:val="00951ACC"/>
    <w:rsid w:val="00952531"/>
    <w:rsid w:val="00953133"/>
    <w:rsid w:val="0095377B"/>
    <w:rsid w:val="009557A4"/>
    <w:rsid w:val="00955D0F"/>
    <w:rsid w:val="00956864"/>
    <w:rsid w:val="00956992"/>
    <w:rsid w:val="0095727D"/>
    <w:rsid w:val="00957A91"/>
    <w:rsid w:val="00957AAA"/>
    <w:rsid w:val="00957BFF"/>
    <w:rsid w:val="00960BF8"/>
    <w:rsid w:val="0096212D"/>
    <w:rsid w:val="00962E3D"/>
    <w:rsid w:val="00963EC8"/>
    <w:rsid w:val="00963F5D"/>
    <w:rsid w:val="00966905"/>
    <w:rsid w:val="009672D9"/>
    <w:rsid w:val="009675C0"/>
    <w:rsid w:val="009708F5"/>
    <w:rsid w:val="00971172"/>
    <w:rsid w:val="009716E6"/>
    <w:rsid w:val="0097632E"/>
    <w:rsid w:val="00977994"/>
    <w:rsid w:val="00977C5E"/>
    <w:rsid w:val="00980B29"/>
    <w:rsid w:val="0098112A"/>
    <w:rsid w:val="009825BB"/>
    <w:rsid w:val="00984D50"/>
    <w:rsid w:val="00986592"/>
    <w:rsid w:val="00986700"/>
    <w:rsid w:val="0099000E"/>
    <w:rsid w:val="00990EF9"/>
    <w:rsid w:val="00991A43"/>
    <w:rsid w:val="00993B99"/>
    <w:rsid w:val="009946B9"/>
    <w:rsid w:val="00994C83"/>
    <w:rsid w:val="00994D06"/>
    <w:rsid w:val="00994F1C"/>
    <w:rsid w:val="0099539A"/>
    <w:rsid w:val="0099574C"/>
    <w:rsid w:val="00997474"/>
    <w:rsid w:val="00997515"/>
    <w:rsid w:val="009A2177"/>
    <w:rsid w:val="009A22C8"/>
    <w:rsid w:val="009A355D"/>
    <w:rsid w:val="009A35BF"/>
    <w:rsid w:val="009A36C5"/>
    <w:rsid w:val="009A5642"/>
    <w:rsid w:val="009B658C"/>
    <w:rsid w:val="009B7039"/>
    <w:rsid w:val="009C076D"/>
    <w:rsid w:val="009C1003"/>
    <w:rsid w:val="009C1BD0"/>
    <w:rsid w:val="009C2F8E"/>
    <w:rsid w:val="009C302D"/>
    <w:rsid w:val="009C3EB6"/>
    <w:rsid w:val="009C4C18"/>
    <w:rsid w:val="009C788C"/>
    <w:rsid w:val="009D0FFA"/>
    <w:rsid w:val="009D1E69"/>
    <w:rsid w:val="009D7E6D"/>
    <w:rsid w:val="009D7F6D"/>
    <w:rsid w:val="009E044D"/>
    <w:rsid w:val="009E3571"/>
    <w:rsid w:val="009E4776"/>
    <w:rsid w:val="009E4AE0"/>
    <w:rsid w:val="009E7031"/>
    <w:rsid w:val="009F0836"/>
    <w:rsid w:val="009F1C79"/>
    <w:rsid w:val="009F4215"/>
    <w:rsid w:val="009F4E97"/>
    <w:rsid w:val="009F4FA7"/>
    <w:rsid w:val="00A000D4"/>
    <w:rsid w:val="00A02463"/>
    <w:rsid w:val="00A06E0E"/>
    <w:rsid w:val="00A0716A"/>
    <w:rsid w:val="00A1167A"/>
    <w:rsid w:val="00A15BD7"/>
    <w:rsid w:val="00A1603E"/>
    <w:rsid w:val="00A17349"/>
    <w:rsid w:val="00A174D7"/>
    <w:rsid w:val="00A230E0"/>
    <w:rsid w:val="00A24FD2"/>
    <w:rsid w:val="00A26AA1"/>
    <w:rsid w:val="00A26ADB"/>
    <w:rsid w:val="00A27A77"/>
    <w:rsid w:val="00A31609"/>
    <w:rsid w:val="00A326CE"/>
    <w:rsid w:val="00A3454A"/>
    <w:rsid w:val="00A422FE"/>
    <w:rsid w:val="00A42B1A"/>
    <w:rsid w:val="00A44CFB"/>
    <w:rsid w:val="00A4641F"/>
    <w:rsid w:val="00A50296"/>
    <w:rsid w:val="00A50872"/>
    <w:rsid w:val="00A50C91"/>
    <w:rsid w:val="00A518A8"/>
    <w:rsid w:val="00A537AF"/>
    <w:rsid w:val="00A5381F"/>
    <w:rsid w:val="00A53FED"/>
    <w:rsid w:val="00A551D5"/>
    <w:rsid w:val="00A55CB6"/>
    <w:rsid w:val="00A5635A"/>
    <w:rsid w:val="00A6030D"/>
    <w:rsid w:val="00A61416"/>
    <w:rsid w:val="00A6183D"/>
    <w:rsid w:val="00A637E2"/>
    <w:rsid w:val="00A63D10"/>
    <w:rsid w:val="00A64AC7"/>
    <w:rsid w:val="00A64D10"/>
    <w:rsid w:val="00A65864"/>
    <w:rsid w:val="00A67F31"/>
    <w:rsid w:val="00A70FB5"/>
    <w:rsid w:val="00A72958"/>
    <w:rsid w:val="00A7447F"/>
    <w:rsid w:val="00A74735"/>
    <w:rsid w:val="00A76F79"/>
    <w:rsid w:val="00A80706"/>
    <w:rsid w:val="00A82A2D"/>
    <w:rsid w:val="00A83033"/>
    <w:rsid w:val="00A838A8"/>
    <w:rsid w:val="00A838D3"/>
    <w:rsid w:val="00A84595"/>
    <w:rsid w:val="00A870AD"/>
    <w:rsid w:val="00A91789"/>
    <w:rsid w:val="00A91824"/>
    <w:rsid w:val="00A919F6"/>
    <w:rsid w:val="00A91B4A"/>
    <w:rsid w:val="00A93858"/>
    <w:rsid w:val="00AA1413"/>
    <w:rsid w:val="00AA2657"/>
    <w:rsid w:val="00AA7E04"/>
    <w:rsid w:val="00AB0492"/>
    <w:rsid w:val="00AB04DA"/>
    <w:rsid w:val="00AB1AA1"/>
    <w:rsid w:val="00AB2D7E"/>
    <w:rsid w:val="00AB553D"/>
    <w:rsid w:val="00AB57A6"/>
    <w:rsid w:val="00AB64D2"/>
    <w:rsid w:val="00AB6B23"/>
    <w:rsid w:val="00AC1031"/>
    <w:rsid w:val="00AC1309"/>
    <w:rsid w:val="00AC29CE"/>
    <w:rsid w:val="00AC30E6"/>
    <w:rsid w:val="00AC3E14"/>
    <w:rsid w:val="00AC6070"/>
    <w:rsid w:val="00AC6614"/>
    <w:rsid w:val="00AC74A0"/>
    <w:rsid w:val="00AD045D"/>
    <w:rsid w:val="00AD0F74"/>
    <w:rsid w:val="00AD2834"/>
    <w:rsid w:val="00AD3DB1"/>
    <w:rsid w:val="00AD4230"/>
    <w:rsid w:val="00AD5A97"/>
    <w:rsid w:val="00AD5B10"/>
    <w:rsid w:val="00AD6D25"/>
    <w:rsid w:val="00AE3FBA"/>
    <w:rsid w:val="00AE407F"/>
    <w:rsid w:val="00AE5E95"/>
    <w:rsid w:val="00AE69D4"/>
    <w:rsid w:val="00AF0A46"/>
    <w:rsid w:val="00AF1207"/>
    <w:rsid w:val="00AF1D4A"/>
    <w:rsid w:val="00AF2924"/>
    <w:rsid w:val="00AF35AE"/>
    <w:rsid w:val="00AF3F12"/>
    <w:rsid w:val="00AF6084"/>
    <w:rsid w:val="00AF60BE"/>
    <w:rsid w:val="00AF6DA8"/>
    <w:rsid w:val="00AF73A3"/>
    <w:rsid w:val="00B0028B"/>
    <w:rsid w:val="00B005F7"/>
    <w:rsid w:val="00B013E5"/>
    <w:rsid w:val="00B04AC8"/>
    <w:rsid w:val="00B052B1"/>
    <w:rsid w:val="00B1098C"/>
    <w:rsid w:val="00B11233"/>
    <w:rsid w:val="00B138AD"/>
    <w:rsid w:val="00B158DF"/>
    <w:rsid w:val="00B16C29"/>
    <w:rsid w:val="00B16E2D"/>
    <w:rsid w:val="00B177F5"/>
    <w:rsid w:val="00B256C7"/>
    <w:rsid w:val="00B25B35"/>
    <w:rsid w:val="00B25FEA"/>
    <w:rsid w:val="00B26E34"/>
    <w:rsid w:val="00B27CED"/>
    <w:rsid w:val="00B31E50"/>
    <w:rsid w:val="00B323B6"/>
    <w:rsid w:val="00B32B29"/>
    <w:rsid w:val="00B332AA"/>
    <w:rsid w:val="00B33ADD"/>
    <w:rsid w:val="00B355CD"/>
    <w:rsid w:val="00B3597D"/>
    <w:rsid w:val="00B35BD8"/>
    <w:rsid w:val="00B35BFB"/>
    <w:rsid w:val="00B3624A"/>
    <w:rsid w:val="00B429E1"/>
    <w:rsid w:val="00B43B00"/>
    <w:rsid w:val="00B43CC4"/>
    <w:rsid w:val="00B451A4"/>
    <w:rsid w:val="00B46C05"/>
    <w:rsid w:val="00B46E2A"/>
    <w:rsid w:val="00B47E76"/>
    <w:rsid w:val="00B50C65"/>
    <w:rsid w:val="00B5251F"/>
    <w:rsid w:val="00B548D5"/>
    <w:rsid w:val="00B54C71"/>
    <w:rsid w:val="00B559A4"/>
    <w:rsid w:val="00B55F79"/>
    <w:rsid w:val="00B570F1"/>
    <w:rsid w:val="00B57437"/>
    <w:rsid w:val="00B61383"/>
    <w:rsid w:val="00B61D62"/>
    <w:rsid w:val="00B629EC"/>
    <w:rsid w:val="00B63CA7"/>
    <w:rsid w:val="00B701CC"/>
    <w:rsid w:val="00B705A2"/>
    <w:rsid w:val="00B728C2"/>
    <w:rsid w:val="00B73AB1"/>
    <w:rsid w:val="00B74751"/>
    <w:rsid w:val="00B74D65"/>
    <w:rsid w:val="00B75D9A"/>
    <w:rsid w:val="00B76644"/>
    <w:rsid w:val="00B7706D"/>
    <w:rsid w:val="00B77EB0"/>
    <w:rsid w:val="00B81357"/>
    <w:rsid w:val="00B81EB4"/>
    <w:rsid w:val="00B8448E"/>
    <w:rsid w:val="00B84E20"/>
    <w:rsid w:val="00B855F7"/>
    <w:rsid w:val="00B859E4"/>
    <w:rsid w:val="00B85B6B"/>
    <w:rsid w:val="00B9058C"/>
    <w:rsid w:val="00B90A46"/>
    <w:rsid w:val="00B91641"/>
    <w:rsid w:val="00B93393"/>
    <w:rsid w:val="00B933C0"/>
    <w:rsid w:val="00BA03A1"/>
    <w:rsid w:val="00BA049F"/>
    <w:rsid w:val="00BA0702"/>
    <w:rsid w:val="00BA1225"/>
    <w:rsid w:val="00BA310C"/>
    <w:rsid w:val="00BA458A"/>
    <w:rsid w:val="00BA5818"/>
    <w:rsid w:val="00BA6652"/>
    <w:rsid w:val="00BA6974"/>
    <w:rsid w:val="00BA6F73"/>
    <w:rsid w:val="00BA6F93"/>
    <w:rsid w:val="00BA767C"/>
    <w:rsid w:val="00BB1055"/>
    <w:rsid w:val="00BB1188"/>
    <w:rsid w:val="00BB167B"/>
    <w:rsid w:val="00BB1C13"/>
    <w:rsid w:val="00BB265E"/>
    <w:rsid w:val="00BB4C8A"/>
    <w:rsid w:val="00BB5843"/>
    <w:rsid w:val="00BB691D"/>
    <w:rsid w:val="00BB6BF3"/>
    <w:rsid w:val="00BC08C6"/>
    <w:rsid w:val="00BC11F4"/>
    <w:rsid w:val="00BC21CD"/>
    <w:rsid w:val="00BC283B"/>
    <w:rsid w:val="00BC3593"/>
    <w:rsid w:val="00BC367B"/>
    <w:rsid w:val="00BC4BAC"/>
    <w:rsid w:val="00BD59A5"/>
    <w:rsid w:val="00BD77A2"/>
    <w:rsid w:val="00BD77BE"/>
    <w:rsid w:val="00BE16A4"/>
    <w:rsid w:val="00BE172D"/>
    <w:rsid w:val="00BE3694"/>
    <w:rsid w:val="00BE5D42"/>
    <w:rsid w:val="00BF0144"/>
    <w:rsid w:val="00BF0398"/>
    <w:rsid w:val="00BF17F3"/>
    <w:rsid w:val="00BF2DDB"/>
    <w:rsid w:val="00BF323C"/>
    <w:rsid w:val="00BF33F4"/>
    <w:rsid w:val="00BF467A"/>
    <w:rsid w:val="00BF48C7"/>
    <w:rsid w:val="00BF5924"/>
    <w:rsid w:val="00BF740E"/>
    <w:rsid w:val="00C005E9"/>
    <w:rsid w:val="00C023A7"/>
    <w:rsid w:val="00C03C8F"/>
    <w:rsid w:val="00C044DE"/>
    <w:rsid w:val="00C0714E"/>
    <w:rsid w:val="00C07BE4"/>
    <w:rsid w:val="00C10030"/>
    <w:rsid w:val="00C10154"/>
    <w:rsid w:val="00C117C2"/>
    <w:rsid w:val="00C117D6"/>
    <w:rsid w:val="00C13508"/>
    <w:rsid w:val="00C13597"/>
    <w:rsid w:val="00C15037"/>
    <w:rsid w:val="00C16C79"/>
    <w:rsid w:val="00C16F8A"/>
    <w:rsid w:val="00C20745"/>
    <w:rsid w:val="00C20EB4"/>
    <w:rsid w:val="00C2166C"/>
    <w:rsid w:val="00C22EE8"/>
    <w:rsid w:val="00C23F10"/>
    <w:rsid w:val="00C2455C"/>
    <w:rsid w:val="00C25FD9"/>
    <w:rsid w:val="00C2686D"/>
    <w:rsid w:val="00C26B2B"/>
    <w:rsid w:val="00C274F5"/>
    <w:rsid w:val="00C279F1"/>
    <w:rsid w:val="00C27AA8"/>
    <w:rsid w:val="00C30474"/>
    <w:rsid w:val="00C30CE6"/>
    <w:rsid w:val="00C30D12"/>
    <w:rsid w:val="00C31A89"/>
    <w:rsid w:val="00C322B4"/>
    <w:rsid w:val="00C328DE"/>
    <w:rsid w:val="00C35027"/>
    <w:rsid w:val="00C37768"/>
    <w:rsid w:val="00C4208F"/>
    <w:rsid w:val="00C4240E"/>
    <w:rsid w:val="00C4409E"/>
    <w:rsid w:val="00C4515D"/>
    <w:rsid w:val="00C45612"/>
    <w:rsid w:val="00C45B46"/>
    <w:rsid w:val="00C469FC"/>
    <w:rsid w:val="00C500F4"/>
    <w:rsid w:val="00C50816"/>
    <w:rsid w:val="00C54B3E"/>
    <w:rsid w:val="00C55824"/>
    <w:rsid w:val="00C55A9B"/>
    <w:rsid w:val="00C563A6"/>
    <w:rsid w:val="00C56720"/>
    <w:rsid w:val="00C60398"/>
    <w:rsid w:val="00C613AD"/>
    <w:rsid w:val="00C65403"/>
    <w:rsid w:val="00C67E08"/>
    <w:rsid w:val="00C7007D"/>
    <w:rsid w:val="00C72FF3"/>
    <w:rsid w:val="00C741A8"/>
    <w:rsid w:val="00C7457C"/>
    <w:rsid w:val="00C75317"/>
    <w:rsid w:val="00C76B4B"/>
    <w:rsid w:val="00C77314"/>
    <w:rsid w:val="00C7753C"/>
    <w:rsid w:val="00C77A45"/>
    <w:rsid w:val="00C77BF0"/>
    <w:rsid w:val="00C8152F"/>
    <w:rsid w:val="00C85256"/>
    <w:rsid w:val="00C8546D"/>
    <w:rsid w:val="00C87114"/>
    <w:rsid w:val="00C92440"/>
    <w:rsid w:val="00C93187"/>
    <w:rsid w:val="00C93239"/>
    <w:rsid w:val="00C93564"/>
    <w:rsid w:val="00C94042"/>
    <w:rsid w:val="00C95AC6"/>
    <w:rsid w:val="00C9637F"/>
    <w:rsid w:val="00C965DD"/>
    <w:rsid w:val="00C96DB7"/>
    <w:rsid w:val="00C97315"/>
    <w:rsid w:val="00C97C8E"/>
    <w:rsid w:val="00CA427F"/>
    <w:rsid w:val="00CA49D4"/>
    <w:rsid w:val="00CA7020"/>
    <w:rsid w:val="00CB12D6"/>
    <w:rsid w:val="00CB23D9"/>
    <w:rsid w:val="00CB4D63"/>
    <w:rsid w:val="00CB6A1F"/>
    <w:rsid w:val="00CC15EC"/>
    <w:rsid w:val="00CC2E6A"/>
    <w:rsid w:val="00CC49EB"/>
    <w:rsid w:val="00CC5306"/>
    <w:rsid w:val="00CC544D"/>
    <w:rsid w:val="00CC5C19"/>
    <w:rsid w:val="00CC6464"/>
    <w:rsid w:val="00CC7217"/>
    <w:rsid w:val="00CD1943"/>
    <w:rsid w:val="00CD1DC9"/>
    <w:rsid w:val="00CD2BA2"/>
    <w:rsid w:val="00CD3986"/>
    <w:rsid w:val="00CD3F36"/>
    <w:rsid w:val="00CD431A"/>
    <w:rsid w:val="00CD46E3"/>
    <w:rsid w:val="00CD4949"/>
    <w:rsid w:val="00CD7550"/>
    <w:rsid w:val="00CD765E"/>
    <w:rsid w:val="00CE2198"/>
    <w:rsid w:val="00CE414D"/>
    <w:rsid w:val="00CF0155"/>
    <w:rsid w:val="00CF03E3"/>
    <w:rsid w:val="00CF06E0"/>
    <w:rsid w:val="00CF11C9"/>
    <w:rsid w:val="00CF1B9B"/>
    <w:rsid w:val="00CF32B9"/>
    <w:rsid w:val="00CF5899"/>
    <w:rsid w:val="00CF6AC1"/>
    <w:rsid w:val="00CF6C72"/>
    <w:rsid w:val="00CF7060"/>
    <w:rsid w:val="00CF71CF"/>
    <w:rsid w:val="00CF781D"/>
    <w:rsid w:val="00CF7AED"/>
    <w:rsid w:val="00D0108C"/>
    <w:rsid w:val="00D042AB"/>
    <w:rsid w:val="00D04B77"/>
    <w:rsid w:val="00D06845"/>
    <w:rsid w:val="00D06F46"/>
    <w:rsid w:val="00D10893"/>
    <w:rsid w:val="00D10D94"/>
    <w:rsid w:val="00D11B4E"/>
    <w:rsid w:val="00D12689"/>
    <w:rsid w:val="00D13650"/>
    <w:rsid w:val="00D139C3"/>
    <w:rsid w:val="00D16FF9"/>
    <w:rsid w:val="00D20041"/>
    <w:rsid w:val="00D21C39"/>
    <w:rsid w:val="00D2273B"/>
    <w:rsid w:val="00D228B5"/>
    <w:rsid w:val="00D23457"/>
    <w:rsid w:val="00D24FD0"/>
    <w:rsid w:val="00D258D7"/>
    <w:rsid w:val="00D25B96"/>
    <w:rsid w:val="00D3234D"/>
    <w:rsid w:val="00D339E8"/>
    <w:rsid w:val="00D36729"/>
    <w:rsid w:val="00D4186C"/>
    <w:rsid w:val="00D4522F"/>
    <w:rsid w:val="00D45671"/>
    <w:rsid w:val="00D45AC4"/>
    <w:rsid w:val="00D47AFF"/>
    <w:rsid w:val="00D500B4"/>
    <w:rsid w:val="00D5135E"/>
    <w:rsid w:val="00D5187B"/>
    <w:rsid w:val="00D5271E"/>
    <w:rsid w:val="00D531C8"/>
    <w:rsid w:val="00D53689"/>
    <w:rsid w:val="00D538EC"/>
    <w:rsid w:val="00D56944"/>
    <w:rsid w:val="00D56FAF"/>
    <w:rsid w:val="00D574D9"/>
    <w:rsid w:val="00D61963"/>
    <w:rsid w:val="00D630EE"/>
    <w:rsid w:val="00D6345A"/>
    <w:rsid w:val="00D63F6E"/>
    <w:rsid w:val="00D65323"/>
    <w:rsid w:val="00D65984"/>
    <w:rsid w:val="00D66079"/>
    <w:rsid w:val="00D661F0"/>
    <w:rsid w:val="00D6688C"/>
    <w:rsid w:val="00D71C08"/>
    <w:rsid w:val="00D73ADB"/>
    <w:rsid w:val="00D75B09"/>
    <w:rsid w:val="00D8138B"/>
    <w:rsid w:val="00D81BCC"/>
    <w:rsid w:val="00D81CB4"/>
    <w:rsid w:val="00D81D34"/>
    <w:rsid w:val="00D84966"/>
    <w:rsid w:val="00D85317"/>
    <w:rsid w:val="00D87ADD"/>
    <w:rsid w:val="00D9066B"/>
    <w:rsid w:val="00D92666"/>
    <w:rsid w:val="00D96D4C"/>
    <w:rsid w:val="00DA420C"/>
    <w:rsid w:val="00DA5414"/>
    <w:rsid w:val="00DA5522"/>
    <w:rsid w:val="00DA6E5F"/>
    <w:rsid w:val="00DA7664"/>
    <w:rsid w:val="00DB0B6D"/>
    <w:rsid w:val="00DB22DC"/>
    <w:rsid w:val="00DB52A0"/>
    <w:rsid w:val="00DB56E7"/>
    <w:rsid w:val="00DB61CF"/>
    <w:rsid w:val="00DB6C54"/>
    <w:rsid w:val="00DC0906"/>
    <w:rsid w:val="00DC16E0"/>
    <w:rsid w:val="00DC1944"/>
    <w:rsid w:val="00DC2CE0"/>
    <w:rsid w:val="00DC36D0"/>
    <w:rsid w:val="00DC3E3B"/>
    <w:rsid w:val="00DC416D"/>
    <w:rsid w:val="00DC4553"/>
    <w:rsid w:val="00DC4815"/>
    <w:rsid w:val="00DC51F3"/>
    <w:rsid w:val="00DC64B1"/>
    <w:rsid w:val="00DD0AC8"/>
    <w:rsid w:val="00DD2252"/>
    <w:rsid w:val="00DD245A"/>
    <w:rsid w:val="00DD253B"/>
    <w:rsid w:val="00DD27D9"/>
    <w:rsid w:val="00DD5A80"/>
    <w:rsid w:val="00DD7D19"/>
    <w:rsid w:val="00DE13CE"/>
    <w:rsid w:val="00DE52C5"/>
    <w:rsid w:val="00DE59A6"/>
    <w:rsid w:val="00DE721C"/>
    <w:rsid w:val="00DF119F"/>
    <w:rsid w:val="00DF7894"/>
    <w:rsid w:val="00DF7C18"/>
    <w:rsid w:val="00DF7F32"/>
    <w:rsid w:val="00E00715"/>
    <w:rsid w:val="00E007F1"/>
    <w:rsid w:val="00E0086B"/>
    <w:rsid w:val="00E01733"/>
    <w:rsid w:val="00E01B62"/>
    <w:rsid w:val="00E01B81"/>
    <w:rsid w:val="00E02459"/>
    <w:rsid w:val="00E02B8F"/>
    <w:rsid w:val="00E03515"/>
    <w:rsid w:val="00E0493E"/>
    <w:rsid w:val="00E0528F"/>
    <w:rsid w:val="00E0686B"/>
    <w:rsid w:val="00E079E4"/>
    <w:rsid w:val="00E07FB5"/>
    <w:rsid w:val="00E10D98"/>
    <w:rsid w:val="00E1216B"/>
    <w:rsid w:val="00E12647"/>
    <w:rsid w:val="00E128E2"/>
    <w:rsid w:val="00E13DCE"/>
    <w:rsid w:val="00E150CC"/>
    <w:rsid w:val="00E17A22"/>
    <w:rsid w:val="00E22E67"/>
    <w:rsid w:val="00E24C33"/>
    <w:rsid w:val="00E24C6D"/>
    <w:rsid w:val="00E25992"/>
    <w:rsid w:val="00E26933"/>
    <w:rsid w:val="00E27701"/>
    <w:rsid w:val="00E2784C"/>
    <w:rsid w:val="00E27904"/>
    <w:rsid w:val="00E300DA"/>
    <w:rsid w:val="00E30141"/>
    <w:rsid w:val="00E3223C"/>
    <w:rsid w:val="00E340DB"/>
    <w:rsid w:val="00E35EB1"/>
    <w:rsid w:val="00E3717E"/>
    <w:rsid w:val="00E408C3"/>
    <w:rsid w:val="00E41431"/>
    <w:rsid w:val="00E43F3E"/>
    <w:rsid w:val="00E43FBB"/>
    <w:rsid w:val="00E46ECD"/>
    <w:rsid w:val="00E47ACD"/>
    <w:rsid w:val="00E53F21"/>
    <w:rsid w:val="00E547F9"/>
    <w:rsid w:val="00E55DC3"/>
    <w:rsid w:val="00E60D5C"/>
    <w:rsid w:val="00E61FAC"/>
    <w:rsid w:val="00E63CC8"/>
    <w:rsid w:val="00E66276"/>
    <w:rsid w:val="00E672CF"/>
    <w:rsid w:val="00E67AE1"/>
    <w:rsid w:val="00E707E8"/>
    <w:rsid w:val="00E71FF6"/>
    <w:rsid w:val="00E76E9E"/>
    <w:rsid w:val="00E825C9"/>
    <w:rsid w:val="00E82718"/>
    <w:rsid w:val="00E82A8B"/>
    <w:rsid w:val="00E839AC"/>
    <w:rsid w:val="00E85016"/>
    <w:rsid w:val="00E856FD"/>
    <w:rsid w:val="00E86A8E"/>
    <w:rsid w:val="00E8710B"/>
    <w:rsid w:val="00E90C77"/>
    <w:rsid w:val="00E90D59"/>
    <w:rsid w:val="00E93949"/>
    <w:rsid w:val="00E93A70"/>
    <w:rsid w:val="00E93C4A"/>
    <w:rsid w:val="00E9447B"/>
    <w:rsid w:val="00E9481D"/>
    <w:rsid w:val="00E957D9"/>
    <w:rsid w:val="00E97262"/>
    <w:rsid w:val="00E9753E"/>
    <w:rsid w:val="00EA4B97"/>
    <w:rsid w:val="00EA52D8"/>
    <w:rsid w:val="00EA569D"/>
    <w:rsid w:val="00EA7877"/>
    <w:rsid w:val="00EB1C8B"/>
    <w:rsid w:val="00EB37ED"/>
    <w:rsid w:val="00EB44B7"/>
    <w:rsid w:val="00EB666A"/>
    <w:rsid w:val="00EB6B8C"/>
    <w:rsid w:val="00EB7013"/>
    <w:rsid w:val="00EB70CF"/>
    <w:rsid w:val="00EC0778"/>
    <w:rsid w:val="00EC0C14"/>
    <w:rsid w:val="00EC226B"/>
    <w:rsid w:val="00EC3A51"/>
    <w:rsid w:val="00EC53E7"/>
    <w:rsid w:val="00EC73CC"/>
    <w:rsid w:val="00ED0004"/>
    <w:rsid w:val="00ED1F78"/>
    <w:rsid w:val="00ED2149"/>
    <w:rsid w:val="00ED41C6"/>
    <w:rsid w:val="00ED436F"/>
    <w:rsid w:val="00ED5B5A"/>
    <w:rsid w:val="00ED6E5D"/>
    <w:rsid w:val="00ED6FCA"/>
    <w:rsid w:val="00EE3E93"/>
    <w:rsid w:val="00EE5399"/>
    <w:rsid w:val="00EE71FC"/>
    <w:rsid w:val="00EE7C9C"/>
    <w:rsid w:val="00EF0C97"/>
    <w:rsid w:val="00EF1EC2"/>
    <w:rsid w:val="00EF336C"/>
    <w:rsid w:val="00EF61F7"/>
    <w:rsid w:val="00EF6A6C"/>
    <w:rsid w:val="00EF71C3"/>
    <w:rsid w:val="00EF74EB"/>
    <w:rsid w:val="00EF764F"/>
    <w:rsid w:val="00F008AC"/>
    <w:rsid w:val="00F032D7"/>
    <w:rsid w:val="00F038A8"/>
    <w:rsid w:val="00F04137"/>
    <w:rsid w:val="00F042F5"/>
    <w:rsid w:val="00F050F8"/>
    <w:rsid w:val="00F109E8"/>
    <w:rsid w:val="00F11794"/>
    <w:rsid w:val="00F11D8F"/>
    <w:rsid w:val="00F14581"/>
    <w:rsid w:val="00F157C0"/>
    <w:rsid w:val="00F16D6D"/>
    <w:rsid w:val="00F1785C"/>
    <w:rsid w:val="00F17EA6"/>
    <w:rsid w:val="00F17EBA"/>
    <w:rsid w:val="00F21E1B"/>
    <w:rsid w:val="00F23460"/>
    <w:rsid w:val="00F264CF"/>
    <w:rsid w:val="00F30069"/>
    <w:rsid w:val="00F315DC"/>
    <w:rsid w:val="00F319F5"/>
    <w:rsid w:val="00F31D59"/>
    <w:rsid w:val="00F33992"/>
    <w:rsid w:val="00F34D87"/>
    <w:rsid w:val="00F35F3A"/>
    <w:rsid w:val="00F36620"/>
    <w:rsid w:val="00F37FFB"/>
    <w:rsid w:val="00F4096A"/>
    <w:rsid w:val="00F42173"/>
    <w:rsid w:val="00F42BCB"/>
    <w:rsid w:val="00F45880"/>
    <w:rsid w:val="00F52DE1"/>
    <w:rsid w:val="00F55537"/>
    <w:rsid w:val="00F561B3"/>
    <w:rsid w:val="00F563CE"/>
    <w:rsid w:val="00F57339"/>
    <w:rsid w:val="00F60E7D"/>
    <w:rsid w:val="00F616B9"/>
    <w:rsid w:val="00F64077"/>
    <w:rsid w:val="00F645F0"/>
    <w:rsid w:val="00F65E3D"/>
    <w:rsid w:val="00F74311"/>
    <w:rsid w:val="00F76870"/>
    <w:rsid w:val="00F778A6"/>
    <w:rsid w:val="00F77A75"/>
    <w:rsid w:val="00F81D29"/>
    <w:rsid w:val="00F82139"/>
    <w:rsid w:val="00F83208"/>
    <w:rsid w:val="00F838B2"/>
    <w:rsid w:val="00F83BDE"/>
    <w:rsid w:val="00F852E1"/>
    <w:rsid w:val="00F85E95"/>
    <w:rsid w:val="00F862F6"/>
    <w:rsid w:val="00F90503"/>
    <w:rsid w:val="00F937B8"/>
    <w:rsid w:val="00F95C2F"/>
    <w:rsid w:val="00F962B2"/>
    <w:rsid w:val="00F9632B"/>
    <w:rsid w:val="00F969B1"/>
    <w:rsid w:val="00F9731B"/>
    <w:rsid w:val="00F97A4D"/>
    <w:rsid w:val="00FA035A"/>
    <w:rsid w:val="00FA09E8"/>
    <w:rsid w:val="00FA2BC0"/>
    <w:rsid w:val="00FA4493"/>
    <w:rsid w:val="00FA465A"/>
    <w:rsid w:val="00FA6E3D"/>
    <w:rsid w:val="00FB0F97"/>
    <w:rsid w:val="00FB1818"/>
    <w:rsid w:val="00FB2379"/>
    <w:rsid w:val="00FB29DA"/>
    <w:rsid w:val="00FB36A8"/>
    <w:rsid w:val="00FB5FD5"/>
    <w:rsid w:val="00FB7D13"/>
    <w:rsid w:val="00FB7D1B"/>
    <w:rsid w:val="00FC0DAC"/>
    <w:rsid w:val="00FC151B"/>
    <w:rsid w:val="00FC2488"/>
    <w:rsid w:val="00FC2A65"/>
    <w:rsid w:val="00FC2B83"/>
    <w:rsid w:val="00FC2F97"/>
    <w:rsid w:val="00FD03D9"/>
    <w:rsid w:val="00FD280A"/>
    <w:rsid w:val="00FD2BEA"/>
    <w:rsid w:val="00FD7368"/>
    <w:rsid w:val="00FE2B7F"/>
    <w:rsid w:val="00FE3D8B"/>
    <w:rsid w:val="00FE42ED"/>
    <w:rsid w:val="00FE4B5E"/>
    <w:rsid w:val="00FE5853"/>
    <w:rsid w:val="00FE5B4A"/>
    <w:rsid w:val="00FE72D5"/>
    <w:rsid w:val="00FE74FE"/>
    <w:rsid w:val="00FF0710"/>
    <w:rsid w:val="00FF0929"/>
    <w:rsid w:val="00FF0EF7"/>
    <w:rsid w:val="00FF67DF"/>
    <w:rsid w:val="00FF6E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00E"/>
    <w:rPr>
      <w:sz w:val="24"/>
      <w:szCs w:val="24"/>
    </w:rPr>
  </w:style>
  <w:style w:type="paragraph" w:styleId="Heading1">
    <w:name w:val="heading 1"/>
    <w:basedOn w:val="Normal"/>
    <w:next w:val="Normal"/>
    <w:link w:val="Heading1Char"/>
    <w:qFormat/>
    <w:rsid w:val="00561A10"/>
    <w:pPr>
      <w:keepNext/>
      <w:outlineLvl w:val="0"/>
    </w:pPr>
    <w:rPr>
      <w:sz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93239"/>
    <w:pPr>
      <w:spacing w:before="100" w:beforeAutospacing="1" w:after="100" w:afterAutospacing="1"/>
    </w:pPr>
  </w:style>
  <w:style w:type="paragraph" w:customStyle="1" w:styleId="naisf">
    <w:name w:val="naisf"/>
    <w:basedOn w:val="Normal"/>
    <w:rsid w:val="00C93239"/>
    <w:pPr>
      <w:spacing w:before="75" w:after="75"/>
      <w:ind w:firstLine="375"/>
      <w:jc w:val="both"/>
    </w:pPr>
  </w:style>
  <w:style w:type="paragraph" w:customStyle="1" w:styleId="naislab">
    <w:name w:val="naislab"/>
    <w:basedOn w:val="Normal"/>
    <w:rsid w:val="00C93239"/>
    <w:pPr>
      <w:spacing w:before="75" w:after="75"/>
      <w:jc w:val="right"/>
    </w:pPr>
  </w:style>
  <w:style w:type="paragraph" w:customStyle="1" w:styleId="naisc">
    <w:name w:val="naisc"/>
    <w:basedOn w:val="Normal"/>
    <w:rsid w:val="00C93239"/>
    <w:pPr>
      <w:spacing w:before="450" w:after="300"/>
      <w:jc w:val="center"/>
    </w:pPr>
    <w:rPr>
      <w:sz w:val="26"/>
      <w:szCs w:val="26"/>
    </w:rPr>
  </w:style>
  <w:style w:type="paragraph" w:styleId="FootnoteText">
    <w:name w:val="footnote text"/>
    <w:basedOn w:val="Normal"/>
    <w:semiHidden/>
    <w:rsid w:val="00C93239"/>
    <w:rPr>
      <w:sz w:val="20"/>
      <w:szCs w:val="20"/>
    </w:rPr>
  </w:style>
  <w:style w:type="character" w:styleId="FootnoteReference">
    <w:name w:val="footnote reference"/>
    <w:semiHidden/>
    <w:rsid w:val="00C93239"/>
    <w:rPr>
      <w:vertAlign w:val="superscript"/>
    </w:rPr>
  </w:style>
  <w:style w:type="paragraph" w:customStyle="1" w:styleId="Char">
    <w:name w:val="Char"/>
    <w:basedOn w:val="Normal"/>
    <w:rsid w:val="00C93239"/>
    <w:pPr>
      <w:spacing w:after="160" w:line="240" w:lineRule="exact"/>
    </w:pPr>
    <w:rPr>
      <w:rFonts w:ascii="Tahoma" w:hAnsi="Tahoma"/>
      <w:sz w:val="20"/>
      <w:szCs w:val="20"/>
      <w:lang w:val="en-US" w:eastAsia="en-US"/>
    </w:rPr>
  </w:style>
  <w:style w:type="paragraph" w:styleId="BalloonText">
    <w:name w:val="Balloon Text"/>
    <w:basedOn w:val="Normal"/>
    <w:semiHidden/>
    <w:rsid w:val="00B9058C"/>
    <w:rPr>
      <w:rFonts w:ascii="Tahoma" w:hAnsi="Tahoma" w:cs="Tahoma"/>
      <w:sz w:val="16"/>
      <w:szCs w:val="16"/>
    </w:rPr>
  </w:style>
  <w:style w:type="paragraph" w:customStyle="1" w:styleId="tabcentr">
    <w:name w:val="tab_centr"/>
    <w:basedOn w:val="Normal"/>
    <w:rsid w:val="005B05E5"/>
    <w:pPr>
      <w:jc w:val="center"/>
    </w:pPr>
    <w:rPr>
      <w:lang w:eastAsia="en-US"/>
    </w:rPr>
  </w:style>
  <w:style w:type="character" w:styleId="Hyperlink">
    <w:name w:val="Hyperlink"/>
    <w:rsid w:val="005B05E5"/>
    <w:rPr>
      <w:color w:val="0000FF"/>
      <w:u w:val="single"/>
    </w:rPr>
  </w:style>
  <w:style w:type="paragraph" w:customStyle="1" w:styleId="RakstzChar">
    <w:name w:val="Rakstz. Char"/>
    <w:basedOn w:val="Normal"/>
    <w:rsid w:val="005103B8"/>
    <w:rPr>
      <w:lang w:val="pl-PL" w:eastAsia="pl-PL"/>
    </w:rPr>
  </w:style>
  <w:style w:type="paragraph" w:customStyle="1" w:styleId="naisnod">
    <w:name w:val="naisnod"/>
    <w:basedOn w:val="Normal"/>
    <w:rsid w:val="00314F97"/>
    <w:pPr>
      <w:spacing w:before="150" w:after="150"/>
      <w:jc w:val="center"/>
    </w:pPr>
    <w:rPr>
      <w:b/>
      <w:bCs/>
      <w:lang w:val="en-GB" w:eastAsia="en-US"/>
    </w:rPr>
  </w:style>
  <w:style w:type="paragraph" w:styleId="Header">
    <w:name w:val="header"/>
    <w:basedOn w:val="Normal"/>
    <w:link w:val="HeaderChar"/>
    <w:uiPriority w:val="99"/>
    <w:rsid w:val="0026006B"/>
    <w:pPr>
      <w:tabs>
        <w:tab w:val="center" w:pos="4153"/>
        <w:tab w:val="right" w:pos="8306"/>
      </w:tabs>
    </w:pPr>
  </w:style>
  <w:style w:type="paragraph" w:styleId="Footer">
    <w:name w:val="footer"/>
    <w:basedOn w:val="Normal"/>
    <w:link w:val="FooterChar"/>
    <w:rsid w:val="0026006B"/>
    <w:pPr>
      <w:tabs>
        <w:tab w:val="center" w:pos="4153"/>
        <w:tab w:val="right" w:pos="8306"/>
      </w:tabs>
    </w:pPr>
  </w:style>
  <w:style w:type="character" w:styleId="PageNumber">
    <w:name w:val="page number"/>
    <w:basedOn w:val="DefaultParagraphFont"/>
    <w:rsid w:val="00E672CF"/>
  </w:style>
  <w:style w:type="paragraph" w:customStyle="1" w:styleId="CharCharCharRakstz">
    <w:name w:val="Char Char Char Rakstz."/>
    <w:basedOn w:val="Normal"/>
    <w:rsid w:val="00B16C29"/>
    <w:pPr>
      <w:spacing w:before="40"/>
    </w:pPr>
    <w:rPr>
      <w:lang w:val="pl-PL" w:eastAsia="pl-PL"/>
    </w:rPr>
  </w:style>
  <w:style w:type="character" w:customStyle="1" w:styleId="Heading1Char">
    <w:name w:val="Heading 1 Char"/>
    <w:link w:val="Heading1"/>
    <w:rsid w:val="00561A10"/>
    <w:rPr>
      <w:szCs w:val="24"/>
      <w:u w:val="single"/>
      <w:lang w:val="lv-LV"/>
    </w:rPr>
  </w:style>
  <w:style w:type="paragraph" w:styleId="BodyText">
    <w:name w:val="Body Text"/>
    <w:basedOn w:val="Normal"/>
    <w:link w:val="BodyTextChar"/>
    <w:rsid w:val="00763A8E"/>
    <w:rPr>
      <w:b/>
      <w:bCs/>
      <w:lang w:eastAsia="en-US"/>
    </w:rPr>
  </w:style>
  <w:style w:type="character" w:customStyle="1" w:styleId="BodyTextChar">
    <w:name w:val="Body Text Char"/>
    <w:link w:val="BodyText"/>
    <w:rsid w:val="00763A8E"/>
    <w:rPr>
      <w:b/>
      <w:bCs/>
      <w:sz w:val="24"/>
      <w:szCs w:val="24"/>
      <w:lang w:eastAsia="en-US"/>
    </w:rPr>
  </w:style>
  <w:style w:type="character" w:customStyle="1" w:styleId="FooterChar">
    <w:name w:val="Footer Char"/>
    <w:link w:val="Footer"/>
    <w:rsid w:val="00763A8E"/>
    <w:rPr>
      <w:sz w:val="24"/>
      <w:szCs w:val="24"/>
    </w:rPr>
  </w:style>
  <w:style w:type="paragraph" w:customStyle="1" w:styleId="naiskr">
    <w:name w:val="naiskr"/>
    <w:basedOn w:val="Normal"/>
    <w:rsid w:val="00353A9E"/>
    <w:pPr>
      <w:spacing w:before="100" w:beforeAutospacing="1" w:after="100" w:afterAutospacing="1"/>
    </w:pPr>
  </w:style>
  <w:style w:type="paragraph" w:styleId="BodyTextIndent3">
    <w:name w:val="Body Text Indent 3"/>
    <w:basedOn w:val="Normal"/>
    <w:link w:val="BodyTextIndent3Char"/>
    <w:rsid w:val="007F4F39"/>
    <w:pPr>
      <w:spacing w:after="120"/>
      <w:ind w:left="283"/>
    </w:pPr>
    <w:rPr>
      <w:sz w:val="16"/>
      <w:szCs w:val="16"/>
    </w:rPr>
  </w:style>
  <w:style w:type="character" w:customStyle="1" w:styleId="BodyTextIndent3Char">
    <w:name w:val="Body Text Indent 3 Char"/>
    <w:link w:val="BodyTextIndent3"/>
    <w:rsid w:val="007F4F39"/>
    <w:rPr>
      <w:sz w:val="16"/>
      <w:szCs w:val="16"/>
    </w:rPr>
  </w:style>
  <w:style w:type="table" w:styleId="TableGrid">
    <w:name w:val="Table Grid"/>
    <w:basedOn w:val="TableNormal"/>
    <w:rsid w:val="005E70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1538"/>
    <w:pPr>
      <w:ind w:left="720"/>
      <w:contextualSpacing/>
    </w:pPr>
  </w:style>
  <w:style w:type="paragraph" w:styleId="CommentText">
    <w:name w:val="annotation text"/>
    <w:basedOn w:val="Normal"/>
    <w:link w:val="CommentTextChar"/>
    <w:uiPriority w:val="99"/>
    <w:rsid w:val="00AB64D2"/>
    <w:rPr>
      <w:iCs/>
      <w:sz w:val="20"/>
      <w:szCs w:val="20"/>
      <w:lang w:val="en-GB" w:eastAsia="en-US"/>
    </w:rPr>
  </w:style>
  <w:style w:type="character" w:customStyle="1" w:styleId="CommentTextChar">
    <w:name w:val="Comment Text Char"/>
    <w:basedOn w:val="DefaultParagraphFont"/>
    <w:link w:val="CommentText"/>
    <w:uiPriority w:val="99"/>
    <w:rsid w:val="00AB64D2"/>
    <w:rPr>
      <w:iCs/>
      <w:lang w:val="en-GB" w:eastAsia="en-US"/>
    </w:rPr>
  </w:style>
  <w:style w:type="paragraph" w:styleId="BodyTextIndent">
    <w:name w:val="Body Text Indent"/>
    <w:basedOn w:val="Normal"/>
    <w:link w:val="BodyTextIndentChar"/>
    <w:rsid w:val="000B7151"/>
    <w:pPr>
      <w:spacing w:after="120"/>
      <w:ind w:left="283"/>
    </w:pPr>
  </w:style>
  <w:style w:type="character" w:customStyle="1" w:styleId="BodyTextIndentChar">
    <w:name w:val="Body Text Indent Char"/>
    <w:basedOn w:val="DefaultParagraphFont"/>
    <w:link w:val="BodyTextIndent"/>
    <w:rsid w:val="000B7151"/>
    <w:rPr>
      <w:sz w:val="24"/>
      <w:szCs w:val="24"/>
    </w:rPr>
  </w:style>
  <w:style w:type="character" w:customStyle="1" w:styleId="HeaderChar">
    <w:name w:val="Header Char"/>
    <w:basedOn w:val="DefaultParagraphFont"/>
    <w:link w:val="Header"/>
    <w:uiPriority w:val="99"/>
    <w:rsid w:val="005A200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00E"/>
    <w:rPr>
      <w:sz w:val="24"/>
      <w:szCs w:val="24"/>
    </w:rPr>
  </w:style>
  <w:style w:type="paragraph" w:styleId="Heading1">
    <w:name w:val="heading 1"/>
    <w:basedOn w:val="Normal"/>
    <w:next w:val="Normal"/>
    <w:link w:val="Heading1Char"/>
    <w:qFormat/>
    <w:rsid w:val="00561A10"/>
    <w:pPr>
      <w:keepNext/>
      <w:outlineLvl w:val="0"/>
    </w:pPr>
    <w:rPr>
      <w:sz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93239"/>
    <w:pPr>
      <w:spacing w:before="100" w:beforeAutospacing="1" w:after="100" w:afterAutospacing="1"/>
    </w:pPr>
  </w:style>
  <w:style w:type="paragraph" w:customStyle="1" w:styleId="naisf">
    <w:name w:val="naisf"/>
    <w:basedOn w:val="Normal"/>
    <w:rsid w:val="00C93239"/>
    <w:pPr>
      <w:spacing w:before="75" w:after="75"/>
      <w:ind w:firstLine="375"/>
      <w:jc w:val="both"/>
    </w:pPr>
  </w:style>
  <w:style w:type="paragraph" w:customStyle="1" w:styleId="naislab">
    <w:name w:val="naislab"/>
    <w:basedOn w:val="Normal"/>
    <w:rsid w:val="00C93239"/>
    <w:pPr>
      <w:spacing w:before="75" w:after="75"/>
      <w:jc w:val="right"/>
    </w:pPr>
  </w:style>
  <w:style w:type="paragraph" w:customStyle="1" w:styleId="naisc">
    <w:name w:val="naisc"/>
    <w:basedOn w:val="Normal"/>
    <w:rsid w:val="00C93239"/>
    <w:pPr>
      <w:spacing w:before="450" w:after="300"/>
      <w:jc w:val="center"/>
    </w:pPr>
    <w:rPr>
      <w:sz w:val="26"/>
      <w:szCs w:val="26"/>
    </w:rPr>
  </w:style>
  <w:style w:type="paragraph" w:styleId="FootnoteText">
    <w:name w:val="footnote text"/>
    <w:basedOn w:val="Normal"/>
    <w:semiHidden/>
    <w:rsid w:val="00C93239"/>
    <w:rPr>
      <w:sz w:val="20"/>
      <w:szCs w:val="20"/>
    </w:rPr>
  </w:style>
  <w:style w:type="character" w:styleId="FootnoteReference">
    <w:name w:val="footnote reference"/>
    <w:semiHidden/>
    <w:rsid w:val="00C93239"/>
    <w:rPr>
      <w:vertAlign w:val="superscript"/>
    </w:rPr>
  </w:style>
  <w:style w:type="paragraph" w:customStyle="1" w:styleId="Char">
    <w:name w:val="Char"/>
    <w:basedOn w:val="Normal"/>
    <w:rsid w:val="00C93239"/>
    <w:pPr>
      <w:spacing w:after="160" w:line="240" w:lineRule="exact"/>
    </w:pPr>
    <w:rPr>
      <w:rFonts w:ascii="Tahoma" w:hAnsi="Tahoma"/>
      <w:sz w:val="20"/>
      <w:szCs w:val="20"/>
      <w:lang w:val="en-US" w:eastAsia="en-US"/>
    </w:rPr>
  </w:style>
  <w:style w:type="paragraph" w:styleId="BalloonText">
    <w:name w:val="Balloon Text"/>
    <w:basedOn w:val="Normal"/>
    <w:semiHidden/>
    <w:rsid w:val="00B9058C"/>
    <w:rPr>
      <w:rFonts w:ascii="Tahoma" w:hAnsi="Tahoma" w:cs="Tahoma"/>
      <w:sz w:val="16"/>
      <w:szCs w:val="16"/>
    </w:rPr>
  </w:style>
  <w:style w:type="paragraph" w:customStyle="1" w:styleId="tabcentr">
    <w:name w:val="tab_centr"/>
    <w:basedOn w:val="Normal"/>
    <w:rsid w:val="005B05E5"/>
    <w:pPr>
      <w:jc w:val="center"/>
    </w:pPr>
    <w:rPr>
      <w:lang w:eastAsia="en-US"/>
    </w:rPr>
  </w:style>
  <w:style w:type="character" w:styleId="Hyperlink">
    <w:name w:val="Hyperlink"/>
    <w:rsid w:val="005B05E5"/>
    <w:rPr>
      <w:color w:val="0000FF"/>
      <w:u w:val="single"/>
    </w:rPr>
  </w:style>
  <w:style w:type="paragraph" w:customStyle="1" w:styleId="RakstzChar">
    <w:name w:val="Rakstz. Char"/>
    <w:basedOn w:val="Normal"/>
    <w:rsid w:val="005103B8"/>
    <w:rPr>
      <w:lang w:val="pl-PL" w:eastAsia="pl-PL"/>
    </w:rPr>
  </w:style>
  <w:style w:type="paragraph" w:customStyle="1" w:styleId="naisnod">
    <w:name w:val="naisnod"/>
    <w:basedOn w:val="Normal"/>
    <w:rsid w:val="00314F97"/>
    <w:pPr>
      <w:spacing w:before="150" w:after="150"/>
      <w:jc w:val="center"/>
    </w:pPr>
    <w:rPr>
      <w:b/>
      <w:bCs/>
      <w:lang w:val="en-GB" w:eastAsia="en-US"/>
    </w:rPr>
  </w:style>
  <w:style w:type="paragraph" w:styleId="Header">
    <w:name w:val="header"/>
    <w:basedOn w:val="Normal"/>
    <w:link w:val="HeaderChar"/>
    <w:uiPriority w:val="99"/>
    <w:rsid w:val="0026006B"/>
    <w:pPr>
      <w:tabs>
        <w:tab w:val="center" w:pos="4153"/>
        <w:tab w:val="right" w:pos="8306"/>
      </w:tabs>
    </w:pPr>
  </w:style>
  <w:style w:type="paragraph" w:styleId="Footer">
    <w:name w:val="footer"/>
    <w:basedOn w:val="Normal"/>
    <w:link w:val="FooterChar"/>
    <w:rsid w:val="0026006B"/>
    <w:pPr>
      <w:tabs>
        <w:tab w:val="center" w:pos="4153"/>
        <w:tab w:val="right" w:pos="8306"/>
      </w:tabs>
    </w:pPr>
  </w:style>
  <w:style w:type="character" w:styleId="PageNumber">
    <w:name w:val="page number"/>
    <w:basedOn w:val="DefaultParagraphFont"/>
    <w:rsid w:val="00E672CF"/>
  </w:style>
  <w:style w:type="paragraph" w:customStyle="1" w:styleId="CharCharCharRakstz">
    <w:name w:val="Char Char Char Rakstz."/>
    <w:basedOn w:val="Normal"/>
    <w:rsid w:val="00B16C29"/>
    <w:pPr>
      <w:spacing w:before="40"/>
    </w:pPr>
    <w:rPr>
      <w:lang w:val="pl-PL" w:eastAsia="pl-PL"/>
    </w:rPr>
  </w:style>
  <w:style w:type="character" w:customStyle="1" w:styleId="Heading1Char">
    <w:name w:val="Heading 1 Char"/>
    <w:link w:val="Heading1"/>
    <w:rsid w:val="00561A10"/>
    <w:rPr>
      <w:szCs w:val="24"/>
      <w:u w:val="single"/>
      <w:lang w:val="lv-LV"/>
    </w:rPr>
  </w:style>
  <w:style w:type="paragraph" w:styleId="BodyText">
    <w:name w:val="Body Text"/>
    <w:basedOn w:val="Normal"/>
    <w:link w:val="BodyTextChar"/>
    <w:rsid w:val="00763A8E"/>
    <w:rPr>
      <w:b/>
      <w:bCs/>
      <w:lang w:eastAsia="en-US"/>
    </w:rPr>
  </w:style>
  <w:style w:type="character" w:customStyle="1" w:styleId="BodyTextChar">
    <w:name w:val="Body Text Char"/>
    <w:link w:val="BodyText"/>
    <w:rsid w:val="00763A8E"/>
    <w:rPr>
      <w:b/>
      <w:bCs/>
      <w:sz w:val="24"/>
      <w:szCs w:val="24"/>
      <w:lang w:eastAsia="en-US"/>
    </w:rPr>
  </w:style>
  <w:style w:type="character" w:customStyle="1" w:styleId="FooterChar">
    <w:name w:val="Footer Char"/>
    <w:link w:val="Footer"/>
    <w:rsid w:val="00763A8E"/>
    <w:rPr>
      <w:sz w:val="24"/>
      <w:szCs w:val="24"/>
    </w:rPr>
  </w:style>
  <w:style w:type="paragraph" w:customStyle="1" w:styleId="naiskr">
    <w:name w:val="naiskr"/>
    <w:basedOn w:val="Normal"/>
    <w:rsid w:val="00353A9E"/>
    <w:pPr>
      <w:spacing w:before="100" w:beforeAutospacing="1" w:after="100" w:afterAutospacing="1"/>
    </w:pPr>
  </w:style>
  <w:style w:type="paragraph" w:styleId="BodyTextIndent3">
    <w:name w:val="Body Text Indent 3"/>
    <w:basedOn w:val="Normal"/>
    <w:link w:val="BodyTextIndent3Char"/>
    <w:rsid w:val="007F4F39"/>
    <w:pPr>
      <w:spacing w:after="120"/>
      <w:ind w:left="283"/>
    </w:pPr>
    <w:rPr>
      <w:sz w:val="16"/>
      <w:szCs w:val="16"/>
    </w:rPr>
  </w:style>
  <w:style w:type="character" w:customStyle="1" w:styleId="BodyTextIndent3Char">
    <w:name w:val="Body Text Indent 3 Char"/>
    <w:link w:val="BodyTextIndent3"/>
    <w:rsid w:val="007F4F39"/>
    <w:rPr>
      <w:sz w:val="16"/>
      <w:szCs w:val="16"/>
    </w:rPr>
  </w:style>
  <w:style w:type="table" w:styleId="TableGrid">
    <w:name w:val="Table Grid"/>
    <w:basedOn w:val="TableNormal"/>
    <w:rsid w:val="005E70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1538"/>
    <w:pPr>
      <w:ind w:left="720"/>
      <w:contextualSpacing/>
    </w:pPr>
  </w:style>
  <w:style w:type="paragraph" w:styleId="CommentText">
    <w:name w:val="annotation text"/>
    <w:basedOn w:val="Normal"/>
    <w:link w:val="CommentTextChar"/>
    <w:uiPriority w:val="99"/>
    <w:rsid w:val="00AB64D2"/>
    <w:rPr>
      <w:iCs/>
      <w:sz w:val="20"/>
      <w:szCs w:val="20"/>
      <w:lang w:val="en-GB" w:eastAsia="en-US"/>
    </w:rPr>
  </w:style>
  <w:style w:type="character" w:customStyle="1" w:styleId="CommentTextChar">
    <w:name w:val="Comment Text Char"/>
    <w:basedOn w:val="DefaultParagraphFont"/>
    <w:link w:val="CommentText"/>
    <w:uiPriority w:val="99"/>
    <w:rsid w:val="00AB64D2"/>
    <w:rPr>
      <w:iCs/>
      <w:lang w:val="en-GB" w:eastAsia="en-US"/>
    </w:rPr>
  </w:style>
  <w:style w:type="paragraph" w:styleId="BodyTextIndent">
    <w:name w:val="Body Text Indent"/>
    <w:basedOn w:val="Normal"/>
    <w:link w:val="BodyTextIndentChar"/>
    <w:rsid w:val="000B7151"/>
    <w:pPr>
      <w:spacing w:after="120"/>
      <w:ind w:left="283"/>
    </w:pPr>
  </w:style>
  <w:style w:type="character" w:customStyle="1" w:styleId="BodyTextIndentChar">
    <w:name w:val="Body Text Indent Char"/>
    <w:basedOn w:val="DefaultParagraphFont"/>
    <w:link w:val="BodyTextIndent"/>
    <w:rsid w:val="000B7151"/>
    <w:rPr>
      <w:sz w:val="24"/>
      <w:szCs w:val="24"/>
    </w:rPr>
  </w:style>
  <w:style w:type="character" w:customStyle="1" w:styleId="HeaderChar">
    <w:name w:val="Header Char"/>
    <w:basedOn w:val="DefaultParagraphFont"/>
    <w:link w:val="Header"/>
    <w:uiPriority w:val="99"/>
    <w:rsid w:val="005A20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10374">
      <w:bodyDiv w:val="1"/>
      <w:marLeft w:val="0"/>
      <w:marRight w:val="0"/>
      <w:marTop w:val="0"/>
      <w:marBottom w:val="0"/>
      <w:divBdr>
        <w:top w:val="none" w:sz="0" w:space="0" w:color="auto"/>
        <w:left w:val="none" w:sz="0" w:space="0" w:color="auto"/>
        <w:bottom w:val="none" w:sz="0" w:space="0" w:color="auto"/>
        <w:right w:val="none" w:sz="0" w:space="0" w:color="auto"/>
      </w:divBdr>
    </w:div>
    <w:div w:id="46613783">
      <w:bodyDiv w:val="1"/>
      <w:marLeft w:val="0"/>
      <w:marRight w:val="0"/>
      <w:marTop w:val="0"/>
      <w:marBottom w:val="0"/>
      <w:divBdr>
        <w:top w:val="none" w:sz="0" w:space="0" w:color="auto"/>
        <w:left w:val="none" w:sz="0" w:space="0" w:color="auto"/>
        <w:bottom w:val="none" w:sz="0" w:space="0" w:color="auto"/>
        <w:right w:val="none" w:sz="0" w:space="0" w:color="auto"/>
      </w:divBdr>
    </w:div>
    <w:div w:id="69350627">
      <w:bodyDiv w:val="1"/>
      <w:marLeft w:val="0"/>
      <w:marRight w:val="0"/>
      <w:marTop w:val="0"/>
      <w:marBottom w:val="0"/>
      <w:divBdr>
        <w:top w:val="none" w:sz="0" w:space="0" w:color="auto"/>
        <w:left w:val="none" w:sz="0" w:space="0" w:color="auto"/>
        <w:bottom w:val="none" w:sz="0" w:space="0" w:color="auto"/>
        <w:right w:val="none" w:sz="0" w:space="0" w:color="auto"/>
      </w:divBdr>
    </w:div>
    <w:div w:id="178199432">
      <w:bodyDiv w:val="1"/>
      <w:marLeft w:val="0"/>
      <w:marRight w:val="0"/>
      <w:marTop w:val="0"/>
      <w:marBottom w:val="0"/>
      <w:divBdr>
        <w:top w:val="none" w:sz="0" w:space="0" w:color="auto"/>
        <w:left w:val="none" w:sz="0" w:space="0" w:color="auto"/>
        <w:bottom w:val="none" w:sz="0" w:space="0" w:color="auto"/>
        <w:right w:val="none" w:sz="0" w:space="0" w:color="auto"/>
      </w:divBdr>
    </w:div>
    <w:div w:id="190807734">
      <w:bodyDiv w:val="1"/>
      <w:marLeft w:val="0"/>
      <w:marRight w:val="0"/>
      <w:marTop w:val="0"/>
      <w:marBottom w:val="0"/>
      <w:divBdr>
        <w:top w:val="none" w:sz="0" w:space="0" w:color="auto"/>
        <w:left w:val="none" w:sz="0" w:space="0" w:color="auto"/>
        <w:bottom w:val="none" w:sz="0" w:space="0" w:color="auto"/>
        <w:right w:val="none" w:sz="0" w:space="0" w:color="auto"/>
      </w:divBdr>
    </w:div>
    <w:div w:id="261308022">
      <w:bodyDiv w:val="1"/>
      <w:marLeft w:val="0"/>
      <w:marRight w:val="0"/>
      <w:marTop w:val="0"/>
      <w:marBottom w:val="0"/>
      <w:divBdr>
        <w:top w:val="none" w:sz="0" w:space="0" w:color="auto"/>
        <w:left w:val="none" w:sz="0" w:space="0" w:color="auto"/>
        <w:bottom w:val="none" w:sz="0" w:space="0" w:color="auto"/>
        <w:right w:val="none" w:sz="0" w:space="0" w:color="auto"/>
      </w:divBdr>
    </w:div>
    <w:div w:id="389887618">
      <w:bodyDiv w:val="1"/>
      <w:marLeft w:val="0"/>
      <w:marRight w:val="0"/>
      <w:marTop w:val="0"/>
      <w:marBottom w:val="0"/>
      <w:divBdr>
        <w:top w:val="none" w:sz="0" w:space="0" w:color="auto"/>
        <w:left w:val="none" w:sz="0" w:space="0" w:color="auto"/>
        <w:bottom w:val="none" w:sz="0" w:space="0" w:color="auto"/>
        <w:right w:val="none" w:sz="0" w:space="0" w:color="auto"/>
      </w:divBdr>
    </w:div>
    <w:div w:id="522550888">
      <w:bodyDiv w:val="1"/>
      <w:marLeft w:val="0"/>
      <w:marRight w:val="0"/>
      <w:marTop w:val="0"/>
      <w:marBottom w:val="0"/>
      <w:divBdr>
        <w:top w:val="none" w:sz="0" w:space="0" w:color="auto"/>
        <w:left w:val="none" w:sz="0" w:space="0" w:color="auto"/>
        <w:bottom w:val="none" w:sz="0" w:space="0" w:color="auto"/>
        <w:right w:val="none" w:sz="0" w:space="0" w:color="auto"/>
      </w:divBdr>
    </w:div>
    <w:div w:id="595408290">
      <w:bodyDiv w:val="1"/>
      <w:marLeft w:val="0"/>
      <w:marRight w:val="0"/>
      <w:marTop w:val="0"/>
      <w:marBottom w:val="0"/>
      <w:divBdr>
        <w:top w:val="none" w:sz="0" w:space="0" w:color="auto"/>
        <w:left w:val="none" w:sz="0" w:space="0" w:color="auto"/>
        <w:bottom w:val="none" w:sz="0" w:space="0" w:color="auto"/>
        <w:right w:val="none" w:sz="0" w:space="0" w:color="auto"/>
      </w:divBdr>
    </w:div>
    <w:div w:id="652608052">
      <w:bodyDiv w:val="1"/>
      <w:marLeft w:val="0"/>
      <w:marRight w:val="0"/>
      <w:marTop w:val="0"/>
      <w:marBottom w:val="0"/>
      <w:divBdr>
        <w:top w:val="none" w:sz="0" w:space="0" w:color="auto"/>
        <w:left w:val="none" w:sz="0" w:space="0" w:color="auto"/>
        <w:bottom w:val="none" w:sz="0" w:space="0" w:color="auto"/>
        <w:right w:val="none" w:sz="0" w:space="0" w:color="auto"/>
      </w:divBdr>
    </w:div>
    <w:div w:id="687173159">
      <w:bodyDiv w:val="1"/>
      <w:marLeft w:val="0"/>
      <w:marRight w:val="0"/>
      <w:marTop w:val="0"/>
      <w:marBottom w:val="0"/>
      <w:divBdr>
        <w:top w:val="none" w:sz="0" w:space="0" w:color="auto"/>
        <w:left w:val="none" w:sz="0" w:space="0" w:color="auto"/>
        <w:bottom w:val="none" w:sz="0" w:space="0" w:color="auto"/>
        <w:right w:val="none" w:sz="0" w:space="0" w:color="auto"/>
      </w:divBdr>
    </w:div>
    <w:div w:id="774786157">
      <w:bodyDiv w:val="1"/>
      <w:marLeft w:val="0"/>
      <w:marRight w:val="0"/>
      <w:marTop w:val="0"/>
      <w:marBottom w:val="0"/>
      <w:divBdr>
        <w:top w:val="none" w:sz="0" w:space="0" w:color="auto"/>
        <w:left w:val="none" w:sz="0" w:space="0" w:color="auto"/>
        <w:bottom w:val="none" w:sz="0" w:space="0" w:color="auto"/>
        <w:right w:val="none" w:sz="0" w:space="0" w:color="auto"/>
      </w:divBdr>
    </w:div>
    <w:div w:id="807816701">
      <w:bodyDiv w:val="1"/>
      <w:marLeft w:val="0"/>
      <w:marRight w:val="0"/>
      <w:marTop w:val="0"/>
      <w:marBottom w:val="0"/>
      <w:divBdr>
        <w:top w:val="none" w:sz="0" w:space="0" w:color="auto"/>
        <w:left w:val="none" w:sz="0" w:space="0" w:color="auto"/>
        <w:bottom w:val="none" w:sz="0" w:space="0" w:color="auto"/>
        <w:right w:val="none" w:sz="0" w:space="0" w:color="auto"/>
      </w:divBdr>
    </w:div>
    <w:div w:id="892545345">
      <w:bodyDiv w:val="1"/>
      <w:marLeft w:val="0"/>
      <w:marRight w:val="0"/>
      <w:marTop w:val="0"/>
      <w:marBottom w:val="0"/>
      <w:divBdr>
        <w:top w:val="none" w:sz="0" w:space="0" w:color="auto"/>
        <w:left w:val="none" w:sz="0" w:space="0" w:color="auto"/>
        <w:bottom w:val="none" w:sz="0" w:space="0" w:color="auto"/>
        <w:right w:val="none" w:sz="0" w:space="0" w:color="auto"/>
      </w:divBdr>
    </w:div>
    <w:div w:id="908272361">
      <w:bodyDiv w:val="1"/>
      <w:marLeft w:val="0"/>
      <w:marRight w:val="0"/>
      <w:marTop w:val="0"/>
      <w:marBottom w:val="0"/>
      <w:divBdr>
        <w:top w:val="none" w:sz="0" w:space="0" w:color="auto"/>
        <w:left w:val="none" w:sz="0" w:space="0" w:color="auto"/>
        <w:bottom w:val="none" w:sz="0" w:space="0" w:color="auto"/>
        <w:right w:val="none" w:sz="0" w:space="0" w:color="auto"/>
      </w:divBdr>
    </w:div>
    <w:div w:id="911816010">
      <w:bodyDiv w:val="1"/>
      <w:marLeft w:val="0"/>
      <w:marRight w:val="0"/>
      <w:marTop w:val="0"/>
      <w:marBottom w:val="0"/>
      <w:divBdr>
        <w:top w:val="none" w:sz="0" w:space="0" w:color="auto"/>
        <w:left w:val="none" w:sz="0" w:space="0" w:color="auto"/>
        <w:bottom w:val="none" w:sz="0" w:space="0" w:color="auto"/>
        <w:right w:val="none" w:sz="0" w:space="0" w:color="auto"/>
      </w:divBdr>
    </w:div>
    <w:div w:id="1063680381">
      <w:bodyDiv w:val="1"/>
      <w:marLeft w:val="0"/>
      <w:marRight w:val="0"/>
      <w:marTop w:val="0"/>
      <w:marBottom w:val="0"/>
      <w:divBdr>
        <w:top w:val="none" w:sz="0" w:space="0" w:color="auto"/>
        <w:left w:val="none" w:sz="0" w:space="0" w:color="auto"/>
        <w:bottom w:val="none" w:sz="0" w:space="0" w:color="auto"/>
        <w:right w:val="none" w:sz="0" w:space="0" w:color="auto"/>
      </w:divBdr>
    </w:div>
    <w:div w:id="1146774308">
      <w:bodyDiv w:val="1"/>
      <w:marLeft w:val="0"/>
      <w:marRight w:val="0"/>
      <w:marTop w:val="0"/>
      <w:marBottom w:val="0"/>
      <w:divBdr>
        <w:top w:val="none" w:sz="0" w:space="0" w:color="auto"/>
        <w:left w:val="none" w:sz="0" w:space="0" w:color="auto"/>
        <w:bottom w:val="none" w:sz="0" w:space="0" w:color="auto"/>
        <w:right w:val="none" w:sz="0" w:space="0" w:color="auto"/>
      </w:divBdr>
    </w:div>
    <w:div w:id="1326474654">
      <w:bodyDiv w:val="1"/>
      <w:marLeft w:val="0"/>
      <w:marRight w:val="0"/>
      <w:marTop w:val="0"/>
      <w:marBottom w:val="0"/>
      <w:divBdr>
        <w:top w:val="none" w:sz="0" w:space="0" w:color="auto"/>
        <w:left w:val="none" w:sz="0" w:space="0" w:color="auto"/>
        <w:bottom w:val="none" w:sz="0" w:space="0" w:color="auto"/>
        <w:right w:val="none" w:sz="0" w:space="0" w:color="auto"/>
      </w:divBdr>
    </w:div>
    <w:div w:id="1385518950">
      <w:bodyDiv w:val="1"/>
      <w:marLeft w:val="0"/>
      <w:marRight w:val="0"/>
      <w:marTop w:val="0"/>
      <w:marBottom w:val="0"/>
      <w:divBdr>
        <w:top w:val="none" w:sz="0" w:space="0" w:color="auto"/>
        <w:left w:val="none" w:sz="0" w:space="0" w:color="auto"/>
        <w:bottom w:val="none" w:sz="0" w:space="0" w:color="auto"/>
        <w:right w:val="none" w:sz="0" w:space="0" w:color="auto"/>
      </w:divBdr>
    </w:div>
    <w:div w:id="1443842051">
      <w:bodyDiv w:val="1"/>
      <w:marLeft w:val="0"/>
      <w:marRight w:val="0"/>
      <w:marTop w:val="0"/>
      <w:marBottom w:val="0"/>
      <w:divBdr>
        <w:top w:val="none" w:sz="0" w:space="0" w:color="auto"/>
        <w:left w:val="none" w:sz="0" w:space="0" w:color="auto"/>
        <w:bottom w:val="none" w:sz="0" w:space="0" w:color="auto"/>
        <w:right w:val="none" w:sz="0" w:space="0" w:color="auto"/>
      </w:divBdr>
    </w:div>
    <w:div w:id="1702053433">
      <w:bodyDiv w:val="1"/>
      <w:marLeft w:val="0"/>
      <w:marRight w:val="0"/>
      <w:marTop w:val="0"/>
      <w:marBottom w:val="0"/>
      <w:divBdr>
        <w:top w:val="none" w:sz="0" w:space="0" w:color="auto"/>
        <w:left w:val="none" w:sz="0" w:space="0" w:color="auto"/>
        <w:bottom w:val="none" w:sz="0" w:space="0" w:color="auto"/>
        <w:right w:val="none" w:sz="0" w:space="0" w:color="auto"/>
      </w:divBdr>
    </w:div>
    <w:div w:id="1922056028">
      <w:bodyDiv w:val="1"/>
      <w:marLeft w:val="0"/>
      <w:marRight w:val="0"/>
      <w:marTop w:val="0"/>
      <w:marBottom w:val="0"/>
      <w:divBdr>
        <w:top w:val="none" w:sz="0" w:space="0" w:color="auto"/>
        <w:left w:val="none" w:sz="0" w:space="0" w:color="auto"/>
        <w:bottom w:val="none" w:sz="0" w:space="0" w:color="auto"/>
        <w:right w:val="none" w:sz="0" w:space="0" w:color="auto"/>
      </w:divBdr>
    </w:div>
    <w:div w:id="1923760221">
      <w:bodyDiv w:val="1"/>
      <w:marLeft w:val="0"/>
      <w:marRight w:val="0"/>
      <w:marTop w:val="0"/>
      <w:marBottom w:val="0"/>
      <w:divBdr>
        <w:top w:val="none" w:sz="0" w:space="0" w:color="auto"/>
        <w:left w:val="none" w:sz="0" w:space="0" w:color="auto"/>
        <w:bottom w:val="none" w:sz="0" w:space="0" w:color="auto"/>
        <w:right w:val="none" w:sz="0" w:space="0" w:color="auto"/>
      </w:divBdr>
    </w:div>
    <w:div w:id="2031836668">
      <w:bodyDiv w:val="1"/>
      <w:marLeft w:val="0"/>
      <w:marRight w:val="0"/>
      <w:marTop w:val="0"/>
      <w:marBottom w:val="0"/>
      <w:divBdr>
        <w:top w:val="none" w:sz="0" w:space="0" w:color="auto"/>
        <w:left w:val="none" w:sz="0" w:space="0" w:color="auto"/>
        <w:bottom w:val="none" w:sz="0" w:space="0" w:color="auto"/>
        <w:right w:val="none" w:sz="0" w:space="0" w:color="auto"/>
      </w:divBdr>
    </w:div>
    <w:div w:id="2038702383">
      <w:bodyDiv w:val="1"/>
      <w:marLeft w:val="45"/>
      <w:marRight w:val="45"/>
      <w:marTop w:val="90"/>
      <w:marBottom w:val="90"/>
      <w:divBdr>
        <w:top w:val="none" w:sz="0" w:space="0" w:color="auto"/>
        <w:left w:val="none" w:sz="0" w:space="0" w:color="auto"/>
        <w:bottom w:val="none" w:sz="0" w:space="0" w:color="auto"/>
        <w:right w:val="none" w:sz="0" w:space="0" w:color="auto"/>
      </w:divBdr>
      <w:divsChild>
        <w:div w:id="547572571">
          <w:marLeft w:val="0"/>
          <w:marRight w:val="0"/>
          <w:marTop w:val="0"/>
          <w:marBottom w:val="567"/>
          <w:divBdr>
            <w:top w:val="none" w:sz="0" w:space="0" w:color="auto"/>
            <w:left w:val="none" w:sz="0" w:space="0" w:color="auto"/>
            <w:bottom w:val="none" w:sz="0" w:space="0" w:color="auto"/>
            <w:right w:val="none" w:sz="0" w:space="0" w:color="auto"/>
          </w:divBdr>
        </w:div>
      </w:divsChild>
    </w:div>
    <w:div w:id="214672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Vanda.Zoldnere@fm.gov.l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990F27D2D272441AA8BDAE99769EA4C" ma:contentTypeVersion="5" ma:contentTypeDescription="Izveidot jaunu dokumentu." ma:contentTypeScope="" ma:versionID="d780cec5b4544b12e643cf21b2d359eb">
  <xsd:schema xmlns:xsd="http://www.w3.org/2001/XMLSchema" xmlns:p="http://schemas.microsoft.com/office/2006/metadata/properties" xmlns:ns1="2e5bb04e-596e-45bd-9003-43ca78b1ba16" targetNamespace="http://schemas.microsoft.com/office/2006/metadata/properties" ma:root="true" ma:fieldsID="40e3d481ede969392390a0f96e9dbf0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79D73D21-997D-40D6-8E8F-28E2C0C7B203}"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 xsi:nil="true"/>
    <Kategorija xmlns="2e5bb04e-596e-45bd-9003-43ca78b1ba16"/>
    <DKP xmlns="2e5bb04e-596e-45bd-9003-43ca78b1ba1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3ED76-B23B-48AF-A457-61868716B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75B87B4-5329-41D0-B40D-2B8A4DFD606D}">
  <ds:schemaRefs>
    <ds:schemaRef ds:uri="http://schemas.microsoft.com/sharepoint/v3/contenttype/forms"/>
  </ds:schemaRefs>
</ds:datastoreItem>
</file>

<file path=customXml/itemProps3.xml><?xml version="1.0" encoding="utf-8"?>
<ds:datastoreItem xmlns:ds="http://schemas.openxmlformats.org/officeDocument/2006/customXml" ds:itemID="{1F56B7DA-6407-4D9D-837B-9835999FFDA8}">
  <ds:schemaRefs>
    <ds:schemaRef ds:uri="http://schemas.microsoft.com/office/2006/metadata/properties"/>
    <ds:schemaRef ds:uri="2e5bb04e-596e-45bd-9003-43ca78b1ba16"/>
  </ds:schemaRefs>
</ds:datastoreItem>
</file>

<file path=customXml/itemProps4.xml><?xml version="1.0" encoding="utf-8"?>
<ds:datastoreItem xmlns:ds="http://schemas.openxmlformats.org/officeDocument/2006/customXml" ds:itemID="{22A36627-C2A9-4725-85D5-1E94B5DFC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2267</Words>
  <Characters>17439</Characters>
  <Application>Microsoft Office Word</Application>
  <DocSecurity>0</DocSecurity>
  <Lines>917</Lines>
  <Paragraphs>371</Paragraphs>
  <ScaleCrop>false</ScaleCrop>
  <HeadingPairs>
    <vt:vector size="2" baseType="variant">
      <vt:variant>
        <vt:lpstr>Title</vt:lpstr>
      </vt:variant>
      <vt:variant>
        <vt:i4>1</vt:i4>
      </vt:variant>
    </vt:vector>
  </HeadingPairs>
  <TitlesOfParts>
    <vt:vector size="1" baseType="lpstr">
      <vt:lpstr>Likumprojekts "Grozījumi likumā "Par iedzīvotāju ienākuma nodokli""</vt:lpstr>
    </vt:vector>
  </TitlesOfParts>
  <Company>FM</Company>
  <LinksUpToDate>false</LinksUpToDate>
  <CharactersWithSpaces>19335</CharactersWithSpaces>
  <SharedDoc>false</SharedDoc>
  <HLinks>
    <vt:vector size="12" baseType="variant">
      <vt:variant>
        <vt:i4>1703968</vt:i4>
      </vt:variant>
      <vt:variant>
        <vt:i4>6</vt:i4>
      </vt:variant>
      <vt:variant>
        <vt:i4>0</vt:i4>
      </vt:variant>
      <vt:variant>
        <vt:i4>5</vt:i4>
      </vt:variant>
      <vt:variant>
        <vt:lpwstr>mailto:Inese.Veinberga@fm.gov.lv</vt:lpwstr>
      </vt:variant>
      <vt:variant>
        <vt:lpwstr/>
      </vt:variant>
      <vt:variant>
        <vt:i4>7602212</vt:i4>
      </vt:variant>
      <vt:variant>
        <vt:i4>0</vt:i4>
      </vt:variant>
      <vt:variant>
        <vt:i4>0</vt:i4>
      </vt:variant>
      <vt:variant>
        <vt:i4>5</vt:i4>
      </vt:variant>
      <vt:variant>
        <vt:lpwstr>http://www.likumi.lv/doc.php?id=171009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"Par iedzīvotāju ienākuma nodokli""</dc:title>
  <dc:subject>Anotācija</dc:subject>
  <dc:creator>vanda.zoldnere@fm.gov.lv</dc:creator>
  <cp:keywords/>
  <dc:description/>
  <cp:lastModifiedBy>it-berna</cp:lastModifiedBy>
  <cp:revision>5</cp:revision>
  <cp:lastPrinted>2013-07-29T13:38:00Z</cp:lastPrinted>
  <dcterms:created xsi:type="dcterms:W3CDTF">2013-07-30T05:59:00Z</dcterms:created>
  <dcterms:modified xsi:type="dcterms:W3CDTF">2013-08-01T12:58:00Z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0x0101007990F27D2D272441AA8BDAE99769EA4C</vt:lpwstr>
  </property>
</Properties>
</file>