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F7" w:rsidRPr="00B72528" w:rsidRDefault="00F14A64" w:rsidP="00B72528">
      <w:pPr>
        <w:jc w:val="center"/>
        <w:rPr>
          <w:rFonts w:cs="Times New Roman"/>
          <w:b/>
          <w:szCs w:val="28"/>
        </w:rPr>
      </w:pPr>
      <w:bookmarkStart w:id="0" w:name="OLE_LINK1"/>
      <w:bookmarkStart w:id="1" w:name="OLE_LINK2"/>
      <w:bookmarkStart w:id="2" w:name="OLE_LINK3"/>
      <w:bookmarkStart w:id="3" w:name="_GoBack"/>
      <w:bookmarkEnd w:id="3"/>
      <w:r w:rsidRPr="00F14A64">
        <w:rPr>
          <w:rFonts w:eastAsia="Times New Roman" w:cs="Times New Roman"/>
          <w:b/>
          <w:bCs/>
          <w:szCs w:val="28"/>
          <w:lang w:eastAsia="lv-LV"/>
        </w:rPr>
        <w:t>Civillikuma 1073.pantā un likuma „Par atjaunotā Latvijas Republikas 1937.gada Civillikuma ievada, mantojuma tiesību un lietu tiesību daļas spēkā stāšanās laiku un kārtību” 14. panta otrajā daļā paredzēto valsts pirmpirkuma vai izpirkuma tiesību izmantošanas kārtība</w:t>
      </w:r>
      <w:r w:rsidR="00371702">
        <w:rPr>
          <w:rFonts w:eastAsia="Times New Roman" w:cs="Times New Roman"/>
          <w:b/>
          <w:bCs/>
          <w:szCs w:val="28"/>
          <w:lang w:eastAsia="lv-LV"/>
        </w:rPr>
        <w:t>”</w:t>
      </w:r>
      <w:r w:rsidR="004C18F7" w:rsidRPr="00417678">
        <w:rPr>
          <w:rFonts w:eastAsia="Times New Roman" w:cs="Times New Roman"/>
          <w:b/>
          <w:bCs/>
          <w:szCs w:val="28"/>
          <w:lang w:eastAsia="lv-LV"/>
        </w:rPr>
        <w:t xml:space="preserve"> sākotnējās ietekmes novērtējuma ziņojums (anotācija)</w:t>
      </w:r>
    </w:p>
    <w:bookmarkEnd w:id="0"/>
    <w:bookmarkEnd w:id="1"/>
    <w:bookmarkEnd w:id="2"/>
    <w:p w:rsidR="004C18F7" w:rsidRPr="004C18F7" w:rsidRDefault="004C18F7" w:rsidP="004C18F7">
      <w:pPr>
        <w:jc w:val="center"/>
        <w:rPr>
          <w:rFonts w:eastAsia="Times New Roman" w:cs="Times New Roman"/>
          <w:sz w:val="24"/>
          <w:szCs w:val="24"/>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2184"/>
        <w:gridCol w:w="6392"/>
      </w:tblGrid>
      <w:tr w:rsidR="004C18F7" w:rsidRPr="004C18F7" w:rsidTr="00637A42">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b/>
                <w:bCs/>
                <w:sz w:val="24"/>
                <w:szCs w:val="24"/>
                <w:lang w:eastAsia="lv-LV"/>
              </w:rPr>
              <w:t> I. Tiesību akta projekta izstrādes nepieciešamība</w:t>
            </w:r>
          </w:p>
        </w:tc>
      </w:tr>
      <w:tr w:rsidR="001A62FF" w:rsidRPr="004C18F7" w:rsidTr="00637A42">
        <w:trPr>
          <w:trHeight w:val="630"/>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1.</w:t>
            </w:r>
          </w:p>
        </w:tc>
        <w:tc>
          <w:tcPr>
            <w:tcW w:w="2184"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Pamatojums</w:t>
            </w:r>
          </w:p>
        </w:tc>
        <w:tc>
          <w:tcPr>
            <w:tcW w:w="6392" w:type="dxa"/>
            <w:tcBorders>
              <w:top w:val="outset" w:sz="6" w:space="0" w:color="auto"/>
              <w:left w:val="outset" w:sz="6" w:space="0" w:color="auto"/>
              <w:bottom w:val="outset" w:sz="6" w:space="0" w:color="auto"/>
              <w:right w:val="outset" w:sz="6" w:space="0" w:color="auto"/>
            </w:tcBorders>
            <w:hideMark/>
          </w:tcPr>
          <w:p w:rsidR="004C18F7" w:rsidRPr="009C5A84" w:rsidRDefault="008F49B0" w:rsidP="008D50F7">
            <w:pPr>
              <w:jc w:val="both"/>
              <w:rPr>
                <w:rFonts w:cs="Times New Roman"/>
                <w:sz w:val="24"/>
                <w:szCs w:val="24"/>
              </w:rPr>
            </w:pPr>
            <w:r w:rsidRPr="009C5A84">
              <w:rPr>
                <w:rFonts w:eastAsia="Times New Roman" w:cs="Times New Roman"/>
                <w:bCs/>
                <w:kern w:val="36"/>
                <w:sz w:val="24"/>
                <w:szCs w:val="24"/>
                <w:lang w:eastAsia="lv-LV"/>
              </w:rPr>
              <w:t>Tiesību aktu projektu Finanšu ministrija izstrādājusi pēc savas iniciatīvas</w:t>
            </w:r>
            <w:r w:rsidR="009C5A84" w:rsidRPr="009C5A84">
              <w:rPr>
                <w:rFonts w:eastAsia="Times New Roman" w:cs="Times New Roman"/>
                <w:bCs/>
                <w:kern w:val="36"/>
                <w:sz w:val="24"/>
                <w:szCs w:val="24"/>
                <w:lang w:eastAsia="lv-LV"/>
              </w:rPr>
              <w:t>.</w:t>
            </w:r>
          </w:p>
        </w:tc>
      </w:tr>
      <w:tr w:rsidR="001A62FF" w:rsidRPr="004C18F7" w:rsidTr="00637A42">
        <w:trPr>
          <w:trHeight w:val="472"/>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2.</w:t>
            </w:r>
          </w:p>
        </w:tc>
        <w:tc>
          <w:tcPr>
            <w:tcW w:w="2184"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Pašreizējā situācija un problēmas</w:t>
            </w:r>
          </w:p>
        </w:tc>
        <w:tc>
          <w:tcPr>
            <w:tcW w:w="6392" w:type="dxa"/>
            <w:tcBorders>
              <w:top w:val="outset" w:sz="6" w:space="0" w:color="auto"/>
              <w:left w:val="outset" w:sz="6" w:space="0" w:color="auto"/>
              <w:bottom w:val="outset" w:sz="6" w:space="0" w:color="auto"/>
              <w:right w:val="outset" w:sz="6" w:space="0" w:color="auto"/>
            </w:tcBorders>
            <w:hideMark/>
          </w:tcPr>
          <w:p w:rsidR="00183824" w:rsidRDefault="008F49B0" w:rsidP="00FD6A7C">
            <w:pPr>
              <w:pStyle w:val="naisf"/>
              <w:spacing w:before="0" w:beforeAutospacing="0" w:after="0" w:afterAutospacing="0"/>
              <w:jc w:val="both"/>
            </w:pPr>
            <w:bookmarkStart w:id="4" w:name="bkm302"/>
            <w:r w:rsidRPr="00A42993">
              <w:rPr>
                <w:bCs/>
              </w:rPr>
              <w:t xml:space="preserve">Civillikuma 1073.pants nosaka, ja </w:t>
            </w:r>
            <w:r w:rsidRPr="00A42993">
              <w:t>kāds nekustam</w:t>
            </w:r>
            <w:r w:rsidR="00BF71D4">
              <w:t>ā</w:t>
            </w:r>
            <w:r w:rsidRPr="00A42993">
              <w:t xml:space="preserve"> īpašuma kopīpašnieks atsavina savu daļu personai, kura nav kopīpašnieks, tad pārējiem kopīpašniekiem divu mēnešu laikā, skaitot no pirkuma līguma noraksta saņemšanas, pieder pirmpirkuma tiesība (</w:t>
            </w:r>
            <w:bookmarkEnd w:id="4"/>
            <w:r w:rsidR="0099715D" w:rsidRPr="00A42993">
              <w:fldChar w:fldCharType="begin"/>
            </w:r>
            <w:r w:rsidRPr="00A42993">
              <w:instrText xml:space="preserve"> HYPERLINK "http://pro.nais.lv/naiser/text.cfm?Ref=0101011937012832772&amp;Req=0101011937012832772&amp;Key=0101011937012832773&amp;Hash=3" \l "3" \o "Civillikums CETURTĀ DAĻA Saistību tiesības" \t "_top" </w:instrText>
            </w:r>
            <w:r w:rsidR="0099715D" w:rsidRPr="00A42993">
              <w:fldChar w:fldCharType="separate"/>
            </w:r>
            <w:r w:rsidRPr="00A42993">
              <w:rPr>
                <w:rStyle w:val="Hyperlink"/>
              </w:rPr>
              <w:t>2060.p. 2.d. un 2062.p.</w:t>
            </w:r>
            <w:r w:rsidR="0099715D" w:rsidRPr="00A42993">
              <w:fldChar w:fldCharType="end"/>
            </w:r>
            <w:r w:rsidRPr="00A42993">
              <w:t>), bet gadījumos, kad pirmpirkuma tiesību nav bijis iespējams izlietot atsavinātāja vainas dēļ – izpirkuma tiesība (</w:t>
            </w:r>
            <w:hyperlink r:id="rId9" w:anchor="p1381" w:history="1">
              <w:r w:rsidRPr="00A42993">
                <w:rPr>
                  <w:rStyle w:val="Hyperlink"/>
                </w:rPr>
                <w:t>1381.</w:t>
              </w:r>
            </w:hyperlink>
            <w:r w:rsidRPr="00A42993">
              <w:t xml:space="preserve"> un </w:t>
            </w:r>
            <w:proofErr w:type="spellStart"/>
            <w:r w:rsidRPr="00A42993">
              <w:t>turpm.p</w:t>
            </w:r>
            <w:proofErr w:type="spellEnd"/>
            <w:r w:rsidRPr="00A42993">
              <w:t>.).</w:t>
            </w:r>
            <w:r w:rsidR="00183824">
              <w:t xml:space="preserve"> </w:t>
            </w:r>
            <w:r w:rsidR="00A42993" w:rsidRPr="00A42993">
              <w:rPr>
                <w:bCs/>
              </w:rPr>
              <w:t xml:space="preserve">Likuma „Par atjaunotā Latvijas Republikas 1937. gada Civillikuma ievada, mantojuma tiesību un lietu tiesību daļas spēkā stāšanās laiku un kārtību” 14.panta otrā daļa nosaka, </w:t>
            </w:r>
            <w:r w:rsidR="00A42993" w:rsidRPr="00A42993">
              <w:t>j</w:t>
            </w:r>
            <w:r w:rsidRPr="00A42993">
              <w:t>a ēkas (būves) vai augļu dārzs (koki) ir patstāvīgs īpašuma objekts, tā pirmpirkuma vai izpirkuma tiesības ir zemes īpašniekam. Tādas pašas pirmpirkuma vai izpirkuma tiesības ir ēku (būvju) vai augļu dārza (koku) īpašniekam, ja atsavina zemes gabalu.</w:t>
            </w:r>
          </w:p>
          <w:p w:rsidR="00183824" w:rsidRDefault="00A42993" w:rsidP="001867F1">
            <w:pPr>
              <w:pStyle w:val="naisf"/>
              <w:spacing w:before="0" w:beforeAutospacing="0" w:after="0" w:afterAutospacing="0"/>
              <w:jc w:val="both"/>
            </w:pPr>
            <w:r>
              <w:t xml:space="preserve">Šobrīd ir atšķirīga valsts pārvaldes iestāžu prakse </w:t>
            </w:r>
            <w:r w:rsidR="00183824">
              <w:t xml:space="preserve">Civillikuma 1073.pantā un </w:t>
            </w:r>
            <w:r w:rsidR="00183824">
              <w:rPr>
                <w:bCs/>
              </w:rPr>
              <w:t>l</w:t>
            </w:r>
            <w:r w:rsidR="00183824" w:rsidRPr="00A42993">
              <w:rPr>
                <w:bCs/>
              </w:rPr>
              <w:t>ikuma „Par atjaunotā Latvijas Republikas 1937. gada Civillikuma ievada, mantojuma tiesību un lietu tiesību daļas spēkā stāšanās laiku un kārtību”</w:t>
            </w:r>
            <w:r w:rsidR="00183824">
              <w:rPr>
                <w:bCs/>
              </w:rPr>
              <w:t xml:space="preserve"> 14.panta otrajā daļā paredzēto</w:t>
            </w:r>
            <w:r w:rsidR="00183824" w:rsidRPr="00A42993">
              <w:rPr>
                <w:bCs/>
              </w:rPr>
              <w:t xml:space="preserve"> </w:t>
            </w:r>
            <w:r>
              <w:t>pirmpirkuma vai izpirkuma tiesību izmantošanā. Ņemot vērā to, ka normatīvajos aktos nav noteikta īpaša kārtība pirmpirkuma vai izpirkuma tiesību izmantošanai</w:t>
            </w:r>
            <w:r w:rsidR="006C2C1C">
              <w:t>,</w:t>
            </w:r>
            <w:r>
              <w:t xml:space="preserve"> kā arī nav noteikts, ka attiecīgus lēmumus var pieņemt valsts pārvaldes iestāde, kas saņēmusi</w:t>
            </w:r>
            <w:r w:rsidR="006C2C1C">
              <w:t xml:space="preserve"> privātpersonas iesniegumu</w:t>
            </w:r>
            <w:r w:rsidR="00931036">
              <w:t xml:space="preserve"> un pirkuma līguma norakstu</w:t>
            </w:r>
            <w:r>
              <w:t>, attiecīgs lēmums būtu jāpieņem Ministru kabinetam.</w:t>
            </w:r>
            <w:r w:rsidRPr="003D2AC9">
              <w:rPr>
                <w:sz w:val="28"/>
                <w:szCs w:val="28"/>
              </w:rPr>
              <w:t xml:space="preserve"> </w:t>
            </w:r>
            <w:r w:rsidRPr="006C2C1C">
              <w:t>Praksē gadījumi, kad tiek saņemti privātpersonu iesniegumi par pirmpirkuma tiesību izmantošanu, ir pietiekami daudz (valsts akciju sabiedrība „Valsts nekustamie īpašumi” mēnesī saņem vairākus pirmpirkuma ierosinājumus). Ņemot vērā to, ka nebūtu vēlams pārslogot Ministru kabinetu ar attiecīgu lēmumu pieņemšanu,</w:t>
            </w:r>
            <w:r w:rsidR="006C2C1C" w:rsidRPr="006C2C1C">
              <w:t xml:space="preserve"> nepieciešams normatīvais regulējums, kurš paredz kārtību, kādā tiek noskaidrota citu institūciju vajadzība izmantot pirmpirkuma vai izpirkuma tiesības</w:t>
            </w:r>
            <w:r w:rsidR="001867F1">
              <w:t>. J</w:t>
            </w:r>
            <w:r w:rsidR="006C2C1C">
              <w:t xml:space="preserve">a pirmpirkuma vai izpirkuma tiesība netiek izmantota, </w:t>
            </w:r>
            <w:r w:rsidR="001867F1">
              <w:t>attiecīgu jautājumu izskatīšanai Ministru kabineta sēdē nevirza. J</w:t>
            </w:r>
            <w:r w:rsidR="006C2C1C">
              <w:t>a pirmpirkuma vai izpirkuma tiesību nepieciešams izmantot, par to lemj Ministru kabinets, vienlaicīgi lemjot par finansējuma avotu pirkuma maksas segšanai.</w:t>
            </w:r>
          </w:p>
          <w:p w:rsidR="00F20F0B" w:rsidRPr="00183824" w:rsidRDefault="00931036" w:rsidP="00F20F0B">
            <w:pPr>
              <w:pStyle w:val="naisf"/>
              <w:spacing w:before="0" w:beforeAutospacing="0" w:after="0" w:afterAutospacing="0"/>
              <w:ind w:left="-15" w:firstLine="15"/>
              <w:jc w:val="both"/>
            </w:pPr>
            <w:r>
              <w:t xml:space="preserve">Ņemot vērā to, ka pirmpirkuma vai izpirkuma tiesības </w:t>
            </w:r>
            <w:r>
              <w:lastRenderedPageBreak/>
              <w:t>izmantojamas divu mēnešu laikā, skaitot no pirkuma līguma noraksta saņemšanas</w:t>
            </w:r>
            <w:r w:rsidR="00183824">
              <w:t>, tiesību akta projektā paredzēti termiņi attiecīgu darbību veikšana</w:t>
            </w:r>
            <w:r w:rsidR="00183824" w:rsidRPr="00434D9A">
              <w:t>i.</w:t>
            </w:r>
            <w:r w:rsidR="000A379A">
              <w:t xml:space="preserve"> Ja Ministru kabinets</w:t>
            </w:r>
            <w:r w:rsidR="00434D9A" w:rsidRPr="00434D9A">
              <w:t xml:space="preserve"> nepieņem lēmumu noteiktajā termiņā, pirmpirkuma tiesība izbeidzas.</w:t>
            </w:r>
          </w:p>
        </w:tc>
      </w:tr>
      <w:tr w:rsidR="001A62FF" w:rsidRPr="004C18F7" w:rsidTr="00FD6A7C">
        <w:trPr>
          <w:trHeight w:val="814"/>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lastRenderedPageBreak/>
              <w:t> 3.</w:t>
            </w:r>
          </w:p>
        </w:tc>
        <w:tc>
          <w:tcPr>
            <w:tcW w:w="2184"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Saistītie politikas ietekmes novērtējumi un pētījumi</w:t>
            </w:r>
          </w:p>
        </w:tc>
        <w:tc>
          <w:tcPr>
            <w:tcW w:w="6392" w:type="dxa"/>
            <w:tcBorders>
              <w:top w:val="outset" w:sz="6" w:space="0" w:color="auto"/>
              <w:left w:val="outset" w:sz="6" w:space="0" w:color="auto"/>
              <w:bottom w:val="outset" w:sz="6" w:space="0" w:color="auto"/>
              <w:right w:val="outset" w:sz="6" w:space="0" w:color="auto"/>
            </w:tcBorders>
            <w:hideMark/>
          </w:tcPr>
          <w:p w:rsidR="004C18F7" w:rsidRPr="004C18F7" w:rsidRDefault="00C4111D" w:rsidP="002D29BE">
            <w:pPr>
              <w:spacing w:before="100" w:beforeAutospacing="1" w:after="100" w:afterAutospacing="1"/>
              <w:rPr>
                <w:rFonts w:eastAsia="Times New Roman" w:cs="Times New Roman"/>
                <w:sz w:val="24"/>
                <w:szCs w:val="24"/>
                <w:lang w:eastAsia="lv-LV"/>
              </w:rPr>
            </w:pPr>
            <w:r>
              <w:rPr>
                <w:rFonts w:eastAsia="Times New Roman" w:cs="Times New Roman"/>
                <w:sz w:val="24"/>
                <w:szCs w:val="24"/>
                <w:lang w:eastAsia="lv-LV"/>
              </w:rPr>
              <w:t>Nav attiecinām</w:t>
            </w:r>
            <w:r w:rsidR="00FD6A7C">
              <w:rPr>
                <w:rFonts w:eastAsia="Times New Roman" w:cs="Times New Roman"/>
                <w:sz w:val="24"/>
                <w:szCs w:val="24"/>
                <w:lang w:eastAsia="lv-LV"/>
              </w:rPr>
              <w:t>s</w:t>
            </w:r>
          </w:p>
        </w:tc>
      </w:tr>
      <w:tr w:rsidR="001A62FF" w:rsidRPr="004C18F7" w:rsidTr="00637A42">
        <w:trPr>
          <w:trHeight w:val="384"/>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4.</w:t>
            </w:r>
          </w:p>
        </w:tc>
        <w:tc>
          <w:tcPr>
            <w:tcW w:w="2184"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Tiesiskā regulējuma mērķis un būtība</w:t>
            </w:r>
          </w:p>
        </w:tc>
        <w:tc>
          <w:tcPr>
            <w:tcW w:w="6392" w:type="dxa"/>
            <w:tcBorders>
              <w:top w:val="outset" w:sz="6" w:space="0" w:color="auto"/>
              <w:left w:val="outset" w:sz="6" w:space="0" w:color="auto"/>
              <w:bottom w:val="outset" w:sz="6" w:space="0" w:color="auto"/>
              <w:right w:val="outset" w:sz="6" w:space="0" w:color="auto"/>
            </w:tcBorders>
            <w:hideMark/>
          </w:tcPr>
          <w:p w:rsidR="00F30EA8" w:rsidRDefault="00FD6A7C" w:rsidP="000A379A">
            <w:pPr>
              <w:spacing w:before="75" w:after="75"/>
              <w:jc w:val="both"/>
              <w:rPr>
                <w:rFonts w:eastAsia="Times New Roman" w:cs="Times New Roman"/>
                <w:sz w:val="24"/>
                <w:szCs w:val="24"/>
                <w:lang w:eastAsia="lv-LV"/>
              </w:rPr>
            </w:pPr>
            <w:r w:rsidRPr="00FD6A7C">
              <w:rPr>
                <w:rFonts w:eastAsia="Times New Roman" w:cs="Times New Roman"/>
                <w:sz w:val="24"/>
                <w:szCs w:val="24"/>
                <w:lang w:eastAsia="lv-LV"/>
              </w:rPr>
              <w:t xml:space="preserve">Ministru kabineta ieteikumu projekta mērķis ir noteikt vienotu </w:t>
            </w:r>
            <w:r w:rsidRPr="00FD6A7C">
              <w:rPr>
                <w:rFonts w:cs="Times New Roman"/>
                <w:bCs/>
                <w:sz w:val="24"/>
                <w:szCs w:val="24"/>
              </w:rPr>
              <w:t xml:space="preserve">likuma „Par atjaunotā Latvijas Republikas 1937. gada Civillikuma ievada, mantojuma tiesību un lietu tiesību daļas spēkā stāšanās laiku un kārtību” 14. panta otrajā daļā un </w:t>
            </w:r>
            <w:r w:rsidRPr="00FD6A7C">
              <w:rPr>
                <w:rFonts w:eastAsia="Times New Roman" w:cs="Times New Roman"/>
                <w:sz w:val="24"/>
                <w:szCs w:val="24"/>
                <w:lang w:eastAsia="lv-LV"/>
              </w:rPr>
              <w:t>Civillikuma 1073.pantā paredzēto pirmpirkuma vai izpirkuma tiesību izmantošanas kārtību</w:t>
            </w:r>
            <w:r w:rsidR="000A379A">
              <w:rPr>
                <w:rFonts w:eastAsia="Times New Roman" w:cs="Times New Roman"/>
                <w:sz w:val="24"/>
                <w:szCs w:val="24"/>
                <w:lang w:eastAsia="lv-LV"/>
              </w:rPr>
              <w:t xml:space="preserve"> valsts pārvaldē</w:t>
            </w:r>
            <w:r w:rsidRPr="00FD6A7C">
              <w:rPr>
                <w:rFonts w:eastAsia="Times New Roman" w:cs="Times New Roman"/>
                <w:sz w:val="24"/>
                <w:szCs w:val="24"/>
                <w:lang w:eastAsia="lv-LV"/>
              </w:rPr>
              <w:t>.</w:t>
            </w:r>
            <w:r w:rsidR="00F20F0B">
              <w:rPr>
                <w:rFonts w:eastAsia="Times New Roman" w:cs="Times New Roman"/>
                <w:sz w:val="24"/>
                <w:szCs w:val="24"/>
                <w:lang w:eastAsia="lv-LV"/>
              </w:rPr>
              <w:t xml:space="preserve"> </w:t>
            </w:r>
          </w:p>
          <w:p w:rsidR="004C18F7" w:rsidRDefault="00F20F0B" w:rsidP="000A379A">
            <w:pPr>
              <w:spacing w:before="75" w:after="75"/>
              <w:jc w:val="both"/>
              <w:rPr>
                <w:rFonts w:eastAsia="Times New Roman" w:cs="Times New Roman"/>
                <w:sz w:val="24"/>
                <w:szCs w:val="24"/>
                <w:lang w:eastAsia="lv-LV"/>
              </w:rPr>
            </w:pPr>
            <w:r>
              <w:rPr>
                <w:rFonts w:eastAsia="Times New Roman" w:cs="Times New Roman"/>
                <w:sz w:val="24"/>
                <w:szCs w:val="24"/>
                <w:lang w:eastAsia="lv-LV"/>
              </w:rPr>
              <w:t>Ministru kabineta ieteikuma projekts neattiecas uz citos normatīvajos aktos (likums „Par īpaši aizsargājamām dabas teritorijām”, likums „Par kultūras pieminekļu aizsardzību” un likums „Par aviāciju”) noteikto valsts pirmpirkuma tiesību izmantošanas kārtību.</w:t>
            </w:r>
          </w:p>
          <w:p w:rsidR="00FC37F6" w:rsidRDefault="00FC37F6" w:rsidP="000A379A">
            <w:pPr>
              <w:spacing w:before="75" w:after="75"/>
              <w:jc w:val="both"/>
              <w:rPr>
                <w:rFonts w:eastAsia="Times New Roman" w:cs="Times New Roman"/>
                <w:sz w:val="24"/>
                <w:szCs w:val="24"/>
                <w:lang w:eastAsia="lv-LV"/>
              </w:rPr>
            </w:pPr>
            <w:r>
              <w:rPr>
                <w:rFonts w:eastAsia="Times New Roman" w:cs="Times New Roman"/>
                <w:sz w:val="24"/>
                <w:szCs w:val="24"/>
                <w:lang w:eastAsia="lv-LV"/>
              </w:rPr>
              <w:t>Ieteikumu projektā paredzēts, ka:</w:t>
            </w:r>
          </w:p>
          <w:p w:rsidR="00FC37F6" w:rsidRDefault="00FC37F6" w:rsidP="00FC37F6">
            <w:pPr>
              <w:pStyle w:val="ListParagraph"/>
              <w:numPr>
                <w:ilvl w:val="0"/>
                <w:numId w:val="3"/>
              </w:numPr>
              <w:spacing w:before="75" w:after="75"/>
              <w:jc w:val="both"/>
              <w:rPr>
                <w:rFonts w:eastAsia="Times New Roman" w:cs="Times New Roman"/>
                <w:sz w:val="24"/>
                <w:szCs w:val="24"/>
                <w:lang w:eastAsia="lv-LV"/>
              </w:rPr>
            </w:pPr>
            <w:r>
              <w:rPr>
                <w:rFonts w:eastAsia="Times New Roman" w:cs="Times New Roman"/>
                <w:sz w:val="24"/>
                <w:szCs w:val="24"/>
                <w:lang w:eastAsia="lv-LV"/>
              </w:rPr>
              <w:t>Lēmumu par pirmpirkuma tiesību izmantošanu pieņem Ministru kabinets;</w:t>
            </w:r>
          </w:p>
          <w:p w:rsidR="00FC37F6" w:rsidRDefault="00FC37F6" w:rsidP="00FC37F6">
            <w:pPr>
              <w:pStyle w:val="ListParagraph"/>
              <w:numPr>
                <w:ilvl w:val="0"/>
                <w:numId w:val="3"/>
              </w:numPr>
              <w:spacing w:before="75" w:after="75"/>
              <w:jc w:val="both"/>
              <w:rPr>
                <w:rFonts w:eastAsia="Times New Roman" w:cs="Times New Roman"/>
                <w:sz w:val="24"/>
                <w:szCs w:val="24"/>
                <w:lang w:eastAsia="lv-LV"/>
              </w:rPr>
            </w:pPr>
            <w:r>
              <w:rPr>
                <w:rFonts w:eastAsia="Times New Roman" w:cs="Times New Roman"/>
                <w:sz w:val="24"/>
                <w:szCs w:val="24"/>
                <w:lang w:eastAsia="lv-LV"/>
              </w:rPr>
              <w:t>Lēmumu par pirmpirkuma tiesību neizmantošanu pieņem ministrija, iepriekš noskaidrojot citu iestāžu nepieciešamību izmantot pirmpirkuma tiesības.</w:t>
            </w:r>
          </w:p>
          <w:p w:rsidR="00C536D9" w:rsidRDefault="00FC37F6" w:rsidP="00F20B13">
            <w:pPr>
              <w:spacing w:before="75" w:after="75"/>
              <w:jc w:val="both"/>
              <w:rPr>
                <w:rFonts w:cs="Times New Roman"/>
                <w:sz w:val="24"/>
                <w:szCs w:val="24"/>
              </w:rPr>
            </w:pPr>
            <w:r>
              <w:rPr>
                <w:rFonts w:eastAsia="Times New Roman" w:cs="Times New Roman"/>
                <w:sz w:val="24"/>
                <w:szCs w:val="24"/>
                <w:lang w:eastAsia="lv-LV"/>
              </w:rPr>
              <w:t xml:space="preserve">Lai noskaidrotu citu iestāžu nepieciešamību izmantot </w:t>
            </w:r>
            <w:r w:rsidRPr="00FC37F6">
              <w:rPr>
                <w:rFonts w:eastAsia="Times New Roman" w:cs="Times New Roman"/>
                <w:sz w:val="24"/>
                <w:szCs w:val="24"/>
                <w:lang w:eastAsia="lv-LV"/>
              </w:rPr>
              <w:t xml:space="preserve">pirmpirkuma tiesības, informācija par iespēju izmantot pirmpirkuma tiesības tiks </w:t>
            </w:r>
            <w:r w:rsidRPr="00FC37F6">
              <w:rPr>
                <w:rFonts w:cs="Times New Roman"/>
                <w:sz w:val="24"/>
                <w:szCs w:val="24"/>
              </w:rPr>
              <w:t>publicēta valsts akciju sabiedrības „Valsts nekustamie īpašumi” mājas lapā, tādējādi nodrošinot ātru informācijas apriti, kā arī nodrošinot informācijas pieejamību vienuviet un datu analīzes iespējas.</w:t>
            </w:r>
            <w:r w:rsidR="004D4117">
              <w:rPr>
                <w:rFonts w:cs="Times New Roman"/>
                <w:sz w:val="24"/>
                <w:szCs w:val="24"/>
              </w:rPr>
              <w:t xml:space="preserve"> </w:t>
            </w:r>
          </w:p>
          <w:p w:rsidR="00F30EA8" w:rsidRDefault="00F20B13" w:rsidP="00F20B13">
            <w:pPr>
              <w:spacing w:before="75" w:after="75"/>
              <w:jc w:val="both"/>
              <w:rPr>
                <w:rFonts w:cs="Times New Roman"/>
                <w:sz w:val="24"/>
                <w:szCs w:val="24"/>
              </w:rPr>
            </w:pPr>
            <w:r>
              <w:rPr>
                <w:rFonts w:cs="Times New Roman"/>
                <w:sz w:val="24"/>
                <w:szCs w:val="24"/>
              </w:rPr>
              <w:t xml:space="preserve">Ja </w:t>
            </w:r>
            <w:r w:rsidRPr="00F20B13">
              <w:rPr>
                <w:rFonts w:cs="Times New Roman"/>
                <w:sz w:val="24"/>
                <w:szCs w:val="24"/>
              </w:rPr>
              <w:t>ministrija uzskata, ka nepieciešams izmantot pirmpirkuma tiesības uz nekustamo īpašumu, par kuru informācija publicēta valsts akciju sabiedrības „Valsts nekustamie īpašumi” mājas lapā, tā</w:t>
            </w:r>
            <w:r>
              <w:rPr>
                <w:rFonts w:cs="Times New Roman"/>
                <w:sz w:val="24"/>
                <w:szCs w:val="24"/>
              </w:rPr>
              <w:t xml:space="preserve"> </w:t>
            </w:r>
            <w:r w:rsidRPr="00F20B13">
              <w:rPr>
                <w:rFonts w:cs="Times New Roman"/>
                <w:sz w:val="24"/>
                <w:szCs w:val="24"/>
              </w:rPr>
              <w:t>izdara par to atzīmi valsts akciju sabiedrības „Valsts nekustamie īpašumi” mājas lapā</w:t>
            </w:r>
            <w:r>
              <w:rPr>
                <w:rFonts w:cs="Times New Roman"/>
                <w:sz w:val="24"/>
                <w:szCs w:val="24"/>
              </w:rPr>
              <w:t>.</w:t>
            </w:r>
            <w:r w:rsidR="00C536D9">
              <w:rPr>
                <w:rFonts w:cs="Times New Roman"/>
                <w:sz w:val="24"/>
                <w:szCs w:val="24"/>
              </w:rPr>
              <w:t xml:space="preserve"> Lai ministrijai būtu iespēja izdarīt attiecīgu atzīmi valsts akciju sabiedrības „Valsts nekustamie īpašumi” mājas lapā, </w:t>
            </w:r>
            <w:r w:rsidR="00D12F09">
              <w:rPr>
                <w:rFonts w:cs="Times New Roman"/>
                <w:sz w:val="24"/>
                <w:szCs w:val="24"/>
              </w:rPr>
              <w:t>valsts akciju sabiedrība „Valsts nekustamie īpašumi” nodrošinās katrai ministrijai attiecīgu autorizācijas datu pieejamību.</w:t>
            </w:r>
          </w:p>
          <w:p w:rsidR="007764DD" w:rsidRPr="002B7D46" w:rsidRDefault="007764DD" w:rsidP="00F20B13">
            <w:pPr>
              <w:spacing w:before="75" w:after="75"/>
              <w:jc w:val="both"/>
              <w:rPr>
                <w:rFonts w:cs="Times New Roman"/>
                <w:sz w:val="24"/>
                <w:szCs w:val="24"/>
              </w:rPr>
            </w:pPr>
            <w:r w:rsidRPr="002B7D46">
              <w:rPr>
                <w:rFonts w:cs="Times New Roman"/>
                <w:sz w:val="24"/>
                <w:szCs w:val="24"/>
              </w:rPr>
              <w:t>Ja pirmpirkuma tiesības nebūs izmantotas, Ministru kabinetam būs iespēja lemt par nepieciešamību vērsties tiesā, lai izmantotu savas izpirkum</w:t>
            </w:r>
            <w:r w:rsidR="002B7D46" w:rsidRPr="002B7D46">
              <w:rPr>
                <w:rFonts w:cs="Times New Roman"/>
                <w:sz w:val="24"/>
                <w:szCs w:val="24"/>
              </w:rPr>
              <w:t xml:space="preserve">a </w:t>
            </w:r>
            <w:r w:rsidRPr="002B7D46">
              <w:rPr>
                <w:rFonts w:cs="Times New Roman"/>
                <w:sz w:val="24"/>
                <w:szCs w:val="24"/>
              </w:rPr>
              <w:t>tiesības</w:t>
            </w:r>
            <w:r w:rsidR="002B7D46" w:rsidRPr="002B7D46">
              <w:rPr>
                <w:rFonts w:cs="Times New Roman"/>
                <w:sz w:val="24"/>
                <w:szCs w:val="24"/>
              </w:rPr>
              <w:t>.</w:t>
            </w:r>
          </w:p>
          <w:p w:rsidR="002B7D46" w:rsidRPr="00F20B13" w:rsidRDefault="002B7D46" w:rsidP="00F20B13">
            <w:pPr>
              <w:spacing w:before="75" w:after="75"/>
              <w:jc w:val="both"/>
              <w:rPr>
                <w:rFonts w:cs="Times New Roman"/>
                <w:sz w:val="24"/>
                <w:szCs w:val="24"/>
              </w:rPr>
            </w:pPr>
            <w:r w:rsidRPr="002B7D46">
              <w:rPr>
                <w:rFonts w:cs="Times New Roman"/>
                <w:sz w:val="24"/>
                <w:szCs w:val="24"/>
              </w:rPr>
              <w:t>Finanšu ministrija  izpirkuma tiesību izmantošanas gadījumā būs koordinējošā ministrija līdz jautājuma</w:t>
            </w:r>
            <w:r>
              <w:rPr>
                <w:rFonts w:cs="Times New Roman"/>
                <w:sz w:val="24"/>
                <w:szCs w:val="24"/>
              </w:rPr>
              <w:t xml:space="preserve"> par izpirkuma tiesību izmantošanu</w:t>
            </w:r>
            <w:r w:rsidRPr="002B7D46">
              <w:rPr>
                <w:rFonts w:cs="Times New Roman"/>
                <w:sz w:val="24"/>
                <w:szCs w:val="24"/>
              </w:rPr>
              <w:t xml:space="preserve"> izlemšanai Ministru kabinetā.</w:t>
            </w:r>
          </w:p>
        </w:tc>
      </w:tr>
      <w:tr w:rsidR="001A62FF" w:rsidRPr="004C18F7" w:rsidTr="00637A42">
        <w:trPr>
          <w:trHeight w:val="476"/>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lastRenderedPageBreak/>
              <w:t> 5.</w:t>
            </w:r>
          </w:p>
        </w:tc>
        <w:tc>
          <w:tcPr>
            <w:tcW w:w="2184"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Projekta izstrādē iesaistītās institūcijas</w:t>
            </w:r>
          </w:p>
        </w:tc>
        <w:tc>
          <w:tcPr>
            <w:tcW w:w="6392" w:type="dxa"/>
            <w:tcBorders>
              <w:top w:val="outset" w:sz="6" w:space="0" w:color="auto"/>
              <w:left w:val="outset" w:sz="6" w:space="0" w:color="auto"/>
              <w:bottom w:val="outset" w:sz="6" w:space="0" w:color="auto"/>
              <w:right w:val="outset" w:sz="6" w:space="0" w:color="auto"/>
            </w:tcBorders>
            <w:hideMark/>
          </w:tcPr>
          <w:p w:rsidR="004C18F7" w:rsidRPr="004C18F7" w:rsidRDefault="00FD6A7C" w:rsidP="004C18F7">
            <w:pPr>
              <w:spacing w:before="100" w:beforeAutospacing="1" w:after="100" w:afterAutospacing="1"/>
              <w:rPr>
                <w:rFonts w:eastAsia="Times New Roman" w:cs="Times New Roman"/>
                <w:sz w:val="24"/>
                <w:szCs w:val="24"/>
                <w:lang w:eastAsia="lv-LV"/>
              </w:rPr>
            </w:pPr>
            <w:r>
              <w:rPr>
                <w:rFonts w:eastAsia="Times New Roman" w:cs="Times New Roman"/>
                <w:sz w:val="24"/>
                <w:szCs w:val="24"/>
                <w:lang w:eastAsia="lv-LV"/>
              </w:rPr>
              <w:t>Ministru kabineta ieteikumu projektu izstrādājusi Finanšu ministrija.</w:t>
            </w:r>
          </w:p>
        </w:tc>
      </w:tr>
      <w:tr w:rsidR="001A62FF" w:rsidRPr="004C18F7" w:rsidTr="00FD6A7C">
        <w:trPr>
          <w:trHeight w:val="849"/>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6.</w:t>
            </w:r>
          </w:p>
        </w:tc>
        <w:tc>
          <w:tcPr>
            <w:tcW w:w="2184"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Iemesli, kādēļ netika nodrošināta sabiedrības līdzdalība</w:t>
            </w:r>
          </w:p>
        </w:tc>
        <w:tc>
          <w:tcPr>
            <w:tcW w:w="6392" w:type="dxa"/>
            <w:tcBorders>
              <w:top w:val="outset" w:sz="6" w:space="0" w:color="auto"/>
              <w:left w:val="outset" w:sz="6" w:space="0" w:color="auto"/>
              <w:bottom w:val="outset" w:sz="6" w:space="0" w:color="auto"/>
              <w:right w:val="outset" w:sz="6" w:space="0" w:color="auto"/>
            </w:tcBorders>
            <w:hideMark/>
          </w:tcPr>
          <w:p w:rsidR="004C18F7" w:rsidRPr="004C18F7" w:rsidRDefault="00AF69A5" w:rsidP="00FD6A7C">
            <w:pPr>
              <w:spacing w:before="100" w:beforeAutospacing="1" w:after="100" w:afterAutospacing="1"/>
              <w:jc w:val="both"/>
              <w:rPr>
                <w:rFonts w:eastAsia="Times New Roman" w:cs="Times New Roman"/>
                <w:sz w:val="24"/>
                <w:szCs w:val="24"/>
                <w:lang w:eastAsia="lv-LV"/>
              </w:rPr>
            </w:pPr>
            <w:r w:rsidRPr="00AF69A5">
              <w:rPr>
                <w:rFonts w:eastAsia="Calibri" w:cs="Times New Roman"/>
                <w:sz w:val="24"/>
                <w:szCs w:val="24"/>
              </w:rPr>
              <w:t xml:space="preserve">Konsultācijas nav notikušas, jo </w:t>
            </w:r>
            <w:r w:rsidR="00FD6A7C">
              <w:rPr>
                <w:rFonts w:eastAsia="Calibri" w:cs="Times New Roman"/>
                <w:sz w:val="24"/>
                <w:szCs w:val="24"/>
              </w:rPr>
              <w:t>Ministru kabineta ieteikumu projekts ir iekšējais normatīvais akts, kas ir saistošs valsts pārvaldes iestādēm.</w:t>
            </w:r>
          </w:p>
        </w:tc>
      </w:tr>
      <w:tr w:rsidR="001A62FF" w:rsidRPr="004C18F7" w:rsidTr="00637A42">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7.</w:t>
            </w:r>
          </w:p>
        </w:tc>
        <w:tc>
          <w:tcPr>
            <w:tcW w:w="2184"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Cita informācija</w:t>
            </w:r>
          </w:p>
        </w:tc>
        <w:tc>
          <w:tcPr>
            <w:tcW w:w="6392" w:type="dxa"/>
            <w:tcBorders>
              <w:top w:val="outset" w:sz="6" w:space="0" w:color="auto"/>
              <w:left w:val="outset" w:sz="6" w:space="0" w:color="auto"/>
              <w:bottom w:val="outset" w:sz="6" w:space="0" w:color="auto"/>
              <w:right w:val="outset" w:sz="6" w:space="0" w:color="auto"/>
            </w:tcBorders>
            <w:hideMark/>
          </w:tcPr>
          <w:p w:rsidR="004C18F7" w:rsidRPr="004C18F7" w:rsidRDefault="00096AC2" w:rsidP="00AF69A5">
            <w:pPr>
              <w:spacing w:before="100" w:beforeAutospacing="1" w:after="100" w:afterAutospacing="1"/>
              <w:rPr>
                <w:rFonts w:eastAsia="Times New Roman" w:cs="Times New Roman"/>
                <w:sz w:val="24"/>
                <w:szCs w:val="24"/>
                <w:lang w:eastAsia="lv-LV"/>
              </w:rPr>
            </w:pPr>
            <w:r>
              <w:rPr>
                <w:rFonts w:eastAsia="Times New Roman" w:cs="Times New Roman"/>
                <w:sz w:val="24"/>
                <w:szCs w:val="24"/>
                <w:lang w:eastAsia="lv-LV"/>
              </w:rPr>
              <w:t>Nav</w:t>
            </w:r>
          </w:p>
        </w:tc>
      </w:tr>
    </w:tbl>
    <w:p w:rsidR="00C36861" w:rsidRDefault="00C36861" w:rsidP="00FC37F6">
      <w:pPr>
        <w:rPr>
          <w:rFonts w:eastAsia="Times New Roman" w:cs="Times New Roman"/>
          <w:sz w:val="24"/>
          <w:szCs w:val="24"/>
          <w:lang w:eastAsia="lv-LV"/>
        </w:rPr>
      </w:pPr>
    </w:p>
    <w:p w:rsidR="00FC37F6" w:rsidRPr="004C18F7" w:rsidRDefault="004C18F7" w:rsidP="00FC37F6">
      <w:pPr>
        <w:rPr>
          <w:rFonts w:eastAsia="Times New Roman" w:cs="Times New Roman"/>
          <w:sz w:val="24"/>
          <w:szCs w:val="24"/>
          <w:lang w:eastAsia="lv-LV"/>
        </w:rPr>
      </w:pPr>
      <w:r w:rsidRPr="004C18F7">
        <w:rPr>
          <w:rFonts w:eastAsia="Times New Roman" w:cs="Times New Roman"/>
          <w:sz w:val="24"/>
          <w:szCs w:val="24"/>
          <w:lang w:eastAsia="lv-LV"/>
        </w:rPr>
        <w:t> </w:t>
      </w:r>
      <w:r w:rsidR="00FD6A7C">
        <w:rPr>
          <w:rFonts w:eastAsia="Times New Roman" w:cs="Times New Roman"/>
          <w:sz w:val="24"/>
          <w:szCs w:val="24"/>
          <w:lang w:eastAsia="lv-LV"/>
        </w:rPr>
        <w:t>Anotācijas II, III, IV, V, VI un VII sadaļa – nav attiecināms.</w:t>
      </w:r>
    </w:p>
    <w:p w:rsidR="00C36861" w:rsidRDefault="00C36861" w:rsidP="004C18F7">
      <w:pPr>
        <w:spacing w:before="100" w:beforeAutospacing="1" w:after="100" w:afterAutospacing="1"/>
        <w:rPr>
          <w:rFonts w:eastAsia="Times New Roman" w:cs="Times New Roman"/>
          <w:szCs w:val="28"/>
          <w:lang w:eastAsia="lv-LV"/>
        </w:rPr>
      </w:pPr>
    </w:p>
    <w:p w:rsidR="00FD6A7C" w:rsidRPr="009F3AD1" w:rsidRDefault="00637A42" w:rsidP="004C18F7">
      <w:pPr>
        <w:spacing w:before="100" w:beforeAutospacing="1" w:after="100" w:afterAutospacing="1"/>
        <w:rPr>
          <w:rFonts w:eastAsia="Times New Roman" w:cs="Times New Roman"/>
          <w:szCs w:val="28"/>
          <w:lang w:eastAsia="lv-LV"/>
        </w:rPr>
      </w:pPr>
      <w:r w:rsidRPr="00417678">
        <w:rPr>
          <w:rFonts w:eastAsia="Times New Roman" w:cs="Times New Roman"/>
          <w:szCs w:val="28"/>
          <w:lang w:eastAsia="lv-LV"/>
        </w:rPr>
        <w:t xml:space="preserve">Finanšu ministrs                                                                              </w:t>
      </w:r>
      <w:r w:rsidR="00417678">
        <w:rPr>
          <w:rFonts w:eastAsia="Times New Roman" w:cs="Times New Roman"/>
          <w:szCs w:val="28"/>
          <w:lang w:eastAsia="lv-LV"/>
        </w:rPr>
        <w:t xml:space="preserve">          </w:t>
      </w:r>
      <w:r w:rsidR="00FC37F6">
        <w:rPr>
          <w:rFonts w:eastAsia="Times New Roman" w:cs="Times New Roman"/>
          <w:szCs w:val="28"/>
          <w:lang w:eastAsia="lv-LV"/>
        </w:rPr>
        <w:t>A.Vilks</w:t>
      </w:r>
    </w:p>
    <w:p w:rsidR="00C36861" w:rsidRDefault="00C36861" w:rsidP="00637A42">
      <w:pPr>
        <w:rPr>
          <w:rFonts w:eastAsia="Times New Roman" w:cs="Times New Roman"/>
          <w:sz w:val="24"/>
          <w:szCs w:val="24"/>
          <w:lang w:eastAsia="lv-LV"/>
        </w:rPr>
      </w:pPr>
    </w:p>
    <w:p w:rsidR="00C36861" w:rsidRDefault="00C36861" w:rsidP="00637A42">
      <w:pPr>
        <w:rPr>
          <w:rFonts w:eastAsia="Times New Roman" w:cs="Times New Roman"/>
          <w:sz w:val="24"/>
          <w:szCs w:val="24"/>
          <w:lang w:eastAsia="lv-LV"/>
        </w:rPr>
      </w:pPr>
    </w:p>
    <w:p w:rsidR="00C36861" w:rsidRDefault="00C36861" w:rsidP="00637A42">
      <w:pPr>
        <w:rPr>
          <w:rFonts w:eastAsia="Times New Roman" w:cs="Times New Roman"/>
          <w:sz w:val="24"/>
          <w:szCs w:val="24"/>
          <w:lang w:eastAsia="lv-LV"/>
        </w:rPr>
      </w:pPr>
    </w:p>
    <w:p w:rsidR="00C36861" w:rsidRDefault="00C36861" w:rsidP="00637A42">
      <w:pPr>
        <w:rPr>
          <w:rFonts w:eastAsia="Times New Roman" w:cs="Times New Roman"/>
          <w:sz w:val="24"/>
          <w:szCs w:val="24"/>
          <w:lang w:eastAsia="lv-LV"/>
        </w:rPr>
      </w:pPr>
    </w:p>
    <w:p w:rsidR="00C36861" w:rsidRDefault="00C36861"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7764DD" w:rsidRPr="009761A6" w:rsidRDefault="00F14A64" w:rsidP="007764DD">
      <w:pPr>
        <w:pStyle w:val="Header"/>
        <w:tabs>
          <w:tab w:val="clear" w:pos="4153"/>
          <w:tab w:val="clear" w:pos="8306"/>
        </w:tabs>
        <w:rPr>
          <w:bCs/>
          <w:iCs/>
          <w:sz w:val="22"/>
        </w:rPr>
      </w:pPr>
      <w:r>
        <w:rPr>
          <w:sz w:val="22"/>
        </w:rPr>
        <w:t>31</w:t>
      </w:r>
      <w:r w:rsidR="006C69E5">
        <w:rPr>
          <w:bCs/>
          <w:iCs/>
          <w:sz w:val="22"/>
        </w:rPr>
        <w:t>.03</w:t>
      </w:r>
      <w:r w:rsidR="007764DD" w:rsidRPr="009761A6">
        <w:rPr>
          <w:bCs/>
          <w:iCs/>
          <w:sz w:val="22"/>
        </w:rPr>
        <w:t>.2011</w:t>
      </w:r>
      <w:r>
        <w:rPr>
          <w:bCs/>
          <w:iCs/>
          <w:sz w:val="22"/>
        </w:rPr>
        <w:t>. 12:00.</w:t>
      </w:r>
    </w:p>
    <w:p w:rsidR="007764DD" w:rsidRPr="009761A6" w:rsidRDefault="00454D86" w:rsidP="007764DD">
      <w:pPr>
        <w:rPr>
          <w:sz w:val="22"/>
        </w:rPr>
      </w:pPr>
      <w:r>
        <w:rPr>
          <w:sz w:val="22"/>
        </w:rPr>
        <w:t>705</w:t>
      </w:r>
    </w:p>
    <w:p w:rsidR="007764DD" w:rsidRPr="009761A6" w:rsidRDefault="007764DD" w:rsidP="007764DD">
      <w:pPr>
        <w:rPr>
          <w:sz w:val="22"/>
        </w:rPr>
      </w:pPr>
      <w:r w:rsidRPr="009761A6">
        <w:rPr>
          <w:sz w:val="22"/>
        </w:rPr>
        <w:t>Tiesību aktu departamenta</w:t>
      </w:r>
    </w:p>
    <w:p w:rsidR="007764DD" w:rsidRPr="009761A6" w:rsidRDefault="007764DD" w:rsidP="007764DD">
      <w:pPr>
        <w:rPr>
          <w:sz w:val="22"/>
        </w:rPr>
      </w:pPr>
      <w:r w:rsidRPr="009761A6">
        <w:rPr>
          <w:sz w:val="22"/>
        </w:rPr>
        <w:t>Tiesību aktu nodaļas</w:t>
      </w:r>
    </w:p>
    <w:p w:rsidR="007764DD" w:rsidRPr="009761A6" w:rsidRDefault="007764DD" w:rsidP="007764DD">
      <w:pPr>
        <w:rPr>
          <w:sz w:val="22"/>
        </w:rPr>
      </w:pPr>
      <w:r w:rsidRPr="009761A6">
        <w:rPr>
          <w:sz w:val="22"/>
        </w:rPr>
        <w:t>juriskonsults Dainis Špeļs</w:t>
      </w:r>
    </w:p>
    <w:p w:rsidR="007764DD" w:rsidRDefault="007764DD" w:rsidP="007764DD">
      <w:pPr>
        <w:rPr>
          <w:sz w:val="22"/>
        </w:rPr>
      </w:pPr>
      <w:r w:rsidRPr="009761A6">
        <w:rPr>
          <w:sz w:val="22"/>
        </w:rPr>
        <w:t xml:space="preserve">67095640; </w:t>
      </w:r>
      <w:hyperlink r:id="rId10" w:history="1">
        <w:r w:rsidRPr="009761A6">
          <w:rPr>
            <w:rStyle w:val="Hyperlink"/>
            <w:sz w:val="22"/>
          </w:rPr>
          <w:t>dainis.spels@fm.gov.lv</w:t>
        </w:r>
      </w:hyperlink>
    </w:p>
    <w:p w:rsidR="00B86832" w:rsidRPr="00FC37F6" w:rsidRDefault="00B86832">
      <w:pPr>
        <w:rPr>
          <w:rFonts w:eastAsia="Times New Roman" w:cs="Times New Roman"/>
          <w:sz w:val="24"/>
          <w:szCs w:val="24"/>
          <w:lang w:eastAsia="lv-LV"/>
        </w:rPr>
      </w:pPr>
    </w:p>
    <w:sectPr w:rsidR="00B86832" w:rsidRPr="00FC37F6" w:rsidSect="00DB7664">
      <w:headerReference w:type="default" r:id="rId11"/>
      <w:footerReference w:type="defaul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9A1" w:rsidRDefault="00D539A1" w:rsidP="00F711C0">
      <w:r>
        <w:separator/>
      </w:r>
    </w:p>
  </w:endnote>
  <w:endnote w:type="continuationSeparator" w:id="0">
    <w:p w:rsidR="00D539A1" w:rsidRDefault="00D539A1" w:rsidP="00F7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D1" w:rsidRPr="00024892" w:rsidRDefault="00F14A64" w:rsidP="007D575B">
    <w:pPr>
      <w:jc w:val="both"/>
      <w:rPr>
        <w:rFonts w:cs="Times New Roman"/>
        <w:sz w:val="22"/>
      </w:rPr>
    </w:pPr>
    <w:r>
      <w:rPr>
        <w:sz w:val="22"/>
      </w:rPr>
      <w:t>FMAnot_31</w:t>
    </w:r>
    <w:r w:rsidR="00FF03AC">
      <w:rPr>
        <w:sz w:val="22"/>
      </w:rPr>
      <w:t>0311</w:t>
    </w:r>
    <w:r>
      <w:rPr>
        <w:sz w:val="22"/>
      </w:rPr>
      <w:t>_pirmpirkum</w:t>
    </w:r>
    <w:r w:rsidR="009F3AD1" w:rsidRPr="00024892">
      <w:rPr>
        <w:sz w:val="22"/>
      </w:rPr>
      <w:t xml:space="preserve">; </w:t>
    </w:r>
    <w:r w:rsidR="009F3AD1" w:rsidRPr="00024892">
      <w:rPr>
        <w:rFonts w:eastAsia="Times New Roman" w:cs="Times New Roman"/>
        <w:bCs/>
        <w:sz w:val="22"/>
        <w:lang w:eastAsia="lv-LV"/>
      </w:rPr>
      <w:t>Ministru kabineta ieteikumu projekta „</w:t>
    </w:r>
    <w:r w:rsidR="009F3AD1" w:rsidRPr="00024892">
      <w:rPr>
        <w:rFonts w:cs="Times New Roman"/>
        <w:sz w:val="22"/>
      </w:rPr>
      <w:t>Civillikuma 1073.pantā un likuma „Par atjaunotā Latvijas Republikas 1937.gada Civillikuma ievada, mantojuma tiesību un lietu tiesību daļas spēkā stāšanās laiku un kārtību” 14. panta otrajā daļā paredzēto p</w:t>
    </w:r>
    <w:r w:rsidR="007D575B">
      <w:rPr>
        <w:rFonts w:cs="Times New Roman"/>
        <w:sz w:val="22"/>
      </w:rPr>
      <w:t xml:space="preserve">irmpirkuma vai </w:t>
    </w:r>
    <w:r w:rsidR="009F3AD1" w:rsidRPr="00024892">
      <w:rPr>
        <w:rFonts w:cs="Times New Roman"/>
        <w:sz w:val="22"/>
      </w:rPr>
      <w:t>izpirkuma tiesību izmantošanas kārtība</w:t>
    </w:r>
    <w:r w:rsidR="009F3AD1" w:rsidRPr="00024892">
      <w:rPr>
        <w:rFonts w:eastAsia="Times New Roman" w:cs="Times New Roman"/>
        <w:bCs/>
        <w:sz w:val="22"/>
        <w:lang w:eastAsia="lv-LV"/>
      </w:rPr>
      <w:t>” sākotnējās ietekmes novērtējuma ziņojums (anotācija)</w:t>
    </w:r>
  </w:p>
  <w:p w:rsidR="00F711C0" w:rsidRDefault="00F711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890" w:rsidRPr="00024892" w:rsidRDefault="00F14A64" w:rsidP="007D575B">
    <w:pPr>
      <w:jc w:val="both"/>
      <w:rPr>
        <w:rFonts w:cs="Times New Roman"/>
        <w:sz w:val="22"/>
      </w:rPr>
    </w:pPr>
    <w:r>
      <w:rPr>
        <w:sz w:val="22"/>
      </w:rPr>
      <w:t>FMAnot_310311_pirmpirkum</w:t>
    </w:r>
    <w:r w:rsidR="00F93890" w:rsidRPr="00024892">
      <w:rPr>
        <w:sz w:val="22"/>
      </w:rPr>
      <w:t xml:space="preserve">; </w:t>
    </w:r>
    <w:r w:rsidR="00F93890" w:rsidRPr="00024892">
      <w:rPr>
        <w:rFonts w:eastAsia="Times New Roman" w:cs="Times New Roman"/>
        <w:bCs/>
        <w:sz w:val="22"/>
        <w:lang w:eastAsia="lv-LV"/>
      </w:rPr>
      <w:t xml:space="preserve">Ministru kabineta </w:t>
    </w:r>
    <w:r w:rsidR="00371702" w:rsidRPr="00024892">
      <w:rPr>
        <w:rFonts w:eastAsia="Times New Roman" w:cs="Times New Roman"/>
        <w:bCs/>
        <w:sz w:val="22"/>
        <w:lang w:eastAsia="lv-LV"/>
      </w:rPr>
      <w:t>ieteikumu</w:t>
    </w:r>
    <w:r w:rsidR="00F93890" w:rsidRPr="00024892">
      <w:rPr>
        <w:rFonts w:eastAsia="Times New Roman" w:cs="Times New Roman"/>
        <w:bCs/>
        <w:sz w:val="22"/>
        <w:lang w:eastAsia="lv-LV"/>
      </w:rPr>
      <w:t xml:space="preserve"> projekta </w:t>
    </w:r>
    <w:r w:rsidR="00371702" w:rsidRPr="00024892">
      <w:rPr>
        <w:rFonts w:eastAsia="Times New Roman" w:cs="Times New Roman"/>
        <w:bCs/>
        <w:sz w:val="22"/>
        <w:lang w:eastAsia="lv-LV"/>
      </w:rPr>
      <w:t>„</w:t>
    </w:r>
    <w:r w:rsidR="00024892" w:rsidRPr="00024892">
      <w:rPr>
        <w:rFonts w:cs="Times New Roman"/>
        <w:sz w:val="22"/>
      </w:rPr>
      <w:t>Civillikuma 1073.pantā un likuma „Par atjaunotā Latvijas Republikas 1937.gada Civillikuma ievada, mantojuma tiesību un lietu tiesību daļas spēkā stāšanās laiku un kārtību” 14. panta otrajā daļā paredzēto pirmpirkuma vai izpirkuma tiesību izmantošanas kārtība</w:t>
    </w:r>
    <w:r w:rsidR="00371702" w:rsidRPr="00024892">
      <w:rPr>
        <w:rFonts w:eastAsia="Times New Roman" w:cs="Times New Roman"/>
        <w:bCs/>
        <w:sz w:val="22"/>
        <w:lang w:eastAsia="lv-LV"/>
      </w:rPr>
      <w:t xml:space="preserve">” </w:t>
    </w:r>
    <w:r w:rsidR="00F93890" w:rsidRPr="00024892">
      <w:rPr>
        <w:rFonts w:eastAsia="Times New Roman" w:cs="Times New Roman"/>
        <w:bCs/>
        <w:sz w:val="22"/>
        <w:lang w:eastAsia="lv-LV"/>
      </w:rPr>
      <w:t>sākotnējās ietekmes novērtējuma ziņojums (anotācija)</w:t>
    </w:r>
  </w:p>
  <w:p w:rsidR="00F93890" w:rsidRDefault="00F93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9A1" w:rsidRDefault="00D539A1" w:rsidP="00F711C0">
      <w:r>
        <w:separator/>
      </w:r>
    </w:p>
  </w:footnote>
  <w:footnote w:type="continuationSeparator" w:id="0">
    <w:p w:rsidR="00D539A1" w:rsidRDefault="00D539A1" w:rsidP="00F71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2923"/>
      <w:docPartObj>
        <w:docPartGallery w:val="Page Numbers (Top of Page)"/>
        <w:docPartUnique/>
      </w:docPartObj>
    </w:sdtPr>
    <w:sdtEndPr/>
    <w:sdtContent>
      <w:p w:rsidR="00DB7664" w:rsidRDefault="00C541F3">
        <w:pPr>
          <w:pStyle w:val="Header"/>
          <w:jc w:val="center"/>
        </w:pPr>
        <w:r>
          <w:fldChar w:fldCharType="begin"/>
        </w:r>
        <w:r>
          <w:instrText xml:space="preserve"> PAGE   \* MERGEFORMAT </w:instrText>
        </w:r>
        <w:r>
          <w:fldChar w:fldCharType="separate"/>
        </w:r>
        <w:r w:rsidR="0034377A">
          <w:rPr>
            <w:noProof/>
          </w:rPr>
          <w:t>3</w:t>
        </w:r>
        <w:r>
          <w:rPr>
            <w:noProof/>
          </w:rPr>
          <w:fldChar w:fldCharType="end"/>
        </w:r>
      </w:p>
    </w:sdtContent>
  </w:sdt>
  <w:p w:rsidR="00DB7664" w:rsidRDefault="00DB76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746"/>
    <w:multiLevelType w:val="hybridMultilevel"/>
    <w:tmpl w:val="72E897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1152D89"/>
    <w:multiLevelType w:val="hybridMultilevel"/>
    <w:tmpl w:val="477A5F78"/>
    <w:lvl w:ilvl="0" w:tplc="E1ECA1E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nsid w:val="4B2E5815"/>
    <w:multiLevelType w:val="hybridMultilevel"/>
    <w:tmpl w:val="EC2004B0"/>
    <w:lvl w:ilvl="0" w:tplc="3A1A5D20">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F7"/>
    <w:rsid w:val="00024892"/>
    <w:rsid w:val="00057BEB"/>
    <w:rsid w:val="00096AC2"/>
    <w:rsid w:val="000A379A"/>
    <w:rsid w:val="00101FD3"/>
    <w:rsid w:val="00107431"/>
    <w:rsid w:val="00176B29"/>
    <w:rsid w:val="00183824"/>
    <w:rsid w:val="001867F1"/>
    <w:rsid w:val="001A62FF"/>
    <w:rsid w:val="001D268D"/>
    <w:rsid w:val="001E6490"/>
    <w:rsid w:val="0029243A"/>
    <w:rsid w:val="002B080C"/>
    <w:rsid w:val="002B7D46"/>
    <w:rsid w:val="002D29BE"/>
    <w:rsid w:val="002D5E98"/>
    <w:rsid w:val="0034377A"/>
    <w:rsid w:val="00353899"/>
    <w:rsid w:val="00371702"/>
    <w:rsid w:val="003A4D22"/>
    <w:rsid w:val="003D709C"/>
    <w:rsid w:val="00417678"/>
    <w:rsid w:val="00431B31"/>
    <w:rsid w:val="00434D9A"/>
    <w:rsid w:val="004414EC"/>
    <w:rsid w:val="00454D86"/>
    <w:rsid w:val="00497963"/>
    <w:rsid w:val="004C18F7"/>
    <w:rsid w:val="004D4117"/>
    <w:rsid w:val="0053478E"/>
    <w:rsid w:val="00622B9F"/>
    <w:rsid w:val="00637A42"/>
    <w:rsid w:val="00655BBE"/>
    <w:rsid w:val="006C2C1C"/>
    <w:rsid w:val="006C69E5"/>
    <w:rsid w:val="0071127E"/>
    <w:rsid w:val="00776060"/>
    <w:rsid w:val="007764DD"/>
    <w:rsid w:val="007D575B"/>
    <w:rsid w:val="007D6737"/>
    <w:rsid w:val="007E7637"/>
    <w:rsid w:val="00834902"/>
    <w:rsid w:val="0084308C"/>
    <w:rsid w:val="00874EC1"/>
    <w:rsid w:val="008B2942"/>
    <w:rsid w:val="008D50F7"/>
    <w:rsid w:val="008F49B0"/>
    <w:rsid w:val="00906F3F"/>
    <w:rsid w:val="00931036"/>
    <w:rsid w:val="0098214C"/>
    <w:rsid w:val="0099715D"/>
    <w:rsid w:val="009C5A84"/>
    <w:rsid w:val="009D582E"/>
    <w:rsid w:val="009F3AD1"/>
    <w:rsid w:val="00A2698A"/>
    <w:rsid w:val="00A42993"/>
    <w:rsid w:val="00AA2D01"/>
    <w:rsid w:val="00AF69A5"/>
    <w:rsid w:val="00B13227"/>
    <w:rsid w:val="00B72528"/>
    <w:rsid w:val="00B86832"/>
    <w:rsid w:val="00BB3FA3"/>
    <w:rsid w:val="00BB5267"/>
    <w:rsid w:val="00BF71D4"/>
    <w:rsid w:val="00C33072"/>
    <w:rsid w:val="00C36861"/>
    <w:rsid w:val="00C4111D"/>
    <w:rsid w:val="00C536D9"/>
    <w:rsid w:val="00C541F3"/>
    <w:rsid w:val="00C638DC"/>
    <w:rsid w:val="00C82645"/>
    <w:rsid w:val="00CD52B4"/>
    <w:rsid w:val="00CD54B1"/>
    <w:rsid w:val="00CD6BF9"/>
    <w:rsid w:val="00CF0601"/>
    <w:rsid w:val="00D12F09"/>
    <w:rsid w:val="00D539A1"/>
    <w:rsid w:val="00DB7664"/>
    <w:rsid w:val="00E2442B"/>
    <w:rsid w:val="00E328B4"/>
    <w:rsid w:val="00E94CF7"/>
    <w:rsid w:val="00EF22E9"/>
    <w:rsid w:val="00EF2F7B"/>
    <w:rsid w:val="00F14A64"/>
    <w:rsid w:val="00F20B13"/>
    <w:rsid w:val="00F20F0B"/>
    <w:rsid w:val="00F30EA8"/>
    <w:rsid w:val="00F471BB"/>
    <w:rsid w:val="00F67702"/>
    <w:rsid w:val="00F711C0"/>
    <w:rsid w:val="00F73881"/>
    <w:rsid w:val="00F93890"/>
    <w:rsid w:val="00FC37F6"/>
    <w:rsid w:val="00FD6A7C"/>
    <w:rsid w:val="00FE7439"/>
    <w:rsid w:val="00FF03AC"/>
    <w:rsid w:val="00FF11F4"/>
    <w:rsid w:val="00FF4F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32"/>
  </w:style>
  <w:style w:type="paragraph" w:styleId="Heading1">
    <w:name w:val="heading 1"/>
    <w:basedOn w:val="Normal"/>
    <w:link w:val="Heading1Char"/>
    <w:uiPriority w:val="9"/>
    <w:qFormat/>
    <w:rsid w:val="001A62FF"/>
    <w:pPr>
      <w:outlineLvl w:val="0"/>
    </w:pPr>
    <w:rPr>
      <w:rFonts w:ascii="Tahoma" w:eastAsia="Times New Roman" w:hAnsi="Tahoma" w:cs="Tahoma"/>
      <w:b/>
      <w:bCs/>
      <w:kern w:val="36"/>
      <w:sz w:val="38"/>
      <w:szCs w:val="3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4C18F7"/>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4C18F7"/>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4C18F7"/>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4C18F7"/>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4C18F7"/>
    <w:pPr>
      <w:spacing w:before="100" w:beforeAutospacing="1" w:after="100" w:afterAutospacing="1"/>
    </w:pPr>
    <w:rPr>
      <w:rFonts w:eastAsia="Times New Roman" w:cs="Times New Roman"/>
      <w:sz w:val="24"/>
      <w:szCs w:val="24"/>
      <w:lang w:eastAsia="lv-LV"/>
    </w:rPr>
  </w:style>
  <w:style w:type="character" w:customStyle="1" w:styleId="Heading1Char">
    <w:name w:val="Heading 1 Char"/>
    <w:basedOn w:val="DefaultParagraphFont"/>
    <w:link w:val="Heading1"/>
    <w:uiPriority w:val="9"/>
    <w:rsid w:val="001A62FF"/>
    <w:rPr>
      <w:rFonts w:ascii="Tahoma" w:eastAsia="Times New Roman" w:hAnsi="Tahoma" w:cs="Tahoma"/>
      <w:b/>
      <w:bCs/>
      <w:kern w:val="36"/>
      <w:sz w:val="38"/>
      <w:szCs w:val="38"/>
      <w:lang w:eastAsia="lv-LV"/>
    </w:rPr>
  </w:style>
  <w:style w:type="character" w:styleId="Hyperlink">
    <w:name w:val="Hyperlink"/>
    <w:basedOn w:val="DefaultParagraphFont"/>
    <w:uiPriority w:val="99"/>
    <w:unhideWhenUsed/>
    <w:rsid w:val="00637A42"/>
    <w:rPr>
      <w:color w:val="0000FF" w:themeColor="hyperlink"/>
      <w:u w:val="single"/>
    </w:rPr>
  </w:style>
  <w:style w:type="paragraph" w:styleId="Header">
    <w:name w:val="header"/>
    <w:basedOn w:val="Normal"/>
    <w:link w:val="HeaderChar"/>
    <w:unhideWhenUsed/>
    <w:rsid w:val="00F711C0"/>
    <w:pPr>
      <w:tabs>
        <w:tab w:val="center" w:pos="4153"/>
        <w:tab w:val="right" w:pos="8306"/>
      </w:tabs>
    </w:pPr>
  </w:style>
  <w:style w:type="character" w:customStyle="1" w:styleId="HeaderChar">
    <w:name w:val="Header Char"/>
    <w:basedOn w:val="DefaultParagraphFont"/>
    <w:link w:val="Header"/>
    <w:rsid w:val="00F711C0"/>
  </w:style>
  <w:style w:type="paragraph" w:styleId="Footer">
    <w:name w:val="footer"/>
    <w:basedOn w:val="Normal"/>
    <w:link w:val="FooterChar"/>
    <w:uiPriority w:val="99"/>
    <w:unhideWhenUsed/>
    <w:rsid w:val="00F711C0"/>
    <w:pPr>
      <w:tabs>
        <w:tab w:val="center" w:pos="4153"/>
        <w:tab w:val="right" w:pos="8306"/>
      </w:tabs>
    </w:pPr>
  </w:style>
  <w:style w:type="character" w:customStyle="1" w:styleId="FooterChar">
    <w:name w:val="Footer Char"/>
    <w:basedOn w:val="DefaultParagraphFont"/>
    <w:link w:val="Footer"/>
    <w:uiPriority w:val="99"/>
    <w:rsid w:val="00F711C0"/>
  </w:style>
  <w:style w:type="paragraph" w:styleId="ListParagraph">
    <w:name w:val="List Paragraph"/>
    <w:basedOn w:val="Normal"/>
    <w:uiPriority w:val="34"/>
    <w:qFormat/>
    <w:rsid w:val="00FD6A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32"/>
  </w:style>
  <w:style w:type="paragraph" w:styleId="Heading1">
    <w:name w:val="heading 1"/>
    <w:basedOn w:val="Normal"/>
    <w:link w:val="Heading1Char"/>
    <w:uiPriority w:val="9"/>
    <w:qFormat/>
    <w:rsid w:val="001A62FF"/>
    <w:pPr>
      <w:outlineLvl w:val="0"/>
    </w:pPr>
    <w:rPr>
      <w:rFonts w:ascii="Tahoma" w:eastAsia="Times New Roman" w:hAnsi="Tahoma" w:cs="Tahoma"/>
      <w:b/>
      <w:bCs/>
      <w:kern w:val="36"/>
      <w:sz w:val="38"/>
      <w:szCs w:val="3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4C18F7"/>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4C18F7"/>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4C18F7"/>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4C18F7"/>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4C18F7"/>
    <w:pPr>
      <w:spacing w:before="100" w:beforeAutospacing="1" w:after="100" w:afterAutospacing="1"/>
    </w:pPr>
    <w:rPr>
      <w:rFonts w:eastAsia="Times New Roman" w:cs="Times New Roman"/>
      <w:sz w:val="24"/>
      <w:szCs w:val="24"/>
      <w:lang w:eastAsia="lv-LV"/>
    </w:rPr>
  </w:style>
  <w:style w:type="character" w:customStyle="1" w:styleId="Heading1Char">
    <w:name w:val="Heading 1 Char"/>
    <w:basedOn w:val="DefaultParagraphFont"/>
    <w:link w:val="Heading1"/>
    <w:uiPriority w:val="9"/>
    <w:rsid w:val="001A62FF"/>
    <w:rPr>
      <w:rFonts w:ascii="Tahoma" w:eastAsia="Times New Roman" w:hAnsi="Tahoma" w:cs="Tahoma"/>
      <w:b/>
      <w:bCs/>
      <w:kern w:val="36"/>
      <w:sz w:val="38"/>
      <w:szCs w:val="38"/>
      <w:lang w:eastAsia="lv-LV"/>
    </w:rPr>
  </w:style>
  <w:style w:type="character" w:styleId="Hyperlink">
    <w:name w:val="Hyperlink"/>
    <w:basedOn w:val="DefaultParagraphFont"/>
    <w:uiPriority w:val="99"/>
    <w:unhideWhenUsed/>
    <w:rsid w:val="00637A42"/>
    <w:rPr>
      <w:color w:val="0000FF" w:themeColor="hyperlink"/>
      <w:u w:val="single"/>
    </w:rPr>
  </w:style>
  <w:style w:type="paragraph" w:styleId="Header">
    <w:name w:val="header"/>
    <w:basedOn w:val="Normal"/>
    <w:link w:val="HeaderChar"/>
    <w:unhideWhenUsed/>
    <w:rsid w:val="00F711C0"/>
    <w:pPr>
      <w:tabs>
        <w:tab w:val="center" w:pos="4153"/>
        <w:tab w:val="right" w:pos="8306"/>
      </w:tabs>
    </w:pPr>
  </w:style>
  <w:style w:type="character" w:customStyle="1" w:styleId="HeaderChar">
    <w:name w:val="Header Char"/>
    <w:basedOn w:val="DefaultParagraphFont"/>
    <w:link w:val="Header"/>
    <w:rsid w:val="00F711C0"/>
  </w:style>
  <w:style w:type="paragraph" w:styleId="Footer">
    <w:name w:val="footer"/>
    <w:basedOn w:val="Normal"/>
    <w:link w:val="FooterChar"/>
    <w:uiPriority w:val="99"/>
    <w:unhideWhenUsed/>
    <w:rsid w:val="00F711C0"/>
    <w:pPr>
      <w:tabs>
        <w:tab w:val="center" w:pos="4153"/>
        <w:tab w:val="right" w:pos="8306"/>
      </w:tabs>
    </w:pPr>
  </w:style>
  <w:style w:type="character" w:customStyle="1" w:styleId="FooterChar">
    <w:name w:val="Footer Char"/>
    <w:basedOn w:val="DefaultParagraphFont"/>
    <w:link w:val="Footer"/>
    <w:uiPriority w:val="99"/>
    <w:rsid w:val="00F711C0"/>
  </w:style>
  <w:style w:type="paragraph" w:styleId="ListParagraph">
    <w:name w:val="List Paragraph"/>
    <w:basedOn w:val="Normal"/>
    <w:uiPriority w:val="34"/>
    <w:qFormat/>
    <w:rsid w:val="00FD6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6055">
      <w:bodyDiv w:val="1"/>
      <w:marLeft w:val="0"/>
      <w:marRight w:val="0"/>
      <w:marTop w:val="0"/>
      <w:marBottom w:val="0"/>
      <w:divBdr>
        <w:top w:val="none" w:sz="0" w:space="0" w:color="auto"/>
        <w:left w:val="none" w:sz="0" w:space="0" w:color="auto"/>
        <w:bottom w:val="none" w:sz="0" w:space="0" w:color="auto"/>
        <w:right w:val="none" w:sz="0" w:space="0" w:color="auto"/>
      </w:divBdr>
    </w:div>
    <w:div w:id="819691026">
      <w:bodyDiv w:val="1"/>
      <w:marLeft w:val="0"/>
      <w:marRight w:val="0"/>
      <w:marTop w:val="0"/>
      <w:marBottom w:val="0"/>
      <w:divBdr>
        <w:top w:val="none" w:sz="0" w:space="0" w:color="auto"/>
        <w:left w:val="none" w:sz="0" w:space="0" w:color="auto"/>
        <w:bottom w:val="none" w:sz="0" w:space="0" w:color="auto"/>
        <w:right w:val="none" w:sz="0" w:space="0" w:color="auto"/>
      </w:divBdr>
    </w:div>
    <w:div w:id="1234973241">
      <w:bodyDiv w:val="1"/>
      <w:marLeft w:val="0"/>
      <w:marRight w:val="0"/>
      <w:marTop w:val="0"/>
      <w:marBottom w:val="0"/>
      <w:divBdr>
        <w:top w:val="none" w:sz="0" w:space="0" w:color="auto"/>
        <w:left w:val="none" w:sz="0" w:space="0" w:color="auto"/>
        <w:bottom w:val="none" w:sz="0" w:space="0" w:color="auto"/>
        <w:right w:val="none" w:sz="0" w:space="0" w:color="auto"/>
      </w:divBdr>
    </w:div>
    <w:div w:id="210229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inis.spels@fm.gov.lv" TargetMode="External"/><Relationship Id="rId4" Type="http://schemas.microsoft.com/office/2007/relationships/stylesWithEffects" Target="stylesWithEffects.xml"/><Relationship Id="rId9" Type="http://schemas.openxmlformats.org/officeDocument/2006/relationships/hyperlink" Target="http://pro.nais.lv/naiser/text.cfm?Key=010101193701283277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2F6C0D-AF3D-4B8A-A041-30BA903A7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3908</Words>
  <Characters>2228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ieteikumu projekta „Valsts pirmpirkuma vai izpirkuma tiesību izmantošanas kārtība” sākotnējās ietekmes novērtējuma ziņojums (anotācija)</vt:lpstr>
    </vt:vector>
  </TitlesOfParts>
  <Company>NONE</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Civillikuma 1073.pantā un likuma „Par atjaunotā Latvijas Republikas 1937.gada Civillikuma ievada, mantojuma tiesību un lietu tiesību daļas spēkā stāšanās laiku un kārtību” 14. panta otrajā daļā paredzēto valsts pirmpirkuma vai izpirkuma tiesību izmantošanas kārtība” sākotnējās ietekmes novērtējuma ziņojums (anotācija)</dc:title>
  <dc:subject>Anotācija</dc:subject>
  <dc:creator>D.Špeļs</dc:creator>
  <cp:keywords/>
  <dc:description>67095640
dainis.spels@fm.gov.lv</dc:description>
  <cp:lastModifiedBy>kc-siman</cp:lastModifiedBy>
  <cp:revision>6</cp:revision>
  <cp:lastPrinted>2010-06-16T11:40:00Z</cp:lastPrinted>
  <dcterms:created xsi:type="dcterms:W3CDTF">2011-03-31T08:32:00Z</dcterms:created>
  <dcterms:modified xsi:type="dcterms:W3CDTF">2011-04-05T07:48:00Z</dcterms:modified>
</cp:coreProperties>
</file>