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A" w:rsidRPr="0055133A" w:rsidRDefault="009D3E47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9D3E47">
        <w:rPr>
          <w:b/>
          <w:bCs/>
          <w:sz w:val="26"/>
          <w:szCs w:val="26"/>
        </w:rPr>
        <w:t>Ministru kabineta noteikumu „Grozījumi Ministru kabineta 2010.gada 21.jūnija noteikumos  Nr.541 „Noteikumi par valsts un pašvaldību institūciju amatpersonu un darbinieku atlīdzī</w:t>
      </w:r>
      <w:r>
        <w:rPr>
          <w:b/>
          <w:bCs/>
          <w:sz w:val="26"/>
          <w:szCs w:val="26"/>
        </w:rPr>
        <w:t xml:space="preserve">bas uzskaites sistēmu”” projekta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64"/>
        <w:gridCol w:w="6109"/>
      </w:tblGrid>
      <w:tr w:rsidR="0070526D" w:rsidRPr="00E4178A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E4178A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E4178A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E4178A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7959DE" w:rsidRDefault="00724272" w:rsidP="00724272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24272">
              <w:rPr>
                <w:sz w:val="26"/>
                <w:szCs w:val="26"/>
              </w:rPr>
              <w:t>Ministru kabineta noteikumu „Grozījumi Ministru kabineta 2010.gada 21.jūnija noteikumos Nr.541 „Noteikumi par valsts un pašvaldību institūciju amatpersonu un darbinieku atlīdzības uzskaites sistēmu”” projekts</w:t>
            </w:r>
            <w:r>
              <w:rPr>
                <w:sz w:val="26"/>
                <w:szCs w:val="26"/>
              </w:rPr>
              <w:t xml:space="preserve"> 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>izstrādāt</w:t>
            </w:r>
            <w:r w:rsidR="000520FB" w:rsidRPr="007959DE">
              <w:rPr>
                <w:sz w:val="26"/>
                <w:szCs w:val="26"/>
              </w:rPr>
              <w:t>s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</w:t>
            </w:r>
            <w:r w:rsidR="00F16110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aistībā ar </w:t>
            </w:r>
            <w:proofErr w:type="spellStart"/>
            <w:r w:rsidR="00640BB4" w:rsidRPr="007959DE">
              <w:rPr>
                <w:sz w:val="26"/>
                <w:szCs w:val="26"/>
              </w:rPr>
              <w:t>Euro</w:t>
            </w:r>
            <w:proofErr w:type="spellEnd"/>
            <w:r w:rsidR="00640BB4" w:rsidRPr="007959DE">
              <w:rPr>
                <w:sz w:val="26"/>
                <w:szCs w:val="26"/>
              </w:rPr>
              <w:t xml:space="preserve"> ieviešanas kārtības likuma 30.pantu,</w:t>
            </w:r>
            <w:r w:rsidR="000520FB" w:rsidRPr="007959DE">
              <w:rPr>
                <w:sz w:val="26"/>
                <w:szCs w:val="26"/>
              </w:rPr>
              <w:t xml:space="preserve"> </w:t>
            </w:r>
            <w:r w:rsidR="007959DE" w:rsidRPr="007959DE">
              <w:rPr>
                <w:sz w:val="26"/>
                <w:szCs w:val="26"/>
              </w:rPr>
              <w:t>saskaņā ar kuru ministrijām</w:t>
            </w:r>
            <w:r w:rsidR="007959DE">
              <w:rPr>
                <w:sz w:val="26"/>
                <w:szCs w:val="26"/>
              </w:rPr>
              <w:t xml:space="preserve"> jā</w:t>
            </w:r>
            <w:r w:rsidR="007959DE" w:rsidRPr="007959DE">
              <w:rPr>
                <w:sz w:val="26"/>
                <w:szCs w:val="26"/>
              </w:rPr>
              <w:t xml:space="preserve">sagatavo to tiesību aktu grozījumu projektus, kurus nepieciešams pielāgot </w:t>
            </w:r>
            <w:proofErr w:type="spellStart"/>
            <w:r w:rsidR="007959DE" w:rsidRPr="007959DE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7959DE">
              <w:rPr>
                <w:sz w:val="26"/>
                <w:szCs w:val="26"/>
              </w:rPr>
              <w:t xml:space="preserve"> ieviešanai, kā arī </w:t>
            </w:r>
            <w:r w:rsidR="00863C1E" w:rsidRPr="007959DE">
              <w:rPr>
                <w:rFonts w:eastAsia="Times New Roman"/>
                <w:sz w:val="26"/>
                <w:szCs w:val="26"/>
                <w:lang w:eastAsia="lv-LV"/>
              </w:rPr>
              <w:t>Ministru kabineta 2012.gada 27.jūnija rīkojuma Nr.282 „Par ”Koncepciju par normatīvo aktu sakārtošanu saistībā ar eiro iev</w:t>
            </w:r>
            <w:r w:rsidR="00640BB4" w:rsidRPr="007959DE">
              <w:rPr>
                <w:sz w:val="26"/>
                <w:szCs w:val="26"/>
              </w:rPr>
              <w:t>i</w:t>
            </w:r>
            <w:r w:rsidR="00DD561C">
              <w:rPr>
                <w:sz w:val="26"/>
                <w:szCs w:val="26"/>
              </w:rPr>
              <w:t>ešanu Latvijā”” 7.1.apakšpunktu.</w:t>
            </w:r>
          </w:p>
        </w:tc>
      </w:tr>
      <w:tr w:rsidR="0070526D" w:rsidRPr="00E4178A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94C" w:rsidRPr="00E4178A" w:rsidRDefault="00724272" w:rsidP="00724272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24272">
              <w:rPr>
                <w:sz w:val="26"/>
                <w:szCs w:val="26"/>
              </w:rPr>
              <w:t xml:space="preserve">Ministru kabineta 2010.gada 21.jūnija noteikumos  Nr.541 „Noteikumi par valsts un pašvaldību institūciju amatpersonu un darbinieku atlīdzības uzskaites sistēmu” </w:t>
            </w:r>
            <w:r w:rsidR="004D0194">
              <w:rPr>
                <w:sz w:val="26"/>
                <w:szCs w:val="26"/>
              </w:rPr>
              <w:t xml:space="preserve">normas attiecībā uz </w:t>
            </w:r>
            <w:r w:rsidR="0093094C">
              <w:rPr>
                <w:sz w:val="26"/>
                <w:szCs w:val="26"/>
              </w:rPr>
              <w:t>atlīdzības apm</w:t>
            </w:r>
            <w:r w:rsidR="00527A7F">
              <w:rPr>
                <w:sz w:val="26"/>
                <w:szCs w:val="26"/>
              </w:rPr>
              <w:t>ēriem ir noteiktas latos,</w:t>
            </w:r>
            <w:r w:rsidR="00527A7F" w:rsidRPr="00E4178A">
              <w:rPr>
                <w:sz w:val="26"/>
                <w:szCs w:val="26"/>
              </w:rPr>
              <w:t xml:space="preserve"> līdz ar to </w:t>
            </w:r>
            <w:r w:rsidR="00030942">
              <w:rPr>
                <w:sz w:val="26"/>
                <w:szCs w:val="26"/>
              </w:rPr>
              <w:t>tajos</w:t>
            </w:r>
            <w:r w:rsidR="00527A7F">
              <w:rPr>
                <w:sz w:val="26"/>
                <w:szCs w:val="26"/>
              </w:rPr>
              <w:t xml:space="preserve"> nepieciešams veikt grozījumus, normas attiecībā uz atlīdzības apmēriem nosakot </w:t>
            </w:r>
            <w:proofErr w:type="spellStart"/>
            <w:r w:rsidR="00527A7F" w:rsidRPr="00D11379">
              <w:rPr>
                <w:i/>
                <w:sz w:val="26"/>
                <w:szCs w:val="26"/>
              </w:rPr>
              <w:t>euro</w:t>
            </w:r>
            <w:proofErr w:type="spellEnd"/>
            <w:r w:rsidR="00527A7F">
              <w:rPr>
                <w:sz w:val="26"/>
                <w:szCs w:val="26"/>
              </w:rPr>
              <w:t>.</w:t>
            </w:r>
          </w:p>
        </w:tc>
      </w:tr>
      <w:tr w:rsidR="0070526D" w:rsidRPr="00E4178A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FD3" w:rsidRDefault="00497CCD" w:rsidP="00F3608B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2F0760" w:rsidRPr="002F0760">
              <w:rPr>
                <w:sz w:val="26"/>
                <w:szCs w:val="26"/>
              </w:rPr>
              <w:t>oteikumu</w:t>
            </w:r>
            <w:r w:rsidR="002F0760">
              <w:rPr>
                <w:sz w:val="26"/>
                <w:szCs w:val="26"/>
              </w:rPr>
              <w:t xml:space="preserve"> projektā</w:t>
            </w:r>
            <w:r w:rsidR="00735475" w:rsidRPr="00735475">
              <w:rPr>
                <w:sz w:val="26"/>
                <w:szCs w:val="26"/>
              </w:rPr>
              <w:t xml:space="preserve"> paredzēts, ņemot vērā oficiālo maiņas kursu</w:t>
            </w:r>
            <w:r w:rsidR="00CE3DEB">
              <w:rPr>
                <w:sz w:val="26"/>
                <w:szCs w:val="26"/>
              </w:rPr>
              <w:t xml:space="preserve"> (</w:t>
            </w:r>
            <w:r w:rsidR="00CE3DEB" w:rsidRPr="00CE3DEB">
              <w:rPr>
                <w:sz w:val="26"/>
                <w:szCs w:val="26"/>
              </w:rPr>
              <w:t>EUR 1 = LVL 0,702804</w:t>
            </w:r>
            <w:r w:rsidR="00CE3DEB">
              <w:rPr>
                <w:sz w:val="26"/>
                <w:szCs w:val="26"/>
              </w:rPr>
              <w:t>)</w:t>
            </w:r>
            <w:r w:rsidR="00735475" w:rsidRPr="00735475">
              <w:rPr>
                <w:sz w:val="26"/>
                <w:szCs w:val="26"/>
              </w:rPr>
              <w:t xml:space="preserve">, izteikt </w:t>
            </w:r>
            <w:proofErr w:type="spellStart"/>
            <w:r w:rsidR="00735475" w:rsidRPr="00D11379">
              <w:rPr>
                <w:i/>
                <w:sz w:val="26"/>
                <w:szCs w:val="26"/>
              </w:rPr>
              <w:t>euro</w:t>
            </w:r>
            <w:proofErr w:type="spellEnd"/>
            <w:r w:rsidR="00735475" w:rsidRPr="00735475">
              <w:rPr>
                <w:sz w:val="26"/>
                <w:szCs w:val="26"/>
              </w:rPr>
              <w:t xml:space="preserve"> tās summas, kas šobrīd ir noteiktas latos, kā arī paredzēts veikt tehniskos precizējumus, lai nodrošinātu, ka normatīvie akti nesatur atsauci uz latiem</w:t>
            </w:r>
            <w:r w:rsidR="00CE3DEB">
              <w:rPr>
                <w:sz w:val="26"/>
                <w:szCs w:val="26"/>
              </w:rPr>
              <w:t>.</w:t>
            </w:r>
            <w:r w:rsidR="00735475" w:rsidRPr="00735475">
              <w:rPr>
                <w:sz w:val="26"/>
                <w:szCs w:val="26"/>
              </w:rPr>
              <w:t xml:space="preserve"> </w:t>
            </w:r>
            <w:r w:rsidR="00F3608B" w:rsidRPr="00F3608B">
              <w:rPr>
                <w:sz w:val="26"/>
                <w:szCs w:val="26"/>
              </w:rPr>
              <w:t xml:space="preserve">Aprēķins veikts tādējādi, lai grozījumu rezultātā skaitļi </w:t>
            </w:r>
            <w:r w:rsidR="00F3608B">
              <w:rPr>
                <w:sz w:val="26"/>
                <w:szCs w:val="26"/>
              </w:rPr>
              <w:t xml:space="preserve">tiktu </w:t>
            </w:r>
            <w:r w:rsidR="00F3608B" w:rsidRPr="00F3608B">
              <w:rPr>
                <w:sz w:val="26"/>
                <w:szCs w:val="26"/>
              </w:rPr>
              <w:t xml:space="preserve">izteikti līdz </w:t>
            </w:r>
            <w:proofErr w:type="spellStart"/>
            <w:r w:rsidR="00F3608B" w:rsidRPr="00D11379">
              <w:rPr>
                <w:i/>
                <w:sz w:val="26"/>
                <w:szCs w:val="26"/>
              </w:rPr>
              <w:t>euro</w:t>
            </w:r>
            <w:proofErr w:type="spellEnd"/>
            <w:r w:rsidR="00F3608B" w:rsidRPr="00F3608B">
              <w:rPr>
                <w:sz w:val="26"/>
                <w:szCs w:val="26"/>
              </w:rPr>
              <w:t xml:space="preserve"> centa precizitātei.</w:t>
            </w:r>
          </w:p>
          <w:p w:rsidR="003320DC" w:rsidRPr="003320DC" w:rsidRDefault="003320DC" w:rsidP="003320D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20DC">
              <w:rPr>
                <w:sz w:val="26"/>
                <w:szCs w:val="26"/>
              </w:rPr>
              <w:t xml:space="preserve">Lai nodrošinātu amatpersonu (darbinieku) mēnešalgas, piemaksu, prēmiju, pabalstu, kompensāciju un cita veida atlīdzības un fizisku personu kuras, nodarbinātas uz tiesiskās attiecības regulējošu dokumentu pamata (turpmāk – ārštata darbinieki) atalgojuma uzskaiti </w:t>
            </w:r>
            <w:proofErr w:type="spellStart"/>
            <w:r w:rsidRPr="003320DC">
              <w:rPr>
                <w:sz w:val="26"/>
                <w:szCs w:val="26"/>
              </w:rPr>
              <w:t>euro</w:t>
            </w:r>
            <w:proofErr w:type="spellEnd"/>
            <w:r w:rsidRPr="003320DC">
              <w:rPr>
                <w:sz w:val="26"/>
                <w:szCs w:val="26"/>
              </w:rPr>
              <w:t xml:space="preserve"> summās un, lai datu analīzei izmantotu vēsturisko informāciju, kas uzkrāta latu summās, tiek precizēta un papildināta datu apmaiņas tabulas (14.pielikums) struktūra un lauku satura apraksts.</w:t>
            </w:r>
          </w:p>
          <w:p w:rsidR="003320DC" w:rsidRPr="003320DC" w:rsidRDefault="003320DC" w:rsidP="003320D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20DC">
              <w:rPr>
                <w:sz w:val="26"/>
                <w:szCs w:val="26"/>
              </w:rPr>
              <w:t>14.pielikuma 7., 8. un 10.</w:t>
            </w:r>
            <w:r w:rsidR="002E5D27">
              <w:rPr>
                <w:sz w:val="26"/>
                <w:szCs w:val="26"/>
              </w:rPr>
              <w:t>datnē</w:t>
            </w:r>
            <w:r w:rsidRPr="003320DC">
              <w:rPr>
                <w:sz w:val="26"/>
                <w:szCs w:val="26"/>
              </w:rPr>
              <w:t xml:space="preserve">  </w:t>
            </w:r>
            <w:proofErr w:type="spellStart"/>
            <w:r w:rsidRPr="003320DC">
              <w:rPr>
                <w:sz w:val="26"/>
                <w:szCs w:val="26"/>
              </w:rPr>
              <w:t>euro</w:t>
            </w:r>
            <w:proofErr w:type="spellEnd"/>
            <w:r w:rsidRPr="003320DC">
              <w:rPr>
                <w:sz w:val="26"/>
                <w:szCs w:val="26"/>
              </w:rPr>
              <w:t xml:space="preserve"> summām izveidoti jauni lauki, vienlaikus minētajās </w:t>
            </w:r>
            <w:r w:rsidR="002E5D27">
              <w:rPr>
                <w:sz w:val="26"/>
                <w:szCs w:val="26"/>
              </w:rPr>
              <w:t>datnēs</w:t>
            </w:r>
            <w:r w:rsidRPr="003320DC">
              <w:rPr>
                <w:sz w:val="26"/>
                <w:szCs w:val="26"/>
              </w:rPr>
              <w:t xml:space="preserve"> tiek koriģēti latu summas lauku nosaukumi, lai tie atbilstu lauka saturam, kur norādīta summa latos. Institūcijas informāciju par 2013.gada decembri iesniedz līdz 2014.gada 15.janvārim </w:t>
            </w:r>
            <w:r w:rsidRPr="003320DC">
              <w:rPr>
                <w:sz w:val="26"/>
                <w:szCs w:val="26"/>
              </w:rPr>
              <w:lastRenderedPageBreak/>
              <w:t xml:space="preserve">datu struktūrā, kura ir spēkā līdz 2013.gada 31.decembrim, summas norādot latos. Institūcijas informāciju par 2014.gadu un turpmāk iesniedz jaunajā datu struktūrā, summas norādot </w:t>
            </w:r>
            <w:proofErr w:type="spellStart"/>
            <w:r w:rsidRPr="003320DC">
              <w:rPr>
                <w:sz w:val="26"/>
                <w:szCs w:val="26"/>
              </w:rPr>
              <w:t>euro</w:t>
            </w:r>
            <w:proofErr w:type="spellEnd"/>
            <w:r w:rsidRPr="003320DC">
              <w:rPr>
                <w:sz w:val="26"/>
                <w:szCs w:val="26"/>
              </w:rPr>
              <w:t xml:space="preserve"> valūtā tam paredzētajos laukos. </w:t>
            </w:r>
          </w:p>
          <w:p w:rsidR="003320DC" w:rsidRPr="00735475" w:rsidRDefault="003320DC" w:rsidP="003320D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20DC">
              <w:rPr>
                <w:sz w:val="26"/>
                <w:szCs w:val="26"/>
              </w:rPr>
              <w:t xml:space="preserve">Vēsturiskajai informācijai, kas vecāka par 2014.gadu, latos norādītās summas tiek norādītas latu summas datu laukos un papildus tiek norādītas to ekvivalentās vērtības </w:t>
            </w:r>
            <w:proofErr w:type="spellStart"/>
            <w:r w:rsidRPr="003320DC">
              <w:rPr>
                <w:sz w:val="26"/>
                <w:szCs w:val="26"/>
              </w:rPr>
              <w:t>euro</w:t>
            </w:r>
            <w:proofErr w:type="spellEnd"/>
            <w:r w:rsidRPr="003320DC">
              <w:rPr>
                <w:sz w:val="26"/>
                <w:szCs w:val="26"/>
              </w:rPr>
              <w:t xml:space="preserve"> summas datu laukā, ņemot vērā oficiālo maiņas kursu.</w:t>
            </w:r>
          </w:p>
        </w:tc>
      </w:tr>
      <w:tr w:rsidR="0070526D" w:rsidRPr="00E4178A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5F5C6F">
              <w:rPr>
                <w:sz w:val="26"/>
                <w:szCs w:val="26"/>
              </w:rPr>
              <w:t>Projekts šo jomu neskar</w:t>
            </w:r>
            <w:r w:rsidR="003320DC">
              <w:rPr>
                <w:sz w:val="26"/>
                <w:szCs w:val="26"/>
              </w:rPr>
              <w:t>.</w:t>
            </w:r>
          </w:p>
        </w:tc>
      </w:tr>
      <w:tr w:rsidR="0070526D" w:rsidRPr="00E4178A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B52B42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attiecas tikai uz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valsts un pašvaldību institūciju amatpersonām un darbiniekiem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70526D" w:rsidRPr="00E4178A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55"/>
        <w:gridCol w:w="5825"/>
      </w:tblGrid>
      <w:tr w:rsidR="0070526D" w:rsidRPr="00E4178A" w:rsidTr="00453F7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70526D" w:rsidRPr="00E4178A" w:rsidTr="00453F7A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D773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amatpersonas un darbinieki</w:t>
            </w:r>
            <w:r w:rsidR="009809A3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:rsidTr="00453F7A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6D00D1" w:rsidRDefault="00656345" w:rsidP="00C030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E4178A" w:rsidRPr="002E5D27" w:rsidRDefault="00E4178A" w:rsidP="00115E82">
      <w:pPr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:rsidR="0070526D" w:rsidRPr="00E4178A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>Anotācijas III,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:rsidR="009D6B6F" w:rsidRPr="002E5D27" w:rsidRDefault="009D6B6F" w:rsidP="009D6B6F">
      <w:pPr>
        <w:rPr>
          <w:rFonts w:eastAsia="Times New Roman" w:cs="Times New Roman"/>
          <w:sz w:val="24"/>
          <w:szCs w:val="24"/>
          <w:lang w:eastAsia="lv-LV"/>
        </w:rPr>
      </w:pPr>
    </w:p>
    <w:p w:rsidR="009D6B6F" w:rsidRPr="002E5D27" w:rsidRDefault="009D6B6F" w:rsidP="009D6B6F">
      <w:pPr>
        <w:rPr>
          <w:rFonts w:eastAsia="Times New Roman" w:cs="Times New Roman"/>
          <w:sz w:val="24"/>
          <w:szCs w:val="24"/>
          <w:lang w:eastAsia="lv-LV"/>
        </w:rPr>
      </w:pPr>
    </w:p>
    <w:p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3E67CA" w:rsidRPr="00E4178A">
        <w:rPr>
          <w:sz w:val="26"/>
          <w:szCs w:val="26"/>
        </w:rPr>
        <w:t>A.Vilks</w:t>
      </w:r>
    </w:p>
    <w:p w:rsidR="004C266E" w:rsidRDefault="004C266E" w:rsidP="00935378">
      <w:pPr>
        <w:rPr>
          <w:sz w:val="22"/>
        </w:rPr>
      </w:pPr>
    </w:p>
    <w:p w:rsidR="003320DC" w:rsidRDefault="003320DC" w:rsidP="00935378">
      <w:pPr>
        <w:rPr>
          <w:sz w:val="22"/>
        </w:rPr>
      </w:pPr>
    </w:p>
    <w:p w:rsidR="002D3FB4" w:rsidRPr="00D26914" w:rsidRDefault="002E5D27" w:rsidP="004C266E">
      <w:pPr>
        <w:rPr>
          <w:rFonts w:eastAsia="Times New Roman" w:cs="Times New Roman"/>
          <w:sz w:val="20"/>
          <w:szCs w:val="20"/>
          <w:lang w:eastAsia="lv-LV"/>
        </w:rPr>
      </w:pPr>
      <w:r w:rsidRPr="00D26914">
        <w:rPr>
          <w:rFonts w:eastAsia="Times New Roman" w:cs="Times New Roman"/>
          <w:sz w:val="20"/>
          <w:szCs w:val="20"/>
          <w:lang w:eastAsia="lv-LV"/>
        </w:rPr>
        <w:t>31.07.2013 1</w:t>
      </w:r>
      <w:r w:rsidR="00D26914" w:rsidRPr="00D26914">
        <w:rPr>
          <w:rFonts w:eastAsia="Times New Roman" w:cs="Times New Roman"/>
          <w:sz w:val="20"/>
          <w:szCs w:val="20"/>
          <w:lang w:eastAsia="lv-LV"/>
        </w:rPr>
        <w:t>1:1</w:t>
      </w:r>
      <w:r w:rsidRPr="00D26914">
        <w:rPr>
          <w:rFonts w:eastAsia="Times New Roman" w:cs="Times New Roman"/>
          <w:sz w:val="20"/>
          <w:szCs w:val="20"/>
          <w:lang w:eastAsia="lv-LV"/>
        </w:rPr>
        <w:t>5</w:t>
      </w:r>
    </w:p>
    <w:p w:rsidR="004C266E" w:rsidRPr="00D26914" w:rsidRDefault="004C266E" w:rsidP="004C266E">
      <w:pPr>
        <w:rPr>
          <w:rFonts w:eastAsia="Times New Roman" w:cs="Times New Roman"/>
          <w:sz w:val="20"/>
          <w:szCs w:val="20"/>
          <w:lang w:eastAsia="lv-LV"/>
        </w:rPr>
      </w:pPr>
      <w:r w:rsidRPr="00D26914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D26914">
        <w:rPr>
          <w:rFonts w:eastAsia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D26914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2E5D27" w:rsidRPr="00D26914">
        <w:rPr>
          <w:rFonts w:eastAsia="Times New Roman" w:cs="Times New Roman"/>
          <w:noProof/>
          <w:sz w:val="20"/>
          <w:szCs w:val="20"/>
          <w:lang w:eastAsia="lv-LV"/>
        </w:rPr>
        <w:t>502</w:t>
      </w:r>
      <w:r w:rsidRPr="00D26914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F3608B" w:rsidRPr="00D26914" w:rsidRDefault="00E126A7" w:rsidP="00F3608B">
      <w:pPr>
        <w:rPr>
          <w:rFonts w:eastAsia="Times New Roman" w:cs="Times New Roman"/>
          <w:sz w:val="20"/>
          <w:szCs w:val="20"/>
          <w:lang w:eastAsia="lv-LV"/>
        </w:rPr>
      </w:pPr>
      <w:r w:rsidRPr="00D26914">
        <w:rPr>
          <w:rFonts w:eastAsia="Times New Roman" w:cs="Times New Roman"/>
          <w:sz w:val="20"/>
          <w:szCs w:val="20"/>
          <w:lang w:eastAsia="lv-LV"/>
        </w:rPr>
        <w:t>G.Goldmane</w:t>
      </w:r>
      <w:bookmarkStart w:id="0" w:name="_GoBack"/>
      <w:bookmarkEnd w:id="0"/>
    </w:p>
    <w:p w:rsidR="004C266E" w:rsidRPr="00D26914" w:rsidRDefault="004C266E" w:rsidP="004C266E">
      <w:pPr>
        <w:rPr>
          <w:rFonts w:eastAsia="Times New Roman" w:cs="Times New Roman"/>
          <w:sz w:val="20"/>
          <w:szCs w:val="20"/>
          <w:lang w:eastAsia="lv-LV"/>
        </w:rPr>
      </w:pPr>
      <w:r w:rsidRPr="00D26914">
        <w:rPr>
          <w:rFonts w:eastAsia="Times New Roman" w:cs="Times New Roman"/>
          <w:sz w:val="20"/>
          <w:szCs w:val="20"/>
          <w:lang w:eastAsia="lv-LV"/>
        </w:rPr>
        <w:t>670</w:t>
      </w:r>
      <w:r w:rsidR="00E126A7" w:rsidRPr="00D26914">
        <w:rPr>
          <w:rFonts w:eastAsia="Times New Roman" w:cs="Times New Roman"/>
          <w:sz w:val="20"/>
          <w:szCs w:val="20"/>
          <w:lang w:eastAsia="lv-LV"/>
        </w:rPr>
        <w:t>83</w:t>
      </w:r>
      <w:r w:rsidR="00980821" w:rsidRPr="00D26914">
        <w:rPr>
          <w:rFonts w:eastAsia="Times New Roman" w:cs="Times New Roman"/>
          <w:sz w:val="20"/>
          <w:szCs w:val="20"/>
          <w:lang w:eastAsia="lv-LV"/>
        </w:rPr>
        <w:t>9</w:t>
      </w:r>
      <w:r w:rsidR="00E126A7" w:rsidRPr="00D26914">
        <w:rPr>
          <w:rFonts w:eastAsia="Times New Roman" w:cs="Times New Roman"/>
          <w:sz w:val="20"/>
          <w:szCs w:val="20"/>
          <w:lang w:eastAsia="lv-LV"/>
        </w:rPr>
        <w:t>79</w:t>
      </w:r>
      <w:r w:rsidRPr="00D26914">
        <w:rPr>
          <w:rFonts w:eastAsia="Times New Roman" w:cs="Times New Roman"/>
          <w:sz w:val="20"/>
          <w:szCs w:val="20"/>
          <w:lang w:eastAsia="lv-LV"/>
        </w:rPr>
        <w:t xml:space="preserve">; fakss 67095541; </w:t>
      </w:r>
    </w:p>
    <w:p w:rsidR="00B253BC" w:rsidRPr="00D26914" w:rsidRDefault="00E126A7" w:rsidP="007D261C">
      <w:pPr>
        <w:rPr>
          <w:rFonts w:eastAsia="Times New Roman" w:cs="Times New Roman"/>
          <w:sz w:val="20"/>
          <w:szCs w:val="20"/>
          <w:lang w:eastAsia="lv-LV"/>
        </w:rPr>
      </w:pPr>
      <w:r w:rsidRPr="00D26914">
        <w:rPr>
          <w:rFonts w:eastAsia="Times New Roman" w:cs="Times New Roman"/>
          <w:sz w:val="20"/>
          <w:szCs w:val="20"/>
          <w:lang w:eastAsia="lv-LV"/>
        </w:rPr>
        <w:t>Ginta.</w:t>
      </w:r>
      <w:r w:rsidR="002E5D27" w:rsidRPr="00D26914">
        <w:rPr>
          <w:rFonts w:eastAsia="Times New Roman" w:cs="Times New Roman"/>
          <w:sz w:val="20"/>
          <w:szCs w:val="20"/>
          <w:lang w:eastAsia="lv-LV"/>
        </w:rPr>
        <w:t>G</w:t>
      </w:r>
      <w:r w:rsidRPr="00D26914">
        <w:rPr>
          <w:rFonts w:eastAsia="Times New Roman" w:cs="Times New Roman"/>
          <w:sz w:val="20"/>
          <w:szCs w:val="20"/>
          <w:lang w:eastAsia="lv-LV"/>
        </w:rPr>
        <w:t>oldmane</w:t>
      </w:r>
      <w:r w:rsidR="004C266E" w:rsidRPr="00D26914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253BC" w:rsidRPr="00D26914" w:rsidSect="003320DC">
      <w:headerReference w:type="default" r:id="rId12"/>
      <w:footerReference w:type="default" r:id="rId13"/>
      <w:footerReference w:type="first" r:id="rId14"/>
      <w:pgSz w:w="11906" w:h="16838"/>
      <w:pgMar w:top="709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BF" w:rsidRDefault="009908BF" w:rsidP="007740F2">
      <w:r>
        <w:separator/>
      </w:r>
    </w:p>
  </w:endnote>
  <w:endnote w:type="continuationSeparator" w:id="0">
    <w:p w:rsidR="009908BF" w:rsidRDefault="009908BF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3" w:rsidRPr="00DE2AA3" w:rsidRDefault="002E5D27" w:rsidP="00DE2AA3">
    <w:pPr>
      <w:pStyle w:val="Footer"/>
    </w:pPr>
    <w:r>
      <w:rPr>
        <w:rFonts w:eastAsia="Times New Roman" w:cs="Times New Roman"/>
        <w:sz w:val="18"/>
        <w:szCs w:val="18"/>
        <w:lang w:eastAsia="lv-LV"/>
      </w:rPr>
      <w:t>FMAnot_3107</w:t>
    </w:r>
    <w:r w:rsidR="00DE2AA3" w:rsidRPr="00DE2AA3">
      <w:rPr>
        <w:rFonts w:eastAsia="Times New Roman" w:cs="Times New Roman"/>
        <w:sz w:val="18"/>
        <w:szCs w:val="18"/>
        <w:lang w:eastAsia="lv-LV"/>
      </w:rPr>
      <w:t>13</w:t>
    </w:r>
    <w:r w:rsidR="00CE3DEB">
      <w:rPr>
        <w:rFonts w:eastAsia="Times New Roman" w:cs="Times New Roman"/>
        <w:sz w:val="18"/>
        <w:szCs w:val="18"/>
        <w:lang w:eastAsia="lv-LV"/>
      </w:rPr>
      <w:t>_541</w:t>
    </w:r>
    <w:r w:rsidR="00D7547B">
      <w:rPr>
        <w:rFonts w:eastAsia="Times New Roman" w:cs="Times New Roman"/>
        <w:sz w:val="18"/>
        <w:szCs w:val="18"/>
        <w:lang w:eastAsia="lv-LV"/>
      </w:rPr>
      <w:t>_euro</w:t>
    </w:r>
    <w:r w:rsidR="00D26914">
      <w:rPr>
        <w:rFonts w:eastAsia="Times New Roman" w:cs="Times New Roman"/>
        <w:sz w:val="18"/>
        <w:szCs w:val="18"/>
        <w:lang w:eastAsia="lv-LV"/>
      </w:rPr>
      <w:t>.1065</w:t>
    </w:r>
    <w:r w:rsidR="00DE2AA3" w:rsidRPr="00DE2AA3">
      <w:rPr>
        <w:rFonts w:eastAsia="Times New Roman" w:cs="Times New Roman"/>
        <w:sz w:val="18"/>
        <w:szCs w:val="18"/>
        <w:lang w:eastAsia="lv-LV"/>
      </w:rPr>
      <w:t>; Anotācija Ministru kabineta noteikumu „Grozījumi Ministru kabineta 2010.gada 21.jūnija noteikumos  Nr.541 „Noteikumi par valsts un pašvaldību institūciju amatpersonu un darbinieku atlīdzības uzskaites sistēmu”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D3" w:rsidRPr="006F48E7" w:rsidRDefault="002E5D2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FMAnot_3107</w:t>
    </w:r>
    <w:r w:rsidR="00251E6E" w:rsidRPr="00251E6E">
      <w:rPr>
        <w:sz w:val="18"/>
        <w:szCs w:val="18"/>
      </w:rPr>
      <w:t>13</w:t>
    </w:r>
    <w:r w:rsidR="00CE3DEB">
      <w:rPr>
        <w:sz w:val="18"/>
        <w:szCs w:val="18"/>
      </w:rPr>
      <w:t>_541</w:t>
    </w:r>
    <w:r w:rsidR="00D7547B">
      <w:rPr>
        <w:sz w:val="18"/>
        <w:szCs w:val="18"/>
      </w:rPr>
      <w:t>_euro</w:t>
    </w:r>
    <w:r w:rsidR="00D26914">
      <w:rPr>
        <w:sz w:val="18"/>
        <w:szCs w:val="18"/>
      </w:rPr>
      <w:t>.1065</w:t>
    </w:r>
    <w:r w:rsidR="00251E6E" w:rsidRPr="00251E6E">
      <w:rPr>
        <w:sz w:val="18"/>
        <w:szCs w:val="18"/>
      </w:rPr>
      <w:t xml:space="preserve">; Anotācija </w:t>
    </w:r>
    <w:r w:rsidR="00DE2AA3" w:rsidRPr="00DE2AA3">
      <w:rPr>
        <w:sz w:val="18"/>
        <w:szCs w:val="18"/>
      </w:rPr>
      <w:t>Ministru kabineta noteikumu „Grozījumi Ministru kabineta 2010.gada 21.jūnija noteikumos  Nr.541 „Noteikumi par valsts un pašvaldību institūciju amatpersonu un darbinieku atlīdz</w:t>
    </w:r>
    <w:r w:rsidR="00DE2AA3">
      <w:rPr>
        <w:sz w:val="18"/>
        <w:szCs w:val="18"/>
      </w:rPr>
      <w:t xml:space="preserve">ības uzskaites sistēmu” </w:t>
    </w:r>
    <w:r w:rsidR="006F48E7" w:rsidRPr="006F48E7">
      <w:rPr>
        <w:sz w:val="18"/>
        <w:szCs w:val="18"/>
      </w:rPr>
      <w:t>projekta</w:t>
    </w:r>
    <w:r w:rsidR="007636B7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BF" w:rsidRDefault="009908BF" w:rsidP="007740F2">
      <w:r>
        <w:separator/>
      </w:r>
    </w:p>
  </w:footnote>
  <w:footnote w:type="continuationSeparator" w:id="0">
    <w:p w:rsidR="009908BF" w:rsidRDefault="009908BF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0225E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726C0"/>
    <w:rsid w:val="00084A17"/>
    <w:rsid w:val="000A3048"/>
    <w:rsid w:val="000B1D1D"/>
    <w:rsid w:val="000B439D"/>
    <w:rsid w:val="000C0DAA"/>
    <w:rsid w:val="000C4DF9"/>
    <w:rsid w:val="000C54DC"/>
    <w:rsid w:val="000C6947"/>
    <w:rsid w:val="000E2542"/>
    <w:rsid w:val="000F2A5F"/>
    <w:rsid w:val="000F66B5"/>
    <w:rsid w:val="00107913"/>
    <w:rsid w:val="00115E82"/>
    <w:rsid w:val="0012014A"/>
    <w:rsid w:val="00120262"/>
    <w:rsid w:val="00120BB1"/>
    <w:rsid w:val="00122717"/>
    <w:rsid w:val="0012536F"/>
    <w:rsid w:val="00131852"/>
    <w:rsid w:val="00133FC3"/>
    <w:rsid w:val="0013757A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679A"/>
    <w:rsid w:val="00192B03"/>
    <w:rsid w:val="001952CE"/>
    <w:rsid w:val="001A0D1C"/>
    <w:rsid w:val="001A5D75"/>
    <w:rsid w:val="001A7971"/>
    <w:rsid w:val="001B1E3E"/>
    <w:rsid w:val="001B4200"/>
    <w:rsid w:val="001C2CD5"/>
    <w:rsid w:val="001C6D54"/>
    <w:rsid w:val="001D7B24"/>
    <w:rsid w:val="00200731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721A1"/>
    <w:rsid w:val="0027277F"/>
    <w:rsid w:val="002842DF"/>
    <w:rsid w:val="00285BE4"/>
    <w:rsid w:val="002A3DAE"/>
    <w:rsid w:val="002A429F"/>
    <w:rsid w:val="002B33E3"/>
    <w:rsid w:val="002B5BA9"/>
    <w:rsid w:val="002D0201"/>
    <w:rsid w:val="002D3FB4"/>
    <w:rsid w:val="002E080B"/>
    <w:rsid w:val="002E5D27"/>
    <w:rsid w:val="002E69E7"/>
    <w:rsid w:val="002F0760"/>
    <w:rsid w:val="002F14AD"/>
    <w:rsid w:val="002F3858"/>
    <w:rsid w:val="0030223A"/>
    <w:rsid w:val="00317A5C"/>
    <w:rsid w:val="003243DA"/>
    <w:rsid w:val="00324680"/>
    <w:rsid w:val="00325216"/>
    <w:rsid w:val="003320DC"/>
    <w:rsid w:val="003338AE"/>
    <w:rsid w:val="003426A8"/>
    <w:rsid w:val="0035017E"/>
    <w:rsid w:val="003539EF"/>
    <w:rsid w:val="003608AD"/>
    <w:rsid w:val="0036096D"/>
    <w:rsid w:val="003718BB"/>
    <w:rsid w:val="00377F94"/>
    <w:rsid w:val="00385736"/>
    <w:rsid w:val="003A020A"/>
    <w:rsid w:val="003A6BB3"/>
    <w:rsid w:val="003A6C4D"/>
    <w:rsid w:val="003B544A"/>
    <w:rsid w:val="003B7D1C"/>
    <w:rsid w:val="003D3104"/>
    <w:rsid w:val="003D47B9"/>
    <w:rsid w:val="003D5034"/>
    <w:rsid w:val="003E312E"/>
    <w:rsid w:val="003E333B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807EA"/>
    <w:rsid w:val="0049019A"/>
    <w:rsid w:val="00497CCD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3728"/>
    <w:rsid w:val="00527A7F"/>
    <w:rsid w:val="00530E60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B07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56345"/>
    <w:rsid w:val="00672F87"/>
    <w:rsid w:val="00684105"/>
    <w:rsid w:val="0069205F"/>
    <w:rsid w:val="006937AD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24272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B5773"/>
    <w:rsid w:val="007B5ACE"/>
    <w:rsid w:val="007D261C"/>
    <w:rsid w:val="007D5B1F"/>
    <w:rsid w:val="007D791F"/>
    <w:rsid w:val="007D7971"/>
    <w:rsid w:val="007E6B54"/>
    <w:rsid w:val="007F1998"/>
    <w:rsid w:val="007F1CFD"/>
    <w:rsid w:val="00803914"/>
    <w:rsid w:val="00812BA6"/>
    <w:rsid w:val="00814D08"/>
    <w:rsid w:val="00826821"/>
    <w:rsid w:val="00835068"/>
    <w:rsid w:val="008442FB"/>
    <w:rsid w:val="00851D90"/>
    <w:rsid w:val="00857024"/>
    <w:rsid w:val="00861512"/>
    <w:rsid w:val="00862EB1"/>
    <w:rsid w:val="00863C1E"/>
    <w:rsid w:val="00864869"/>
    <w:rsid w:val="00866536"/>
    <w:rsid w:val="00870A1E"/>
    <w:rsid w:val="00880D2A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902FFE"/>
    <w:rsid w:val="00921B9C"/>
    <w:rsid w:val="00923883"/>
    <w:rsid w:val="009267DF"/>
    <w:rsid w:val="0093094C"/>
    <w:rsid w:val="0093409E"/>
    <w:rsid w:val="00935378"/>
    <w:rsid w:val="009451ED"/>
    <w:rsid w:val="00955248"/>
    <w:rsid w:val="00966DD4"/>
    <w:rsid w:val="00980821"/>
    <w:rsid w:val="009809A3"/>
    <w:rsid w:val="009908BF"/>
    <w:rsid w:val="0099229E"/>
    <w:rsid w:val="009A5FD3"/>
    <w:rsid w:val="009B236A"/>
    <w:rsid w:val="009B4C0B"/>
    <w:rsid w:val="009B6CFA"/>
    <w:rsid w:val="009C6BC3"/>
    <w:rsid w:val="009C7CB7"/>
    <w:rsid w:val="009D02ED"/>
    <w:rsid w:val="009D3E47"/>
    <w:rsid w:val="009D6228"/>
    <w:rsid w:val="009D6B6F"/>
    <w:rsid w:val="009E423D"/>
    <w:rsid w:val="009F1C8A"/>
    <w:rsid w:val="009F49A6"/>
    <w:rsid w:val="009F502C"/>
    <w:rsid w:val="009F71E7"/>
    <w:rsid w:val="00A1143E"/>
    <w:rsid w:val="00A1195B"/>
    <w:rsid w:val="00A16F91"/>
    <w:rsid w:val="00A2399D"/>
    <w:rsid w:val="00A56FD2"/>
    <w:rsid w:val="00A57A47"/>
    <w:rsid w:val="00A74BC9"/>
    <w:rsid w:val="00A923DC"/>
    <w:rsid w:val="00A9576B"/>
    <w:rsid w:val="00A976A4"/>
    <w:rsid w:val="00AA2299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14926"/>
    <w:rsid w:val="00B253BC"/>
    <w:rsid w:val="00B254E1"/>
    <w:rsid w:val="00B26E00"/>
    <w:rsid w:val="00B30D51"/>
    <w:rsid w:val="00B40370"/>
    <w:rsid w:val="00B4486A"/>
    <w:rsid w:val="00B52B42"/>
    <w:rsid w:val="00B670AB"/>
    <w:rsid w:val="00B71B92"/>
    <w:rsid w:val="00B73B49"/>
    <w:rsid w:val="00B7762B"/>
    <w:rsid w:val="00B807F7"/>
    <w:rsid w:val="00B93AD7"/>
    <w:rsid w:val="00BA0537"/>
    <w:rsid w:val="00BA1E74"/>
    <w:rsid w:val="00BA20D0"/>
    <w:rsid w:val="00BA2654"/>
    <w:rsid w:val="00BA5C0C"/>
    <w:rsid w:val="00BB7856"/>
    <w:rsid w:val="00BD7AF4"/>
    <w:rsid w:val="00BE46E4"/>
    <w:rsid w:val="00C030E6"/>
    <w:rsid w:val="00C04576"/>
    <w:rsid w:val="00C11128"/>
    <w:rsid w:val="00C27314"/>
    <w:rsid w:val="00C41080"/>
    <w:rsid w:val="00C56ED0"/>
    <w:rsid w:val="00C60184"/>
    <w:rsid w:val="00C60F8C"/>
    <w:rsid w:val="00C674C2"/>
    <w:rsid w:val="00C728BB"/>
    <w:rsid w:val="00C76D46"/>
    <w:rsid w:val="00C80A73"/>
    <w:rsid w:val="00C82D4E"/>
    <w:rsid w:val="00C84F1F"/>
    <w:rsid w:val="00C92A5F"/>
    <w:rsid w:val="00CA3B94"/>
    <w:rsid w:val="00CA529E"/>
    <w:rsid w:val="00CB589D"/>
    <w:rsid w:val="00CB67AC"/>
    <w:rsid w:val="00CC35D2"/>
    <w:rsid w:val="00CD0DDE"/>
    <w:rsid w:val="00CD76A1"/>
    <w:rsid w:val="00CE2D10"/>
    <w:rsid w:val="00CE30D1"/>
    <w:rsid w:val="00CE3DEB"/>
    <w:rsid w:val="00CE4104"/>
    <w:rsid w:val="00CE7A8D"/>
    <w:rsid w:val="00CF742B"/>
    <w:rsid w:val="00D07C37"/>
    <w:rsid w:val="00D11379"/>
    <w:rsid w:val="00D237F7"/>
    <w:rsid w:val="00D26914"/>
    <w:rsid w:val="00D35312"/>
    <w:rsid w:val="00D37D0A"/>
    <w:rsid w:val="00D478F4"/>
    <w:rsid w:val="00D54BAC"/>
    <w:rsid w:val="00D57E12"/>
    <w:rsid w:val="00D64500"/>
    <w:rsid w:val="00D659ED"/>
    <w:rsid w:val="00D752AF"/>
    <w:rsid w:val="00D7547B"/>
    <w:rsid w:val="00D76AD0"/>
    <w:rsid w:val="00D81CB1"/>
    <w:rsid w:val="00D82F5F"/>
    <w:rsid w:val="00D8541C"/>
    <w:rsid w:val="00D86844"/>
    <w:rsid w:val="00D90AC4"/>
    <w:rsid w:val="00D93F45"/>
    <w:rsid w:val="00D9437D"/>
    <w:rsid w:val="00DA1516"/>
    <w:rsid w:val="00DA2445"/>
    <w:rsid w:val="00DB2E0E"/>
    <w:rsid w:val="00DC29FB"/>
    <w:rsid w:val="00DC56A8"/>
    <w:rsid w:val="00DD561C"/>
    <w:rsid w:val="00DD773D"/>
    <w:rsid w:val="00DE2AA3"/>
    <w:rsid w:val="00DF219A"/>
    <w:rsid w:val="00DF2257"/>
    <w:rsid w:val="00DF4B58"/>
    <w:rsid w:val="00DF56E7"/>
    <w:rsid w:val="00E02CB0"/>
    <w:rsid w:val="00E040B8"/>
    <w:rsid w:val="00E126A7"/>
    <w:rsid w:val="00E16B00"/>
    <w:rsid w:val="00E17245"/>
    <w:rsid w:val="00E20D5A"/>
    <w:rsid w:val="00E222EA"/>
    <w:rsid w:val="00E24549"/>
    <w:rsid w:val="00E25652"/>
    <w:rsid w:val="00E30C8C"/>
    <w:rsid w:val="00E34609"/>
    <w:rsid w:val="00E414CA"/>
    <w:rsid w:val="00E4178A"/>
    <w:rsid w:val="00E528B3"/>
    <w:rsid w:val="00E77C7F"/>
    <w:rsid w:val="00E833C2"/>
    <w:rsid w:val="00EA7AB6"/>
    <w:rsid w:val="00EB0AD9"/>
    <w:rsid w:val="00EB2C1E"/>
    <w:rsid w:val="00EB39A0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3608B"/>
    <w:rsid w:val="00F4097F"/>
    <w:rsid w:val="00F4712B"/>
    <w:rsid w:val="00F47558"/>
    <w:rsid w:val="00F535B4"/>
    <w:rsid w:val="00F60CA6"/>
    <w:rsid w:val="00F6632C"/>
    <w:rsid w:val="00F708BC"/>
    <w:rsid w:val="00F76776"/>
    <w:rsid w:val="00F8684A"/>
    <w:rsid w:val="00F93423"/>
    <w:rsid w:val="00F94342"/>
    <w:rsid w:val="00F96BD4"/>
    <w:rsid w:val="00FA241A"/>
    <w:rsid w:val="00FA2FDC"/>
    <w:rsid w:val="00FB01E2"/>
    <w:rsid w:val="00FB1F36"/>
    <w:rsid w:val="00FB5B96"/>
    <w:rsid w:val="00FD3453"/>
    <w:rsid w:val="00FE5D02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262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5F73-3285-4665-803B-581708E6E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60DE99-2FD7-4020-A169-E2C1C8068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6AFC1-66AC-4196-8AB4-F60C101EA2F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8A201A9D-E781-4894-B6A3-A3A0818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3555</Characters>
  <Application>Microsoft Office Word</Application>
  <DocSecurity>0</DocSecurity>
  <Lines>187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noteikumu „Grozījumi Ministru kabineta 2010.gada 21.jūnija noteikumos  Nr.541 „Noteikumi par valsts un pašvaldību institūciju amatpersonu un darbinieku atlīdzības uzskaites sistēmu” projektam</vt:lpstr>
    </vt:vector>
  </TitlesOfParts>
  <Company>fm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„Grozījumi Ministru kabineta 2010.gada 21.jūnija noteikumos  Nr.541 „Noteikumi par valsts un pašvaldību institūciju amatpersonu un darbinieku atlīdzības uzskaites sistēmu” projektam</dc:title>
  <dc:subject>Anotācija</dc:subject>
  <dc:creator>G.Goldmane</dc:creator>
  <cp:keywords/>
  <dc:description>t. 67083979
ginta.goldmane@fm.gov.lv</dc:description>
  <cp:lastModifiedBy>Ginta Goldmane</cp:lastModifiedBy>
  <cp:revision>16</cp:revision>
  <cp:lastPrinted>2013-03-15T14:27:00Z</cp:lastPrinted>
  <dcterms:created xsi:type="dcterms:W3CDTF">2013-03-18T09:53:00Z</dcterms:created>
  <dcterms:modified xsi:type="dcterms:W3CDTF">2013-07-31T08:13:00Z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