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F" w:rsidRPr="00D41C45" w:rsidRDefault="0013525F" w:rsidP="0013525F">
      <w:pPr>
        <w:pStyle w:val="BodyText"/>
        <w:rPr>
          <w:b/>
          <w:sz w:val="26"/>
          <w:szCs w:val="26"/>
        </w:rPr>
      </w:pPr>
      <w:bookmarkStart w:id="0" w:name="OLE_LINK1"/>
      <w:bookmarkStart w:id="1" w:name="OLE_LINK2"/>
      <w:bookmarkStart w:id="2" w:name="OLE_LINK6"/>
      <w:bookmarkStart w:id="3" w:name="OLE_LINK7"/>
      <w:r w:rsidRPr="00D41C45">
        <w:rPr>
          <w:b/>
          <w:sz w:val="26"/>
          <w:szCs w:val="26"/>
        </w:rPr>
        <w:t>Likumprojekta</w:t>
      </w:r>
    </w:p>
    <w:p w:rsidR="0013525F" w:rsidRPr="00EF24FF" w:rsidRDefault="0013525F" w:rsidP="0013525F">
      <w:pPr>
        <w:jc w:val="center"/>
        <w:rPr>
          <w:b/>
          <w:sz w:val="26"/>
          <w:szCs w:val="26"/>
          <w:lang w:val="lv-LV"/>
        </w:rPr>
      </w:pPr>
      <w:r w:rsidRPr="00EF24FF">
        <w:rPr>
          <w:b/>
          <w:bCs/>
          <w:sz w:val="26"/>
          <w:szCs w:val="26"/>
          <w:lang w:val="lv-LV"/>
        </w:rPr>
        <w:t>"</w:t>
      </w:r>
      <w:r w:rsidR="00EF24FF" w:rsidRPr="00EF24FF">
        <w:rPr>
          <w:b/>
          <w:sz w:val="26"/>
          <w:szCs w:val="26"/>
          <w:lang w:val="lv-LV"/>
        </w:rPr>
        <w:t>Grozījumi</w:t>
      </w:r>
      <w:r w:rsidRPr="00EF24FF">
        <w:rPr>
          <w:b/>
          <w:sz w:val="26"/>
          <w:szCs w:val="26"/>
          <w:lang w:val="lv-LV"/>
        </w:rPr>
        <w:t xml:space="preserve"> </w:t>
      </w:r>
      <w:bookmarkStart w:id="4" w:name="OLE_LINK3"/>
      <w:bookmarkStart w:id="5" w:name="OLE_LINK4"/>
      <w:r w:rsidR="00ED3D78">
        <w:rPr>
          <w:b/>
          <w:sz w:val="26"/>
          <w:szCs w:val="26"/>
          <w:lang w:val="lv-LV"/>
        </w:rPr>
        <w:t>Latvijas A</w:t>
      </w:r>
      <w:r w:rsidR="00F70C23">
        <w:rPr>
          <w:b/>
          <w:sz w:val="26"/>
          <w:szCs w:val="26"/>
          <w:lang w:val="lv-LV"/>
        </w:rPr>
        <w:t>dministratīvo pārkāpumu kodeks</w:t>
      </w:r>
      <w:bookmarkEnd w:id="4"/>
      <w:bookmarkEnd w:id="5"/>
      <w:r w:rsidR="00E5345F">
        <w:rPr>
          <w:b/>
          <w:sz w:val="26"/>
          <w:szCs w:val="26"/>
          <w:lang w:val="lv-LV"/>
        </w:rPr>
        <w:t>ā</w:t>
      </w:r>
      <w:r w:rsidRPr="00EF24FF">
        <w:rPr>
          <w:b/>
          <w:sz w:val="26"/>
          <w:szCs w:val="26"/>
          <w:lang w:val="lv-LV"/>
        </w:rPr>
        <w:t>"</w:t>
      </w:r>
      <w:bookmarkEnd w:id="0"/>
      <w:bookmarkEnd w:id="1"/>
    </w:p>
    <w:p w:rsidR="0013525F" w:rsidRPr="0013525F" w:rsidRDefault="0013525F" w:rsidP="0013525F">
      <w:pPr>
        <w:pStyle w:val="BodyText"/>
        <w:rPr>
          <w:b/>
          <w:sz w:val="26"/>
          <w:szCs w:val="26"/>
        </w:rPr>
      </w:pPr>
      <w:r w:rsidRPr="0013525F">
        <w:rPr>
          <w:b/>
          <w:sz w:val="26"/>
          <w:szCs w:val="26"/>
        </w:rPr>
        <w:t>sākotnējās ietekmes novērtējuma ziņojums (anotācija</w:t>
      </w:r>
      <w:bookmarkEnd w:id="2"/>
      <w:bookmarkEnd w:id="3"/>
      <w:r w:rsidRPr="0013525F">
        <w:rPr>
          <w:b/>
          <w:sz w:val="26"/>
          <w:szCs w:val="26"/>
        </w:rPr>
        <w:t>)</w:t>
      </w:r>
    </w:p>
    <w:p w:rsidR="0013525F" w:rsidRPr="00D41C45" w:rsidRDefault="0013525F" w:rsidP="0013525F">
      <w:pPr>
        <w:pStyle w:val="BodyText"/>
        <w:rPr>
          <w:b/>
          <w:color w:val="000000"/>
          <w:sz w:val="26"/>
          <w:szCs w:val="26"/>
        </w:rPr>
      </w:pPr>
    </w:p>
    <w:tbl>
      <w:tblPr>
        <w:tblW w:w="92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824"/>
      </w:tblGrid>
      <w:tr w:rsidR="0013525F" w:rsidRPr="00D41C45" w:rsidTr="00DF652E">
        <w:trPr>
          <w:trHeight w:val="564"/>
          <w:tblCellSpacing w:w="0" w:type="dxa"/>
        </w:trPr>
        <w:tc>
          <w:tcPr>
            <w:tcW w:w="9249"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DF652E">
            <w:pPr>
              <w:pStyle w:val="naisc"/>
              <w:jc w:val="center"/>
              <w:rPr>
                <w:sz w:val="26"/>
                <w:szCs w:val="26"/>
              </w:rPr>
            </w:pPr>
            <w:r w:rsidRPr="00D41C45">
              <w:rPr>
                <w:b/>
                <w:bCs/>
                <w:sz w:val="26"/>
                <w:szCs w:val="26"/>
              </w:rPr>
              <w:t>I. Tiesību akta projekta izstrādes nepieciešamība</w:t>
            </w:r>
          </w:p>
        </w:tc>
      </w:tr>
      <w:tr w:rsidR="0013525F" w:rsidRPr="00ED3D78" w:rsidTr="00DD0319">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lab"/>
              <w:rPr>
                <w:sz w:val="26"/>
                <w:szCs w:val="26"/>
              </w:rPr>
            </w:pPr>
            <w:r w:rsidRPr="00D41C45">
              <w:rPr>
                <w:sz w:val="26"/>
                <w:szCs w:val="26"/>
              </w:rPr>
              <w:t> Pamatojums</w:t>
            </w:r>
          </w:p>
        </w:tc>
        <w:tc>
          <w:tcPr>
            <w:tcW w:w="6824" w:type="dxa"/>
            <w:tcBorders>
              <w:top w:val="outset" w:sz="6" w:space="0" w:color="auto"/>
              <w:left w:val="outset" w:sz="6" w:space="0" w:color="auto"/>
              <w:bottom w:val="outset" w:sz="6" w:space="0" w:color="auto"/>
              <w:right w:val="outset" w:sz="6" w:space="0" w:color="auto"/>
            </w:tcBorders>
          </w:tcPr>
          <w:p w:rsidR="0013525F" w:rsidRPr="009C115A" w:rsidRDefault="0013525F" w:rsidP="00C24AAF">
            <w:pPr>
              <w:jc w:val="both"/>
              <w:rPr>
                <w:bCs/>
                <w:sz w:val="26"/>
                <w:szCs w:val="26"/>
                <w:lang w:val="lv-LV"/>
              </w:rPr>
            </w:pPr>
            <w:r w:rsidRPr="00D41C45">
              <w:rPr>
                <w:sz w:val="26"/>
                <w:szCs w:val="26"/>
                <w:lang w:val="lv-LV"/>
              </w:rPr>
              <w:t> </w:t>
            </w:r>
            <w:r w:rsidR="00201E77" w:rsidRPr="00130089">
              <w:rPr>
                <w:sz w:val="26"/>
                <w:szCs w:val="26"/>
                <w:lang w:val="lv-LV"/>
              </w:rPr>
              <w:t xml:space="preserve">Likumprojekts izstrādāts, lai nodrošinātu Ministru kabineta 2010.gada 30.marta sēdes protokola Nr.16 47§ 9.punktā paredzētā uzdevuma izpildi -  </w:t>
            </w:r>
            <w:r w:rsidR="00201E77" w:rsidRPr="00130089">
              <w:rPr>
                <w:color w:val="2A2A2A"/>
                <w:sz w:val="26"/>
                <w:szCs w:val="26"/>
                <w:lang w:val="lv-LV"/>
              </w:rPr>
              <w:t xml:space="preserve">sagatavot un finanšu ministram iesniegt noteiktā kārtībā nepieciešamos grozījumus likumā „Par Valsts ieņēmumu dienestu”, kas paredzētu pilnveidot vienkāršoto uzņēmumu likvidācijas procesu, kā arī </w:t>
            </w:r>
            <w:r w:rsidR="00201E77" w:rsidRPr="00130089">
              <w:rPr>
                <w:sz w:val="26"/>
                <w:szCs w:val="26"/>
                <w:lang w:val="lv-LV"/>
              </w:rPr>
              <w:t xml:space="preserve"> 10.punktā dotā uzdevuma izpildi, kas paredz </w:t>
            </w:r>
            <w:r w:rsidR="00201E77" w:rsidRPr="00130089">
              <w:rPr>
                <w:color w:val="2A2A2A"/>
                <w:sz w:val="26"/>
                <w:szCs w:val="26"/>
                <w:lang w:val="lv-LV"/>
              </w:rPr>
              <w:t>sagatavot nepieciešamos grozījumus Latvijas Administratīvo pārkāpumu kodeksā, kas paredzētu paplašināt Valsts ieņēmumu dienesta kompetenci ar tiesībām piemērot personai sodu „tiesību atņemšana uz visu veidu komercdarbību” vai „tiesību atņemšana ieņemt noteiktus amatus”.</w:t>
            </w:r>
          </w:p>
        </w:tc>
      </w:tr>
      <w:tr w:rsidR="0013525F" w:rsidRPr="00ED3D78" w:rsidTr="00DD031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Pašreizējā situācija un problēmas</w:t>
            </w:r>
          </w:p>
        </w:tc>
        <w:tc>
          <w:tcPr>
            <w:tcW w:w="6824" w:type="dxa"/>
            <w:tcBorders>
              <w:top w:val="outset" w:sz="6" w:space="0" w:color="auto"/>
              <w:left w:val="outset" w:sz="6" w:space="0" w:color="auto"/>
              <w:bottom w:val="outset" w:sz="6" w:space="0" w:color="auto"/>
              <w:right w:val="outset" w:sz="6" w:space="0" w:color="auto"/>
            </w:tcBorders>
          </w:tcPr>
          <w:p w:rsidR="00535497" w:rsidRDefault="009C115A" w:rsidP="009C115A">
            <w:pPr>
              <w:jc w:val="both"/>
              <w:rPr>
                <w:sz w:val="26"/>
                <w:szCs w:val="26"/>
                <w:lang w:val="lv-LV"/>
              </w:rPr>
            </w:pPr>
            <w:r w:rsidRPr="009C115A">
              <w:rPr>
                <w:sz w:val="26"/>
                <w:szCs w:val="26"/>
                <w:lang w:val="lv-LV"/>
              </w:rPr>
              <w:t>Lai varētu apturēt tādu nodokļu maksātāju saimniecisko darbību, kuri veic „fiktīvus” darījumus, pēc VID ieskatiem ir nepieciešams ne tikai tos izslēgt no ar pievienotās vērtības nodokli apliekamo personu reģistra, bet arī liegt nodarboties vispār ar saimniecisko darbību. Šobrīd spēkā esošajos normatīvajos aktos ir noteikts, ka nodokļu maksātājam var liegt nodarboties ar saimniecisko darbību tikai tad, kad ir pieņemts tiesas nolēmums. Minētais process kavē iespējami ātri apturēt „fiktīvu” nodokļu</w:t>
            </w:r>
            <w:r w:rsidR="00272A66">
              <w:rPr>
                <w:sz w:val="26"/>
                <w:szCs w:val="26"/>
                <w:lang w:val="lv-LV"/>
              </w:rPr>
              <w:t xml:space="preserve"> maksātāju saimniecisko darbību.</w:t>
            </w:r>
            <w:r w:rsidR="00272A66" w:rsidRPr="004805C8">
              <w:rPr>
                <w:sz w:val="26"/>
                <w:szCs w:val="26"/>
                <w:lang w:val="lv-LV"/>
              </w:rPr>
              <w:t xml:space="preserve"> Paredzēts paplašināt to gadījumu loku, kuros komersanta darbība var tikt apturēta, liedzot turpināt normatīvajiem aktiem neatbilstošu komercdarbību. Apturot saimniecisko darbību, tiks veikti papildus komersanta darbību ierobežojošie pasākumi, piemēram, speciālo atļauju (licenču) anulēšana, norēķinu operāciju apturēšana, struktūrvienību vai citu saimnieciskās darbības veikšanas vietu noplombēšana vai aizzīmogošana</w:t>
            </w:r>
            <w:r w:rsidR="00522430">
              <w:rPr>
                <w:sz w:val="26"/>
                <w:szCs w:val="26"/>
                <w:lang w:val="lv-LV"/>
              </w:rPr>
              <w:t xml:space="preserve">. </w:t>
            </w:r>
            <w:r w:rsidR="006F335C">
              <w:rPr>
                <w:sz w:val="26"/>
                <w:szCs w:val="26"/>
                <w:lang w:val="lv-LV"/>
              </w:rPr>
              <w:t>Ir nepieciešams noteikt atbildību, ja nodokļu maksātājs, kuram Valsts ieņēmumu dienests ir apturējis saimniecisko darbību, pilda maksājumu saistības vai veic darījumus.</w:t>
            </w:r>
          </w:p>
          <w:p w:rsidR="00BA30C6" w:rsidRPr="00D82653" w:rsidRDefault="00C16A78" w:rsidP="00D82653">
            <w:pPr>
              <w:jc w:val="both"/>
              <w:rPr>
                <w:b/>
                <w:sz w:val="26"/>
                <w:szCs w:val="26"/>
                <w:lang w:val="lv-LV"/>
              </w:rPr>
            </w:pPr>
            <w:r>
              <w:rPr>
                <w:sz w:val="26"/>
                <w:szCs w:val="26"/>
                <w:lang w:val="lv-LV"/>
              </w:rPr>
              <w:t>Ir nepieciešams noteikt atbildību par skaidras naudas lietošanas ierobežojumu neievērošanu</w:t>
            </w:r>
            <w:r w:rsidR="00D82653">
              <w:rPr>
                <w:sz w:val="26"/>
                <w:szCs w:val="26"/>
                <w:lang w:val="lv-LV"/>
              </w:rPr>
              <w:t xml:space="preserve">. </w:t>
            </w:r>
            <w:r w:rsidR="00D82653" w:rsidRPr="00535497">
              <w:rPr>
                <w:sz w:val="26"/>
                <w:szCs w:val="26"/>
                <w:lang w:val="lv-LV"/>
              </w:rPr>
              <w:t xml:space="preserve">Šobrīd saskaņā ar likuma „Par nodokļiem un nodevām” 30.pantu, nodokļu maksātājiem, kas veic saimniecisko darbību, ir jādeklarē tikai savstarpēji ar otru saimnieciskās darbības veicēju skaidrā naudā veiktie darījumi, kuru summa mēneša ietvaros pārsniedz 3000 latus, taču likums neparedz, ka šīm personām būtu jādeklarē arī ar fizisku personu (kas neveic saimniecisko darbību) veiktie darījumi, ja to summa mēneša ietvaros pārsniedz konkrētu summu. Tādējādi kontrolējošai iestādei nav īsti skaidra priekšstata par patieso darījumu, kas tiek veikti starp saimnieciskās darbības veicēju un </w:t>
            </w:r>
            <w:r w:rsidR="00D82653" w:rsidRPr="00535497">
              <w:rPr>
                <w:sz w:val="26"/>
                <w:szCs w:val="26"/>
                <w:lang w:val="lv-LV"/>
              </w:rPr>
              <w:lastRenderedPageBreak/>
              <w:t>personu, kas neveic saimniecisko darbību</w:t>
            </w:r>
            <w:r w:rsidR="00BA30C6" w:rsidRPr="00535497">
              <w:rPr>
                <w:sz w:val="26"/>
                <w:szCs w:val="26"/>
                <w:lang w:val="lv-LV"/>
              </w:rPr>
              <w:t>,</w:t>
            </w:r>
            <w:r w:rsidR="00D82653" w:rsidRPr="00535497">
              <w:rPr>
                <w:sz w:val="26"/>
                <w:szCs w:val="26"/>
                <w:lang w:val="lv-LV"/>
              </w:rPr>
              <w:t xml:space="preserve"> būtību un apjomu</w:t>
            </w:r>
            <w:r w:rsidR="00BA30C6" w:rsidRPr="00535497">
              <w:rPr>
                <w:sz w:val="26"/>
                <w:szCs w:val="26"/>
                <w:lang w:val="lv-LV"/>
              </w:rPr>
              <w:t>. Tur</w:t>
            </w:r>
            <w:r w:rsidR="005862FB" w:rsidRPr="00535497">
              <w:rPr>
                <w:sz w:val="26"/>
                <w:szCs w:val="26"/>
                <w:lang w:val="lv-LV"/>
              </w:rPr>
              <w:t>klāt uz šo brīdi, noteiktā summa</w:t>
            </w:r>
            <w:r w:rsidR="00BA30C6" w:rsidRPr="00535497">
              <w:rPr>
                <w:sz w:val="26"/>
                <w:szCs w:val="26"/>
                <w:lang w:val="lv-LV"/>
              </w:rPr>
              <w:t>, kuru sasniedzot, darījums ir jādeklarē vai arī darījums vispār nedrīkst tikt veikts, ir pārāk augsta, tāpēc tā būtu samazināma un līdz ar</w:t>
            </w:r>
            <w:r w:rsidR="005862FB" w:rsidRPr="00535497">
              <w:rPr>
                <w:sz w:val="26"/>
                <w:szCs w:val="26"/>
                <w:lang w:val="lv-LV"/>
              </w:rPr>
              <w:t xml:space="preserve"> to</w:t>
            </w:r>
            <w:r w:rsidR="00BA30C6" w:rsidRPr="00535497">
              <w:rPr>
                <w:sz w:val="26"/>
                <w:szCs w:val="26"/>
                <w:lang w:val="lv-LV"/>
              </w:rPr>
              <w:t xml:space="preserve"> ir precizējami panti attiecībā uz atbildību par skaidrās naudas lietoš</w:t>
            </w:r>
            <w:r w:rsidR="00535497" w:rsidRPr="00535497">
              <w:rPr>
                <w:sz w:val="26"/>
                <w:szCs w:val="26"/>
                <w:lang w:val="lv-LV"/>
              </w:rPr>
              <w:t>anas ierobežojumu neievērošanu.</w:t>
            </w:r>
          </w:p>
        </w:tc>
      </w:tr>
      <w:tr w:rsidR="0013525F" w:rsidRPr="00D41C45" w:rsidTr="00DD0319">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Saistītie politikas ietekmes novērtējumi un pētījumi</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Nav attiecināms</w:t>
            </w:r>
            <w:r>
              <w:rPr>
                <w:sz w:val="26"/>
                <w:szCs w:val="26"/>
              </w:rPr>
              <w:t>.</w:t>
            </w:r>
          </w:p>
        </w:tc>
      </w:tr>
      <w:tr w:rsidR="0013525F" w:rsidRPr="00ED3D78" w:rsidTr="00DD0319">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Tiesiskā regulējuma mērķis un būtība</w:t>
            </w:r>
          </w:p>
        </w:tc>
        <w:tc>
          <w:tcPr>
            <w:tcW w:w="6824" w:type="dxa"/>
            <w:tcBorders>
              <w:top w:val="outset" w:sz="6" w:space="0" w:color="auto"/>
              <w:left w:val="outset" w:sz="6" w:space="0" w:color="auto"/>
              <w:bottom w:val="outset" w:sz="6" w:space="0" w:color="auto"/>
              <w:right w:val="outset" w:sz="6" w:space="0" w:color="auto"/>
            </w:tcBorders>
          </w:tcPr>
          <w:p w:rsidR="00535497" w:rsidRPr="00535497" w:rsidRDefault="00C16A78" w:rsidP="00535497">
            <w:pPr>
              <w:pStyle w:val="ListParagraph"/>
              <w:numPr>
                <w:ilvl w:val="0"/>
                <w:numId w:val="6"/>
              </w:numPr>
              <w:jc w:val="both"/>
              <w:rPr>
                <w:b/>
                <w:sz w:val="26"/>
                <w:szCs w:val="26"/>
                <w:lang w:val="lv-LV"/>
              </w:rPr>
            </w:pPr>
            <w:r w:rsidRPr="00535497">
              <w:rPr>
                <w:sz w:val="26"/>
                <w:szCs w:val="26"/>
                <w:lang w:val="lv-LV"/>
              </w:rPr>
              <w:t>p</w:t>
            </w:r>
            <w:r w:rsidR="009C115A" w:rsidRPr="00535497">
              <w:rPr>
                <w:sz w:val="26"/>
                <w:szCs w:val="26"/>
                <w:lang w:val="lv-LV"/>
              </w:rPr>
              <w:t>aredzēt administratīvo atbildību gadījumā, ja nodokļu maksātājs pēc saimnieciskās darbības aptu</w:t>
            </w:r>
            <w:r w:rsidRPr="00535497">
              <w:rPr>
                <w:sz w:val="26"/>
                <w:szCs w:val="26"/>
                <w:lang w:val="lv-LV"/>
              </w:rPr>
              <w:t>rēšanas turpina veikt darījumus</w:t>
            </w:r>
            <w:r w:rsidR="00F041A9">
              <w:rPr>
                <w:sz w:val="26"/>
                <w:szCs w:val="26"/>
                <w:lang w:val="lv-LV"/>
              </w:rPr>
              <w:t>;</w:t>
            </w:r>
            <w:r w:rsidR="00535497" w:rsidRPr="00535497">
              <w:rPr>
                <w:b/>
                <w:sz w:val="26"/>
                <w:szCs w:val="26"/>
                <w:lang w:val="lv-LV"/>
              </w:rPr>
              <w:t xml:space="preserve"> </w:t>
            </w:r>
          </w:p>
          <w:p w:rsidR="00C16A78" w:rsidRPr="00C16A78" w:rsidRDefault="00D66137" w:rsidP="009C115A">
            <w:pPr>
              <w:pStyle w:val="ListParagraph"/>
              <w:numPr>
                <w:ilvl w:val="0"/>
                <w:numId w:val="6"/>
              </w:numPr>
              <w:jc w:val="both"/>
              <w:rPr>
                <w:sz w:val="26"/>
                <w:szCs w:val="26"/>
                <w:lang w:val="lv-LV"/>
              </w:rPr>
            </w:pPr>
            <w:r w:rsidRPr="00535497">
              <w:rPr>
                <w:sz w:val="26"/>
                <w:szCs w:val="26"/>
                <w:lang w:val="lv-LV"/>
              </w:rPr>
              <w:t>precizēt un papildināt</w:t>
            </w:r>
            <w:r w:rsidR="00C16A78" w:rsidRPr="00535497">
              <w:rPr>
                <w:sz w:val="26"/>
                <w:szCs w:val="26"/>
                <w:lang w:val="lv-LV"/>
              </w:rPr>
              <w:t xml:space="preserve"> atbildību par skaidras naudas lietošanas ierobežojumu neievērošanu</w:t>
            </w:r>
          </w:p>
        </w:tc>
      </w:tr>
      <w:tr w:rsidR="0013525F" w:rsidRPr="00503AAB" w:rsidTr="00DD0319">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5.</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izstrādē iesaistītās institūcijas</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13525F" w:rsidP="00743C98">
            <w:pPr>
              <w:tabs>
                <w:tab w:val="left" w:pos="6990"/>
              </w:tabs>
              <w:jc w:val="both"/>
              <w:rPr>
                <w:sz w:val="26"/>
                <w:szCs w:val="26"/>
                <w:lang w:val="lv-LV"/>
              </w:rPr>
            </w:pPr>
            <w:r w:rsidRPr="00D41C45">
              <w:rPr>
                <w:sz w:val="26"/>
                <w:szCs w:val="26"/>
                <w:lang w:val="lv-LV"/>
              </w:rPr>
              <w:t xml:space="preserve"> Valsts ieņēmumu dienests </w:t>
            </w:r>
          </w:p>
        </w:tc>
      </w:tr>
      <w:tr w:rsidR="0013525F" w:rsidRPr="00ED3D78" w:rsidTr="00DD0319">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Iemesli, kādēļ netika nodrošināta sabiedrības līdzdalība</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7A793E" w:rsidP="00617C56">
            <w:pPr>
              <w:tabs>
                <w:tab w:val="left" w:pos="709"/>
              </w:tabs>
              <w:jc w:val="both"/>
              <w:rPr>
                <w:sz w:val="26"/>
                <w:szCs w:val="26"/>
                <w:lang w:val="lv-LV"/>
              </w:rPr>
            </w:pPr>
            <w:r>
              <w:rPr>
                <w:sz w:val="26"/>
                <w:szCs w:val="26"/>
                <w:lang w:val="lv-LV"/>
              </w:rPr>
              <w:t>Likum</w:t>
            </w:r>
            <w:r w:rsidR="00FC7E08">
              <w:rPr>
                <w:sz w:val="26"/>
                <w:szCs w:val="26"/>
                <w:lang w:val="lv-LV"/>
              </w:rPr>
              <w:t>p</w:t>
            </w:r>
            <w:r>
              <w:rPr>
                <w:sz w:val="26"/>
                <w:szCs w:val="26"/>
                <w:lang w:val="lv-LV"/>
              </w:rPr>
              <w:t>r</w:t>
            </w:r>
            <w:r w:rsidR="00FC7E08">
              <w:rPr>
                <w:sz w:val="26"/>
                <w:szCs w:val="26"/>
                <w:lang w:val="lv-LV"/>
              </w:rPr>
              <w:t>ojekts pare</w:t>
            </w:r>
            <w:r>
              <w:rPr>
                <w:sz w:val="26"/>
                <w:szCs w:val="26"/>
                <w:lang w:val="lv-LV"/>
              </w:rPr>
              <w:t>dz nodokļu maksātājiem labvēlīga</w:t>
            </w:r>
            <w:r w:rsidR="00FC7E08">
              <w:rPr>
                <w:sz w:val="26"/>
                <w:szCs w:val="26"/>
                <w:lang w:val="lv-LV"/>
              </w:rPr>
              <w:t>s normas</w:t>
            </w:r>
            <w:r>
              <w:rPr>
                <w:sz w:val="26"/>
                <w:szCs w:val="26"/>
                <w:lang w:val="lv-LV"/>
              </w:rPr>
              <w:t xml:space="preserve">. </w:t>
            </w:r>
            <w:r w:rsidRPr="00F041A9">
              <w:rPr>
                <w:sz w:val="26"/>
                <w:szCs w:val="26"/>
                <w:lang w:val="lv-LV"/>
              </w:rPr>
              <w:t>Attiecībā uz nelabvēlīgajām normām – jau šobrīd likumā „Par nodokļiem un nodevām” ir paredzēts regulējums nodokļu maksātāja saimnieciskās darbības apturē</w:t>
            </w:r>
            <w:r w:rsidR="00617C56" w:rsidRPr="00F041A9">
              <w:rPr>
                <w:sz w:val="26"/>
                <w:szCs w:val="26"/>
                <w:lang w:val="lv-LV"/>
              </w:rPr>
              <w:t xml:space="preserve">šanai, šis regulējums šobrīd tiek pilnveidots, lai būtu reāli piemērojams un līdz ar to ir nosakāma arī atbildība. Grozījumi attiecībā uz normām par skaidro naudas lietošanas ierobežojumu pārkāpumiem daļēji izriet no </w:t>
            </w:r>
            <w:r w:rsidR="00617C56" w:rsidRPr="00F041A9">
              <w:rPr>
                <w:bCs/>
                <w:sz w:val="26"/>
                <w:szCs w:val="26"/>
                <w:lang w:val="lv-LV"/>
              </w:rPr>
              <w:t xml:space="preserve">Pasākumu plāna ēnu ekonomikas apkarošanai un godīgas konkurences nodrošināšanai 2010.-2013.gadam, kas apstiprināts ar </w:t>
            </w:r>
            <w:r w:rsidR="00617C56" w:rsidRPr="00F041A9">
              <w:rPr>
                <w:sz w:val="26"/>
                <w:szCs w:val="26"/>
                <w:lang w:val="lv-LV"/>
              </w:rPr>
              <w:t xml:space="preserve">Ministru kabineta 2010.gada 26.augusta rīkojumu Nr.513, kas sabiedrībai bija zināms </w:t>
            </w:r>
            <w:r w:rsidR="00A5678E" w:rsidRPr="00F041A9">
              <w:rPr>
                <w:sz w:val="26"/>
                <w:szCs w:val="26"/>
                <w:lang w:val="lv-LV"/>
              </w:rPr>
              <w:t xml:space="preserve">jau </w:t>
            </w:r>
            <w:r w:rsidR="00617C56" w:rsidRPr="00F041A9">
              <w:rPr>
                <w:sz w:val="26"/>
                <w:szCs w:val="26"/>
                <w:lang w:val="lv-LV"/>
              </w:rPr>
              <w:t>pagājušajā gadā</w:t>
            </w:r>
            <w:r w:rsidR="00A5678E" w:rsidRPr="00F041A9">
              <w:rPr>
                <w:sz w:val="26"/>
                <w:szCs w:val="26"/>
                <w:lang w:val="lv-LV"/>
              </w:rPr>
              <w:t>.</w:t>
            </w:r>
          </w:p>
        </w:tc>
      </w:tr>
      <w:tr w:rsidR="0013525F" w:rsidRPr="00ED3D78" w:rsidTr="00DD0319">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Cita informācija</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6F335C" w:rsidP="006F335C">
            <w:pPr>
              <w:pStyle w:val="naiskr"/>
              <w:jc w:val="both"/>
              <w:rPr>
                <w:sz w:val="26"/>
                <w:szCs w:val="26"/>
              </w:rPr>
            </w:pPr>
            <w:r>
              <w:rPr>
                <w:sz w:val="26"/>
                <w:szCs w:val="26"/>
              </w:rPr>
              <w:t> </w:t>
            </w:r>
            <w:r w:rsidR="00F13A4F" w:rsidRPr="00F13A4F">
              <w:rPr>
                <w:sz w:val="26"/>
                <w:szCs w:val="26"/>
                <w:lang w:val="fi-FI"/>
              </w:rPr>
              <w:t>Tieslietu ministrijas izstrādāto likumprojektu „Grozījumi Komerclikumā” (VSS-375) un Tieslietu ministrijas izstrādāto likumprojektu „Grozījumi Latvijas administratīvo pārkāpumu kodeksā”” (VSS-415). Likumprojekts ”Grozījumi Latvijas Administratīvo pārkāpumu kodeksā” papildina vairākus likuma pantus ar sankciju ”atņemot tiesības ieņemt noteiktus amatus komercsabiedrībās”, piemēram, likuma 41.pantā minētās sankcijas – atņemt tiesības ieņemt noteiktus amatus komercsabiedrībās” par darba līguma nenoslēgšanu rakstveida formā atkārtoti gada laikā Valsts darba inspekcija piemēros, sadarbojoties arī ar Valsts ieņēmumu dienestu, kurš sniegs informāciju. Tāpat likumprojekts paredz paplašināt Latvijas Administratīvo pārkāpumu kodeksa 159.</w:t>
            </w:r>
            <w:r w:rsidR="00F13A4F" w:rsidRPr="00F13A4F">
              <w:rPr>
                <w:sz w:val="26"/>
                <w:szCs w:val="26"/>
                <w:vertAlign w:val="superscript"/>
                <w:lang w:val="fi-FI"/>
              </w:rPr>
              <w:t>7</w:t>
            </w:r>
            <w:r w:rsidR="00F13A4F" w:rsidRPr="00F13A4F">
              <w:rPr>
                <w:sz w:val="26"/>
                <w:szCs w:val="26"/>
                <w:lang w:val="fi-FI"/>
              </w:rPr>
              <w:t xml:space="preserve"> panta otrās daļas sankciju ar Valsts ieņēmumu dienesta tiesībām valdes loceklim atņemt tiesības ieņemt noteiktus amatus komercsabiedrībās.</w:t>
            </w:r>
          </w:p>
        </w:tc>
      </w:tr>
    </w:tbl>
    <w:p w:rsidR="0013525F" w:rsidRPr="00D41C45" w:rsidRDefault="0013525F"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901"/>
        <w:gridCol w:w="6770"/>
      </w:tblGrid>
      <w:tr w:rsidR="0013525F" w:rsidRPr="00ED3D78" w:rsidTr="00DF652E">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DF652E">
            <w:pPr>
              <w:pStyle w:val="naisnod"/>
              <w:jc w:val="center"/>
              <w:rPr>
                <w:b/>
                <w:bCs/>
                <w:sz w:val="26"/>
                <w:szCs w:val="26"/>
              </w:rPr>
            </w:pPr>
            <w:r w:rsidRPr="00D41C45">
              <w:rPr>
                <w:b/>
                <w:bCs/>
                <w:sz w:val="26"/>
                <w:szCs w:val="26"/>
              </w:rPr>
              <w:t>II. Tiesību akta projekta ietekme uz sabiedrību</w:t>
            </w:r>
          </w:p>
        </w:tc>
      </w:tr>
      <w:tr w:rsidR="0013525F" w:rsidRPr="00ED3D78" w:rsidTr="00F041A9">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1.</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xml:space="preserve"> Sabiedrības </w:t>
            </w:r>
            <w:r w:rsidRPr="00763B0B">
              <w:rPr>
                <w:sz w:val="26"/>
                <w:szCs w:val="26"/>
              </w:rPr>
              <w:lastRenderedPageBreak/>
              <w:t>mērķgrupa</w:t>
            </w:r>
          </w:p>
        </w:tc>
        <w:tc>
          <w:tcPr>
            <w:tcW w:w="6770" w:type="dxa"/>
            <w:tcBorders>
              <w:top w:val="outset" w:sz="6" w:space="0" w:color="auto"/>
              <w:left w:val="outset" w:sz="6" w:space="0" w:color="auto"/>
              <w:bottom w:val="outset" w:sz="6" w:space="0" w:color="auto"/>
              <w:right w:val="outset" w:sz="6" w:space="0" w:color="auto"/>
            </w:tcBorders>
          </w:tcPr>
          <w:p w:rsidR="007C15F6" w:rsidRDefault="0013525F" w:rsidP="007C15F6">
            <w:pPr>
              <w:pStyle w:val="naiskr"/>
              <w:spacing w:before="0" w:beforeAutospacing="0" w:after="0" w:afterAutospacing="0"/>
              <w:jc w:val="both"/>
              <w:rPr>
                <w:sz w:val="26"/>
                <w:szCs w:val="26"/>
              </w:rPr>
            </w:pPr>
            <w:r w:rsidRPr="00763B0B">
              <w:rPr>
                <w:sz w:val="26"/>
                <w:szCs w:val="26"/>
              </w:rPr>
              <w:lastRenderedPageBreak/>
              <w:t> </w:t>
            </w:r>
            <w:r w:rsidR="00743C98" w:rsidRPr="00763B0B">
              <w:rPr>
                <w:sz w:val="26"/>
                <w:szCs w:val="26"/>
              </w:rPr>
              <w:t>Likumprojekta</w:t>
            </w:r>
            <w:r w:rsidR="007C15F6" w:rsidRPr="00763B0B">
              <w:rPr>
                <w:sz w:val="26"/>
                <w:szCs w:val="26"/>
              </w:rPr>
              <w:t xml:space="preserve"> tiesiskais regulējums attiecināms </w:t>
            </w:r>
            <w:r w:rsidR="00743C98" w:rsidRPr="00763B0B">
              <w:rPr>
                <w:sz w:val="26"/>
                <w:szCs w:val="26"/>
              </w:rPr>
              <w:t xml:space="preserve">gan </w:t>
            </w:r>
            <w:r w:rsidR="007C15F6" w:rsidRPr="00763B0B">
              <w:rPr>
                <w:sz w:val="26"/>
                <w:szCs w:val="26"/>
              </w:rPr>
              <w:t xml:space="preserve">uz </w:t>
            </w:r>
            <w:r w:rsidR="007C15F6" w:rsidRPr="00763B0B">
              <w:rPr>
                <w:sz w:val="26"/>
                <w:szCs w:val="26"/>
              </w:rPr>
              <w:lastRenderedPageBreak/>
              <w:t>nodokļu administrāciju,</w:t>
            </w:r>
            <w:r w:rsidR="00743C98" w:rsidRPr="00763B0B">
              <w:rPr>
                <w:sz w:val="26"/>
                <w:szCs w:val="26"/>
              </w:rPr>
              <w:t xml:space="preserve"> t.i., Valsts ieņēmumu dienestu, gan nodokļu maksātājiem</w:t>
            </w:r>
            <w:r w:rsidR="00D66137">
              <w:rPr>
                <w:sz w:val="26"/>
                <w:szCs w:val="26"/>
              </w:rPr>
              <w:t>.</w:t>
            </w:r>
          </w:p>
          <w:p w:rsidR="00DE5BCB" w:rsidRPr="00535497" w:rsidRDefault="00D66137" w:rsidP="007C15F6">
            <w:pPr>
              <w:pStyle w:val="naiskr"/>
              <w:spacing w:before="0" w:beforeAutospacing="0" w:after="0" w:afterAutospacing="0"/>
              <w:jc w:val="both"/>
              <w:rPr>
                <w:sz w:val="26"/>
                <w:szCs w:val="26"/>
              </w:rPr>
            </w:pPr>
            <w:r w:rsidRPr="00535497">
              <w:rPr>
                <w:sz w:val="26"/>
                <w:szCs w:val="26"/>
              </w:rPr>
              <w:t>Attiecībā uz saimnieciskās darbības apturēšanu</w:t>
            </w:r>
            <w:r w:rsidR="00A038A7" w:rsidRPr="00535497">
              <w:rPr>
                <w:sz w:val="26"/>
                <w:szCs w:val="26"/>
              </w:rPr>
              <w:t xml:space="preserve"> 2011.gada 5 mēnešos 892 tematiskajās pārbaudēs konstatēti pārkāpumi, </w:t>
            </w:r>
            <w:proofErr w:type="spellStart"/>
            <w:r w:rsidR="00A038A7" w:rsidRPr="00535497">
              <w:rPr>
                <w:sz w:val="26"/>
                <w:szCs w:val="26"/>
              </w:rPr>
              <w:t>t.sk</w:t>
            </w:r>
            <w:proofErr w:type="spellEnd"/>
            <w:r w:rsidR="00A038A7" w:rsidRPr="00535497">
              <w:rPr>
                <w:sz w:val="26"/>
                <w:szCs w:val="26"/>
              </w:rPr>
              <w:t>., 38 pārbaudēs konstatēts, ka ar 77 darba ņēmējiem nav noslēgti darba līgumi</w:t>
            </w:r>
            <w:r w:rsidR="00DE5BCB" w:rsidRPr="00535497">
              <w:rPr>
                <w:sz w:val="26"/>
                <w:szCs w:val="26"/>
              </w:rPr>
              <w:t>. 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w:t>
            </w:r>
            <w:r w:rsidR="004F7574" w:rsidRPr="00535497">
              <w:rPr>
                <w:sz w:val="26"/>
                <w:szCs w:val="26"/>
              </w:rPr>
              <w:t>interesētas interesēties par savu statusu un ja, piemēram, par samaksu ir piekritušas iesaistīties komercdarbībā, tādējādi atbalstot fiktīvo uzņēmējdarbību, šobrīd ir gatavas atzīt šo pārkāpumu, lai gūtu iespēju pretendēt uz pabalstiem un saņemt tos. 2011.gada 5 mēnešos no VID ar PVN apliekamo personu reģistra pēc VID iniciatīvas ir izslēgtas 2924 personas, šāda izslēgšana būtu uzskatāma par ierobežojošu pasākumu saimnieciskās darbības veikšanai.</w:t>
            </w:r>
          </w:p>
          <w:p w:rsidR="004F7574" w:rsidRPr="00535497" w:rsidRDefault="004F7574" w:rsidP="007C15F6">
            <w:pPr>
              <w:pStyle w:val="naiskr"/>
              <w:spacing w:before="0" w:beforeAutospacing="0" w:after="0" w:afterAutospacing="0"/>
              <w:jc w:val="both"/>
              <w:rPr>
                <w:sz w:val="26"/>
                <w:szCs w:val="26"/>
              </w:rPr>
            </w:pPr>
            <w:r w:rsidRPr="00535497">
              <w:rPr>
                <w:sz w:val="26"/>
                <w:szCs w:val="26"/>
              </w:rPr>
              <w:t>Attiecībā uz skaidras naudas ierobežojumiem, 2011.gada 5 mēnešos ir sodīti 66 nodokļu maksātāji, kuru darījumu summa ir pārsniegusi Ls 10000, ņemot vērā ar likumprojektu darījuma summa tiek samazināta uz Ls 5000, prognozējams, ka pārkāpēju skaits būs lielāks. 2010.gadā ir sodīti 4 nodokļu  maksātāji, kas nav deklarējuši darījumus, kas pārsniedz Ls 3000, bet nepārsniedz Ls 10000</w:t>
            </w:r>
            <w:r w:rsidR="00B323DD" w:rsidRPr="00535497">
              <w:rPr>
                <w:sz w:val="26"/>
                <w:szCs w:val="26"/>
              </w:rPr>
              <w:t>. 2010.gadā ir deklarēti 11 260 skaidrā naudā veiktie darījumi, ieviešot likumprojektā iekļautās normas, deklarēto darījumu skaitam ir jāpalielinās, ņemot vērā, ka summa, kuru sasniedzot skaidrā naudā veiktais darījums ir deklarējams, ir samazināta no Ls 3000 uz Ls 1000.</w:t>
            </w:r>
          </w:p>
          <w:p w:rsidR="0013525F" w:rsidRPr="00763B0B" w:rsidRDefault="0013525F" w:rsidP="00DF652E">
            <w:pPr>
              <w:pStyle w:val="naiskr"/>
              <w:spacing w:before="0" w:beforeAutospacing="0" w:after="0" w:afterAutospacing="0"/>
              <w:jc w:val="both"/>
              <w:rPr>
                <w:sz w:val="26"/>
                <w:szCs w:val="26"/>
              </w:rPr>
            </w:pPr>
          </w:p>
        </w:tc>
      </w:tr>
      <w:tr w:rsidR="0013525F" w:rsidRPr="00763B0B" w:rsidTr="00F041A9">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lastRenderedPageBreak/>
              <w:t> 2.</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Citas sabiedrības grupas (bez mērķgrupas), kuras tiesiskais regulējums arī ietekmē vai varētu ietekmēt</w:t>
            </w:r>
          </w:p>
        </w:tc>
        <w:tc>
          <w:tcPr>
            <w:tcW w:w="6770"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jc w:val="both"/>
              <w:rPr>
                <w:sz w:val="26"/>
                <w:szCs w:val="26"/>
              </w:rPr>
            </w:pPr>
            <w:r w:rsidRPr="00763B0B">
              <w:rPr>
                <w:sz w:val="26"/>
                <w:szCs w:val="26"/>
              </w:rPr>
              <w:t> Nav attiecināms.</w:t>
            </w:r>
          </w:p>
        </w:tc>
      </w:tr>
      <w:tr w:rsidR="0013525F" w:rsidRPr="00ED3D78" w:rsidTr="00F041A9">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3.</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spacing w:before="0" w:beforeAutospacing="0" w:after="0" w:afterAutospacing="0"/>
              <w:ind w:right="-556"/>
              <w:rPr>
                <w:sz w:val="26"/>
                <w:szCs w:val="26"/>
              </w:rPr>
            </w:pPr>
            <w:r w:rsidRPr="00763B0B">
              <w:rPr>
                <w:sz w:val="26"/>
                <w:szCs w:val="26"/>
              </w:rPr>
              <w:t> Tiesiskā regulējuma</w:t>
            </w:r>
          </w:p>
          <w:p w:rsidR="0013525F" w:rsidRPr="00763B0B" w:rsidRDefault="0013525F" w:rsidP="00DF652E">
            <w:pPr>
              <w:pStyle w:val="naiskr"/>
              <w:spacing w:before="0" w:beforeAutospacing="0" w:after="0" w:afterAutospacing="0"/>
              <w:ind w:right="-556"/>
              <w:rPr>
                <w:sz w:val="26"/>
                <w:szCs w:val="26"/>
              </w:rPr>
            </w:pPr>
            <w:r w:rsidRPr="00763B0B">
              <w:rPr>
                <w:sz w:val="26"/>
                <w:szCs w:val="26"/>
              </w:rPr>
              <w:t>finansiālā ietekme</w:t>
            </w:r>
          </w:p>
        </w:tc>
        <w:tc>
          <w:tcPr>
            <w:tcW w:w="6770" w:type="dxa"/>
            <w:tcBorders>
              <w:top w:val="outset" w:sz="6" w:space="0" w:color="auto"/>
              <w:left w:val="outset" w:sz="6" w:space="0" w:color="auto"/>
              <w:bottom w:val="outset" w:sz="6" w:space="0" w:color="auto"/>
              <w:right w:val="outset" w:sz="6" w:space="0" w:color="auto"/>
            </w:tcBorders>
          </w:tcPr>
          <w:p w:rsidR="0013525F" w:rsidRPr="00535497" w:rsidRDefault="0013525F" w:rsidP="00B323DD">
            <w:pPr>
              <w:jc w:val="both"/>
              <w:rPr>
                <w:sz w:val="26"/>
                <w:szCs w:val="26"/>
                <w:lang w:val="lv-LV"/>
              </w:rPr>
            </w:pPr>
            <w:r w:rsidRPr="00763B0B">
              <w:rPr>
                <w:sz w:val="26"/>
                <w:szCs w:val="26"/>
                <w:lang w:val="lv-LV"/>
              </w:rPr>
              <w:t> </w:t>
            </w:r>
            <w:r w:rsidR="00B323DD" w:rsidRPr="00535497">
              <w:rPr>
                <w:sz w:val="26"/>
                <w:szCs w:val="26"/>
                <w:lang w:val="lv-LV"/>
              </w:rPr>
              <w:t>Ņemot vērā likumprojektā iekļautos jaunos sodus un to, ka skaidrā naudā veikta darījuma summa, kura būtu deklarējama vai, sākot no kuras darījumu skaidrā naudā nevar veikt, samazinās, uzliktie naudas sodi kopumā varētu palielināties.</w:t>
            </w:r>
          </w:p>
        </w:tc>
      </w:tr>
      <w:tr w:rsidR="0013525F" w:rsidRPr="00B323DD" w:rsidTr="00F041A9">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4.</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Tiesiskā regulējuma nefinansiālā ietekme</w:t>
            </w:r>
          </w:p>
        </w:tc>
        <w:tc>
          <w:tcPr>
            <w:tcW w:w="6770" w:type="dxa"/>
            <w:tcBorders>
              <w:top w:val="outset" w:sz="6" w:space="0" w:color="auto"/>
              <w:left w:val="outset" w:sz="6" w:space="0" w:color="auto"/>
              <w:bottom w:val="outset" w:sz="6" w:space="0" w:color="auto"/>
              <w:right w:val="outset" w:sz="6" w:space="0" w:color="auto"/>
            </w:tcBorders>
          </w:tcPr>
          <w:p w:rsidR="0013525F" w:rsidRPr="00763B0B" w:rsidRDefault="0013525F" w:rsidP="00B323DD">
            <w:pPr>
              <w:jc w:val="both"/>
              <w:rPr>
                <w:sz w:val="26"/>
                <w:szCs w:val="26"/>
                <w:lang w:val="lv-LV"/>
              </w:rPr>
            </w:pPr>
            <w:r w:rsidRPr="00763B0B">
              <w:rPr>
                <w:sz w:val="26"/>
                <w:szCs w:val="26"/>
                <w:lang w:val="lv-LV"/>
              </w:rPr>
              <w:t> </w:t>
            </w:r>
            <w:r w:rsidR="00B323DD" w:rsidRPr="00763B0B">
              <w:rPr>
                <w:sz w:val="26"/>
                <w:szCs w:val="26"/>
                <w:lang w:val="lv-LV"/>
              </w:rPr>
              <w:t>Nav attiecināms.</w:t>
            </w:r>
          </w:p>
        </w:tc>
      </w:tr>
      <w:tr w:rsidR="0013525F" w:rsidRPr="00763B0B" w:rsidTr="00F041A9">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5.</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xml:space="preserve"> Administratīvās procedūras </w:t>
            </w:r>
            <w:r w:rsidRPr="00763B0B">
              <w:rPr>
                <w:sz w:val="26"/>
                <w:szCs w:val="26"/>
              </w:rPr>
              <w:lastRenderedPageBreak/>
              <w:t>raksturojums</w:t>
            </w:r>
          </w:p>
        </w:tc>
        <w:tc>
          <w:tcPr>
            <w:tcW w:w="6770"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jc w:val="both"/>
              <w:rPr>
                <w:sz w:val="26"/>
                <w:szCs w:val="26"/>
              </w:rPr>
            </w:pPr>
            <w:r w:rsidRPr="00763B0B">
              <w:rPr>
                <w:sz w:val="26"/>
                <w:szCs w:val="26"/>
              </w:rPr>
              <w:lastRenderedPageBreak/>
              <w:t> Nav attiecināms.</w:t>
            </w:r>
          </w:p>
        </w:tc>
      </w:tr>
      <w:tr w:rsidR="0013525F" w:rsidRPr="00763B0B" w:rsidTr="00F041A9">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lastRenderedPageBreak/>
              <w:t> 6.</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Administratīvo izmaksu monetārs novērtējums</w:t>
            </w:r>
          </w:p>
        </w:tc>
        <w:tc>
          <w:tcPr>
            <w:tcW w:w="6770"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jc w:val="both"/>
              <w:rPr>
                <w:sz w:val="26"/>
                <w:szCs w:val="26"/>
              </w:rPr>
            </w:pPr>
            <w:r w:rsidRPr="00763B0B">
              <w:rPr>
                <w:sz w:val="26"/>
                <w:szCs w:val="26"/>
              </w:rPr>
              <w:t> Nav attiecināms.</w:t>
            </w:r>
          </w:p>
        </w:tc>
      </w:tr>
      <w:tr w:rsidR="0013525F" w:rsidRPr="00763B0B" w:rsidTr="00F041A9">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7.</w:t>
            </w:r>
          </w:p>
        </w:tc>
        <w:tc>
          <w:tcPr>
            <w:tcW w:w="1901"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rPr>
                <w:sz w:val="26"/>
                <w:szCs w:val="26"/>
              </w:rPr>
            </w:pPr>
            <w:r w:rsidRPr="00763B0B">
              <w:rPr>
                <w:sz w:val="26"/>
                <w:szCs w:val="26"/>
              </w:rPr>
              <w:t> Cita informācija</w:t>
            </w:r>
          </w:p>
        </w:tc>
        <w:tc>
          <w:tcPr>
            <w:tcW w:w="6770" w:type="dxa"/>
            <w:tcBorders>
              <w:top w:val="outset" w:sz="6" w:space="0" w:color="auto"/>
              <w:left w:val="outset" w:sz="6" w:space="0" w:color="auto"/>
              <w:bottom w:val="outset" w:sz="6" w:space="0" w:color="auto"/>
              <w:right w:val="outset" w:sz="6" w:space="0" w:color="auto"/>
            </w:tcBorders>
          </w:tcPr>
          <w:p w:rsidR="0013525F" w:rsidRPr="00763B0B" w:rsidRDefault="0013525F" w:rsidP="00DF652E">
            <w:pPr>
              <w:pStyle w:val="naiskr"/>
              <w:jc w:val="both"/>
              <w:rPr>
                <w:sz w:val="26"/>
                <w:szCs w:val="26"/>
              </w:rPr>
            </w:pPr>
            <w:r w:rsidRPr="00763B0B">
              <w:rPr>
                <w:sz w:val="26"/>
                <w:szCs w:val="26"/>
              </w:rPr>
              <w:t> Nav.</w:t>
            </w:r>
          </w:p>
        </w:tc>
      </w:tr>
    </w:tbl>
    <w:p w:rsidR="005B7BA7" w:rsidRPr="00362A1B" w:rsidRDefault="005B7BA7" w:rsidP="005B7BA7">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B7BA7" w:rsidRPr="00362A1B" w:rsidTr="008D2315">
        <w:tc>
          <w:tcPr>
            <w:tcW w:w="9356" w:type="dxa"/>
          </w:tcPr>
          <w:p w:rsidR="005B7BA7" w:rsidRPr="00362A1B" w:rsidRDefault="005B7BA7" w:rsidP="00F91CB2">
            <w:pPr>
              <w:jc w:val="center"/>
              <w:rPr>
                <w:b/>
                <w:sz w:val="26"/>
                <w:szCs w:val="26"/>
              </w:rPr>
            </w:pPr>
            <w:r w:rsidRPr="00362A1B">
              <w:rPr>
                <w:b/>
                <w:sz w:val="26"/>
                <w:szCs w:val="26"/>
              </w:rPr>
              <w:t xml:space="preserve">III. </w:t>
            </w:r>
            <w:proofErr w:type="spellStart"/>
            <w:r w:rsidRPr="00362A1B">
              <w:rPr>
                <w:b/>
                <w:sz w:val="26"/>
                <w:szCs w:val="26"/>
              </w:rPr>
              <w:t>Tiesību</w:t>
            </w:r>
            <w:proofErr w:type="spellEnd"/>
            <w:r w:rsidRPr="00362A1B">
              <w:rPr>
                <w:b/>
                <w:sz w:val="26"/>
                <w:szCs w:val="26"/>
              </w:rPr>
              <w:t xml:space="preserve"> </w:t>
            </w:r>
            <w:proofErr w:type="spellStart"/>
            <w:r w:rsidRPr="00362A1B">
              <w:rPr>
                <w:b/>
                <w:sz w:val="26"/>
                <w:szCs w:val="26"/>
              </w:rPr>
              <w:t>akta</w:t>
            </w:r>
            <w:proofErr w:type="spellEnd"/>
            <w:r w:rsidRPr="00362A1B">
              <w:rPr>
                <w:b/>
                <w:sz w:val="26"/>
                <w:szCs w:val="26"/>
              </w:rPr>
              <w:t xml:space="preserve"> </w:t>
            </w:r>
            <w:proofErr w:type="spellStart"/>
            <w:r w:rsidRPr="00362A1B">
              <w:rPr>
                <w:b/>
                <w:sz w:val="26"/>
                <w:szCs w:val="26"/>
              </w:rPr>
              <w:t>projekta</w:t>
            </w:r>
            <w:proofErr w:type="spellEnd"/>
            <w:r w:rsidRPr="00362A1B">
              <w:rPr>
                <w:b/>
                <w:sz w:val="26"/>
                <w:szCs w:val="26"/>
              </w:rPr>
              <w:t xml:space="preserve"> </w:t>
            </w:r>
            <w:proofErr w:type="spellStart"/>
            <w:r w:rsidRPr="00362A1B">
              <w:rPr>
                <w:b/>
                <w:sz w:val="26"/>
                <w:szCs w:val="26"/>
              </w:rPr>
              <w:t>ietekme</w:t>
            </w:r>
            <w:proofErr w:type="spellEnd"/>
            <w:r w:rsidRPr="00362A1B">
              <w:rPr>
                <w:b/>
                <w:sz w:val="26"/>
                <w:szCs w:val="26"/>
              </w:rPr>
              <w:t xml:space="preserve"> </w:t>
            </w:r>
            <w:proofErr w:type="spellStart"/>
            <w:r w:rsidRPr="00362A1B">
              <w:rPr>
                <w:b/>
                <w:sz w:val="26"/>
                <w:szCs w:val="26"/>
              </w:rPr>
              <w:t>uz</w:t>
            </w:r>
            <w:proofErr w:type="spellEnd"/>
            <w:r w:rsidRPr="00362A1B">
              <w:rPr>
                <w:b/>
                <w:sz w:val="26"/>
                <w:szCs w:val="26"/>
              </w:rPr>
              <w:t xml:space="preserve"> </w:t>
            </w:r>
            <w:proofErr w:type="spellStart"/>
            <w:r w:rsidRPr="00362A1B">
              <w:rPr>
                <w:b/>
                <w:sz w:val="26"/>
                <w:szCs w:val="26"/>
              </w:rPr>
              <w:t>valsts</w:t>
            </w:r>
            <w:proofErr w:type="spellEnd"/>
            <w:r w:rsidRPr="00362A1B">
              <w:rPr>
                <w:b/>
                <w:sz w:val="26"/>
                <w:szCs w:val="26"/>
              </w:rPr>
              <w:t xml:space="preserve"> </w:t>
            </w:r>
            <w:proofErr w:type="spellStart"/>
            <w:r w:rsidRPr="00362A1B">
              <w:rPr>
                <w:b/>
                <w:sz w:val="26"/>
                <w:szCs w:val="26"/>
              </w:rPr>
              <w:t>budžetu</w:t>
            </w:r>
            <w:proofErr w:type="spellEnd"/>
            <w:r w:rsidRPr="00362A1B">
              <w:rPr>
                <w:b/>
                <w:sz w:val="26"/>
                <w:szCs w:val="26"/>
              </w:rPr>
              <w:t xml:space="preserve"> un </w:t>
            </w:r>
            <w:proofErr w:type="spellStart"/>
            <w:r w:rsidRPr="00362A1B">
              <w:rPr>
                <w:b/>
                <w:sz w:val="26"/>
                <w:szCs w:val="26"/>
              </w:rPr>
              <w:t>pašvaldību</w:t>
            </w:r>
            <w:proofErr w:type="spellEnd"/>
            <w:r w:rsidRPr="00362A1B">
              <w:rPr>
                <w:b/>
                <w:sz w:val="26"/>
                <w:szCs w:val="26"/>
              </w:rPr>
              <w:t xml:space="preserve"> </w:t>
            </w:r>
            <w:proofErr w:type="spellStart"/>
            <w:r w:rsidRPr="00362A1B">
              <w:rPr>
                <w:b/>
                <w:sz w:val="26"/>
                <w:szCs w:val="26"/>
              </w:rPr>
              <w:t>budžetiem</w:t>
            </w:r>
            <w:proofErr w:type="spellEnd"/>
          </w:p>
        </w:tc>
      </w:tr>
      <w:tr w:rsidR="005B7BA7" w:rsidRPr="00362A1B" w:rsidTr="008D2315">
        <w:trPr>
          <w:trHeight w:val="279"/>
        </w:trPr>
        <w:tc>
          <w:tcPr>
            <w:tcW w:w="9356" w:type="dxa"/>
            <w:vAlign w:val="center"/>
          </w:tcPr>
          <w:p w:rsidR="005B7BA7" w:rsidRPr="00362A1B" w:rsidRDefault="005B7BA7" w:rsidP="00F91CB2">
            <w:pPr>
              <w:jc w:val="center"/>
              <w:rPr>
                <w:sz w:val="26"/>
                <w:szCs w:val="26"/>
              </w:rPr>
            </w:pPr>
            <w:proofErr w:type="spellStart"/>
            <w:r w:rsidRPr="00362A1B">
              <w:rPr>
                <w:sz w:val="26"/>
                <w:szCs w:val="26"/>
              </w:rPr>
              <w:t>Likumprojekts</w:t>
            </w:r>
            <w:proofErr w:type="spellEnd"/>
            <w:r w:rsidRPr="00362A1B">
              <w:rPr>
                <w:sz w:val="26"/>
                <w:szCs w:val="26"/>
              </w:rPr>
              <w:t xml:space="preserve"> </w:t>
            </w:r>
            <w:proofErr w:type="spellStart"/>
            <w:r w:rsidRPr="00362A1B">
              <w:rPr>
                <w:sz w:val="26"/>
                <w:szCs w:val="26"/>
              </w:rPr>
              <w:t>šo</w:t>
            </w:r>
            <w:proofErr w:type="spellEnd"/>
            <w:r w:rsidRPr="00362A1B">
              <w:rPr>
                <w:sz w:val="26"/>
                <w:szCs w:val="26"/>
              </w:rPr>
              <w:t xml:space="preserve"> </w:t>
            </w:r>
            <w:proofErr w:type="spellStart"/>
            <w:r w:rsidRPr="00362A1B">
              <w:rPr>
                <w:sz w:val="26"/>
                <w:szCs w:val="26"/>
              </w:rPr>
              <w:t>jomu</w:t>
            </w:r>
            <w:proofErr w:type="spellEnd"/>
            <w:r w:rsidRPr="00362A1B">
              <w:rPr>
                <w:sz w:val="26"/>
                <w:szCs w:val="26"/>
              </w:rPr>
              <w:t xml:space="preserve"> </w:t>
            </w:r>
            <w:proofErr w:type="spellStart"/>
            <w:r w:rsidRPr="00362A1B">
              <w:rPr>
                <w:sz w:val="26"/>
                <w:szCs w:val="26"/>
              </w:rPr>
              <w:t>neskar</w:t>
            </w:r>
            <w:proofErr w:type="spellEnd"/>
            <w:r w:rsidRPr="00362A1B">
              <w:rPr>
                <w:sz w:val="26"/>
                <w:szCs w:val="26"/>
              </w:rPr>
              <w:t>.</w:t>
            </w:r>
          </w:p>
        </w:tc>
      </w:tr>
    </w:tbl>
    <w:p w:rsidR="005B7BA7" w:rsidRPr="00763B0B" w:rsidRDefault="005B7BA7" w:rsidP="0013525F">
      <w:pPr>
        <w:jc w:val="both"/>
        <w:rPr>
          <w:sz w:val="26"/>
          <w:szCs w:val="26"/>
          <w:lang w:val="pt-BR"/>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426"/>
        <w:gridCol w:w="1984"/>
        <w:gridCol w:w="6804"/>
      </w:tblGrid>
      <w:tr w:rsidR="00474212" w:rsidRPr="00ED3D78" w:rsidTr="008D2315">
        <w:trPr>
          <w:tblCellSpacing w:w="0" w:type="dxa"/>
        </w:trPr>
        <w:tc>
          <w:tcPr>
            <w:tcW w:w="9229" w:type="dxa"/>
            <w:gridSpan w:val="4"/>
            <w:tcBorders>
              <w:top w:val="outset" w:sz="6" w:space="0" w:color="auto"/>
              <w:left w:val="outset" w:sz="6" w:space="0" w:color="auto"/>
              <w:bottom w:val="outset" w:sz="6" w:space="0" w:color="auto"/>
              <w:right w:val="outset" w:sz="6" w:space="0" w:color="auto"/>
            </w:tcBorders>
            <w:hideMark/>
          </w:tcPr>
          <w:p w:rsidR="00474212" w:rsidRPr="00763B0B" w:rsidRDefault="00474212">
            <w:pPr>
              <w:spacing w:before="100" w:beforeAutospacing="1" w:after="100" w:afterAutospacing="1"/>
              <w:jc w:val="center"/>
              <w:rPr>
                <w:b/>
                <w:sz w:val="26"/>
                <w:szCs w:val="26"/>
                <w:lang w:val="pt-BR"/>
              </w:rPr>
            </w:pPr>
            <w:r w:rsidRPr="00763B0B">
              <w:rPr>
                <w:i/>
                <w:iCs/>
                <w:sz w:val="26"/>
                <w:szCs w:val="26"/>
                <w:lang w:val="pt-BR"/>
              </w:rPr>
              <w:t> </w:t>
            </w:r>
            <w:r w:rsidRPr="00763B0B">
              <w:rPr>
                <w:b/>
                <w:sz w:val="26"/>
                <w:szCs w:val="26"/>
                <w:lang w:val="pt-BR"/>
              </w:rPr>
              <w:t>IV. Tiesību akta projekta ietekme uz spēkā esošo tiesību normu sistēmu</w:t>
            </w:r>
          </w:p>
        </w:tc>
      </w:tr>
      <w:tr w:rsidR="00474212" w:rsidRPr="00ED3D78" w:rsidTr="00F041A9">
        <w:trPr>
          <w:tblCellSpacing w:w="0" w:type="dxa"/>
        </w:trPr>
        <w:tc>
          <w:tcPr>
            <w:tcW w:w="441" w:type="dxa"/>
            <w:gridSpan w:val="2"/>
            <w:tcBorders>
              <w:top w:val="outset" w:sz="6" w:space="0" w:color="auto"/>
              <w:left w:val="outset" w:sz="6" w:space="0" w:color="auto"/>
              <w:bottom w:val="outset" w:sz="6" w:space="0" w:color="auto"/>
              <w:right w:val="outset" w:sz="6" w:space="0" w:color="auto"/>
            </w:tcBorders>
            <w:hideMark/>
          </w:tcPr>
          <w:p w:rsidR="00474212" w:rsidRPr="00763B0B" w:rsidRDefault="00474212">
            <w:pPr>
              <w:spacing w:before="100" w:beforeAutospacing="1" w:after="100" w:afterAutospacing="1"/>
              <w:rPr>
                <w:sz w:val="26"/>
                <w:szCs w:val="26"/>
              </w:rPr>
            </w:pPr>
            <w:r w:rsidRPr="00763B0B">
              <w:rPr>
                <w:sz w:val="26"/>
                <w:szCs w:val="26"/>
                <w:lang w:val="pt-BR"/>
              </w:rPr>
              <w:t> </w:t>
            </w:r>
            <w:r w:rsidRPr="00763B0B">
              <w:rPr>
                <w:sz w:val="26"/>
                <w:szCs w:val="26"/>
              </w:rPr>
              <w:t>1.</w:t>
            </w:r>
          </w:p>
        </w:tc>
        <w:tc>
          <w:tcPr>
            <w:tcW w:w="1984" w:type="dxa"/>
            <w:tcBorders>
              <w:top w:val="outset" w:sz="6" w:space="0" w:color="auto"/>
              <w:left w:val="outset" w:sz="6" w:space="0" w:color="auto"/>
              <w:bottom w:val="outset" w:sz="6" w:space="0" w:color="auto"/>
              <w:right w:val="outset" w:sz="6" w:space="0" w:color="auto"/>
            </w:tcBorders>
            <w:hideMark/>
          </w:tcPr>
          <w:p w:rsidR="00474212" w:rsidRPr="00763B0B" w:rsidRDefault="00474212">
            <w:pPr>
              <w:spacing w:before="100" w:beforeAutospacing="1" w:after="100" w:afterAutospacing="1"/>
              <w:rPr>
                <w:sz w:val="26"/>
                <w:szCs w:val="26"/>
              </w:rPr>
            </w:pPr>
            <w:r w:rsidRPr="00763B0B">
              <w:rPr>
                <w:sz w:val="26"/>
                <w:szCs w:val="26"/>
              </w:rPr>
              <w:t> </w:t>
            </w:r>
            <w:proofErr w:type="spellStart"/>
            <w:r w:rsidRPr="00763B0B">
              <w:rPr>
                <w:sz w:val="26"/>
                <w:szCs w:val="26"/>
              </w:rPr>
              <w:t>Nepieciešamie</w:t>
            </w:r>
            <w:proofErr w:type="spellEnd"/>
            <w:r w:rsidRPr="00763B0B">
              <w:rPr>
                <w:sz w:val="26"/>
                <w:szCs w:val="26"/>
              </w:rPr>
              <w:t xml:space="preserve"> </w:t>
            </w:r>
            <w:proofErr w:type="spellStart"/>
            <w:r w:rsidRPr="00763B0B">
              <w:rPr>
                <w:sz w:val="26"/>
                <w:szCs w:val="26"/>
              </w:rPr>
              <w:t>saistītie</w:t>
            </w:r>
            <w:proofErr w:type="spellEnd"/>
            <w:r w:rsidRPr="00763B0B">
              <w:rPr>
                <w:sz w:val="26"/>
                <w:szCs w:val="26"/>
              </w:rPr>
              <w:t xml:space="preserve"> </w:t>
            </w:r>
            <w:proofErr w:type="spellStart"/>
            <w:r w:rsidRPr="00763B0B">
              <w:rPr>
                <w:sz w:val="26"/>
                <w:szCs w:val="26"/>
              </w:rPr>
              <w:t>tiesību</w:t>
            </w:r>
            <w:proofErr w:type="spellEnd"/>
            <w:r w:rsidRPr="00763B0B">
              <w:rPr>
                <w:sz w:val="26"/>
                <w:szCs w:val="26"/>
              </w:rPr>
              <w:t xml:space="preserve"> </w:t>
            </w:r>
            <w:proofErr w:type="spellStart"/>
            <w:r w:rsidRPr="00763B0B">
              <w:rPr>
                <w:sz w:val="26"/>
                <w:szCs w:val="26"/>
              </w:rPr>
              <w:t>aktu</w:t>
            </w:r>
            <w:proofErr w:type="spellEnd"/>
            <w:r w:rsidRPr="00763B0B">
              <w:rPr>
                <w:sz w:val="26"/>
                <w:szCs w:val="26"/>
              </w:rPr>
              <w:t xml:space="preserve"> </w:t>
            </w:r>
            <w:proofErr w:type="spellStart"/>
            <w:r w:rsidRPr="00763B0B">
              <w:rPr>
                <w:sz w:val="26"/>
                <w:szCs w:val="26"/>
              </w:rPr>
              <w:t>projekti</w:t>
            </w:r>
            <w:proofErr w:type="spellEnd"/>
          </w:p>
        </w:tc>
        <w:tc>
          <w:tcPr>
            <w:tcW w:w="6804" w:type="dxa"/>
            <w:tcBorders>
              <w:top w:val="outset" w:sz="6" w:space="0" w:color="auto"/>
              <w:left w:val="outset" w:sz="6" w:space="0" w:color="auto"/>
              <w:bottom w:val="outset" w:sz="6" w:space="0" w:color="auto"/>
              <w:right w:val="outset" w:sz="6" w:space="0" w:color="auto"/>
            </w:tcBorders>
            <w:hideMark/>
          </w:tcPr>
          <w:p w:rsidR="00C35094" w:rsidRPr="00F041A9" w:rsidRDefault="00C35094" w:rsidP="00C35094">
            <w:pPr>
              <w:tabs>
                <w:tab w:val="left" w:pos="2628"/>
              </w:tabs>
              <w:jc w:val="both"/>
              <w:rPr>
                <w:iCs/>
                <w:sz w:val="26"/>
                <w:szCs w:val="26"/>
                <w:lang w:val="lv-LV" w:eastAsia="lv-LV"/>
              </w:rPr>
            </w:pPr>
            <w:r w:rsidRPr="00F041A9">
              <w:rPr>
                <w:iCs/>
                <w:sz w:val="26"/>
                <w:szCs w:val="26"/>
                <w:lang w:val="lv-LV" w:eastAsia="lv-LV"/>
              </w:rPr>
              <w:t>Likumprojekts Ministru kabinetā un Saeimā ir izskatāms vienlaicīgi ar:</w:t>
            </w:r>
          </w:p>
          <w:p w:rsidR="009C115A" w:rsidRPr="00F041A9" w:rsidRDefault="00F041A9" w:rsidP="009C115A">
            <w:pPr>
              <w:spacing w:before="100" w:beforeAutospacing="1" w:after="100" w:afterAutospacing="1"/>
              <w:jc w:val="both"/>
              <w:rPr>
                <w:sz w:val="26"/>
                <w:szCs w:val="26"/>
                <w:lang w:val="lv-LV"/>
              </w:rPr>
            </w:pPr>
            <w:r w:rsidRPr="00F041A9">
              <w:rPr>
                <w:sz w:val="26"/>
                <w:szCs w:val="26"/>
                <w:lang w:val="lv-LV"/>
              </w:rPr>
              <w:t>1) likumprojektu</w:t>
            </w:r>
            <w:r w:rsidR="002231AB" w:rsidRPr="00F041A9">
              <w:rPr>
                <w:sz w:val="26"/>
                <w:szCs w:val="26"/>
                <w:lang w:val="lv-LV"/>
              </w:rPr>
              <w:t xml:space="preserve"> „</w:t>
            </w:r>
            <w:r w:rsidR="00272A66" w:rsidRPr="00F041A9">
              <w:rPr>
                <w:sz w:val="26"/>
                <w:szCs w:val="26"/>
                <w:lang w:val="lv-LV"/>
              </w:rPr>
              <w:t>Grozījumi likumā “P</w:t>
            </w:r>
            <w:r w:rsidR="009C115A" w:rsidRPr="00F041A9">
              <w:rPr>
                <w:sz w:val="26"/>
                <w:szCs w:val="26"/>
                <w:lang w:val="lv-LV"/>
              </w:rPr>
              <w:t>ar nodokļiem un nodevām”</w:t>
            </w:r>
            <w:r w:rsidR="002231AB" w:rsidRPr="00F041A9">
              <w:rPr>
                <w:sz w:val="26"/>
                <w:szCs w:val="26"/>
                <w:lang w:val="lv-LV"/>
              </w:rPr>
              <w:t>”</w:t>
            </w:r>
            <w:r w:rsidR="00C35094" w:rsidRPr="00F041A9">
              <w:rPr>
                <w:sz w:val="26"/>
                <w:szCs w:val="26"/>
                <w:lang w:val="lv-LV"/>
              </w:rPr>
              <w:t>, kas regulē jautājumus par transfertcenām, precizē normas attiecībā uz skaidras naudas lietošanas ierobežojumiem un nosaka regulējumu attiecībā uz saimnieciskās darbības apturēšanu normatīvo aktu pārkāpumu gadījumos</w:t>
            </w:r>
            <w:r w:rsidR="00763B0B" w:rsidRPr="00F041A9">
              <w:rPr>
                <w:sz w:val="26"/>
                <w:szCs w:val="26"/>
                <w:lang w:val="lv-LV"/>
              </w:rPr>
              <w:t xml:space="preserve"> – atbildīgā Finanšu ministrija</w:t>
            </w:r>
          </w:p>
          <w:p w:rsidR="00272A66" w:rsidRPr="00F041A9" w:rsidRDefault="00F041A9" w:rsidP="009C115A">
            <w:pPr>
              <w:spacing w:before="100" w:beforeAutospacing="1" w:after="100" w:afterAutospacing="1"/>
              <w:jc w:val="both"/>
              <w:rPr>
                <w:sz w:val="26"/>
                <w:szCs w:val="26"/>
                <w:lang w:val="lv-LV"/>
              </w:rPr>
            </w:pPr>
            <w:r w:rsidRPr="00F041A9">
              <w:rPr>
                <w:sz w:val="26"/>
                <w:szCs w:val="26"/>
                <w:lang w:val="lv-LV"/>
              </w:rPr>
              <w:t>2) likumprojektu</w:t>
            </w:r>
            <w:r w:rsidR="002231AB" w:rsidRPr="00F041A9">
              <w:rPr>
                <w:sz w:val="26"/>
                <w:szCs w:val="26"/>
                <w:lang w:val="lv-LV"/>
              </w:rPr>
              <w:t xml:space="preserve"> „</w:t>
            </w:r>
            <w:r w:rsidR="009C115A" w:rsidRPr="00F041A9">
              <w:rPr>
                <w:sz w:val="26"/>
                <w:szCs w:val="26"/>
                <w:lang w:val="lv-LV"/>
              </w:rPr>
              <w:t>Grozījumi likumā “Par Valsts ieņēmumu dienestu”</w:t>
            </w:r>
            <w:r w:rsidR="002231AB" w:rsidRPr="00F041A9">
              <w:rPr>
                <w:sz w:val="26"/>
                <w:szCs w:val="26"/>
                <w:lang w:val="lv-LV"/>
              </w:rPr>
              <w:t>”</w:t>
            </w:r>
            <w:r w:rsidR="00C35094" w:rsidRPr="00F041A9">
              <w:rPr>
                <w:sz w:val="26"/>
                <w:szCs w:val="26"/>
                <w:lang w:val="lv-LV"/>
              </w:rPr>
              <w:t xml:space="preserve">, kas nosaka </w:t>
            </w:r>
            <w:r w:rsidR="00763B0B" w:rsidRPr="00F041A9">
              <w:rPr>
                <w:sz w:val="26"/>
                <w:szCs w:val="26"/>
                <w:lang w:val="lv-LV"/>
              </w:rPr>
              <w:t xml:space="preserve"> </w:t>
            </w:r>
            <w:r w:rsidR="00C35094" w:rsidRPr="00F041A9">
              <w:rPr>
                <w:sz w:val="26"/>
                <w:szCs w:val="26"/>
                <w:lang w:val="lv-LV"/>
              </w:rPr>
              <w:t xml:space="preserve">tiesības Valsts ieņēmumu dienesta ģenerāldirektoram un viņa vietniekiem, Valsts ieņēmumu dienesta ģenerāldirektora pilnvarotajiem struktūrvienību vadītājiem un viņu vietniekiem nodokļu administrēšanā pieņemt lēmumu par kapitālsabiedrības darbības piespiedu izbeigšanu un likvidāciju </w:t>
            </w:r>
            <w:r w:rsidR="00763B0B" w:rsidRPr="00F041A9">
              <w:rPr>
                <w:sz w:val="26"/>
                <w:szCs w:val="26"/>
                <w:lang w:val="lv-LV"/>
              </w:rPr>
              <w:t>– atbildīgā Finanšu ministrija</w:t>
            </w:r>
          </w:p>
          <w:p w:rsidR="000C6BE1" w:rsidRPr="00F041A9" w:rsidRDefault="00F13A4F" w:rsidP="00F13A4F">
            <w:pPr>
              <w:spacing w:before="100" w:beforeAutospacing="1" w:after="100" w:afterAutospacing="1"/>
              <w:jc w:val="both"/>
              <w:rPr>
                <w:sz w:val="26"/>
                <w:szCs w:val="26"/>
                <w:lang w:val="lv-LV"/>
              </w:rPr>
            </w:pPr>
            <w:r w:rsidRPr="00F13A4F">
              <w:rPr>
                <w:sz w:val="26"/>
                <w:szCs w:val="26"/>
                <w:lang w:val="lv-LV"/>
              </w:rPr>
              <w:t xml:space="preserve">Tieslietu ministrija ir izstrādājusi </w:t>
            </w:r>
            <w:r w:rsidRPr="00F13A4F">
              <w:rPr>
                <w:iCs/>
                <w:sz w:val="26"/>
                <w:szCs w:val="26"/>
                <w:lang w:val="lv-LV"/>
              </w:rPr>
              <w:t xml:space="preserve">likumprojektu „Grozījumi Komerclikumā”, kas ir saistīts ar Finanšu ministrijas izstrādātajiem likumprojektiem, un nosaka, kādus statusus komercsabiedrībā aizliegts ieņemt personai, kurai ir atņemtas vai ierobežotas tiesības uz visu veidu komercdarbību vai uz noteiktiem amatiem komercsabiedrības pārvaldes institūcijās, kā arī paredz regulējumu attiecībā uz sabiedrības darbības izbeigšanu, pamatojoties uz nodokļu administrācijas lēmumu  </w:t>
            </w:r>
            <w:r w:rsidRPr="00F13A4F">
              <w:rPr>
                <w:sz w:val="26"/>
                <w:szCs w:val="26"/>
                <w:lang w:val="lv-LV"/>
              </w:rPr>
              <w:t xml:space="preserve">  - atbildīgā Tieslietu ministrija   </w:t>
            </w:r>
          </w:p>
        </w:tc>
      </w:tr>
      <w:tr w:rsidR="00474212" w:rsidTr="00F041A9">
        <w:trPr>
          <w:tblCellSpacing w:w="0" w:type="dxa"/>
        </w:trPr>
        <w:tc>
          <w:tcPr>
            <w:tcW w:w="441" w:type="dxa"/>
            <w:gridSpan w:val="2"/>
            <w:tcBorders>
              <w:top w:val="outset" w:sz="6" w:space="0" w:color="auto"/>
              <w:left w:val="outset" w:sz="6" w:space="0" w:color="auto"/>
              <w:bottom w:val="outset" w:sz="6" w:space="0" w:color="auto"/>
              <w:right w:val="outset" w:sz="6" w:space="0" w:color="auto"/>
            </w:tcBorders>
            <w:hideMark/>
          </w:tcPr>
          <w:p w:rsidR="00474212" w:rsidRPr="00474212" w:rsidRDefault="00474212">
            <w:pPr>
              <w:spacing w:before="100" w:beforeAutospacing="1" w:after="100" w:afterAutospacing="1"/>
              <w:rPr>
                <w:sz w:val="26"/>
                <w:szCs w:val="26"/>
              </w:rPr>
            </w:pPr>
            <w:r w:rsidRPr="002231AB">
              <w:rPr>
                <w:sz w:val="26"/>
                <w:szCs w:val="26"/>
                <w:lang w:val="lv-LV"/>
              </w:rPr>
              <w:t> </w:t>
            </w:r>
            <w:r w:rsidRPr="00474212">
              <w:rPr>
                <w:sz w:val="26"/>
                <w:szCs w:val="26"/>
              </w:rPr>
              <w:t>2.</w:t>
            </w:r>
          </w:p>
        </w:tc>
        <w:tc>
          <w:tcPr>
            <w:tcW w:w="1984" w:type="dxa"/>
            <w:tcBorders>
              <w:top w:val="outset" w:sz="6" w:space="0" w:color="auto"/>
              <w:left w:val="outset" w:sz="6" w:space="0" w:color="auto"/>
              <w:bottom w:val="outset" w:sz="6" w:space="0" w:color="auto"/>
              <w:right w:val="outset" w:sz="6" w:space="0" w:color="auto"/>
            </w:tcBorders>
            <w:hideMark/>
          </w:tcPr>
          <w:p w:rsidR="00474212" w:rsidRPr="00F041A9" w:rsidRDefault="00474212">
            <w:pPr>
              <w:spacing w:before="100" w:beforeAutospacing="1" w:after="100" w:afterAutospacing="1"/>
              <w:rPr>
                <w:sz w:val="26"/>
                <w:szCs w:val="26"/>
                <w:lang w:val="lv-LV"/>
              </w:rPr>
            </w:pPr>
            <w:r w:rsidRPr="00474212">
              <w:rPr>
                <w:sz w:val="26"/>
                <w:szCs w:val="26"/>
              </w:rPr>
              <w:t> </w:t>
            </w:r>
            <w:r w:rsidRPr="00F041A9">
              <w:rPr>
                <w:sz w:val="26"/>
                <w:szCs w:val="26"/>
                <w:lang w:val="lv-LV"/>
              </w:rPr>
              <w:t>Cita informācija</w:t>
            </w:r>
          </w:p>
        </w:tc>
        <w:tc>
          <w:tcPr>
            <w:tcW w:w="6804" w:type="dxa"/>
            <w:tcBorders>
              <w:top w:val="outset" w:sz="6" w:space="0" w:color="auto"/>
              <w:left w:val="outset" w:sz="6" w:space="0" w:color="auto"/>
              <w:bottom w:val="outset" w:sz="6" w:space="0" w:color="auto"/>
              <w:right w:val="outset" w:sz="6" w:space="0" w:color="auto"/>
            </w:tcBorders>
          </w:tcPr>
          <w:p w:rsidR="00474212" w:rsidRPr="00F041A9" w:rsidRDefault="00474212">
            <w:pPr>
              <w:spacing w:before="100" w:beforeAutospacing="1" w:after="100" w:afterAutospacing="1"/>
              <w:rPr>
                <w:sz w:val="26"/>
                <w:szCs w:val="26"/>
                <w:lang w:val="lv-LV"/>
              </w:rPr>
            </w:pPr>
            <w:r w:rsidRPr="00F041A9">
              <w:rPr>
                <w:sz w:val="26"/>
                <w:szCs w:val="26"/>
                <w:lang w:val="lv-LV"/>
              </w:rPr>
              <w:t>Nav</w:t>
            </w:r>
          </w:p>
        </w:tc>
      </w:tr>
      <w:tr w:rsidR="005B7BA7" w:rsidRPr="00362A1B" w:rsidTr="008D231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Pr>
        <w:tc>
          <w:tcPr>
            <w:tcW w:w="9214" w:type="dxa"/>
            <w:gridSpan w:val="3"/>
          </w:tcPr>
          <w:p w:rsidR="005B7BA7" w:rsidRPr="00F041A9" w:rsidRDefault="005B7BA7" w:rsidP="00F91CB2">
            <w:pPr>
              <w:jc w:val="center"/>
              <w:rPr>
                <w:b/>
                <w:sz w:val="26"/>
                <w:szCs w:val="26"/>
                <w:lang w:val="lv-LV"/>
              </w:rPr>
            </w:pPr>
            <w:r w:rsidRPr="00F041A9">
              <w:rPr>
                <w:b/>
                <w:sz w:val="26"/>
                <w:szCs w:val="26"/>
                <w:lang w:val="lv-LV"/>
              </w:rPr>
              <w:t>V. Tiesību akta projekta atbilstība Latvijas Republikas starptautiskajām saistībām</w:t>
            </w:r>
          </w:p>
        </w:tc>
      </w:tr>
      <w:tr w:rsidR="005B7BA7" w:rsidRPr="00362A1B" w:rsidTr="008D231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79"/>
        </w:trPr>
        <w:tc>
          <w:tcPr>
            <w:tcW w:w="9214" w:type="dxa"/>
            <w:gridSpan w:val="3"/>
            <w:vAlign w:val="center"/>
          </w:tcPr>
          <w:p w:rsidR="005B7BA7" w:rsidRPr="00F041A9" w:rsidRDefault="005B7BA7" w:rsidP="00F91CB2">
            <w:pPr>
              <w:jc w:val="center"/>
              <w:rPr>
                <w:sz w:val="26"/>
                <w:szCs w:val="26"/>
                <w:lang w:val="lv-LV"/>
              </w:rPr>
            </w:pPr>
            <w:r w:rsidRPr="00F041A9">
              <w:rPr>
                <w:sz w:val="26"/>
                <w:szCs w:val="26"/>
                <w:lang w:val="lv-LV"/>
              </w:rPr>
              <w:t>Likumprojekts šo jomu neskar.</w:t>
            </w:r>
          </w:p>
        </w:tc>
      </w:tr>
    </w:tbl>
    <w:p w:rsidR="005B7BA7" w:rsidRPr="008D2315" w:rsidRDefault="005B7BA7" w:rsidP="005B7BA7">
      <w:pPr>
        <w:pStyle w:val="naiskr"/>
        <w:spacing w:before="0" w:after="0"/>
        <w:jc w:val="both"/>
        <w:rPr>
          <w:i/>
          <w:sz w:val="16"/>
          <w:szCs w:val="16"/>
        </w:rPr>
      </w:pPr>
    </w:p>
    <w:tbl>
      <w:tblPr>
        <w:tblW w:w="9203" w:type="dxa"/>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3"/>
      </w:tblGrid>
      <w:tr w:rsidR="005B7BA7" w:rsidRPr="00ED3D78" w:rsidTr="008D2315">
        <w:trPr>
          <w:jc w:val="center"/>
        </w:trPr>
        <w:tc>
          <w:tcPr>
            <w:tcW w:w="9203" w:type="dxa"/>
          </w:tcPr>
          <w:p w:rsidR="005B7BA7" w:rsidRPr="00F13A4F" w:rsidRDefault="005B7BA7" w:rsidP="00F13A4F">
            <w:pPr>
              <w:pStyle w:val="naisnod"/>
              <w:spacing w:before="0" w:after="0"/>
              <w:ind w:left="57" w:right="57"/>
              <w:jc w:val="center"/>
              <w:rPr>
                <w:b/>
                <w:sz w:val="26"/>
                <w:szCs w:val="26"/>
              </w:rPr>
            </w:pPr>
            <w:r w:rsidRPr="00F13A4F">
              <w:rPr>
                <w:b/>
                <w:sz w:val="26"/>
                <w:szCs w:val="26"/>
              </w:rPr>
              <w:t>VI. Sabiedrības līdzdalība un šīs līdzdalības rezultāti</w:t>
            </w:r>
          </w:p>
        </w:tc>
      </w:tr>
      <w:tr w:rsidR="005B7BA7" w:rsidRPr="00362A1B" w:rsidTr="008D2315">
        <w:trPr>
          <w:jc w:val="center"/>
        </w:trPr>
        <w:tc>
          <w:tcPr>
            <w:tcW w:w="9203" w:type="dxa"/>
          </w:tcPr>
          <w:p w:rsidR="005B7BA7" w:rsidRPr="00F13A4F" w:rsidRDefault="005B7BA7" w:rsidP="00F91CB2">
            <w:pPr>
              <w:pStyle w:val="naisnod"/>
              <w:spacing w:before="0" w:after="0"/>
              <w:ind w:left="57" w:right="57"/>
              <w:rPr>
                <w:sz w:val="26"/>
                <w:szCs w:val="26"/>
              </w:rPr>
            </w:pPr>
            <w:r w:rsidRPr="00F13A4F">
              <w:rPr>
                <w:sz w:val="26"/>
                <w:szCs w:val="26"/>
              </w:rPr>
              <w:t>Likumprojekts šo jomu neskar</w:t>
            </w:r>
          </w:p>
        </w:tc>
      </w:tr>
    </w:tbl>
    <w:p w:rsidR="005B7BA7" w:rsidRPr="00362A1B" w:rsidRDefault="005B7BA7" w:rsidP="005B7BA7">
      <w:pPr>
        <w:rPr>
          <w:color w:val="000000"/>
          <w:sz w:val="26"/>
          <w:szCs w:val="26"/>
        </w:rPr>
      </w:pPr>
    </w:p>
    <w:p w:rsidR="00743C98" w:rsidRPr="00D41C45" w:rsidRDefault="00743C98"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1917"/>
        <w:gridCol w:w="6770"/>
      </w:tblGrid>
      <w:tr w:rsidR="0013525F" w:rsidRPr="00ED3D78" w:rsidTr="00DF652E">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c"/>
              <w:jc w:val="center"/>
              <w:rPr>
                <w:sz w:val="26"/>
                <w:szCs w:val="26"/>
              </w:rPr>
            </w:pPr>
            <w:r w:rsidRPr="00D41C45">
              <w:rPr>
                <w:b/>
                <w:bCs/>
                <w:sz w:val="26"/>
                <w:szCs w:val="26"/>
              </w:rPr>
              <w:t>VII. Tiesību akta projekta izpildes nodrošināšana un tās ietekme uz institūcijām</w:t>
            </w:r>
          </w:p>
        </w:tc>
      </w:tr>
      <w:tr w:rsidR="0013525F" w:rsidRPr="009C115A" w:rsidTr="00F041A9">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1.</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izpildē iesaistītās institūcijas</w:t>
            </w:r>
          </w:p>
        </w:tc>
        <w:tc>
          <w:tcPr>
            <w:tcW w:w="6770" w:type="dxa"/>
            <w:tcBorders>
              <w:top w:val="outset" w:sz="6" w:space="0" w:color="auto"/>
              <w:left w:val="outset" w:sz="6" w:space="0" w:color="auto"/>
              <w:bottom w:val="outset" w:sz="6" w:space="0" w:color="auto"/>
              <w:right w:val="outset" w:sz="6" w:space="0" w:color="auto"/>
            </w:tcBorders>
          </w:tcPr>
          <w:p w:rsidR="0013525F" w:rsidRPr="00C24AAF" w:rsidRDefault="0013525F" w:rsidP="002173FE">
            <w:pPr>
              <w:pStyle w:val="naiskr"/>
              <w:jc w:val="both"/>
              <w:rPr>
                <w:sz w:val="26"/>
                <w:szCs w:val="26"/>
              </w:rPr>
            </w:pPr>
            <w:r w:rsidRPr="00C24AAF">
              <w:rPr>
                <w:sz w:val="26"/>
                <w:szCs w:val="26"/>
              </w:rPr>
              <w:t> </w:t>
            </w:r>
            <w:r w:rsidR="002173FE" w:rsidRPr="00C24AAF">
              <w:rPr>
                <w:sz w:val="26"/>
                <w:szCs w:val="26"/>
              </w:rPr>
              <w:t xml:space="preserve">Finanšu ministrija un </w:t>
            </w:r>
            <w:r w:rsidRPr="00C24AAF">
              <w:rPr>
                <w:sz w:val="26"/>
                <w:szCs w:val="26"/>
              </w:rPr>
              <w:t>Valsts ieņēmumu dienests.</w:t>
            </w:r>
          </w:p>
        </w:tc>
      </w:tr>
      <w:tr w:rsidR="0013525F" w:rsidRPr="00ED3D78" w:rsidTr="00F041A9">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2.</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izpildes ietekme uz pārvaldes funkcijām</w:t>
            </w:r>
          </w:p>
        </w:tc>
        <w:tc>
          <w:tcPr>
            <w:tcW w:w="6770" w:type="dxa"/>
            <w:tcBorders>
              <w:top w:val="outset" w:sz="6" w:space="0" w:color="auto"/>
              <w:left w:val="outset" w:sz="6" w:space="0" w:color="auto"/>
              <w:bottom w:val="outset" w:sz="6" w:space="0" w:color="auto"/>
              <w:right w:val="outset" w:sz="6" w:space="0" w:color="auto"/>
            </w:tcBorders>
          </w:tcPr>
          <w:p w:rsidR="0013525F" w:rsidRPr="00C24AAF" w:rsidRDefault="0013525F" w:rsidP="00DF652E">
            <w:pPr>
              <w:pStyle w:val="naiskr"/>
              <w:jc w:val="both"/>
              <w:rPr>
                <w:sz w:val="26"/>
                <w:szCs w:val="26"/>
              </w:rPr>
            </w:pPr>
            <w:r w:rsidRPr="00C24AAF">
              <w:rPr>
                <w:sz w:val="26"/>
                <w:szCs w:val="26"/>
              </w:rPr>
              <w:t> </w:t>
            </w:r>
            <w:r w:rsidR="009C115A" w:rsidRPr="00C24AAF">
              <w:rPr>
                <w:sz w:val="26"/>
                <w:szCs w:val="26"/>
              </w:rPr>
              <w:t>Projektā paredzēto regulējumu nodrošinās Valsts ieņēmumu dienests savu funkciju ietvaros</w:t>
            </w:r>
          </w:p>
        </w:tc>
      </w:tr>
      <w:tr w:rsidR="0013525F" w:rsidRPr="009C115A" w:rsidTr="00F041A9">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3.</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izpildes ietekme uz pārvaldes institucionālo struktūru.</w:t>
            </w:r>
          </w:p>
          <w:p w:rsidR="0013525F" w:rsidRPr="00D41C45" w:rsidRDefault="0013525F" w:rsidP="00DF652E">
            <w:pPr>
              <w:pStyle w:val="naiskr"/>
              <w:rPr>
                <w:sz w:val="26"/>
                <w:szCs w:val="26"/>
              </w:rPr>
            </w:pPr>
            <w:r w:rsidRPr="00D41C45">
              <w:rPr>
                <w:sz w:val="26"/>
                <w:szCs w:val="26"/>
              </w:rPr>
              <w:t>Jaunu institūciju izveide</w:t>
            </w:r>
          </w:p>
        </w:tc>
        <w:tc>
          <w:tcPr>
            <w:tcW w:w="6770" w:type="dxa"/>
            <w:tcBorders>
              <w:top w:val="outset" w:sz="6" w:space="0" w:color="auto"/>
              <w:left w:val="outset" w:sz="6" w:space="0" w:color="auto"/>
              <w:bottom w:val="outset" w:sz="6" w:space="0" w:color="auto"/>
              <w:right w:val="outset" w:sz="6" w:space="0" w:color="auto"/>
            </w:tcBorders>
          </w:tcPr>
          <w:p w:rsidR="0013525F" w:rsidRPr="00C24AAF" w:rsidRDefault="0013525F" w:rsidP="002173FE">
            <w:pPr>
              <w:pStyle w:val="naiskr"/>
              <w:jc w:val="both"/>
              <w:rPr>
                <w:sz w:val="26"/>
                <w:szCs w:val="26"/>
              </w:rPr>
            </w:pPr>
            <w:r w:rsidRPr="00C24AAF">
              <w:rPr>
                <w:sz w:val="26"/>
                <w:szCs w:val="26"/>
              </w:rPr>
              <w:t xml:space="preserve"> Jaunas valsts institūcijas netiek radītas. </w:t>
            </w:r>
            <w:r w:rsidR="002173FE" w:rsidRPr="00C24AAF">
              <w:rPr>
                <w:sz w:val="26"/>
                <w:szCs w:val="26"/>
              </w:rPr>
              <w:t xml:space="preserve">Likumprojekta </w:t>
            </w:r>
            <w:r w:rsidRPr="00C24AAF">
              <w:rPr>
                <w:sz w:val="26"/>
                <w:szCs w:val="26"/>
              </w:rPr>
              <w:t>izpilde notiks esošo valsts institūciju ietvaros.</w:t>
            </w:r>
          </w:p>
        </w:tc>
      </w:tr>
      <w:tr w:rsidR="0013525F" w:rsidRPr="00EF24FF" w:rsidTr="00F041A9">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4.</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izpildes ietekme uz pārvaldes institucionālo struktūru.</w:t>
            </w:r>
          </w:p>
          <w:p w:rsidR="0013525F" w:rsidRPr="00D41C45" w:rsidRDefault="0013525F" w:rsidP="00DF652E">
            <w:pPr>
              <w:pStyle w:val="naiskr"/>
              <w:rPr>
                <w:sz w:val="26"/>
                <w:szCs w:val="26"/>
              </w:rPr>
            </w:pPr>
            <w:r w:rsidRPr="00D41C45">
              <w:rPr>
                <w:sz w:val="26"/>
                <w:szCs w:val="26"/>
              </w:rPr>
              <w:t>Esošu institūciju likvidācija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t xml:space="preserve"> Esošās institūcijas netiek likvidētas. </w:t>
            </w:r>
            <w:r w:rsidR="002173FE">
              <w:rPr>
                <w:sz w:val="26"/>
                <w:szCs w:val="26"/>
              </w:rPr>
              <w:t>Likum</w:t>
            </w:r>
            <w:r w:rsidRPr="00D41C45">
              <w:rPr>
                <w:sz w:val="26"/>
                <w:szCs w:val="26"/>
              </w:rPr>
              <w:t>projekta izpilde notiks esošo valsts institūciju ietvaros</w:t>
            </w:r>
            <w:r>
              <w:rPr>
                <w:sz w:val="26"/>
                <w:szCs w:val="26"/>
              </w:rPr>
              <w:t>.</w:t>
            </w:r>
          </w:p>
        </w:tc>
      </w:tr>
      <w:tr w:rsidR="0013525F" w:rsidRPr="00D41C45" w:rsidTr="00F041A9">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5.</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izpildes ietekme uz pārvaldes institucionālo struktūru.</w:t>
            </w:r>
          </w:p>
          <w:p w:rsidR="0013525F" w:rsidRPr="00D41C45" w:rsidRDefault="0013525F" w:rsidP="00DF652E">
            <w:pPr>
              <w:pStyle w:val="naiskr"/>
              <w:rPr>
                <w:sz w:val="26"/>
                <w:szCs w:val="26"/>
              </w:rPr>
            </w:pPr>
            <w:r w:rsidRPr="00D41C45">
              <w:rPr>
                <w:sz w:val="26"/>
                <w:szCs w:val="26"/>
              </w:rPr>
              <w:t>Esošu institūciju reorganizācija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9C115A">
            <w:pPr>
              <w:pStyle w:val="naiskr"/>
              <w:rPr>
                <w:sz w:val="26"/>
                <w:szCs w:val="26"/>
              </w:rPr>
            </w:pPr>
            <w:r w:rsidRPr="00D41C45">
              <w:rPr>
                <w:sz w:val="26"/>
                <w:szCs w:val="26"/>
              </w:rPr>
              <w:t xml:space="preserve"> Esošās institūcijas netiks reorganizētas vai arī apvienotas. </w:t>
            </w:r>
            <w:r w:rsidR="009C115A">
              <w:rPr>
                <w:sz w:val="26"/>
                <w:szCs w:val="26"/>
              </w:rPr>
              <w:t>Likum</w:t>
            </w:r>
            <w:r w:rsidRPr="00D41C45">
              <w:rPr>
                <w:sz w:val="26"/>
                <w:szCs w:val="26"/>
              </w:rPr>
              <w:t>projekta izpilde notiks esošo valsts institūciju ietvaros</w:t>
            </w:r>
            <w:r>
              <w:rPr>
                <w:sz w:val="26"/>
                <w:szCs w:val="26"/>
              </w:rPr>
              <w:t>.</w:t>
            </w:r>
          </w:p>
        </w:tc>
      </w:tr>
      <w:tr w:rsidR="0013525F" w:rsidRPr="00D41C45" w:rsidTr="00F041A9">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6.</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Cita informācija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Nav</w:t>
            </w:r>
            <w:r>
              <w:rPr>
                <w:sz w:val="26"/>
                <w:szCs w:val="26"/>
              </w:rPr>
              <w:t>.</w:t>
            </w:r>
          </w:p>
        </w:tc>
      </w:tr>
    </w:tbl>
    <w:p w:rsidR="0013525F" w:rsidRPr="00D41C45" w:rsidRDefault="0013525F" w:rsidP="0013525F">
      <w:pPr>
        <w:jc w:val="both"/>
        <w:rPr>
          <w:sz w:val="26"/>
          <w:szCs w:val="26"/>
          <w:lang w:val="pt-BR"/>
        </w:rPr>
      </w:pPr>
    </w:p>
    <w:p w:rsidR="0013525F" w:rsidRPr="00D41C45" w:rsidRDefault="0013525F" w:rsidP="0013525F">
      <w:pPr>
        <w:jc w:val="both"/>
        <w:rPr>
          <w:sz w:val="26"/>
          <w:szCs w:val="26"/>
          <w:lang w:val="lv-LV"/>
        </w:rPr>
      </w:pPr>
    </w:p>
    <w:p w:rsidR="0013525F" w:rsidRPr="00D41C45" w:rsidRDefault="0013525F" w:rsidP="0013525F">
      <w:pPr>
        <w:jc w:val="both"/>
        <w:rPr>
          <w:sz w:val="26"/>
          <w:szCs w:val="26"/>
          <w:lang w:val="lv-LV"/>
        </w:rPr>
      </w:pPr>
    </w:p>
    <w:p w:rsidR="0013525F" w:rsidRPr="00321183" w:rsidRDefault="0013525F" w:rsidP="0013525F">
      <w:pPr>
        <w:tabs>
          <w:tab w:val="left" w:pos="720"/>
          <w:tab w:val="left" w:pos="7088"/>
        </w:tabs>
        <w:ind w:firstLine="720"/>
        <w:rPr>
          <w:sz w:val="28"/>
          <w:szCs w:val="28"/>
          <w:lang w:val="lv-LV"/>
        </w:rPr>
      </w:pPr>
      <w:r w:rsidRPr="00D41C45">
        <w:rPr>
          <w:sz w:val="26"/>
          <w:szCs w:val="26"/>
          <w:lang w:val="lv-LV"/>
        </w:rPr>
        <w:t>Finanšu ministrs</w:t>
      </w:r>
      <w:r w:rsidRPr="00D41C45">
        <w:rPr>
          <w:sz w:val="26"/>
          <w:szCs w:val="26"/>
          <w:lang w:val="lv-LV"/>
        </w:rPr>
        <w:tab/>
      </w:r>
      <w:r w:rsidRPr="00D41C45">
        <w:rPr>
          <w:sz w:val="26"/>
          <w:szCs w:val="26"/>
          <w:lang w:val="lv-LV"/>
        </w:rPr>
        <w:tab/>
      </w:r>
      <w:r w:rsidRPr="00D41C45">
        <w:rPr>
          <w:sz w:val="26"/>
          <w:szCs w:val="26"/>
          <w:lang w:val="lv-LV"/>
        </w:rPr>
        <w:tab/>
        <w:t>A.Vilks</w:t>
      </w:r>
    </w:p>
    <w:p w:rsidR="0013525F" w:rsidRDefault="0013525F" w:rsidP="0013525F">
      <w:pPr>
        <w:ind w:firstLine="720"/>
        <w:jc w:val="both"/>
        <w:rPr>
          <w:sz w:val="28"/>
          <w:szCs w:val="28"/>
          <w:lang w:val="lv-LV"/>
        </w:rPr>
      </w:pPr>
    </w:p>
    <w:p w:rsidR="001637A7" w:rsidRDefault="001637A7" w:rsidP="002173FE">
      <w:pPr>
        <w:tabs>
          <w:tab w:val="left" w:pos="4065"/>
        </w:tabs>
        <w:jc w:val="both"/>
        <w:rPr>
          <w:sz w:val="28"/>
          <w:szCs w:val="28"/>
          <w:lang w:val="lv-LV"/>
        </w:rPr>
      </w:pPr>
    </w:p>
    <w:p w:rsidR="001637A7" w:rsidRDefault="001637A7" w:rsidP="002173FE">
      <w:pPr>
        <w:tabs>
          <w:tab w:val="left" w:pos="4065"/>
        </w:tabs>
        <w:jc w:val="both"/>
        <w:rPr>
          <w:sz w:val="28"/>
          <w:szCs w:val="28"/>
          <w:lang w:val="lv-LV"/>
        </w:rPr>
      </w:pPr>
    </w:p>
    <w:p w:rsidR="001637A7" w:rsidRDefault="001637A7" w:rsidP="002173FE">
      <w:pPr>
        <w:tabs>
          <w:tab w:val="left" w:pos="4065"/>
        </w:tabs>
        <w:jc w:val="both"/>
        <w:rPr>
          <w:sz w:val="28"/>
          <w:szCs w:val="28"/>
          <w:lang w:val="lv-LV"/>
        </w:rPr>
      </w:pPr>
    </w:p>
    <w:p w:rsidR="00B77035" w:rsidRPr="008D2315" w:rsidRDefault="00B77035" w:rsidP="00272A66">
      <w:pPr>
        <w:tabs>
          <w:tab w:val="left" w:pos="4065"/>
        </w:tabs>
        <w:jc w:val="both"/>
        <w:rPr>
          <w:sz w:val="20"/>
          <w:szCs w:val="20"/>
          <w:lang w:val="lv-LV"/>
        </w:rPr>
      </w:pPr>
    </w:p>
    <w:p w:rsidR="00B77035" w:rsidRPr="008D2315" w:rsidRDefault="00603CA3" w:rsidP="00B77035">
      <w:pPr>
        <w:rPr>
          <w:sz w:val="20"/>
          <w:szCs w:val="20"/>
        </w:rPr>
      </w:pPr>
      <w:r>
        <w:rPr>
          <w:sz w:val="20"/>
          <w:szCs w:val="20"/>
        </w:rPr>
        <w:t>2011.08.31. 10:56</w:t>
      </w:r>
      <w:bookmarkStart w:id="6" w:name="_GoBack"/>
      <w:bookmarkEnd w:id="6"/>
    </w:p>
    <w:p w:rsidR="00B77035" w:rsidRPr="008D2315" w:rsidRDefault="00B77035" w:rsidP="00B77035">
      <w:pPr>
        <w:rPr>
          <w:sz w:val="20"/>
          <w:szCs w:val="20"/>
        </w:rPr>
      </w:pPr>
      <w:r w:rsidRPr="008D2315">
        <w:rPr>
          <w:sz w:val="20"/>
          <w:szCs w:val="20"/>
        </w:rPr>
        <w:fldChar w:fldCharType="begin"/>
      </w:r>
      <w:r w:rsidRPr="008D2315">
        <w:rPr>
          <w:sz w:val="20"/>
          <w:szCs w:val="20"/>
        </w:rPr>
        <w:instrText xml:space="preserve"> NUMWORDS  </w:instrText>
      </w:r>
      <w:r w:rsidRPr="008D2315">
        <w:rPr>
          <w:sz w:val="20"/>
          <w:szCs w:val="20"/>
        </w:rPr>
        <w:fldChar w:fldCharType="separate"/>
      </w:r>
      <w:r w:rsidR="00C41557">
        <w:rPr>
          <w:noProof/>
          <w:sz w:val="20"/>
          <w:szCs w:val="20"/>
        </w:rPr>
        <w:t>1267</w:t>
      </w:r>
      <w:r w:rsidRPr="008D2315">
        <w:rPr>
          <w:sz w:val="20"/>
          <w:szCs w:val="20"/>
        </w:rPr>
        <w:fldChar w:fldCharType="end"/>
      </w:r>
    </w:p>
    <w:p w:rsidR="00B77035" w:rsidRPr="008D2315" w:rsidRDefault="00B77035" w:rsidP="00B770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8D2315">
        <w:rPr>
          <w:rFonts w:ascii="Times New Roman" w:eastAsia="Times New Roman" w:hAnsi="Times New Roman" w:cs="Times New Roman"/>
        </w:rPr>
        <w:t>Tatjana Trenko, 67083983</w:t>
      </w:r>
    </w:p>
    <w:p w:rsidR="00B77035" w:rsidRPr="008D2315" w:rsidRDefault="00136775" w:rsidP="00B77035">
      <w:pPr>
        <w:rPr>
          <w:sz w:val="20"/>
          <w:szCs w:val="20"/>
        </w:rPr>
      </w:pPr>
      <w:hyperlink r:id="rId8" w:history="1">
        <w:r w:rsidR="00B77035" w:rsidRPr="008D2315">
          <w:rPr>
            <w:rStyle w:val="Hyperlink"/>
            <w:sz w:val="20"/>
            <w:szCs w:val="20"/>
          </w:rPr>
          <w:t>Tatjana.Trenko@fm.gov.lv</w:t>
        </w:r>
      </w:hyperlink>
    </w:p>
    <w:p w:rsidR="002173FE" w:rsidRPr="008D2315" w:rsidRDefault="002173FE" w:rsidP="00B77035">
      <w:pPr>
        <w:ind w:firstLine="720"/>
        <w:rPr>
          <w:b/>
          <w:sz w:val="20"/>
          <w:szCs w:val="20"/>
          <w:lang w:val="lv-LV"/>
        </w:rPr>
      </w:pPr>
    </w:p>
    <w:sectPr w:rsidR="002173FE" w:rsidRPr="008D2315" w:rsidSect="00203B23">
      <w:headerReference w:type="even" r:id="rId9"/>
      <w:headerReference w:type="default" r:id="rId10"/>
      <w:footerReference w:type="default" r:id="rId11"/>
      <w:footerReference w:type="first" r:id="rId12"/>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75" w:rsidRDefault="00136775" w:rsidP="007C15F6">
      <w:r>
        <w:separator/>
      </w:r>
    </w:p>
  </w:endnote>
  <w:endnote w:type="continuationSeparator" w:id="0">
    <w:p w:rsidR="00136775" w:rsidRDefault="00136775"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F12A55" w:rsidRDefault="00290595" w:rsidP="00C41557">
    <w:pPr>
      <w:pStyle w:val="Footer"/>
      <w:jc w:val="both"/>
    </w:pPr>
    <w:r>
      <w:rPr>
        <w:sz w:val="22"/>
        <w:szCs w:val="22"/>
        <w:lang w:val="lv-LV"/>
      </w:rPr>
      <w:t>FMAnot_</w:t>
    </w:r>
    <w:r w:rsidR="00712D85">
      <w:rPr>
        <w:sz w:val="22"/>
        <w:szCs w:val="22"/>
        <w:lang w:val="lv-LV"/>
      </w:rPr>
      <w:t>31</w:t>
    </w:r>
    <w:r w:rsidR="00013B32">
      <w:rPr>
        <w:sz w:val="22"/>
        <w:szCs w:val="22"/>
        <w:lang w:val="lv-LV"/>
      </w:rPr>
      <w:t>08</w:t>
    </w:r>
    <w:r w:rsidR="00F12A55" w:rsidRPr="00F12A55">
      <w:rPr>
        <w:sz w:val="22"/>
        <w:szCs w:val="22"/>
        <w:lang w:val="lv-LV"/>
      </w:rPr>
      <w:t>11_</w:t>
    </w:r>
    <w:r w:rsidR="00013B32">
      <w:rPr>
        <w:sz w:val="22"/>
        <w:szCs w:val="22"/>
        <w:lang w:val="lv-LV"/>
      </w:rPr>
      <w:t>LAPK</w:t>
    </w:r>
    <w:r w:rsidR="00B426DD">
      <w:rPr>
        <w:sz w:val="22"/>
        <w:szCs w:val="22"/>
        <w:lang w:val="lv-LV"/>
      </w:rPr>
      <w:t>_saimn</w:t>
    </w:r>
    <w:r w:rsidR="00F12A55" w:rsidRPr="00F12A55">
      <w:rPr>
        <w:sz w:val="22"/>
        <w:szCs w:val="22"/>
        <w:lang w:val="lv-LV"/>
      </w:rPr>
      <w:t xml:space="preserve">; Likumprojekta „Grozījumi </w:t>
    </w:r>
    <w:r w:rsidR="00201E77">
      <w:rPr>
        <w:sz w:val="22"/>
        <w:szCs w:val="22"/>
        <w:lang w:val="lv-LV"/>
      </w:rPr>
      <w:t>Latvijas Admnistratīvo pārkāpumu kodeksā</w:t>
    </w:r>
    <w:r w:rsidR="00F12A55" w:rsidRPr="00F12A55">
      <w:rPr>
        <w:sz w:val="22"/>
        <w:szCs w:val="22"/>
        <w:lang w:val="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E64F5" w:rsidP="00C41557">
    <w:pPr>
      <w:pStyle w:val="Footer"/>
      <w:jc w:val="both"/>
      <w:rPr>
        <w:sz w:val="22"/>
        <w:szCs w:val="22"/>
        <w:lang w:val="lv-LV"/>
      </w:rPr>
    </w:pPr>
    <w:r w:rsidRPr="00D41C45">
      <w:rPr>
        <w:sz w:val="22"/>
        <w:szCs w:val="22"/>
        <w:lang w:val="lv-LV"/>
      </w:rPr>
      <w:t>FMAnot_</w:t>
    </w:r>
    <w:r w:rsidR="00712D85">
      <w:rPr>
        <w:sz w:val="22"/>
        <w:szCs w:val="22"/>
        <w:lang w:val="lv-LV"/>
      </w:rPr>
      <w:t>31</w:t>
    </w:r>
    <w:r w:rsidR="00013B32">
      <w:rPr>
        <w:sz w:val="22"/>
        <w:szCs w:val="22"/>
        <w:lang w:val="lv-LV"/>
      </w:rPr>
      <w:t>08</w:t>
    </w:r>
    <w:r w:rsidR="000B322E">
      <w:rPr>
        <w:sz w:val="22"/>
        <w:szCs w:val="22"/>
        <w:lang w:val="lv-LV"/>
      </w:rPr>
      <w:t>11</w:t>
    </w:r>
    <w:r>
      <w:rPr>
        <w:sz w:val="22"/>
        <w:szCs w:val="22"/>
        <w:lang w:val="lv-LV"/>
      </w:rPr>
      <w:t>_</w:t>
    </w:r>
    <w:r w:rsidR="00013B32">
      <w:rPr>
        <w:sz w:val="22"/>
        <w:szCs w:val="22"/>
        <w:lang w:val="lv-LV"/>
      </w:rPr>
      <w:t>LAPK</w:t>
    </w:r>
    <w:r w:rsidR="00B426DD">
      <w:rPr>
        <w:sz w:val="22"/>
        <w:szCs w:val="22"/>
        <w:lang w:val="lv-LV"/>
      </w:rPr>
      <w:t>_saimn</w:t>
    </w:r>
    <w:r>
      <w:rPr>
        <w:sz w:val="22"/>
        <w:szCs w:val="22"/>
        <w:lang w:val="lv-LV"/>
      </w:rPr>
      <w:t>; Likumprojekta</w:t>
    </w:r>
    <w:r w:rsidR="000B322E">
      <w:rPr>
        <w:sz w:val="22"/>
        <w:szCs w:val="22"/>
        <w:lang w:val="lv-LV"/>
      </w:rPr>
      <w:t xml:space="preserve"> „Grozījumi </w:t>
    </w:r>
    <w:r w:rsidR="00201E77">
      <w:rPr>
        <w:sz w:val="22"/>
        <w:szCs w:val="22"/>
        <w:lang w:val="lv-LV"/>
      </w:rPr>
      <w:t>Latvijas Administratīvo pārkāpumu kodeksā</w:t>
    </w:r>
    <w:r w:rsidR="000B322E">
      <w:rPr>
        <w:sz w:val="22"/>
        <w:szCs w:val="22"/>
        <w:lang w:val="lv-LV"/>
      </w:rPr>
      <w:t>”</w:t>
    </w:r>
    <w:r w:rsidRPr="00D41C45">
      <w:rPr>
        <w:sz w:val="22"/>
        <w:szCs w:val="22"/>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75" w:rsidRDefault="00136775" w:rsidP="007C15F6">
      <w:r>
        <w:separator/>
      </w:r>
    </w:p>
  </w:footnote>
  <w:footnote w:type="continuationSeparator" w:id="0">
    <w:p w:rsidR="00136775" w:rsidRDefault="00136775"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Default="00E12658">
    <w:pPr>
      <w:pStyle w:val="Header"/>
      <w:framePr w:wrap="around" w:vAnchor="text" w:hAnchor="margin" w:xAlign="center" w:y="1"/>
      <w:rPr>
        <w:rStyle w:val="PageNumber"/>
      </w:rPr>
    </w:pPr>
    <w:r>
      <w:rPr>
        <w:rStyle w:val="PageNumber"/>
      </w:rPr>
      <w:fldChar w:fldCharType="begin"/>
    </w:r>
    <w:r w:rsidR="00EE64F5">
      <w:rPr>
        <w:rStyle w:val="PageNumber"/>
      </w:rPr>
      <w:instrText xml:space="preserve">PAGE  </w:instrText>
    </w:r>
    <w:r>
      <w:rPr>
        <w:rStyle w:val="PageNumber"/>
      </w:rPr>
      <w:fldChar w:fldCharType="end"/>
    </w:r>
  </w:p>
  <w:p w:rsidR="000A534F" w:rsidRDefault="00136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12658">
    <w:pPr>
      <w:pStyle w:val="Header"/>
      <w:framePr w:wrap="around" w:vAnchor="text" w:hAnchor="margin" w:xAlign="center" w:y="1"/>
      <w:rPr>
        <w:rStyle w:val="PageNumber"/>
        <w:sz w:val="22"/>
        <w:szCs w:val="22"/>
      </w:rPr>
    </w:pPr>
    <w:r w:rsidRPr="00D41C45">
      <w:rPr>
        <w:rStyle w:val="PageNumber"/>
        <w:sz w:val="22"/>
        <w:szCs w:val="22"/>
      </w:rPr>
      <w:fldChar w:fldCharType="begin"/>
    </w:r>
    <w:r w:rsidR="00EE64F5" w:rsidRPr="00D41C45">
      <w:rPr>
        <w:rStyle w:val="PageNumber"/>
        <w:sz w:val="22"/>
        <w:szCs w:val="22"/>
      </w:rPr>
      <w:instrText xml:space="preserve">PAGE  </w:instrText>
    </w:r>
    <w:r w:rsidRPr="00D41C45">
      <w:rPr>
        <w:rStyle w:val="PageNumber"/>
        <w:sz w:val="22"/>
        <w:szCs w:val="22"/>
      </w:rPr>
      <w:fldChar w:fldCharType="separate"/>
    </w:r>
    <w:r w:rsidR="00603CA3">
      <w:rPr>
        <w:rStyle w:val="PageNumber"/>
        <w:noProof/>
        <w:sz w:val="22"/>
        <w:szCs w:val="22"/>
      </w:rPr>
      <w:t>5</w:t>
    </w:r>
    <w:r w:rsidRPr="00D41C45">
      <w:rPr>
        <w:rStyle w:val="PageNumber"/>
        <w:sz w:val="22"/>
        <w:szCs w:val="22"/>
      </w:rPr>
      <w:fldChar w:fldCharType="end"/>
    </w:r>
  </w:p>
  <w:p w:rsidR="000A534F" w:rsidRDefault="00136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4">
    <w:nsid w:val="73404098"/>
    <w:multiLevelType w:val="hybridMultilevel"/>
    <w:tmpl w:val="40ECEB78"/>
    <w:lvl w:ilvl="0" w:tplc="47E6950A">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5">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13B32"/>
    <w:rsid w:val="000324D0"/>
    <w:rsid w:val="000459D8"/>
    <w:rsid w:val="00054D87"/>
    <w:rsid w:val="00054EC4"/>
    <w:rsid w:val="00082DED"/>
    <w:rsid w:val="00094FF4"/>
    <w:rsid w:val="000B322E"/>
    <w:rsid w:val="000C6BE1"/>
    <w:rsid w:val="0013525F"/>
    <w:rsid w:val="00136775"/>
    <w:rsid w:val="00144A96"/>
    <w:rsid w:val="001637A7"/>
    <w:rsid w:val="00186EEC"/>
    <w:rsid w:val="001D18BE"/>
    <w:rsid w:val="001D3914"/>
    <w:rsid w:val="00201E77"/>
    <w:rsid w:val="002173FE"/>
    <w:rsid w:val="002231AB"/>
    <w:rsid w:val="002236D8"/>
    <w:rsid w:val="002375AD"/>
    <w:rsid w:val="00272A66"/>
    <w:rsid w:val="002760F3"/>
    <w:rsid w:val="002764C7"/>
    <w:rsid w:val="002847C1"/>
    <w:rsid w:val="002871D6"/>
    <w:rsid w:val="00290595"/>
    <w:rsid w:val="002C693F"/>
    <w:rsid w:val="002F2324"/>
    <w:rsid w:val="0030706F"/>
    <w:rsid w:val="003505FA"/>
    <w:rsid w:val="00381CC2"/>
    <w:rsid w:val="003C3653"/>
    <w:rsid w:val="003F114C"/>
    <w:rsid w:val="00410A98"/>
    <w:rsid w:val="004540C1"/>
    <w:rsid w:val="00462776"/>
    <w:rsid w:val="00474212"/>
    <w:rsid w:val="004805C8"/>
    <w:rsid w:val="00485EE5"/>
    <w:rsid w:val="004E1553"/>
    <w:rsid w:val="004F5AF8"/>
    <w:rsid w:val="004F7574"/>
    <w:rsid w:val="00503AAB"/>
    <w:rsid w:val="0050429E"/>
    <w:rsid w:val="00522430"/>
    <w:rsid w:val="00527356"/>
    <w:rsid w:val="00535497"/>
    <w:rsid w:val="00536B3A"/>
    <w:rsid w:val="00556B77"/>
    <w:rsid w:val="005862FB"/>
    <w:rsid w:val="005875F3"/>
    <w:rsid w:val="005922F5"/>
    <w:rsid w:val="0059527C"/>
    <w:rsid w:val="005B7BA7"/>
    <w:rsid w:val="005C4065"/>
    <w:rsid w:val="005C66E7"/>
    <w:rsid w:val="005D370C"/>
    <w:rsid w:val="005D4265"/>
    <w:rsid w:val="005D6518"/>
    <w:rsid w:val="005E5C3E"/>
    <w:rsid w:val="00603CA3"/>
    <w:rsid w:val="00617C56"/>
    <w:rsid w:val="006413A5"/>
    <w:rsid w:val="006844CC"/>
    <w:rsid w:val="00685675"/>
    <w:rsid w:val="00686890"/>
    <w:rsid w:val="0069001C"/>
    <w:rsid w:val="006A1B95"/>
    <w:rsid w:val="006A768D"/>
    <w:rsid w:val="006E451A"/>
    <w:rsid w:val="006F335C"/>
    <w:rsid w:val="00712D85"/>
    <w:rsid w:val="0071434C"/>
    <w:rsid w:val="00734296"/>
    <w:rsid w:val="00743C98"/>
    <w:rsid w:val="00763B0B"/>
    <w:rsid w:val="007A793E"/>
    <w:rsid w:val="007B0948"/>
    <w:rsid w:val="007B430E"/>
    <w:rsid w:val="007C15F6"/>
    <w:rsid w:val="00807BCE"/>
    <w:rsid w:val="00832A2E"/>
    <w:rsid w:val="00833D9B"/>
    <w:rsid w:val="008426DD"/>
    <w:rsid w:val="00855D47"/>
    <w:rsid w:val="00883A89"/>
    <w:rsid w:val="008B325A"/>
    <w:rsid w:val="008B4FEC"/>
    <w:rsid w:val="008C3B79"/>
    <w:rsid w:val="008D2315"/>
    <w:rsid w:val="0090506A"/>
    <w:rsid w:val="0094379E"/>
    <w:rsid w:val="00960D4A"/>
    <w:rsid w:val="0098191E"/>
    <w:rsid w:val="009C115A"/>
    <w:rsid w:val="009D5813"/>
    <w:rsid w:val="00A00556"/>
    <w:rsid w:val="00A038A7"/>
    <w:rsid w:val="00A23AA2"/>
    <w:rsid w:val="00A34A79"/>
    <w:rsid w:val="00A454EC"/>
    <w:rsid w:val="00A5678E"/>
    <w:rsid w:val="00A66B18"/>
    <w:rsid w:val="00A67197"/>
    <w:rsid w:val="00A951DB"/>
    <w:rsid w:val="00A95A79"/>
    <w:rsid w:val="00A9717F"/>
    <w:rsid w:val="00AD2743"/>
    <w:rsid w:val="00AF14FA"/>
    <w:rsid w:val="00B02E09"/>
    <w:rsid w:val="00B24945"/>
    <w:rsid w:val="00B323DD"/>
    <w:rsid w:val="00B426DD"/>
    <w:rsid w:val="00B444EA"/>
    <w:rsid w:val="00B46C4B"/>
    <w:rsid w:val="00B52864"/>
    <w:rsid w:val="00B63BE3"/>
    <w:rsid w:val="00B767B5"/>
    <w:rsid w:val="00B77035"/>
    <w:rsid w:val="00B8655A"/>
    <w:rsid w:val="00BA30C6"/>
    <w:rsid w:val="00BA54DE"/>
    <w:rsid w:val="00BB66A6"/>
    <w:rsid w:val="00BD3C3A"/>
    <w:rsid w:val="00C1306C"/>
    <w:rsid w:val="00C16A78"/>
    <w:rsid w:val="00C217CE"/>
    <w:rsid w:val="00C22E5B"/>
    <w:rsid w:val="00C23BAE"/>
    <w:rsid w:val="00C24AAF"/>
    <w:rsid w:val="00C35094"/>
    <w:rsid w:val="00C41557"/>
    <w:rsid w:val="00C50810"/>
    <w:rsid w:val="00C57284"/>
    <w:rsid w:val="00C95DF6"/>
    <w:rsid w:val="00C97755"/>
    <w:rsid w:val="00CA6B42"/>
    <w:rsid w:val="00CD2925"/>
    <w:rsid w:val="00CE29D3"/>
    <w:rsid w:val="00CE79ED"/>
    <w:rsid w:val="00CF24A1"/>
    <w:rsid w:val="00D03749"/>
    <w:rsid w:val="00D27E89"/>
    <w:rsid w:val="00D33B15"/>
    <w:rsid w:val="00D405B3"/>
    <w:rsid w:val="00D40B14"/>
    <w:rsid w:val="00D66137"/>
    <w:rsid w:val="00D6781D"/>
    <w:rsid w:val="00D763DE"/>
    <w:rsid w:val="00D82653"/>
    <w:rsid w:val="00DB6F8D"/>
    <w:rsid w:val="00DD0319"/>
    <w:rsid w:val="00DD0C92"/>
    <w:rsid w:val="00DE5BCB"/>
    <w:rsid w:val="00E12658"/>
    <w:rsid w:val="00E318F1"/>
    <w:rsid w:val="00E379B0"/>
    <w:rsid w:val="00E5345F"/>
    <w:rsid w:val="00E97BFB"/>
    <w:rsid w:val="00EB3C2E"/>
    <w:rsid w:val="00EC15DD"/>
    <w:rsid w:val="00ED3D78"/>
    <w:rsid w:val="00ED68EA"/>
    <w:rsid w:val="00EE0B26"/>
    <w:rsid w:val="00EE2361"/>
    <w:rsid w:val="00EE64F5"/>
    <w:rsid w:val="00EE71B8"/>
    <w:rsid w:val="00EF24FF"/>
    <w:rsid w:val="00F041A9"/>
    <w:rsid w:val="00F12A55"/>
    <w:rsid w:val="00F13A4F"/>
    <w:rsid w:val="00F234D7"/>
    <w:rsid w:val="00F376D4"/>
    <w:rsid w:val="00F4045F"/>
    <w:rsid w:val="00F70C23"/>
    <w:rsid w:val="00F90729"/>
    <w:rsid w:val="00FB6DB0"/>
    <w:rsid w:val="00FC7E08"/>
    <w:rsid w:val="00FF463B"/>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4805C8"/>
    <w:rPr>
      <w:rFonts w:ascii="Tahoma" w:hAnsi="Tahoma" w:cs="Tahoma"/>
      <w:sz w:val="16"/>
      <w:szCs w:val="16"/>
    </w:rPr>
  </w:style>
  <w:style w:type="character" w:customStyle="1" w:styleId="BalloonTextChar">
    <w:name w:val="Balloon Text Char"/>
    <w:basedOn w:val="DefaultParagraphFont"/>
    <w:link w:val="BalloonText"/>
    <w:uiPriority w:val="99"/>
    <w:semiHidden/>
    <w:rsid w:val="004805C8"/>
    <w:rPr>
      <w:rFonts w:ascii="Tahoma" w:eastAsia="Times New Roman" w:hAnsi="Tahoma" w:cs="Tahoma"/>
      <w:sz w:val="16"/>
      <w:szCs w:val="16"/>
      <w:lang w:val="en-GB"/>
    </w:rPr>
  </w:style>
  <w:style w:type="paragraph" w:styleId="HTMLPreformatted">
    <w:name w:val="HTML Preformatted"/>
    <w:basedOn w:val="Normal"/>
    <w:link w:val="HTMLPreformattedChar"/>
    <w:rsid w:val="00B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77035"/>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4805C8"/>
    <w:rPr>
      <w:rFonts w:ascii="Tahoma" w:hAnsi="Tahoma" w:cs="Tahoma"/>
      <w:sz w:val="16"/>
      <w:szCs w:val="16"/>
    </w:rPr>
  </w:style>
  <w:style w:type="character" w:customStyle="1" w:styleId="BalloonTextChar">
    <w:name w:val="Balloon Text Char"/>
    <w:basedOn w:val="DefaultParagraphFont"/>
    <w:link w:val="BalloonText"/>
    <w:uiPriority w:val="99"/>
    <w:semiHidden/>
    <w:rsid w:val="004805C8"/>
    <w:rPr>
      <w:rFonts w:ascii="Tahoma" w:eastAsia="Times New Roman" w:hAnsi="Tahoma" w:cs="Tahoma"/>
      <w:sz w:val="16"/>
      <w:szCs w:val="16"/>
      <w:lang w:val="en-GB"/>
    </w:rPr>
  </w:style>
  <w:style w:type="paragraph" w:styleId="HTMLPreformatted">
    <w:name w:val="HTML Preformatted"/>
    <w:basedOn w:val="Normal"/>
    <w:link w:val="HTMLPreformattedChar"/>
    <w:rsid w:val="00B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77035"/>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6671</Words>
  <Characters>3803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grozījums likumā "Par Valsts ieņēmumu dienestu"</vt:lpstr>
    </vt:vector>
  </TitlesOfParts>
  <Company>VID</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anotācija</dc:subject>
  <dc:creator>Tatjana Trenko</dc:creator>
  <cp:keywords/>
  <dc:description>tatjana.trenko@fm.gov.lv
Tālrunis 67083983</dc:description>
  <cp:lastModifiedBy>changeme</cp:lastModifiedBy>
  <cp:revision>17</cp:revision>
  <cp:lastPrinted>2011-08-31T07:56:00Z</cp:lastPrinted>
  <dcterms:created xsi:type="dcterms:W3CDTF">2011-07-07T12:02:00Z</dcterms:created>
  <dcterms:modified xsi:type="dcterms:W3CDTF">2011-09-02T13:03:00Z</dcterms:modified>
</cp:coreProperties>
</file>