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6" w:rsidRDefault="00D26CED" w:rsidP="00D26CED">
      <w:pPr>
        <w:jc w:val="right"/>
        <w:rPr>
          <w:sz w:val="26"/>
          <w:szCs w:val="26"/>
          <w:lang w:eastAsia="lv-LV"/>
        </w:rPr>
      </w:pPr>
      <w:bookmarkStart w:id="0" w:name="OLE_LINK1"/>
      <w:bookmarkStart w:id="1" w:name="OLE_LINK2"/>
      <w:r>
        <w:rPr>
          <w:sz w:val="26"/>
          <w:szCs w:val="26"/>
          <w:lang w:eastAsia="lv-LV"/>
        </w:rPr>
        <w:t>Projekts</w:t>
      </w:r>
    </w:p>
    <w:p w:rsidR="00D26CED" w:rsidRDefault="00D26CED" w:rsidP="00D26CED">
      <w:pPr>
        <w:jc w:val="right"/>
        <w:rPr>
          <w:sz w:val="26"/>
          <w:szCs w:val="26"/>
          <w:lang w:eastAsia="lv-LV"/>
        </w:rPr>
      </w:pPr>
    </w:p>
    <w:p w:rsidR="005A039A" w:rsidRPr="00BD20D6" w:rsidRDefault="005A039A" w:rsidP="005F0EFE">
      <w:pPr>
        <w:jc w:val="center"/>
        <w:rPr>
          <w:b/>
          <w:sz w:val="26"/>
          <w:szCs w:val="26"/>
          <w:lang w:eastAsia="lv-LV"/>
        </w:rPr>
      </w:pPr>
      <w:r w:rsidRPr="00BD20D6">
        <w:rPr>
          <w:b/>
          <w:sz w:val="26"/>
          <w:szCs w:val="26"/>
          <w:lang w:eastAsia="lv-LV"/>
        </w:rPr>
        <w:t>Tiesību akta projekta sākotnējās ietekmes novērtējuma ziņojums (anotācija)</w:t>
      </w:r>
    </w:p>
    <w:p w:rsidR="008A238C" w:rsidRPr="00BD20D6" w:rsidRDefault="003E7020" w:rsidP="005F0EFE">
      <w:pPr>
        <w:jc w:val="center"/>
        <w:rPr>
          <w:b/>
          <w:sz w:val="26"/>
          <w:szCs w:val="26"/>
          <w:lang w:eastAsia="lv-LV"/>
        </w:rPr>
      </w:pPr>
      <w:r w:rsidRPr="00BD20D6">
        <w:rPr>
          <w:b/>
          <w:sz w:val="26"/>
          <w:szCs w:val="26"/>
          <w:lang w:eastAsia="lv-LV"/>
        </w:rPr>
        <w:t>l</w:t>
      </w:r>
      <w:r w:rsidR="00002E15" w:rsidRPr="00BD20D6">
        <w:rPr>
          <w:b/>
          <w:sz w:val="26"/>
          <w:szCs w:val="26"/>
          <w:lang w:eastAsia="lv-LV"/>
        </w:rPr>
        <w:t>ikumprojektam „</w:t>
      </w:r>
      <w:r w:rsidR="00D7249F" w:rsidRPr="00BD20D6">
        <w:rPr>
          <w:b/>
          <w:sz w:val="26"/>
          <w:szCs w:val="26"/>
          <w:lang w:eastAsia="lv-LV"/>
        </w:rPr>
        <w:t>Fizisko personu mantiskā stāvokļa deklarēšanas likums”</w:t>
      </w:r>
    </w:p>
    <w:p w:rsidR="00D7249F" w:rsidRPr="008A238C" w:rsidRDefault="00D7249F" w:rsidP="005F0EFE">
      <w:pPr>
        <w:jc w:val="center"/>
        <w:rPr>
          <w:sz w:val="16"/>
          <w:szCs w:val="16"/>
          <w:lang w:eastAsia="lv-LV"/>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308"/>
        <w:gridCol w:w="567"/>
        <w:gridCol w:w="5811"/>
      </w:tblGrid>
      <w:tr w:rsidR="005A039A" w:rsidRPr="005A039A" w:rsidTr="00797FA6">
        <w:trPr>
          <w:tblCellSpacing w:w="0" w:type="dxa"/>
        </w:trPr>
        <w:tc>
          <w:tcPr>
            <w:tcW w:w="9214" w:type="dxa"/>
            <w:gridSpan w:val="4"/>
            <w:tcBorders>
              <w:top w:val="outset" w:sz="6" w:space="0" w:color="auto"/>
              <w:left w:val="outset" w:sz="6" w:space="0" w:color="auto"/>
              <w:bottom w:val="outset" w:sz="6" w:space="0" w:color="auto"/>
              <w:right w:val="outset" w:sz="6" w:space="0" w:color="auto"/>
            </w:tcBorders>
            <w:vAlign w:val="center"/>
            <w:hideMark/>
          </w:tcPr>
          <w:bookmarkEnd w:id="0"/>
          <w:bookmarkEnd w:id="1"/>
          <w:p w:rsidR="005A039A" w:rsidRPr="005A039A" w:rsidRDefault="005A039A"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I. Tiesību akta projekta izstrādes nepieciešamība</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Pamatojums</w:t>
            </w:r>
          </w:p>
        </w:tc>
        <w:tc>
          <w:tcPr>
            <w:tcW w:w="6378" w:type="dxa"/>
            <w:gridSpan w:val="2"/>
            <w:tcBorders>
              <w:top w:val="outset" w:sz="6" w:space="0" w:color="auto"/>
              <w:left w:val="outset" w:sz="6" w:space="0" w:color="auto"/>
              <w:bottom w:val="outset" w:sz="6" w:space="0" w:color="auto"/>
              <w:right w:val="outset" w:sz="6" w:space="0" w:color="auto"/>
            </w:tcBorders>
            <w:hideMark/>
          </w:tcPr>
          <w:p w:rsidR="00C33C87" w:rsidRPr="00D7249F" w:rsidRDefault="0020393E" w:rsidP="00D86ED3">
            <w:pPr>
              <w:tabs>
                <w:tab w:val="left" w:pos="306"/>
                <w:tab w:val="left" w:pos="977"/>
                <w:tab w:val="left" w:pos="1431"/>
              </w:tabs>
              <w:ind w:right="52" w:firstLine="410"/>
              <w:jc w:val="both"/>
              <w:rPr>
                <w:rFonts w:eastAsia="Times New Roman" w:cs="Times New Roman"/>
                <w:color w:val="BFBFBF" w:themeColor="background1" w:themeShade="BF"/>
                <w:sz w:val="24"/>
                <w:szCs w:val="24"/>
                <w:lang w:eastAsia="lv-LV"/>
              </w:rPr>
            </w:pPr>
            <w:r>
              <w:rPr>
                <w:sz w:val="24"/>
              </w:rPr>
              <w:t>Ar Ministru kabineta 2010.gada 26.augusta rīkojumu Nr.513 „</w:t>
            </w:r>
            <w:r w:rsidRPr="002B05D3">
              <w:rPr>
                <w:sz w:val="24"/>
              </w:rPr>
              <w:t>Par Pasākumu plānu ēnu ek</w:t>
            </w:r>
            <w:r>
              <w:rPr>
                <w:sz w:val="24"/>
              </w:rPr>
              <w:t xml:space="preserve">onomikas apkarošanai un godīgas </w:t>
            </w:r>
            <w:r w:rsidRPr="002B05D3">
              <w:rPr>
                <w:sz w:val="24"/>
              </w:rPr>
              <w:t>konkurences nodrošināšanai 2010.–2013.gadam</w:t>
            </w:r>
            <w:r>
              <w:rPr>
                <w:sz w:val="24"/>
              </w:rPr>
              <w:t xml:space="preserve">” apstiprinātā </w:t>
            </w:r>
            <w:r w:rsidRPr="002B05D3">
              <w:rPr>
                <w:sz w:val="24"/>
              </w:rPr>
              <w:t>Pasākumu plān</w:t>
            </w:r>
            <w:r>
              <w:rPr>
                <w:sz w:val="24"/>
              </w:rPr>
              <w:t>a</w:t>
            </w:r>
            <w:r w:rsidRPr="002B05D3">
              <w:rPr>
                <w:sz w:val="24"/>
              </w:rPr>
              <w:t xml:space="preserve"> ēnu ekonomikas apkarošanai un godīgas konkurences nodrošināšanai 2010.–2013.gadam</w:t>
            </w:r>
            <w:r>
              <w:rPr>
                <w:sz w:val="24"/>
              </w:rPr>
              <w:t xml:space="preserve"> 1</w:t>
            </w:r>
            <w:r w:rsidR="00D86ED3">
              <w:rPr>
                <w:sz w:val="24"/>
              </w:rPr>
              <w:t>6</w:t>
            </w:r>
            <w:r>
              <w:rPr>
                <w:sz w:val="24"/>
              </w:rPr>
              <w:t>.uzdevums.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79410D" w:rsidP="005F0EFE">
            <w:pPr>
              <w:rPr>
                <w:rFonts w:eastAsia="Times New Roman" w:cs="Times New Roman"/>
                <w:sz w:val="24"/>
                <w:szCs w:val="24"/>
                <w:lang w:eastAsia="lv-LV"/>
              </w:rPr>
            </w:pPr>
            <w:r>
              <w:rPr>
                <w:rFonts w:eastAsia="Times New Roman" w:cs="Times New Roman"/>
                <w:sz w:val="24"/>
                <w:szCs w:val="24"/>
                <w:lang w:eastAsia="lv-LV"/>
              </w:rPr>
              <w:t xml:space="preserve">   </w:t>
            </w:r>
            <w:r w:rsidR="007D6062">
              <w:rPr>
                <w:rFonts w:eastAsia="Times New Roman" w:cs="Times New Roman"/>
                <w:sz w:val="24"/>
                <w:szCs w:val="24"/>
                <w:lang w:eastAsia="lv-LV"/>
              </w:rPr>
              <w:t>2.</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Pašreizējā situācija un </w:t>
            </w:r>
            <w:r w:rsidR="00C33C87">
              <w:rPr>
                <w:rFonts w:eastAsia="Times New Roman" w:cs="Times New Roman"/>
                <w:sz w:val="24"/>
                <w:szCs w:val="24"/>
                <w:lang w:eastAsia="lv-LV"/>
              </w:rPr>
              <w:t xml:space="preserve">   </w:t>
            </w:r>
            <w:r w:rsidRPr="005A039A">
              <w:rPr>
                <w:rFonts w:eastAsia="Times New Roman" w:cs="Times New Roman"/>
                <w:sz w:val="24"/>
                <w:szCs w:val="24"/>
                <w:lang w:eastAsia="lv-LV"/>
              </w:rPr>
              <w:t>problēmas</w:t>
            </w:r>
          </w:p>
        </w:tc>
        <w:tc>
          <w:tcPr>
            <w:tcW w:w="6378" w:type="dxa"/>
            <w:gridSpan w:val="2"/>
            <w:tcBorders>
              <w:top w:val="outset" w:sz="6" w:space="0" w:color="auto"/>
              <w:left w:val="outset" w:sz="6" w:space="0" w:color="auto"/>
              <w:bottom w:val="outset" w:sz="6" w:space="0" w:color="auto"/>
              <w:right w:val="outset" w:sz="6" w:space="0" w:color="auto"/>
            </w:tcBorders>
            <w:hideMark/>
          </w:tcPr>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Šobrīd Valsts ieņēmumu dienesta (turpmāk - VID) rīcībā ir informācija, kura iegūta no:</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a)</w:t>
            </w:r>
            <w:r w:rsidRPr="00B44997">
              <w:rPr>
                <w:rFonts w:eastAsia="Times New Roman" w:cs="Times New Roman"/>
                <w:color w:val="000000"/>
                <w:sz w:val="24"/>
                <w:szCs w:val="24"/>
                <w:lang w:eastAsia="lv-LV"/>
              </w:rPr>
              <w:tab/>
              <w:t>iedzīvotāju ienākuma nodokļa deklarācijām;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b)</w:t>
            </w:r>
            <w:r w:rsidRPr="00B44997">
              <w:rPr>
                <w:rFonts w:eastAsia="Times New Roman" w:cs="Times New Roman"/>
                <w:color w:val="000000"/>
                <w:sz w:val="24"/>
                <w:szCs w:val="24"/>
                <w:lang w:eastAsia="lv-LV"/>
              </w:rPr>
              <w:tab/>
              <w:t>valsts amatpersonu deklarācijām;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c)</w:t>
            </w:r>
            <w:r w:rsidRPr="00B44997">
              <w:rPr>
                <w:rFonts w:eastAsia="Times New Roman" w:cs="Times New Roman"/>
                <w:color w:val="000000"/>
                <w:sz w:val="24"/>
                <w:szCs w:val="24"/>
                <w:lang w:eastAsia="lv-LV"/>
              </w:rPr>
              <w:tab/>
              <w:t>ziņojumiem par sociālā nodokļa maksājumiem;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d)</w:t>
            </w:r>
            <w:r w:rsidRPr="00B44997">
              <w:rPr>
                <w:rFonts w:eastAsia="Times New Roman" w:cs="Times New Roman"/>
                <w:color w:val="000000"/>
                <w:sz w:val="24"/>
                <w:szCs w:val="24"/>
                <w:lang w:eastAsia="lv-LV"/>
              </w:rPr>
              <w:tab/>
              <w:t xml:space="preserve">paziņojumiem par </w:t>
            </w:r>
            <w:r w:rsidR="009768BD">
              <w:rPr>
                <w:rFonts w:eastAsia="Times New Roman" w:cs="Times New Roman"/>
                <w:color w:val="000000"/>
                <w:sz w:val="24"/>
                <w:szCs w:val="24"/>
                <w:lang w:eastAsia="lv-LV"/>
              </w:rPr>
              <w:t>fiziskai personai izmaksātajām summām</w:t>
            </w:r>
            <w:r w:rsidRPr="00B44997">
              <w:rPr>
                <w:rFonts w:eastAsia="Times New Roman" w:cs="Times New Roman"/>
                <w:color w:val="000000"/>
                <w:sz w:val="24"/>
                <w:szCs w:val="24"/>
                <w:lang w:eastAsia="lv-LV"/>
              </w:rPr>
              <w:t>;</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e)</w:t>
            </w:r>
            <w:r w:rsidRPr="00B44997">
              <w:rPr>
                <w:rFonts w:eastAsia="Times New Roman" w:cs="Times New Roman"/>
                <w:color w:val="000000"/>
                <w:sz w:val="24"/>
                <w:szCs w:val="24"/>
                <w:lang w:eastAsia="lv-LV"/>
              </w:rPr>
              <w:tab/>
              <w:t xml:space="preserve">datiem, kurus VID iegūst no citu institūciju datu bāzēm. </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Bet, saskaņā ar spēkā esošajiem normatīvajiem aktiem, VID šobrīd nav tiesīb</w:t>
            </w:r>
            <w:r w:rsidR="00FB0C1E">
              <w:rPr>
                <w:rFonts w:eastAsia="Times New Roman" w:cs="Times New Roman"/>
                <w:color w:val="000000"/>
                <w:sz w:val="24"/>
                <w:szCs w:val="24"/>
                <w:lang w:eastAsia="lv-LV"/>
              </w:rPr>
              <w:t>u pārbaudīt un piemērot papildu</w:t>
            </w:r>
            <w:r w:rsidRPr="00B44997">
              <w:rPr>
                <w:rFonts w:eastAsia="Times New Roman" w:cs="Times New Roman"/>
                <w:color w:val="000000"/>
                <w:sz w:val="24"/>
                <w:szCs w:val="24"/>
                <w:lang w:eastAsia="lv-LV"/>
              </w:rPr>
              <w:t xml:space="preserve"> nodokļu uzrēķinu par periodu, kas uzrādīts kā ienākumu ieguves laiks pirms trīs gadiem, jo saskaņā ar likumu „Par nodokļiem un nodevām” un likumu „Par iedzīvotāju ienākuma nodokli” šobrīd iespējams uzlikt soda naudu un papildus aprēķināt nodokļus tikai trīs gadu laikā pēc likumā noteiktā nodokļu maksāšanas termiņa beigām.</w:t>
            </w:r>
          </w:p>
          <w:p w:rsidR="0020393E" w:rsidRPr="00B44997"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 xml:space="preserve">Līdz ar to valsts institūcijām ir ierobežotas iespējas pārbaudīt iepriekšminēto informāciju. Šādā situācijā fiziskajām personām ir iespēja par savu īpašumu izcelsmes avotu norādīt ienākumus, kas ir gūti pirms ievērojama laika perioda, kā arī dažādus nepārbaudāmus darījumus ar fiziskajām personām, kuras nav deklarējušas savus ienākumus vai nav Latvijas rezidenti. </w:t>
            </w:r>
          </w:p>
          <w:p w:rsidR="0020393E" w:rsidRDefault="0020393E" w:rsidP="009368B9">
            <w:pPr>
              <w:ind w:firstLine="357"/>
              <w:jc w:val="both"/>
              <w:rPr>
                <w:rFonts w:eastAsia="Times New Roman" w:cs="Times New Roman"/>
                <w:color w:val="000000"/>
                <w:sz w:val="24"/>
                <w:szCs w:val="24"/>
                <w:lang w:eastAsia="lv-LV"/>
              </w:rPr>
            </w:pPr>
            <w:r w:rsidRPr="00B44997">
              <w:rPr>
                <w:rFonts w:eastAsia="Times New Roman" w:cs="Times New Roman"/>
                <w:color w:val="000000"/>
                <w:sz w:val="24"/>
                <w:szCs w:val="24"/>
                <w:lang w:eastAsia="lv-LV"/>
              </w:rPr>
              <w:t>Nereti ir gadījumi, kad nelikumīgi iegūtie ienākumi tiek legalizēti, to reģistrēšanai izmantojot citu fizisko personu (radinieku, laulāto u.c.) identitātes datus. Bez tam praksē nodokļu administrācijai un citām valsts institūcijām nav iespējas pārliecināties par deklarētās skaidrās naudas uzkrājumu esamību – normatīvie akti neparedz personai pienākumu pierādīt, ka tās rīcībā ir deklarētie skaidrās naudas uzkrājumi.</w:t>
            </w:r>
          </w:p>
          <w:p w:rsidR="0020393E" w:rsidRPr="00B44997" w:rsidRDefault="0020393E" w:rsidP="009368B9">
            <w:pPr>
              <w:ind w:firstLine="357"/>
              <w:jc w:val="both"/>
              <w:rPr>
                <w:sz w:val="24"/>
              </w:rPr>
            </w:pPr>
            <w:r w:rsidRPr="00B44997">
              <w:rPr>
                <w:sz w:val="24"/>
              </w:rPr>
              <w:t>Ja netiks risinātas fizisko personu ienākumu kontroles problēmas, tad:</w:t>
            </w:r>
          </w:p>
          <w:p w:rsidR="0020393E" w:rsidRPr="00B44997" w:rsidRDefault="0020393E" w:rsidP="009368B9">
            <w:pPr>
              <w:ind w:firstLine="357"/>
              <w:jc w:val="both"/>
              <w:rPr>
                <w:sz w:val="24"/>
              </w:rPr>
            </w:pPr>
            <w:r w:rsidRPr="00B44997">
              <w:rPr>
                <w:sz w:val="24"/>
              </w:rPr>
              <w:t>1)</w:t>
            </w:r>
            <w:r w:rsidRPr="00B44997">
              <w:rPr>
                <w:sz w:val="24"/>
              </w:rPr>
              <w:tab/>
              <w:t>netiks novērstas iespējas nelikumīgi iegūt līdzekļus un tos legalizēt noziedzīgā veidā (arī ar koruptīvām darbībām);</w:t>
            </w:r>
          </w:p>
          <w:p w:rsidR="0020393E" w:rsidRPr="00B44997" w:rsidRDefault="0020393E" w:rsidP="009368B9">
            <w:pPr>
              <w:ind w:firstLine="357"/>
              <w:jc w:val="both"/>
              <w:rPr>
                <w:sz w:val="24"/>
              </w:rPr>
            </w:pPr>
            <w:r w:rsidRPr="00B44997">
              <w:rPr>
                <w:sz w:val="24"/>
              </w:rPr>
              <w:t>2)</w:t>
            </w:r>
            <w:r w:rsidRPr="00B44997">
              <w:rPr>
                <w:sz w:val="24"/>
              </w:rPr>
              <w:tab/>
              <w:t>pretlikumīgi iegūtu līdzekļu legalizēšana joprojām būs iespējama, izmantojot fiziskās personas;</w:t>
            </w:r>
          </w:p>
          <w:p w:rsidR="0020393E" w:rsidRDefault="0020393E" w:rsidP="009368B9">
            <w:pPr>
              <w:ind w:firstLine="357"/>
              <w:jc w:val="both"/>
              <w:rPr>
                <w:sz w:val="24"/>
              </w:rPr>
            </w:pPr>
            <w:r w:rsidRPr="00B44997">
              <w:rPr>
                <w:sz w:val="24"/>
              </w:rPr>
              <w:t>3)</w:t>
            </w:r>
            <w:r w:rsidRPr="00B44997">
              <w:rPr>
                <w:sz w:val="24"/>
              </w:rPr>
              <w:tab/>
              <w:t xml:space="preserve">korupcijas, kontrabandas un citās lietās joprojām būs problemātiska noziedzīgi iegūto līdzekļu </w:t>
            </w:r>
            <w:r>
              <w:rPr>
                <w:sz w:val="24"/>
              </w:rPr>
              <w:t>identificēšana un konfiskācija;</w:t>
            </w:r>
          </w:p>
          <w:p w:rsidR="00392F00" w:rsidRPr="0020393E" w:rsidRDefault="0020393E" w:rsidP="009368B9">
            <w:pPr>
              <w:ind w:firstLine="357"/>
              <w:jc w:val="both"/>
              <w:rPr>
                <w:sz w:val="24"/>
              </w:rPr>
            </w:pPr>
            <w:r>
              <w:rPr>
                <w:sz w:val="24"/>
              </w:rPr>
              <w:t xml:space="preserve">4) </w:t>
            </w:r>
            <w:r w:rsidRPr="00B44997">
              <w:rPr>
                <w:sz w:val="24"/>
              </w:rPr>
              <w:t>prognozējams, ka nesamazināsies ēnu ekonomikas īpatsvars.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3.</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 Saistītie politikas </w:t>
            </w:r>
            <w:r w:rsidR="00563363">
              <w:rPr>
                <w:rFonts w:eastAsia="Times New Roman" w:cs="Times New Roman"/>
                <w:sz w:val="24"/>
                <w:szCs w:val="24"/>
                <w:lang w:eastAsia="lv-LV"/>
              </w:rPr>
              <w:t xml:space="preserve"> </w:t>
            </w:r>
            <w:r w:rsidRPr="005A039A">
              <w:rPr>
                <w:rFonts w:eastAsia="Times New Roman" w:cs="Times New Roman"/>
                <w:sz w:val="24"/>
                <w:szCs w:val="24"/>
                <w:lang w:eastAsia="lv-LV"/>
              </w:rPr>
              <w:t>ietekmes novērtējumi un pētījumi</w:t>
            </w:r>
          </w:p>
        </w:tc>
        <w:tc>
          <w:tcPr>
            <w:tcW w:w="6378" w:type="dxa"/>
            <w:gridSpan w:val="2"/>
            <w:tcBorders>
              <w:top w:val="outset" w:sz="6" w:space="0" w:color="auto"/>
              <w:left w:val="outset" w:sz="6" w:space="0" w:color="auto"/>
              <w:bottom w:val="outset" w:sz="6" w:space="0" w:color="auto"/>
              <w:right w:val="outset" w:sz="6" w:space="0" w:color="auto"/>
            </w:tcBorders>
            <w:hideMark/>
          </w:tcPr>
          <w:p w:rsidR="0070128C" w:rsidRPr="004D27E8" w:rsidRDefault="004D27E8" w:rsidP="00D86ED3">
            <w:pPr>
              <w:tabs>
                <w:tab w:val="left" w:pos="306"/>
                <w:tab w:val="left" w:pos="977"/>
                <w:tab w:val="left" w:pos="1431"/>
              </w:tabs>
              <w:ind w:right="52" w:firstLine="410"/>
              <w:jc w:val="both"/>
              <w:rPr>
                <w:rFonts w:eastAsia="Times New Roman" w:cs="Times New Roman"/>
                <w:sz w:val="24"/>
                <w:szCs w:val="24"/>
                <w:lang w:eastAsia="lv-LV"/>
              </w:rPr>
            </w:pPr>
            <w:r w:rsidRPr="00D86ED3">
              <w:rPr>
                <w:sz w:val="24"/>
              </w:rPr>
              <w:t>Latvijas zinātņu akadēmijas Ekonomikas Institūta izstrādātais Koncepcijas projekta „Par fizisko personu ienākumu gūšanas kontroles pilnveidošanu” ekonomiskais novērtējums, 2005</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hanging="25"/>
              <w:rPr>
                <w:rFonts w:eastAsia="Times New Roman" w:cs="Times New Roman"/>
                <w:sz w:val="24"/>
                <w:szCs w:val="24"/>
                <w:lang w:eastAsia="lv-LV"/>
              </w:rPr>
            </w:pPr>
            <w:r w:rsidRPr="005A039A">
              <w:rPr>
                <w:rFonts w:eastAsia="Times New Roman" w:cs="Times New Roman"/>
                <w:sz w:val="24"/>
                <w:szCs w:val="24"/>
                <w:lang w:eastAsia="lv-LV"/>
              </w:rPr>
              <w:t> Tiesiskā regulējuma mērķis un būtība</w:t>
            </w:r>
          </w:p>
        </w:tc>
        <w:tc>
          <w:tcPr>
            <w:tcW w:w="6378" w:type="dxa"/>
            <w:gridSpan w:val="2"/>
            <w:tcBorders>
              <w:top w:val="outset" w:sz="6" w:space="0" w:color="auto"/>
              <w:left w:val="outset" w:sz="6" w:space="0" w:color="auto"/>
              <w:bottom w:val="outset" w:sz="6" w:space="0" w:color="auto"/>
              <w:right w:val="outset" w:sz="6" w:space="0" w:color="auto"/>
            </w:tcBorders>
            <w:hideMark/>
          </w:tcPr>
          <w:p w:rsidR="00F77A94" w:rsidRDefault="00F77A94" w:rsidP="00EE76FB">
            <w:pPr>
              <w:tabs>
                <w:tab w:val="left" w:pos="306"/>
                <w:tab w:val="left" w:pos="977"/>
                <w:tab w:val="left" w:pos="1431"/>
              </w:tabs>
              <w:ind w:right="52" w:firstLine="410"/>
              <w:jc w:val="both"/>
              <w:rPr>
                <w:sz w:val="24"/>
              </w:rPr>
            </w:pPr>
            <w:r>
              <w:rPr>
                <w:sz w:val="24"/>
              </w:rPr>
              <w:t>Likumprojekta mērķis ir izveidot sistēmu, lai konstatētu fizisko personu mantisko stāvokli, kas kalpotu par atskaites punktu godīgākas un tiesiskākas sabiedrības attīstībā.</w:t>
            </w:r>
          </w:p>
          <w:p w:rsidR="00EE76FB" w:rsidRPr="000F0C41" w:rsidRDefault="00EE76FB" w:rsidP="00EE76FB">
            <w:pPr>
              <w:tabs>
                <w:tab w:val="left" w:pos="306"/>
                <w:tab w:val="left" w:pos="977"/>
                <w:tab w:val="left" w:pos="1431"/>
              </w:tabs>
              <w:ind w:right="52" w:firstLine="410"/>
              <w:jc w:val="both"/>
              <w:rPr>
                <w:sz w:val="24"/>
              </w:rPr>
            </w:pPr>
            <w:r w:rsidRPr="000F0C41">
              <w:rPr>
                <w:sz w:val="24"/>
              </w:rPr>
              <w:t>Likumprojekts nosaka fizisko personu mantiskā stāvokļa deklarēšanas pienākumu, mantiskā stāvokļa deklarācijas iesniedzējus, deklarācijā iekļaujamās ziņas un iesniegšanas kārtību, kā arī deklarācijas iesniedzēju un Valsts ieņēmumu dienesta tiesības un pienākumus.</w:t>
            </w:r>
          </w:p>
          <w:p w:rsidR="00EE76FB" w:rsidRDefault="00EE76FB" w:rsidP="00EE76FB">
            <w:pPr>
              <w:tabs>
                <w:tab w:val="left" w:pos="306"/>
                <w:tab w:val="left" w:pos="977"/>
                <w:tab w:val="left" w:pos="1431"/>
              </w:tabs>
              <w:ind w:right="52" w:firstLine="410"/>
              <w:jc w:val="both"/>
              <w:rPr>
                <w:sz w:val="24"/>
              </w:rPr>
            </w:pPr>
            <w:r w:rsidRPr="000F0C41">
              <w:rPr>
                <w:sz w:val="24"/>
              </w:rPr>
              <w:t xml:space="preserve">Likumprojekts paredz, ka deklarāciju iesniedz personas, </w:t>
            </w:r>
            <w:r w:rsidR="00D26CED">
              <w:rPr>
                <w:sz w:val="24"/>
              </w:rPr>
              <w:t xml:space="preserve">kas ir </w:t>
            </w:r>
            <w:r w:rsidRPr="000F0C41">
              <w:rPr>
                <w:sz w:val="24"/>
              </w:rPr>
              <w:t>Latvijas Republika</w:t>
            </w:r>
            <w:r w:rsidR="00D26CED">
              <w:rPr>
                <w:sz w:val="24"/>
              </w:rPr>
              <w:t>s rezidenti</w:t>
            </w:r>
            <w:r w:rsidRPr="000F0C41">
              <w:rPr>
                <w:sz w:val="24"/>
              </w:rPr>
              <w:t xml:space="preserve"> un kuras atbilst l</w:t>
            </w:r>
            <w:r w:rsidR="00124CFC">
              <w:rPr>
                <w:sz w:val="24"/>
              </w:rPr>
              <w:t>ikumā noteiktajiem kritērijiem.</w:t>
            </w:r>
          </w:p>
          <w:p w:rsidR="00C0002A" w:rsidRDefault="0023571B" w:rsidP="0023571B">
            <w:pPr>
              <w:tabs>
                <w:tab w:val="left" w:pos="306"/>
                <w:tab w:val="left" w:pos="977"/>
                <w:tab w:val="left" w:pos="1431"/>
              </w:tabs>
              <w:ind w:right="52" w:firstLine="410"/>
              <w:jc w:val="both"/>
              <w:rPr>
                <w:sz w:val="24"/>
              </w:rPr>
            </w:pPr>
            <w:r>
              <w:rPr>
                <w:sz w:val="24"/>
              </w:rPr>
              <w:t>Fizisko personu mantiskā stāvokļa deklarēšanas pienākums noteikts pēc stāvokļa uz 2012.gada 1.janvāra pulksten 00:00 pēc Latvijas laika.</w:t>
            </w:r>
          </w:p>
          <w:p w:rsidR="0023571B" w:rsidRDefault="0023571B" w:rsidP="0023571B">
            <w:pPr>
              <w:tabs>
                <w:tab w:val="left" w:pos="306"/>
                <w:tab w:val="left" w:pos="977"/>
                <w:tab w:val="left" w:pos="1431"/>
              </w:tabs>
              <w:ind w:right="52" w:firstLine="410"/>
              <w:jc w:val="both"/>
              <w:rPr>
                <w:sz w:val="24"/>
              </w:rPr>
            </w:pPr>
            <w:r w:rsidRPr="00EE76FB">
              <w:rPr>
                <w:sz w:val="24"/>
              </w:rPr>
              <w:t xml:space="preserve">Likumprojekts nosaka, ka fiziskās personas naudas uzkrājumi, kuri tai ir skaidrā naudā un kuru apmērs pārsniedz </w:t>
            </w:r>
            <w:r>
              <w:rPr>
                <w:sz w:val="24"/>
              </w:rPr>
              <w:t>50 </w:t>
            </w:r>
            <w:r w:rsidRPr="00EE76FB">
              <w:rPr>
                <w:sz w:val="24"/>
              </w:rPr>
              <w:t>minimālās mēnešalgas nacionālajā valūtā vai to ekvivalentu ārvalstu valūtā</w:t>
            </w:r>
            <w:r>
              <w:rPr>
                <w:sz w:val="24"/>
              </w:rPr>
              <w:t xml:space="preserve"> </w:t>
            </w:r>
            <w:r w:rsidRPr="00A54CBD">
              <w:rPr>
                <w:bCs/>
                <w:sz w:val="24"/>
              </w:rPr>
              <w:t xml:space="preserve">pēc Latvijas bankas noteiktā kursa </w:t>
            </w:r>
            <w:r>
              <w:rPr>
                <w:bCs/>
                <w:sz w:val="24"/>
              </w:rPr>
              <w:t>datumā, kad radies pienākums iesniegt deklarāciju</w:t>
            </w:r>
            <w:r w:rsidRPr="00EE76FB">
              <w:rPr>
                <w:sz w:val="24"/>
              </w:rPr>
              <w:t xml:space="preserve">, tiks atzīti par </w:t>
            </w:r>
            <w:r>
              <w:rPr>
                <w:sz w:val="24"/>
              </w:rPr>
              <w:t>personai piederošiem</w:t>
            </w:r>
            <w:r w:rsidRPr="00EE76FB">
              <w:rPr>
                <w:sz w:val="24"/>
              </w:rPr>
              <w:t xml:space="preserve"> tikai tādā gadījumā, ja fiziskā </w:t>
            </w:r>
            <w:r w:rsidRPr="00B94345">
              <w:rPr>
                <w:sz w:val="24"/>
              </w:rPr>
              <w:t>persona šos uzkrājumus ir ieskaitījusi savā kontā Latvijas Republikā vai citā Eiropas Savienības dalībvalstī, vai Eiropas Ekonomikas zonas valstī reģistrētā kredītiestādē, krājaizdevu sabiedrībā vai pasta norēķinu sistēmā.</w:t>
            </w:r>
          </w:p>
          <w:p w:rsidR="00566CC9" w:rsidRDefault="00EE76FB" w:rsidP="00D26CED">
            <w:pPr>
              <w:tabs>
                <w:tab w:val="left" w:pos="306"/>
                <w:tab w:val="left" w:pos="977"/>
                <w:tab w:val="left" w:pos="1431"/>
              </w:tabs>
              <w:ind w:right="52" w:firstLine="410"/>
              <w:jc w:val="both"/>
              <w:rPr>
                <w:sz w:val="24"/>
              </w:rPr>
            </w:pPr>
            <w:r w:rsidRPr="00EE76FB">
              <w:rPr>
                <w:sz w:val="24"/>
              </w:rPr>
              <w:t>Ierobežojumu noteikšanu skaidras naudas darījumiem arī paredz Eiropas Parlamenta un Padomes Direktīva 2005/60/EK 2005.gada 26.oktobris par to, lai nepieļautu finanšu sistēmas izmantošanu nelikumīgi iegūtu līdzekļu legalizēšanai un teroristu finansēšanai.</w:t>
            </w:r>
          </w:p>
          <w:p w:rsidR="00DC5EFE" w:rsidRDefault="00AF6A71" w:rsidP="00D26CED">
            <w:pPr>
              <w:tabs>
                <w:tab w:val="left" w:pos="306"/>
                <w:tab w:val="left" w:pos="977"/>
                <w:tab w:val="left" w:pos="1431"/>
              </w:tabs>
              <w:ind w:right="52" w:firstLine="410"/>
              <w:jc w:val="both"/>
              <w:rPr>
                <w:sz w:val="24"/>
              </w:rPr>
            </w:pPr>
            <w:r w:rsidRPr="00F407E7">
              <w:rPr>
                <w:sz w:val="24"/>
              </w:rPr>
              <w:t>Likumprojekta 3.panta pirmās daļas 2.punktā minētās tiesības attiecināmas galvenokārt uz darījumiem, kas atrodas procesā un vēl nav pabeigti, piemēram, ja persona ir veikusi samaksu par nekustamā īpašuma iegādi, taču īpašums vēl nav ierakstīts Zemesgrāmatā.</w:t>
            </w:r>
            <w:r w:rsidR="00337AB7" w:rsidRPr="00337AB7">
              <w:rPr>
                <w:sz w:val="24"/>
              </w:rPr>
              <w:t xml:space="preserve"> Šobrīd VID rīcībā jau ir informācija par Zemesgrāmata ierakstītiem īpašumiem.</w:t>
            </w:r>
          </w:p>
          <w:p w:rsidR="00985BE0" w:rsidRDefault="00985BE0">
            <w:pPr>
              <w:tabs>
                <w:tab w:val="left" w:pos="306"/>
                <w:tab w:val="left" w:pos="977"/>
                <w:tab w:val="left" w:pos="1431"/>
              </w:tabs>
              <w:ind w:right="52" w:firstLine="410"/>
              <w:jc w:val="both"/>
              <w:rPr>
                <w:sz w:val="24"/>
              </w:rPr>
            </w:pPr>
            <w:r>
              <w:rPr>
                <w:sz w:val="24"/>
              </w:rPr>
              <w:t xml:space="preserve">Likumprojekta </w:t>
            </w:r>
            <w:r>
              <w:rPr>
                <w:iCs/>
                <w:sz w:val="24"/>
                <w:szCs w:val="24"/>
                <w:lang w:eastAsia="lv-LV"/>
              </w:rPr>
              <w:t>3.</w:t>
            </w:r>
            <w:r w:rsidRPr="00D86ED3">
              <w:rPr>
                <w:sz w:val="24"/>
              </w:rPr>
              <w:t>panta pirmās daļas 9.punktā minētie „citi mantiski prasījumi” attiecas uz personas mantu, kas</w:t>
            </w:r>
            <w:r w:rsidR="000E2A8F" w:rsidRPr="00D86ED3">
              <w:rPr>
                <w:sz w:val="24"/>
              </w:rPr>
              <w:t>, piemēram,</w:t>
            </w:r>
            <w:r w:rsidRPr="00D86ED3">
              <w:rPr>
                <w:sz w:val="24"/>
              </w:rPr>
              <w:t xml:space="preserve"> aizdota citai p</w:t>
            </w:r>
            <w:r w:rsidRPr="007A39B9">
              <w:rPr>
                <w:sz w:val="24"/>
              </w:rPr>
              <w:t>ersonai.</w:t>
            </w:r>
          </w:p>
          <w:p w:rsidR="00D86ED3" w:rsidRDefault="009A3458" w:rsidP="00D86ED3">
            <w:pPr>
              <w:tabs>
                <w:tab w:val="left" w:pos="306"/>
                <w:tab w:val="left" w:pos="977"/>
                <w:tab w:val="left" w:pos="1431"/>
              </w:tabs>
              <w:ind w:right="52" w:firstLine="410"/>
              <w:jc w:val="both"/>
              <w:rPr>
                <w:sz w:val="24"/>
              </w:rPr>
            </w:pPr>
            <w:r>
              <w:rPr>
                <w:sz w:val="24"/>
              </w:rPr>
              <w:t xml:space="preserve">Likumprojekta 3.panta </w:t>
            </w:r>
            <w:r w:rsidR="00C7307C">
              <w:rPr>
                <w:sz w:val="24"/>
              </w:rPr>
              <w:t>pirmās daļas 11.punkts</w:t>
            </w:r>
            <w:r>
              <w:rPr>
                <w:sz w:val="24"/>
              </w:rPr>
              <w:t xml:space="preserve"> nosaka pienākumu</w:t>
            </w:r>
            <w:r w:rsidR="00D86ED3">
              <w:rPr>
                <w:sz w:val="24"/>
              </w:rPr>
              <w:t xml:space="preserve"> personām sniegt informāciju</w:t>
            </w:r>
            <w:r>
              <w:rPr>
                <w:sz w:val="24"/>
              </w:rPr>
              <w:t xml:space="preserve"> </w:t>
            </w:r>
            <w:r w:rsidR="00D86ED3">
              <w:rPr>
                <w:sz w:val="24"/>
              </w:rPr>
              <w:t>p</w:t>
            </w:r>
            <w:r w:rsidR="00D86ED3" w:rsidRPr="005E04C6">
              <w:rPr>
                <w:sz w:val="24"/>
              </w:rPr>
              <w:t xml:space="preserve">ar </w:t>
            </w:r>
            <w:r w:rsidR="00D86ED3">
              <w:rPr>
                <w:sz w:val="24"/>
              </w:rPr>
              <w:t xml:space="preserve">līgumiem, saskaņā ar kuriem deklarācijas iesniedzējs ir patiesā labuma guvējs </w:t>
            </w:r>
            <w:r w:rsidR="00D86ED3" w:rsidRPr="004342CA">
              <w:rPr>
                <w:sz w:val="24"/>
              </w:rPr>
              <w:t xml:space="preserve">Noziedzīgi iegūtu līdzekļu legalizācijas un terorisma finansēšanas novēršanas likuma izpratnē </w:t>
            </w:r>
            <w:r w:rsidR="00D86ED3">
              <w:rPr>
                <w:sz w:val="24"/>
              </w:rPr>
              <w:t>no citai personai piederoša vai pārvaldīšanā nodota šī likuma 4. un 5.punktā minēta īpašuma.</w:t>
            </w:r>
          </w:p>
          <w:p w:rsidR="004B19D4" w:rsidRPr="00EE76FB" w:rsidRDefault="007A39B9" w:rsidP="00D86ED3">
            <w:pPr>
              <w:tabs>
                <w:tab w:val="left" w:pos="306"/>
                <w:tab w:val="left" w:pos="977"/>
                <w:tab w:val="left" w:pos="1431"/>
              </w:tabs>
              <w:ind w:right="52" w:firstLine="410"/>
              <w:jc w:val="both"/>
              <w:rPr>
                <w:sz w:val="24"/>
              </w:rPr>
            </w:pPr>
            <w:r w:rsidRPr="007A39B9">
              <w:rPr>
                <w:sz w:val="24"/>
              </w:rPr>
              <w:t xml:space="preserve">Likumprojekta 5.panta trešā daļa uzliek pienākumu deklarācijas iesniedzējam sniegt pilnīgu informāciju par savu </w:t>
            </w:r>
            <w:r w:rsidRPr="007A39B9">
              <w:rPr>
                <w:sz w:val="24"/>
              </w:rPr>
              <w:lastRenderedPageBreak/>
              <w:t>mant</w:t>
            </w:r>
            <w:r w:rsidR="00D86ED3">
              <w:rPr>
                <w:sz w:val="24"/>
              </w:rPr>
              <w:t>isko stāvokli saskaņā ar 4.pantu</w:t>
            </w:r>
            <w:r w:rsidRPr="007A39B9">
              <w:rPr>
                <w:sz w:val="24"/>
              </w:rPr>
              <w:t>.</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5.</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Projekta izstrādē iesaistītās institūcijas</w:t>
            </w:r>
          </w:p>
        </w:tc>
        <w:tc>
          <w:tcPr>
            <w:tcW w:w="6378" w:type="dxa"/>
            <w:gridSpan w:val="2"/>
            <w:tcBorders>
              <w:top w:val="outset" w:sz="6" w:space="0" w:color="auto"/>
              <w:left w:val="outset" w:sz="6" w:space="0" w:color="auto"/>
              <w:bottom w:val="outset" w:sz="6" w:space="0" w:color="auto"/>
              <w:right w:val="outset" w:sz="6" w:space="0" w:color="auto"/>
            </w:tcBorders>
            <w:hideMark/>
          </w:tcPr>
          <w:p w:rsidR="00E24E81" w:rsidRPr="00D26CED" w:rsidRDefault="002B32B6" w:rsidP="00A11351">
            <w:pPr>
              <w:tabs>
                <w:tab w:val="left" w:pos="306"/>
                <w:tab w:val="left" w:pos="977"/>
                <w:tab w:val="left" w:pos="1431"/>
              </w:tabs>
              <w:ind w:right="52" w:firstLine="410"/>
              <w:jc w:val="both"/>
              <w:rPr>
                <w:sz w:val="24"/>
                <w:szCs w:val="24"/>
                <w:lang w:eastAsia="lv-LV"/>
              </w:rPr>
            </w:pPr>
            <w:r w:rsidRPr="00A11351">
              <w:rPr>
                <w:sz w:val="24"/>
              </w:rPr>
              <w:t>Likumprojekta izstrādes nepieciešamība tika apstiprināta ar Ministru prezidenta 2010.gada 15.marta rīkojumu Nr.96 "Par darba grupu" izveidotajā darba grupā.</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Iemesli, kādēļ netika nodrošināta sabiedrības līdzdalība</w:t>
            </w:r>
          </w:p>
        </w:tc>
        <w:tc>
          <w:tcPr>
            <w:tcW w:w="6378" w:type="dxa"/>
            <w:gridSpan w:val="2"/>
            <w:tcBorders>
              <w:top w:val="outset" w:sz="6" w:space="0" w:color="auto"/>
              <w:left w:val="outset" w:sz="6" w:space="0" w:color="auto"/>
              <w:bottom w:val="outset" w:sz="6" w:space="0" w:color="auto"/>
              <w:right w:val="outset" w:sz="6" w:space="0" w:color="auto"/>
            </w:tcBorders>
            <w:hideMark/>
          </w:tcPr>
          <w:p w:rsidR="005A039A" w:rsidRPr="00D26CED" w:rsidRDefault="00C85F36" w:rsidP="00643A3D">
            <w:pPr>
              <w:rPr>
                <w:rFonts w:eastAsia="Times New Roman" w:cs="Times New Roman"/>
                <w:sz w:val="24"/>
                <w:szCs w:val="24"/>
                <w:lang w:eastAsia="lv-LV"/>
              </w:rPr>
            </w:pPr>
            <w:r w:rsidRPr="00D26CED">
              <w:rPr>
                <w:sz w:val="24"/>
                <w:szCs w:val="24"/>
              </w:rPr>
              <w:t xml:space="preserve"> </w:t>
            </w:r>
            <w:r w:rsidR="00643A3D">
              <w:rPr>
                <w:sz w:val="24"/>
                <w:szCs w:val="24"/>
              </w:rPr>
              <w:t>Nav attiecināms</w:t>
            </w:r>
          </w:p>
        </w:tc>
      </w:tr>
      <w:tr w:rsidR="005A039A" w:rsidRPr="005A039A" w:rsidTr="00797FA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30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6378" w:type="dxa"/>
            <w:gridSpan w:val="2"/>
            <w:tcBorders>
              <w:top w:val="outset" w:sz="6" w:space="0" w:color="auto"/>
              <w:left w:val="outset" w:sz="6" w:space="0" w:color="auto"/>
              <w:bottom w:val="outset" w:sz="6" w:space="0" w:color="auto"/>
              <w:right w:val="outset" w:sz="6" w:space="0" w:color="auto"/>
            </w:tcBorders>
            <w:hideMark/>
          </w:tcPr>
          <w:p w:rsid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Nav</w:t>
            </w:r>
          </w:p>
          <w:p w:rsidR="00912059" w:rsidRPr="005A039A" w:rsidRDefault="00912059" w:rsidP="005F0EFE">
            <w:pPr>
              <w:rPr>
                <w:rFonts w:eastAsia="Times New Roman" w:cs="Times New Roman"/>
                <w:sz w:val="24"/>
                <w:szCs w:val="24"/>
                <w:lang w:eastAsia="lv-LV"/>
              </w:rPr>
            </w:pPr>
          </w:p>
        </w:tc>
      </w:tr>
      <w:tr w:rsidR="005A039A" w:rsidRPr="005A039A" w:rsidTr="00797FA6">
        <w:trPr>
          <w:tblCellSpacing w:w="0" w:type="dxa"/>
        </w:trPr>
        <w:tc>
          <w:tcPr>
            <w:tcW w:w="9214" w:type="dxa"/>
            <w:gridSpan w:val="4"/>
            <w:tcBorders>
              <w:top w:val="outset" w:sz="6" w:space="0" w:color="auto"/>
              <w:left w:val="outset" w:sz="6" w:space="0" w:color="auto"/>
              <w:bottom w:val="outset" w:sz="6" w:space="0" w:color="auto"/>
              <w:right w:val="outset" w:sz="6" w:space="0" w:color="auto"/>
            </w:tcBorders>
            <w:vAlign w:val="center"/>
            <w:hideMark/>
          </w:tcPr>
          <w:p w:rsidR="00912059" w:rsidRPr="001119FE" w:rsidRDefault="005A039A" w:rsidP="00912059">
            <w:pPr>
              <w:jc w:val="center"/>
              <w:rPr>
                <w:rFonts w:eastAsia="Times New Roman" w:cs="Times New Roman"/>
                <w:b/>
                <w:sz w:val="24"/>
                <w:szCs w:val="24"/>
                <w:lang w:eastAsia="lv-LV"/>
              </w:rPr>
            </w:pPr>
            <w:r w:rsidRPr="001119FE">
              <w:rPr>
                <w:rFonts w:eastAsia="Times New Roman" w:cs="Times New Roman"/>
                <w:b/>
                <w:sz w:val="24"/>
                <w:szCs w:val="24"/>
                <w:lang w:eastAsia="lv-LV"/>
              </w:rPr>
              <w:t>II. Tiesību akta projekta ietekme uz sabiedrību</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Sabiedrības mērķgrupa</w:t>
            </w:r>
          </w:p>
        </w:tc>
        <w:tc>
          <w:tcPr>
            <w:tcW w:w="5811" w:type="dxa"/>
            <w:tcBorders>
              <w:top w:val="outset" w:sz="6" w:space="0" w:color="auto"/>
              <w:left w:val="outset" w:sz="6" w:space="0" w:color="auto"/>
              <w:bottom w:val="outset" w:sz="6" w:space="0" w:color="auto"/>
              <w:right w:val="outset" w:sz="6" w:space="0" w:color="auto"/>
            </w:tcBorders>
            <w:hideMark/>
          </w:tcPr>
          <w:p w:rsidR="004E667B" w:rsidRPr="00D7249F" w:rsidRDefault="004D27E8" w:rsidP="00D86ED3">
            <w:pPr>
              <w:ind w:left="126" w:right="52"/>
              <w:jc w:val="both"/>
              <w:rPr>
                <w:rFonts w:eastAsia="Times New Roman" w:cs="Times New Roman"/>
                <w:color w:val="BFBFBF" w:themeColor="background1" w:themeShade="BF"/>
                <w:sz w:val="24"/>
                <w:szCs w:val="24"/>
                <w:lang w:eastAsia="lv-LV"/>
              </w:rPr>
            </w:pPr>
            <w:r w:rsidRPr="00B94345">
              <w:rPr>
                <w:sz w:val="24"/>
              </w:rPr>
              <w:t xml:space="preserve">Mantiskā stāvokļa deklarāciju iesniedz Latvijas Republikas pilsoņi, nepilsoņi un </w:t>
            </w:r>
            <w:r w:rsidR="00D86ED3">
              <w:rPr>
                <w:sz w:val="24"/>
              </w:rPr>
              <w:t>ārzemnieki</w:t>
            </w:r>
            <w:r w:rsidRPr="00B94345">
              <w:rPr>
                <w:sz w:val="24"/>
              </w:rPr>
              <w:t xml:space="preserve">, kurām izsniegta pastāvīgās uzturēšanās atļauja vai pastāvīgās uzturēšanās apliecība Latvijā. Mantiskā stāvokļa deklarāciju </w:t>
            </w:r>
            <w:r w:rsidRPr="004D27E8">
              <w:rPr>
                <w:sz w:val="24"/>
              </w:rPr>
              <w:t>iesniedz</w:t>
            </w:r>
            <w:r w:rsidRPr="00B94345">
              <w:rPr>
                <w:sz w:val="24"/>
              </w:rPr>
              <w:t>, j</w:t>
            </w:r>
            <w:r>
              <w:rPr>
                <w:sz w:val="24"/>
              </w:rPr>
              <w:t>a persona ir Latvijas Republikas rezidents.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4D27E8" w:rsidRDefault="005A039A" w:rsidP="004D27E8">
            <w:pPr>
              <w:rPr>
                <w:rFonts w:eastAsia="Times New Roman" w:cs="Times New Roman"/>
                <w:sz w:val="24"/>
                <w:szCs w:val="24"/>
                <w:lang w:eastAsia="lv-LV"/>
              </w:rPr>
            </w:pPr>
            <w:r w:rsidRPr="004D27E8">
              <w:rPr>
                <w:rFonts w:eastAsia="Times New Roman" w:cs="Times New Roman"/>
                <w:sz w:val="24"/>
                <w:szCs w:val="24"/>
                <w:lang w:eastAsia="lv-LV"/>
              </w:rPr>
              <w:t> Citas sabiedrības grupas (bez mērķgrupas), kuras tiesiskais regulējums arī ietekmē vai varētu ietekmēt</w:t>
            </w:r>
          </w:p>
        </w:tc>
        <w:tc>
          <w:tcPr>
            <w:tcW w:w="5811" w:type="dxa"/>
            <w:tcBorders>
              <w:top w:val="outset" w:sz="6" w:space="0" w:color="auto"/>
              <w:left w:val="outset" w:sz="6" w:space="0" w:color="auto"/>
              <w:bottom w:val="outset" w:sz="6" w:space="0" w:color="auto"/>
              <w:right w:val="outset" w:sz="6" w:space="0" w:color="auto"/>
            </w:tcBorders>
            <w:hideMark/>
          </w:tcPr>
          <w:p w:rsidR="005A039A" w:rsidRPr="004D27E8" w:rsidRDefault="00E41C8D" w:rsidP="004D27E8">
            <w:pPr>
              <w:ind w:left="126" w:right="52"/>
              <w:jc w:val="both"/>
              <w:rPr>
                <w:sz w:val="24"/>
              </w:rPr>
            </w:pPr>
            <w:r w:rsidRPr="004D27E8">
              <w:rPr>
                <w:sz w:val="24"/>
              </w:rPr>
              <w:t>Nav attiecināms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4D27E8" w:rsidRDefault="005A039A" w:rsidP="004D27E8">
            <w:pPr>
              <w:rPr>
                <w:rFonts w:eastAsia="Times New Roman" w:cs="Times New Roman"/>
                <w:sz w:val="24"/>
                <w:szCs w:val="24"/>
                <w:lang w:eastAsia="lv-LV"/>
              </w:rPr>
            </w:pPr>
            <w:r w:rsidRPr="004D27E8">
              <w:rPr>
                <w:rFonts w:eastAsia="Times New Roman" w:cs="Times New Roman"/>
                <w:sz w:val="24"/>
                <w:szCs w:val="24"/>
                <w:lang w:eastAsia="lv-LV"/>
              </w:rPr>
              <w:t> Tiesiskā regulējuma finansiālā ietekme</w:t>
            </w:r>
          </w:p>
        </w:tc>
        <w:tc>
          <w:tcPr>
            <w:tcW w:w="5811" w:type="dxa"/>
            <w:tcBorders>
              <w:top w:val="outset" w:sz="6" w:space="0" w:color="auto"/>
              <w:left w:val="outset" w:sz="6" w:space="0" w:color="auto"/>
              <w:bottom w:val="outset" w:sz="6" w:space="0" w:color="auto"/>
              <w:right w:val="outset" w:sz="6" w:space="0" w:color="auto"/>
            </w:tcBorders>
            <w:hideMark/>
          </w:tcPr>
          <w:p w:rsidR="005A039A" w:rsidRPr="004D27E8" w:rsidRDefault="00FC0537" w:rsidP="00FC0537">
            <w:pPr>
              <w:ind w:left="126" w:right="52"/>
              <w:jc w:val="both"/>
              <w:rPr>
                <w:sz w:val="24"/>
              </w:rPr>
            </w:pPr>
            <w:r w:rsidRPr="00FC0537">
              <w:rPr>
                <w:sz w:val="24"/>
              </w:rPr>
              <w:t xml:space="preserve">Likumprojekts sabiedrības mērķgrupai </w:t>
            </w:r>
            <w:r>
              <w:rPr>
                <w:sz w:val="24"/>
              </w:rPr>
              <w:t xml:space="preserve">vienreizējas </w:t>
            </w:r>
            <w:r w:rsidRPr="00FC0537">
              <w:rPr>
                <w:sz w:val="24"/>
              </w:rPr>
              <w:t xml:space="preserve">tiešas </w:t>
            </w:r>
            <w:r>
              <w:rPr>
                <w:sz w:val="24"/>
              </w:rPr>
              <w:t>izmaksas, kas iesaistītas ar deklarācijas iesniegšanu, kā arī izmaksas īpašuma novērtēšanai, ja tiek izmantots ārpakalpojums, un izmaksas, kas saistītas ar naudas līdzekļu ieskaitīšanu kontā.</w:t>
            </w:r>
            <w:r w:rsidRPr="00FC0537">
              <w:rPr>
                <w:sz w:val="24"/>
              </w:rPr>
              <w:t xml:space="preserve"> </w:t>
            </w:r>
            <w:r>
              <w:rPr>
                <w:sz w:val="24"/>
              </w:rPr>
              <w:t xml:space="preserve">Nav iespējams noteikt konkrētu izmaksu apjomu. </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Tiesiskā regulējuma nefinansiālā ietekme</w:t>
            </w:r>
          </w:p>
        </w:tc>
        <w:tc>
          <w:tcPr>
            <w:tcW w:w="5811" w:type="dxa"/>
            <w:tcBorders>
              <w:top w:val="outset" w:sz="6" w:space="0" w:color="auto"/>
              <w:left w:val="outset" w:sz="6" w:space="0" w:color="auto"/>
              <w:bottom w:val="outset" w:sz="6" w:space="0" w:color="auto"/>
              <w:right w:val="outset" w:sz="6" w:space="0" w:color="auto"/>
            </w:tcBorders>
            <w:hideMark/>
          </w:tcPr>
          <w:p w:rsidR="005A039A" w:rsidRPr="00D7249F" w:rsidRDefault="00FC0537" w:rsidP="004D27E8">
            <w:pPr>
              <w:ind w:left="126" w:right="52"/>
              <w:jc w:val="both"/>
              <w:rPr>
                <w:rFonts w:eastAsia="Times New Roman" w:cs="Times New Roman"/>
                <w:color w:val="BFBFBF" w:themeColor="background1" w:themeShade="BF"/>
                <w:sz w:val="24"/>
                <w:szCs w:val="24"/>
                <w:lang w:eastAsia="lv-LV"/>
              </w:rPr>
            </w:pPr>
            <w:r>
              <w:rPr>
                <w:sz w:val="24"/>
              </w:rPr>
              <w:t>Likumprojekts uzliek jaunu pienākumu</w:t>
            </w:r>
            <w:r w:rsidRPr="00C34540">
              <w:rPr>
                <w:sz w:val="24"/>
              </w:rPr>
              <w:t xml:space="preserve"> sabiedrības mērķgrupai,</w:t>
            </w:r>
            <w:r>
              <w:rPr>
                <w:sz w:val="24"/>
              </w:rPr>
              <w:t xml:space="preserve"> jo ir jāiesniedz deklarācija, kas līdz šim nebija jāiesniedz. Likumprojekts</w:t>
            </w:r>
            <w:r w:rsidRPr="00C34540">
              <w:rPr>
                <w:sz w:val="24"/>
              </w:rPr>
              <w:t xml:space="preserve"> nodrošina vienlīdzīgas tiesības un iespējas.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Administratīvās procedūras raksturojums</w:t>
            </w:r>
          </w:p>
        </w:tc>
        <w:tc>
          <w:tcPr>
            <w:tcW w:w="5811" w:type="dxa"/>
            <w:tcBorders>
              <w:top w:val="outset" w:sz="6" w:space="0" w:color="auto"/>
              <w:left w:val="outset" w:sz="6" w:space="0" w:color="auto"/>
              <w:bottom w:val="outset" w:sz="6" w:space="0" w:color="auto"/>
              <w:right w:val="outset" w:sz="6" w:space="0" w:color="auto"/>
            </w:tcBorders>
            <w:hideMark/>
          </w:tcPr>
          <w:p w:rsidR="002F231C" w:rsidRDefault="00C34540" w:rsidP="00A90E0A">
            <w:pPr>
              <w:ind w:left="126" w:right="52"/>
              <w:jc w:val="both"/>
              <w:rPr>
                <w:sz w:val="24"/>
              </w:rPr>
            </w:pPr>
            <w:r>
              <w:rPr>
                <w:sz w:val="24"/>
              </w:rPr>
              <w:t xml:space="preserve">Personai likumprojektā noteiktā termiņā ir nepieciešams </w:t>
            </w:r>
            <w:r w:rsidR="00FC0537">
              <w:rPr>
                <w:sz w:val="24"/>
              </w:rPr>
              <w:t xml:space="preserve">aizpildīt un </w:t>
            </w:r>
            <w:r>
              <w:rPr>
                <w:sz w:val="24"/>
              </w:rPr>
              <w:t xml:space="preserve">iesniegt </w:t>
            </w:r>
            <w:r w:rsidR="003500FB">
              <w:rPr>
                <w:sz w:val="24"/>
              </w:rPr>
              <w:t>VID</w:t>
            </w:r>
            <w:r w:rsidR="00FC0537">
              <w:rPr>
                <w:sz w:val="24"/>
              </w:rPr>
              <w:t xml:space="preserve"> </w:t>
            </w:r>
            <w:r>
              <w:rPr>
                <w:sz w:val="24"/>
              </w:rPr>
              <w:t>deklarāciju.</w:t>
            </w:r>
            <w:r w:rsidR="008264EB" w:rsidRPr="00A90E0A">
              <w:rPr>
                <w:sz w:val="24"/>
              </w:rPr>
              <w:t xml:space="preserve"> </w:t>
            </w:r>
            <w:r w:rsidR="00FC0537">
              <w:rPr>
                <w:sz w:val="24"/>
              </w:rPr>
              <w:t>Deklarāciju būs iespējams iesniegt rakstveidā un elektroniski.</w:t>
            </w:r>
          </w:p>
          <w:p w:rsidR="00C47D62" w:rsidRDefault="00C47D62" w:rsidP="00A90E0A">
            <w:pPr>
              <w:ind w:left="126" w:right="52"/>
              <w:jc w:val="both"/>
              <w:rPr>
                <w:sz w:val="24"/>
              </w:rPr>
            </w:pPr>
            <w:r w:rsidRPr="00526A64">
              <w:rPr>
                <w:sz w:val="24"/>
              </w:rPr>
              <w:t>Lai neradītu administratīvu apgrūtinājumu personām, kuru īpašumā nav ievērojami mantas vai finanšu līdzekļi, kā arī efektīvi izlietotu nodokļu administrācijas resursus, pienākums deklarēt mantisko stāvokli ir noteikts tikai tām personām, kuru īpašuma vērtības kopsummā pārsniedz 50 minimālās mēnešalgas.</w:t>
            </w:r>
          </w:p>
          <w:p w:rsidR="00FC0537" w:rsidRDefault="003500FB" w:rsidP="00FC0537">
            <w:pPr>
              <w:ind w:left="126" w:right="52"/>
              <w:jc w:val="both"/>
              <w:rPr>
                <w:sz w:val="24"/>
              </w:rPr>
            </w:pPr>
            <w:r>
              <w:rPr>
                <w:sz w:val="24"/>
              </w:rPr>
              <w:t>Likumprojekts paredz neiesniegt to informāciju, kas jau ir VID rīcībā un kuru VID var pieprasīt no citām iestādēm.</w:t>
            </w:r>
          </w:p>
          <w:p w:rsidR="00103682" w:rsidRDefault="003500FB" w:rsidP="00103682">
            <w:pPr>
              <w:ind w:left="126" w:right="52"/>
              <w:jc w:val="both"/>
              <w:rPr>
                <w:sz w:val="24"/>
              </w:rPr>
            </w:pPr>
            <w:r>
              <w:rPr>
                <w:sz w:val="24"/>
              </w:rPr>
              <w:t>Iesniegtā informācija tiks uzglabāta VID Nodokļu informācijas sistēmā</w:t>
            </w:r>
            <w:r w:rsidR="00F2213D">
              <w:rPr>
                <w:sz w:val="24"/>
              </w:rPr>
              <w:t>, veicot modifikācijas jau esošajās sistēmās.</w:t>
            </w:r>
          </w:p>
          <w:p w:rsidR="00103682" w:rsidRDefault="001A3AD5" w:rsidP="00103682">
            <w:pPr>
              <w:ind w:left="126" w:right="52"/>
              <w:jc w:val="both"/>
              <w:rPr>
                <w:sz w:val="24"/>
              </w:rPr>
            </w:pPr>
            <w:r>
              <w:rPr>
                <w:sz w:val="24"/>
              </w:rPr>
              <w:t>Likumprojektā ir ietverta prasība visiem deklarācijas iesniedzējiem vienlaicīgi ieskaitīt skaidras naudas uzkrājumus savos kontos, lai nodrošinātu iespēju nodokļu administrācijai pārliecināties par šādu līdzekļu esamību un novērstu iespēju vienu un to pašu skaidro naudu deklarēt vairākas reizes.</w:t>
            </w:r>
            <w:r w:rsidR="00F36871" w:rsidRPr="00F36871">
              <w:rPr>
                <w:sz w:val="24"/>
              </w:rPr>
              <w:t xml:space="preserve"> Šī norma radīs nelielu papildu </w:t>
            </w:r>
            <w:r w:rsidR="00F36871" w:rsidRPr="00F36871">
              <w:rPr>
                <w:sz w:val="24"/>
              </w:rPr>
              <w:lastRenderedPageBreak/>
              <w:t>administratīvo slogu, taču ir samērīga ar paredzēto ieguvumu – skaidras naudas kontroles iespēju.</w:t>
            </w:r>
          </w:p>
          <w:p w:rsidR="00103682" w:rsidRDefault="001A3AD5">
            <w:pPr>
              <w:ind w:left="126" w:right="52"/>
              <w:jc w:val="both"/>
              <w:rPr>
                <w:sz w:val="24"/>
              </w:rPr>
            </w:pPr>
            <w:r>
              <w:rPr>
                <w:sz w:val="24"/>
              </w:rPr>
              <w:t xml:space="preserve">Sadarbībā ar </w:t>
            </w:r>
            <w:r w:rsidR="00503138">
              <w:rPr>
                <w:sz w:val="24"/>
              </w:rPr>
              <w:t xml:space="preserve">Tieslietu ministriju un </w:t>
            </w:r>
            <w:r>
              <w:rPr>
                <w:sz w:val="24"/>
              </w:rPr>
              <w:t>KNAB esam izvērtējuši iespēju</w:t>
            </w:r>
            <w:r w:rsidR="00526952">
              <w:rPr>
                <w:sz w:val="24"/>
              </w:rPr>
              <w:t xml:space="preserve"> optimizēt valsts resursu izlietojumu un </w:t>
            </w:r>
            <w:r>
              <w:rPr>
                <w:sz w:val="24"/>
              </w:rPr>
              <w:t xml:space="preserve">nepieprasīt </w:t>
            </w:r>
            <w:r w:rsidR="00526952">
              <w:rPr>
                <w:sz w:val="24"/>
              </w:rPr>
              <w:t xml:space="preserve">deklarāciju iesniegt </w:t>
            </w:r>
            <w:r>
              <w:rPr>
                <w:sz w:val="24"/>
              </w:rPr>
              <w:t>personām</w:t>
            </w:r>
            <w:r w:rsidR="00526952">
              <w:rPr>
                <w:sz w:val="24"/>
              </w:rPr>
              <w:t>, kas sa</w:t>
            </w:r>
            <w:r w:rsidR="00526952" w:rsidRPr="00F87F33">
              <w:rPr>
                <w:sz w:val="24"/>
              </w:rPr>
              <w:t>skaņā ar likumu „Par interešu konflikta novēršanu valsts amatpersonu darbībā”</w:t>
            </w:r>
            <w:r w:rsidR="00526952">
              <w:rPr>
                <w:sz w:val="24"/>
              </w:rPr>
              <w:t xml:space="preserve"> nav Latvijas Republikas valsts amatpersona, kas iesniedz deklarāciju 23.panta noteiktajā kārtībā</w:t>
            </w:r>
            <w:r w:rsidR="00F87F33">
              <w:rPr>
                <w:sz w:val="24"/>
              </w:rPr>
              <w:t xml:space="preserve">. </w:t>
            </w:r>
            <w:r w:rsidR="00503138">
              <w:rPr>
                <w:sz w:val="24"/>
              </w:rPr>
              <w:t xml:space="preserve">Lai </w:t>
            </w:r>
            <w:r w:rsidR="0023571B">
              <w:rPr>
                <w:sz w:val="24"/>
              </w:rPr>
              <w:t>novērstu</w:t>
            </w:r>
            <w:r w:rsidR="00503138">
              <w:rPr>
                <w:sz w:val="24"/>
              </w:rPr>
              <w:t xml:space="preserve"> </w:t>
            </w:r>
            <w:r w:rsidR="00526952" w:rsidRPr="00F87F33">
              <w:rPr>
                <w:sz w:val="24"/>
              </w:rPr>
              <w:t>atšķirības pr</w:t>
            </w:r>
            <w:r w:rsidR="00526952">
              <w:rPr>
                <w:sz w:val="24"/>
              </w:rPr>
              <w:t xml:space="preserve">asībās, </w:t>
            </w:r>
            <w:r w:rsidR="00526952" w:rsidRPr="00F87F33">
              <w:rPr>
                <w:sz w:val="24"/>
              </w:rPr>
              <w:t xml:space="preserve">piemēram, </w:t>
            </w:r>
            <w:r w:rsidR="0023571B">
              <w:rPr>
                <w:sz w:val="24"/>
              </w:rPr>
              <w:t>ieskaitīt skaidras naudas uzkrājumus</w:t>
            </w:r>
            <w:r w:rsidR="00526952" w:rsidRPr="00F87F33">
              <w:rPr>
                <w:sz w:val="24"/>
              </w:rPr>
              <w:t xml:space="preserve"> kontā, esam </w:t>
            </w:r>
            <w:r w:rsidR="00503138">
              <w:rPr>
                <w:sz w:val="24"/>
              </w:rPr>
              <w:t>paredzējuši pienākumu valsts amatpersonām, kas iesniegs deklarāciju 2012.gadā likuma</w:t>
            </w:r>
            <w:r w:rsidR="00503138" w:rsidRPr="00F87F33">
              <w:rPr>
                <w:sz w:val="24"/>
              </w:rPr>
              <w:t xml:space="preserve"> „Par interešu konflikta novēršanu valsts amatpersonu darbībā”</w:t>
            </w:r>
            <w:r w:rsidR="00503138">
              <w:rPr>
                <w:sz w:val="24"/>
              </w:rPr>
              <w:t xml:space="preserve"> 23.panta kārtībā</w:t>
            </w:r>
            <w:r w:rsidR="0023571B">
              <w:rPr>
                <w:sz w:val="24"/>
              </w:rPr>
              <w:t>,</w:t>
            </w:r>
            <w:r w:rsidR="00503138">
              <w:rPr>
                <w:sz w:val="24"/>
              </w:rPr>
              <w:t xml:space="preserve"> </w:t>
            </w:r>
            <w:r w:rsidR="0023571B" w:rsidRPr="0023571B">
              <w:rPr>
                <w:sz w:val="24"/>
              </w:rPr>
              <w:t xml:space="preserve"> </w:t>
            </w:r>
            <w:r w:rsidR="0023571B">
              <w:rPr>
                <w:sz w:val="24"/>
              </w:rPr>
              <w:t>piemērot šī likuma 7.pantā noteikto</w:t>
            </w:r>
            <w:r w:rsidR="0023571B" w:rsidRPr="0023571B">
              <w:rPr>
                <w:sz w:val="24"/>
              </w:rPr>
              <w:t xml:space="preserve"> nauda</w:t>
            </w:r>
            <w:r w:rsidR="0023571B">
              <w:rPr>
                <w:sz w:val="24"/>
              </w:rPr>
              <w:t>s uzkrājumu deklarēšanas kārtību</w:t>
            </w:r>
            <w:r w:rsidR="00526952" w:rsidRPr="00F87F33">
              <w:rPr>
                <w:sz w:val="24"/>
              </w:rPr>
              <w:t>.</w:t>
            </w:r>
          </w:p>
          <w:p w:rsidR="002D0B60" w:rsidRDefault="002D0B60" w:rsidP="002D0B60">
            <w:pPr>
              <w:ind w:left="126" w:right="52"/>
              <w:jc w:val="both"/>
              <w:rPr>
                <w:sz w:val="24"/>
              </w:rPr>
            </w:pPr>
            <w:r w:rsidRPr="002D0B60">
              <w:rPr>
                <w:sz w:val="24"/>
              </w:rPr>
              <w:t>Fizisko personu mantiskā stāvokļa deklarēšanas rezultātā iegūtā informācija tiks izmantota kontroles vajadzībām, nodokļu, korupcijas un naudas atmazgāšanas novēršanas vajadzībām</w:t>
            </w:r>
            <w:r>
              <w:rPr>
                <w:sz w:val="24"/>
              </w:rPr>
              <w:t xml:space="preserve">, kā arī </w:t>
            </w:r>
            <w:r w:rsidRPr="002D0B60">
              <w:rPr>
                <w:sz w:val="24"/>
              </w:rPr>
              <w:t>būs pieejama citām kontroles institūcijām vispārējā datu aprites kārtībā, ņemot vērā personas datu aizsardzības labās prakses prasības.</w:t>
            </w:r>
          </w:p>
          <w:p w:rsidR="00816AA3" w:rsidRPr="00A90E0A" w:rsidRDefault="00816AA3" w:rsidP="002D0B60">
            <w:pPr>
              <w:ind w:left="126" w:right="52"/>
              <w:jc w:val="both"/>
              <w:rPr>
                <w:sz w:val="24"/>
              </w:rPr>
            </w:pPr>
            <w:r>
              <w:rPr>
                <w:sz w:val="24"/>
              </w:rPr>
              <w:t>Nodokļu uzskaites sistēmas pielāgošanai būs nepieciešams papildus finansējums 75 000 Ls.</w:t>
            </w:r>
          </w:p>
        </w:tc>
      </w:tr>
      <w:tr w:rsidR="005A039A" w:rsidRPr="005A039A" w:rsidTr="000B159B">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6.</w:t>
            </w:r>
          </w:p>
        </w:tc>
        <w:tc>
          <w:tcPr>
            <w:tcW w:w="2875" w:type="dxa"/>
            <w:gridSpan w:val="2"/>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Administratīvo izmaksu monetārs novērtējums</w:t>
            </w:r>
          </w:p>
        </w:tc>
        <w:tc>
          <w:tcPr>
            <w:tcW w:w="5811" w:type="dxa"/>
            <w:tcBorders>
              <w:top w:val="outset" w:sz="6" w:space="0" w:color="auto"/>
              <w:left w:val="outset" w:sz="6" w:space="0" w:color="auto"/>
              <w:bottom w:val="outset" w:sz="6" w:space="0" w:color="auto"/>
              <w:right w:val="outset" w:sz="6" w:space="0" w:color="auto"/>
            </w:tcBorders>
            <w:hideMark/>
          </w:tcPr>
          <w:p w:rsidR="00912059" w:rsidRPr="00A90E0A" w:rsidRDefault="00A37CFD" w:rsidP="00A90E0A">
            <w:pPr>
              <w:ind w:left="126" w:right="52"/>
              <w:jc w:val="both"/>
              <w:rPr>
                <w:sz w:val="24"/>
              </w:rPr>
            </w:pPr>
            <w:r>
              <w:rPr>
                <w:sz w:val="24"/>
              </w:rPr>
              <w:t>Attiecībā uz šādu administratīvo procedūru izmaksu monetārais novērtējums iepriekš nav veikts.</w:t>
            </w:r>
          </w:p>
          <w:p w:rsidR="00912059" w:rsidRPr="00A90E0A" w:rsidRDefault="00912059" w:rsidP="00A90E0A">
            <w:pPr>
              <w:ind w:left="126" w:right="52"/>
              <w:jc w:val="both"/>
              <w:rPr>
                <w:sz w:val="24"/>
              </w:rPr>
            </w:pPr>
          </w:p>
        </w:tc>
      </w:tr>
      <w:tr w:rsidR="005A039A" w:rsidRPr="005A039A" w:rsidTr="00797FA6">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875" w:type="dxa"/>
            <w:gridSpan w:val="2"/>
            <w:tcBorders>
              <w:top w:val="outset" w:sz="6" w:space="0" w:color="auto"/>
              <w:left w:val="outset" w:sz="6" w:space="0" w:color="auto"/>
              <w:bottom w:val="outset" w:sz="6" w:space="0" w:color="auto"/>
              <w:right w:val="outset" w:sz="6" w:space="0" w:color="auto"/>
            </w:tcBorders>
            <w:hideMark/>
          </w:tcPr>
          <w:p w:rsidR="00912059" w:rsidRPr="005A039A" w:rsidRDefault="005A039A" w:rsidP="00CD537F">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5811" w:type="dxa"/>
            <w:tcBorders>
              <w:top w:val="outset" w:sz="6" w:space="0" w:color="auto"/>
              <w:left w:val="outset" w:sz="6" w:space="0" w:color="auto"/>
              <w:bottom w:val="outset" w:sz="6" w:space="0" w:color="auto"/>
              <w:right w:val="outset" w:sz="6" w:space="0" w:color="auto"/>
            </w:tcBorders>
            <w:hideMark/>
          </w:tcPr>
          <w:p w:rsidR="00CA4DC4" w:rsidRPr="00A90E0A" w:rsidRDefault="00004CCF" w:rsidP="00A90E0A">
            <w:pPr>
              <w:ind w:left="126" w:right="52"/>
              <w:jc w:val="both"/>
              <w:rPr>
                <w:sz w:val="24"/>
              </w:rPr>
            </w:pPr>
            <w:r w:rsidRPr="00A90E0A">
              <w:rPr>
                <w:sz w:val="24"/>
              </w:rPr>
              <w:t>Nav</w:t>
            </w:r>
          </w:p>
        </w:tc>
      </w:tr>
    </w:tbl>
    <w:tbl>
      <w:tblPr>
        <w:tblpPr w:leftFromText="180" w:rightFromText="180" w:vertAnchor="text" w:horzAnchor="margin" w:tblpX="-127" w:tblpY="371"/>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1234"/>
        <w:gridCol w:w="1291"/>
        <w:gridCol w:w="1277"/>
        <w:gridCol w:w="1277"/>
        <w:gridCol w:w="964"/>
      </w:tblGrid>
      <w:tr w:rsidR="005A039A" w:rsidRPr="005A039A" w:rsidTr="00583EB9">
        <w:trPr>
          <w:trHeight w:val="50"/>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912059" w:rsidRDefault="005A039A" w:rsidP="00912059">
            <w:pPr>
              <w:jc w:val="center"/>
              <w:rPr>
                <w:rFonts w:eastAsia="Times New Roman" w:cs="Times New Roman"/>
                <w:b/>
                <w:sz w:val="24"/>
                <w:szCs w:val="24"/>
                <w:lang w:eastAsia="lv-LV"/>
              </w:rPr>
            </w:pPr>
            <w:r w:rsidRPr="00B53E21">
              <w:rPr>
                <w:rFonts w:eastAsia="Times New Roman" w:cs="Times New Roman"/>
                <w:b/>
                <w:sz w:val="24"/>
                <w:szCs w:val="24"/>
                <w:lang w:eastAsia="lv-LV"/>
              </w:rPr>
              <w:t>III.</w:t>
            </w:r>
            <w:r w:rsidRPr="001119FE">
              <w:rPr>
                <w:rFonts w:eastAsia="Times New Roman" w:cs="Times New Roman"/>
                <w:b/>
                <w:sz w:val="24"/>
                <w:szCs w:val="24"/>
                <w:lang w:eastAsia="lv-LV"/>
              </w:rPr>
              <w:t xml:space="preserve"> Tiesību akta projekta ietekme uz valsts budžetu un pašvaldību budžetie</w:t>
            </w:r>
            <w:r w:rsidR="00B17C59">
              <w:rPr>
                <w:rFonts w:eastAsia="Times New Roman" w:cs="Times New Roman"/>
                <w:b/>
                <w:sz w:val="24"/>
                <w:szCs w:val="24"/>
                <w:lang w:eastAsia="lv-LV"/>
              </w:rPr>
              <w:t>m</w:t>
            </w:r>
          </w:p>
          <w:p w:rsidR="00CD537F" w:rsidRPr="00912059" w:rsidRDefault="00CD537F" w:rsidP="00912059">
            <w:pPr>
              <w:jc w:val="center"/>
              <w:rPr>
                <w:rFonts w:eastAsia="Times New Roman" w:cs="Times New Roman"/>
                <w:b/>
                <w:sz w:val="24"/>
                <w:szCs w:val="24"/>
                <w:lang w:eastAsia="lv-LV"/>
              </w:rPr>
            </w:pPr>
          </w:p>
        </w:tc>
      </w:tr>
      <w:tr w:rsidR="005A039A" w:rsidRPr="005A039A" w:rsidTr="00583EB9">
        <w:trPr>
          <w:tblCellSpacing w:w="0" w:type="dxa"/>
        </w:trPr>
        <w:tc>
          <w:tcPr>
            <w:tcW w:w="3085" w:type="dxa"/>
            <w:vMerge w:val="restart"/>
            <w:tcBorders>
              <w:top w:val="outset" w:sz="6" w:space="0" w:color="auto"/>
              <w:left w:val="outset" w:sz="6" w:space="0" w:color="auto"/>
              <w:bottom w:val="outset" w:sz="6" w:space="0" w:color="auto"/>
              <w:right w:val="outset" w:sz="6" w:space="0" w:color="auto"/>
            </w:tcBorders>
            <w:vAlign w:val="center"/>
            <w:hideMark/>
          </w:tcPr>
          <w:p w:rsidR="005A039A" w:rsidRDefault="005A039A" w:rsidP="005F0EFE">
            <w:pPr>
              <w:jc w:val="center"/>
              <w:rPr>
                <w:rFonts w:eastAsia="Times New Roman" w:cs="Times New Roman"/>
                <w:b/>
                <w:bCs/>
                <w:sz w:val="24"/>
                <w:szCs w:val="24"/>
                <w:lang w:eastAsia="lv-LV"/>
              </w:rPr>
            </w:pPr>
            <w:r w:rsidRPr="005A039A">
              <w:rPr>
                <w:rFonts w:eastAsia="Times New Roman" w:cs="Times New Roman"/>
                <w:b/>
                <w:bCs/>
                <w:sz w:val="24"/>
                <w:szCs w:val="24"/>
                <w:lang w:eastAsia="lv-LV"/>
              </w:rPr>
              <w:t>Rādītāji</w:t>
            </w:r>
          </w:p>
          <w:p w:rsidR="00CD537F" w:rsidRDefault="00CD537F" w:rsidP="005F0EFE">
            <w:pPr>
              <w:jc w:val="center"/>
              <w:rPr>
                <w:rFonts w:eastAsia="Times New Roman" w:cs="Times New Roman"/>
                <w:b/>
                <w:bCs/>
                <w:sz w:val="24"/>
                <w:szCs w:val="24"/>
                <w:lang w:eastAsia="lv-LV"/>
              </w:rPr>
            </w:pPr>
          </w:p>
          <w:p w:rsidR="00CD537F" w:rsidRPr="005A039A" w:rsidRDefault="00CD537F" w:rsidP="005F0EFE">
            <w:pPr>
              <w:jc w:val="center"/>
              <w:rPr>
                <w:rFonts w:eastAsia="Times New Roman" w:cs="Times New Roman"/>
                <w:sz w:val="24"/>
                <w:szCs w:val="24"/>
                <w:lang w:eastAsia="lv-LV"/>
              </w:rPr>
            </w:pPr>
          </w:p>
        </w:tc>
        <w:tc>
          <w:tcPr>
            <w:tcW w:w="254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b/>
                <w:bCs/>
                <w:sz w:val="24"/>
                <w:szCs w:val="24"/>
                <w:lang w:eastAsia="lv-LV"/>
              </w:rPr>
              <w:t>2011</w:t>
            </w:r>
          </w:p>
        </w:tc>
        <w:tc>
          <w:tcPr>
            <w:tcW w:w="3460" w:type="dxa"/>
            <w:gridSpan w:val="3"/>
            <w:tcBorders>
              <w:top w:val="outset" w:sz="6" w:space="0" w:color="auto"/>
              <w:left w:val="outset" w:sz="6" w:space="0" w:color="auto"/>
              <w:bottom w:val="outset" w:sz="6" w:space="0" w:color="auto"/>
              <w:right w:val="outset" w:sz="6" w:space="0" w:color="auto"/>
            </w:tcBorders>
            <w:vAlign w:val="center"/>
            <w:hideMark/>
          </w:tcPr>
          <w:p w:rsid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Turpmākie trīs gadi (tūkst. latu)</w:t>
            </w:r>
          </w:p>
          <w:p w:rsidR="00CD537F" w:rsidRPr="005A039A" w:rsidRDefault="00CD537F" w:rsidP="005F0EFE">
            <w:pPr>
              <w:jc w:val="center"/>
              <w:rPr>
                <w:rFonts w:eastAsia="Times New Roman" w:cs="Times New Roman"/>
                <w:sz w:val="24"/>
                <w:szCs w:val="24"/>
                <w:lang w:eastAsia="lv-LV"/>
              </w:rPr>
            </w:pPr>
          </w:p>
        </w:tc>
      </w:tr>
      <w:tr w:rsidR="005A039A" w:rsidRPr="005A039A" w:rsidTr="00583EB9">
        <w:trPr>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rPr>
                <w:rFonts w:eastAsia="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rPr>
                <w:rFonts w:eastAsia="Times New Roman" w:cs="Times New Roman"/>
                <w:sz w:val="24"/>
                <w:szCs w:val="24"/>
                <w:lang w:eastAsia="lv-LV"/>
              </w:rPr>
            </w:pP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2012</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2013</w:t>
            </w:r>
          </w:p>
        </w:tc>
        <w:tc>
          <w:tcPr>
            <w:tcW w:w="890"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2014</w:t>
            </w:r>
          </w:p>
        </w:tc>
      </w:tr>
      <w:tr w:rsidR="005A039A" w:rsidRPr="005A039A" w:rsidTr="00583EB9">
        <w:trPr>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rPr>
                <w:rFonts w:eastAsia="Times New Roman" w:cs="Times New Roman"/>
                <w:sz w:val="24"/>
                <w:szCs w:val="24"/>
                <w:lang w:eastAsia="lv-LV"/>
              </w:rPr>
            </w:pPr>
          </w:p>
        </w:tc>
        <w:tc>
          <w:tcPr>
            <w:tcW w:w="1244"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Saskaņā ar valsts budžetu kārtējam gadam</w:t>
            </w:r>
          </w:p>
        </w:tc>
        <w:tc>
          <w:tcPr>
            <w:tcW w:w="1298"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ind w:right="68"/>
              <w:jc w:val="center"/>
              <w:rPr>
                <w:rFonts w:eastAsia="Times New Roman" w:cs="Times New Roman"/>
                <w:sz w:val="24"/>
                <w:szCs w:val="24"/>
                <w:lang w:eastAsia="lv-LV"/>
              </w:rPr>
            </w:pPr>
            <w:r w:rsidRPr="005A039A">
              <w:rPr>
                <w:rFonts w:eastAsia="Times New Roman" w:cs="Times New Roman"/>
                <w:sz w:val="24"/>
                <w:szCs w:val="24"/>
                <w:lang w:eastAsia="lv-LV"/>
              </w:rPr>
              <w:t>Izmaiņas kārtējā gadā, salīdzinot ar budžetu kārtējam gadam</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4B501F" w:rsidRDefault="004B501F" w:rsidP="005F0EFE">
            <w:pPr>
              <w:ind w:left="43" w:hanging="43"/>
              <w:jc w:val="center"/>
              <w:rPr>
                <w:rFonts w:eastAsia="Times New Roman" w:cs="Times New Roman"/>
                <w:sz w:val="24"/>
                <w:szCs w:val="24"/>
                <w:lang w:eastAsia="lv-LV"/>
              </w:rPr>
            </w:pPr>
            <w:r w:rsidRPr="004B501F">
              <w:rPr>
                <w:color w:val="000000"/>
                <w:sz w:val="24"/>
                <w:szCs w:val="24"/>
              </w:rPr>
              <w:t>Izmaiņas, salīdzinot ar kārtējo (n) gadu</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Izmaiņas, salīdzinot ar kārtējo (n) gadu</w:t>
            </w:r>
          </w:p>
        </w:tc>
        <w:tc>
          <w:tcPr>
            <w:tcW w:w="890"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Izmaiņas, salīdzinot ar kārtējo (n) gadu</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1</w:t>
            </w:r>
          </w:p>
        </w:tc>
        <w:tc>
          <w:tcPr>
            <w:tcW w:w="1244"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2</w:t>
            </w:r>
          </w:p>
        </w:tc>
        <w:tc>
          <w:tcPr>
            <w:tcW w:w="1298"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3</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4</w:t>
            </w:r>
          </w:p>
        </w:tc>
        <w:tc>
          <w:tcPr>
            <w:tcW w:w="1285"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5</w:t>
            </w:r>
          </w:p>
        </w:tc>
        <w:tc>
          <w:tcPr>
            <w:tcW w:w="890" w:type="dxa"/>
            <w:tcBorders>
              <w:top w:val="outset" w:sz="6" w:space="0" w:color="auto"/>
              <w:left w:val="outset" w:sz="6" w:space="0" w:color="auto"/>
              <w:bottom w:val="outset" w:sz="6" w:space="0" w:color="auto"/>
              <w:right w:val="outset" w:sz="6" w:space="0" w:color="auto"/>
            </w:tcBorders>
            <w:vAlign w:val="center"/>
            <w:hideMark/>
          </w:tcPr>
          <w:p w:rsidR="005A039A" w:rsidRPr="005A039A" w:rsidRDefault="005A039A" w:rsidP="005F0EFE">
            <w:pPr>
              <w:jc w:val="center"/>
              <w:rPr>
                <w:rFonts w:eastAsia="Times New Roman" w:cs="Times New Roman"/>
                <w:sz w:val="24"/>
                <w:szCs w:val="24"/>
                <w:lang w:eastAsia="lv-LV"/>
              </w:rPr>
            </w:pPr>
            <w:r w:rsidRPr="005A039A">
              <w:rPr>
                <w:rFonts w:eastAsia="Times New Roman" w:cs="Times New Roman"/>
                <w:sz w:val="24"/>
                <w:szCs w:val="24"/>
                <w:lang w:eastAsia="lv-LV"/>
              </w:rPr>
              <w:t>6</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 Budžeta ieņēmumi:</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1.1. valsts pamatbudžets, tai sk</w:t>
            </w:r>
            <w:r w:rsidR="007B4202">
              <w:rPr>
                <w:rFonts w:eastAsia="Times New Roman" w:cs="Times New Roman"/>
                <w:sz w:val="24"/>
                <w:szCs w:val="24"/>
                <w:lang w:eastAsia="lv-LV"/>
              </w:rPr>
              <w:t>aitā ieņēmumi no maksas pakalpo</w:t>
            </w:r>
            <w:r w:rsidRPr="005A039A">
              <w:rPr>
                <w:rFonts w:eastAsia="Times New Roman" w:cs="Times New Roman"/>
                <w:sz w:val="24"/>
                <w:szCs w:val="24"/>
                <w:lang w:eastAsia="lv-LV"/>
              </w:rPr>
              <w:t>jumiem un citi pašu ieņēmumi</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A90E0A" w:rsidP="00A90E0A">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1.2. valsts speciālais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1.3. pašvaldību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E949EC"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 Budžeta izdevumi:</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2.1. valsts pamatbudžets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FB0C1E"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2.2. valsts speciālais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5A039A"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2.3. pašvaldību budžets</w:t>
            </w:r>
          </w:p>
        </w:tc>
        <w:tc>
          <w:tcPr>
            <w:tcW w:w="1244" w:type="dxa"/>
            <w:tcBorders>
              <w:top w:val="outset" w:sz="6" w:space="0" w:color="auto"/>
              <w:left w:val="outset" w:sz="6" w:space="0" w:color="auto"/>
              <w:bottom w:val="outset" w:sz="6" w:space="0" w:color="auto"/>
              <w:right w:val="outset" w:sz="6" w:space="0" w:color="auto"/>
            </w:tcBorders>
            <w:hideMark/>
          </w:tcPr>
          <w:p w:rsidR="005A039A" w:rsidRPr="00A90E0A" w:rsidRDefault="00B6673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5A039A"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147DB1"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5A039A" w:rsidRPr="00A90E0A" w:rsidRDefault="00057293"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 Finansiālā ietekme:</w:t>
            </w:r>
          </w:p>
        </w:tc>
        <w:tc>
          <w:tcPr>
            <w:tcW w:w="1244" w:type="dxa"/>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FB0C1E" w:rsidP="00A90E0A">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r w:rsidR="009A6886" w:rsidRPr="00A90E0A">
              <w:rPr>
                <w:rFonts w:eastAsia="Times New Roman" w:cs="Times New Roman"/>
                <w:sz w:val="24"/>
                <w:szCs w:val="24"/>
                <w:lang w:eastAsia="lv-LV"/>
              </w:rPr>
              <w:t xml:space="preserve"> </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r w:rsidR="009A6886" w:rsidRPr="00A90E0A">
              <w:rPr>
                <w:rFonts w:eastAsia="Times New Roman" w:cs="Times New Roman"/>
                <w:sz w:val="24"/>
                <w:szCs w:val="24"/>
                <w:lang w:eastAsia="lv-LV"/>
              </w:rPr>
              <w:t xml:space="preserve"> </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3.1. valsts pamatbudžets</w:t>
            </w:r>
          </w:p>
        </w:tc>
        <w:tc>
          <w:tcPr>
            <w:tcW w:w="1244"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FB0C1E" w:rsidP="00E568D2">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3.2. speciālais budžets</w:t>
            </w:r>
          </w:p>
        </w:tc>
        <w:tc>
          <w:tcPr>
            <w:tcW w:w="1244"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3.3. pašvaldību budžets</w:t>
            </w:r>
          </w:p>
        </w:tc>
        <w:tc>
          <w:tcPr>
            <w:tcW w:w="1244"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vMerge w:val="restart"/>
            <w:tcBorders>
              <w:top w:val="outset" w:sz="6" w:space="0" w:color="auto"/>
              <w:left w:val="outset" w:sz="6" w:space="0" w:color="auto"/>
              <w:bottom w:val="outset" w:sz="6" w:space="0" w:color="auto"/>
              <w:right w:val="outset" w:sz="6" w:space="0" w:color="auto"/>
            </w:tcBorders>
            <w:hideMark/>
          </w:tcPr>
          <w:p w:rsidR="009A6886" w:rsidRPr="005A039A" w:rsidRDefault="009A6886" w:rsidP="00EE6D56">
            <w:pPr>
              <w:rPr>
                <w:rFonts w:eastAsia="Times New Roman" w:cs="Times New Roman"/>
                <w:sz w:val="24"/>
                <w:szCs w:val="24"/>
                <w:lang w:eastAsia="lv-LV"/>
              </w:rPr>
            </w:pPr>
            <w:r w:rsidRPr="005A039A">
              <w:rPr>
                <w:rFonts w:eastAsia="Times New Roman" w:cs="Times New Roman"/>
                <w:sz w:val="24"/>
                <w:szCs w:val="24"/>
                <w:lang w:eastAsia="lv-LV"/>
              </w:rPr>
              <w:t> </w:t>
            </w:r>
            <w:r w:rsidRPr="00912059">
              <w:rPr>
                <w:rFonts w:eastAsia="Times New Roman" w:cs="Times New Roman"/>
                <w:sz w:val="22"/>
                <w:lang w:eastAsia="lv-LV"/>
              </w:rPr>
              <w:t>4. Finanšu līdzekļi papildu izde</w:t>
            </w:r>
            <w:r w:rsidRPr="00912059">
              <w:rPr>
                <w:rFonts w:eastAsia="Times New Roman" w:cs="Times New Roman"/>
                <w:sz w:val="22"/>
                <w:lang w:eastAsia="lv-LV"/>
              </w:rPr>
              <w:softHyphen/>
              <w:t>vumu finansēšanai (kompensējošu izdevumu s</w:t>
            </w:r>
            <w:r w:rsidR="00EE6D56">
              <w:rPr>
                <w:rFonts w:eastAsia="Times New Roman" w:cs="Times New Roman"/>
                <w:sz w:val="22"/>
                <w:lang w:eastAsia="lv-LV"/>
              </w:rPr>
              <w:t>amazinājumu norāda ar "+" zīmi)</w:t>
            </w:r>
          </w:p>
        </w:tc>
        <w:tc>
          <w:tcPr>
            <w:tcW w:w="1244" w:type="dxa"/>
            <w:vMerge w:val="restart"/>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X</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r>
      <w:tr w:rsidR="009A6886" w:rsidRPr="005A039A" w:rsidTr="00EE6D56">
        <w:trPr>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9A6886" w:rsidRPr="005A039A" w:rsidRDefault="009A6886" w:rsidP="005F0EFE">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r>
      <w:tr w:rsidR="009A6886" w:rsidRPr="005A039A" w:rsidTr="00EE6D56">
        <w:trPr>
          <w:trHeight w:val="701"/>
          <w:tblCellSpacing w:w="0" w:type="dxa"/>
        </w:trPr>
        <w:tc>
          <w:tcPr>
            <w:tcW w:w="3085" w:type="dxa"/>
            <w:vMerge/>
            <w:tcBorders>
              <w:top w:val="outset" w:sz="6" w:space="0" w:color="auto"/>
              <w:left w:val="outset" w:sz="6" w:space="0" w:color="auto"/>
              <w:bottom w:val="outset" w:sz="6" w:space="0" w:color="auto"/>
              <w:right w:val="outset" w:sz="6" w:space="0" w:color="auto"/>
            </w:tcBorders>
            <w:vAlign w:val="center"/>
            <w:hideMark/>
          </w:tcPr>
          <w:p w:rsidR="009A6886" w:rsidRPr="005A039A" w:rsidRDefault="009A6886" w:rsidP="005F0EFE">
            <w:pPr>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 Precizēta finansiālā ietekme:</w:t>
            </w:r>
          </w:p>
        </w:tc>
        <w:tc>
          <w:tcPr>
            <w:tcW w:w="1244" w:type="dxa"/>
            <w:vMerge w:val="restart"/>
            <w:tcBorders>
              <w:top w:val="outset" w:sz="6" w:space="0" w:color="auto"/>
              <w:left w:val="outset" w:sz="6" w:space="0" w:color="auto"/>
              <w:bottom w:val="outset" w:sz="6" w:space="0" w:color="auto"/>
              <w:right w:val="outset" w:sz="6" w:space="0" w:color="auto"/>
            </w:tcBorders>
            <w:hideMark/>
          </w:tcPr>
          <w:p w:rsidR="009A6886" w:rsidRPr="00A90E0A" w:rsidRDefault="009A6886" w:rsidP="005F0EFE">
            <w:pPr>
              <w:jc w:val="center"/>
              <w:rPr>
                <w:rFonts w:eastAsia="Times New Roman" w:cs="Times New Roman"/>
                <w:sz w:val="24"/>
                <w:szCs w:val="24"/>
                <w:lang w:eastAsia="lv-LV"/>
              </w:rPr>
            </w:pPr>
            <w:r w:rsidRPr="00A90E0A">
              <w:rPr>
                <w:rFonts w:eastAsia="Times New Roman" w:cs="Times New Roman"/>
                <w:sz w:val="24"/>
                <w:szCs w:val="24"/>
                <w:lang w:eastAsia="lv-LV"/>
              </w:rPr>
              <w:t>X</w:t>
            </w: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FB0C1E" w:rsidP="00E568D2">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EE6D56">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8264EB"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jc w:val="center"/>
              <w:rPr>
                <w:rFonts w:eastAsia="Times New Roman" w:cs="Times New Roman"/>
                <w:sz w:val="24"/>
                <w:szCs w:val="24"/>
                <w:lang w:eastAsia="lv-LV"/>
              </w:rPr>
            </w:pPr>
          </w:p>
        </w:tc>
        <w:tc>
          <w:tcPr>
            <w:tcW w:w="1298" w:type="dxa"/>
            <w:tcBorders>
              <w:top w:val="outset" w:sz="6" w:space="0" w:color="auto"/>
              <w:left w:val="outset" w:sz="6" w:space="0" w:color="auto"/>
              <w:bottom w:val="outset" w:sz="6" w:space="0" w:color="auto"/>
              <w:right w:val="outset" w:sz="6" w:space="0" w:color="auto"/>
            </w:tcBorders>
            <w:hideMark/>
          </w:tcPr>
          <w:p w:rsidR="009A6886" w:rsidRPr="00A90E0A" w:rsidRDefault="00EE6D56" w:rsidP="005F0EFE">
            <w:pPr>
              <w:jc w:val="center"/>
              <w:rPr>
                <w:rFonts w:eastAsia="Times New Roman" w:cs="Times New Roman"/>
                <w:sz w:val="24"/>
                <w:szCs w:val="24"/>
                <w:lang w:eastAsia="lv-LV"/>
              </w:rPr>
            </w:pPr>
            <w:r>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1285"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c>
          <w:tcPr>
            <w:tcW w:w="890" w:type="dxa"/>
            <w:tcBorders>
              <w:top w:val="outset" w:sz="6" w:space="0" w:color="auto"/>
              <w:left w:val="outset" w:sz="6" w:space="0" w:color="auto"/>
              <w:bottom w:val="outset" w:sz="6" w:space="0" w:color="auto"/>
              <w:right w:val="outset" w:sz="6" w:space="0" w:color="auto"/>
            </w:tcBorders>
            <w:hideMark/>
          </w:tcPr>
          <w:p w:rsidR="009A6886" w:rsidRPr="00A90E0A" w:rsidRDefault="006766C6" w:rsidP="005F0EFE">
            <w:pPr>
              <w:jc w:val="center"/>
              <w:rPr>
                <w:rFonts w:eastAsia="Times New Roman" w:cs="Times New Roman"/>
                <w:sz w:val="24"/>
                <w:szCs w:val="24"/>
                <w:lang w:eastAsia="lv-LV"/>
              </w:rPr>
            </w:pPr>
            <w:r w:rsidRPr="00A90E0A">
              <w:rPr>
                <w:rFonts w:eastAsia="Times New Roman" w:cs="Times New Roman"/>
                <w:sz w:val="24"/>
                <w:szCs w:val="24"/>
                <w:lang w:eastAsia="lv-LV"/>
              </w:rPr>
              <w:t>0</w:t>
            </w:r>
          </w:p>
        </w:tc>
      </w:tr>
      <w:tr w:rsidR="009A6886" w:rsidRPr="005A039A" w:rsidTr="00583EB9">
        <w:trPr>
          <w:trHeight w:val="1319"/>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912059" w:rsidRDefault="009A6886" w:rsidP="009368B9">
            <w:pPr>
              <w:rPr>
                <w:rFonts w:eastAsia="Times New Roman" w:cs="Times New Roman"/>
                <w:sz w:val="22"/>
                <w:lang w:eastAsia="lv-LV"/>
              </w:rPr>
            </w:pPr>
            <w:r w:rsidRPr="005A039A">
              <w:rPr>
                <w:rFonts w:eastAsia="Times New Roman" w:cs="Times New Roman"/>
                <w:sz w:val="24"/>
                <w:szCs w:val="24"/>
                <w:lang w:eastAsia="lv-LV"/>
              </w:rPr>
              <w:t> </w:t>
            </w:r>
            <w:r w:rsidRPr="00912059">
              <w:rPr>
                <w:rFonts w:eastAsia="Times New Roman" w:cs="Times New Roman"/>
                <w:sz w:val="22"/>
                <w:lang w:eastAsia="lv-LV"/>
              </w:rPr>
              <w:t>6. Detalizēts ieņēmumu un izdevumu aprēķins (ja nepieciešams, detalizētu ieņēmumu un izdevumu aprēķinu var pievienot anotācijas pielikumā):</w:t>
            </w:r>
          </w:p>
        </w:tc>
        <w:tc>
          <w:tcPr>
            <w:tcW w:w="6002"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rPr>
                <w:rFonts w:eastAsia="Times New Roman" w:cs="Times New Roman"/>
                <w:sz w:val="24"/>
                <w:szCs w:val="24"/>
                <w:lang w:eastAsia="lv-LV"/>
              </w:rPr>
            </w:pP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C37372" w:rsidRDefault="009A6886" w:rsidP="005F0EFE">
            <w:pPr>
              <w:rPr>
                <w:rFonts w:eastAsia="Times New Roman" w:cs="Times New Roman"/>
                <w:sz w:val="22"/>
                <w:lang w:eastAsia="lv-LV"/>
              </w:rPr>
            </w:pPr>
            <w:r w:rsidRPr="005A039A">
              <w:rPr>
                <w:rFonts w:eastAsia="Times New Roman" w:cs="Times New Roman"/>
                <w:sz w:val="24"/>
                <w:szCs w:val="24"/>
                <w:lang w:eastAsia="lv-LV"/>
              </w:rPr>
              <w:t> </w:t>
            </w:r>
            <w:r w:rsidRPr="00C37372">
              <w:rPr>
                <w:rFonts w:eastAsia="Times New Roman" w:cs="Times New Roman"/>
                <w:sz w:val="22"/>
                <w:lang w:eastAsia="lv-LV"/>
              </w:rPr>
              <w:t>6.1. detalizēts ieņēmumu  aprēķins</w:t>
            </w:r>
          </w:p>
        </w:tc>
        <w:tc>
          <w:tcPr>
            <w:tcW w:w="6002" w:type="dxa"/>
            <w:gridSpan w:val="5"/>
            <w:vMerge/>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rPr>
                <w:rFonts w:eastAsia="Times New Roman" w:cs="Times New Roman"/>
                <w:sz w:val="24"/>
                <w:szCs w:val="24"/>
                <w:lang w:eastAsia="lv-LV"/>
              </w:rPr>
            </w:pPr>
          </w:p>
        </w:tc>
      </w:tr>
      <w:tr w:rsidR="009A6886" w:rsidRPr="005A039A" w:rsidTr="00583EB9">
        <w:trPr>
          <w:trHeight w:val="525"/>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9A6886" w:rsidP="005F0EFE">
            <w:pPr>
              <w:rPr>
                <w:rFonts w:eastAsia="Times New Roman" w:cs="Times New Roman"/>
                <w:sz w:val="24"/>
                <w:szCs w:val="24"/>
                <w:lang w:eastAsia="lv-LV"/>
              </w:rPr>
            </w:pPr>
            <w:r w:rsidRPr="005A039A">
              <w:rPr>
                <w:rFonts w:eastAsia="Times New Roman" w:cs="Times New Roman"/>
                <w:sz w:val="24"/>
                <w:szCs w:val="24"/>
                <w:lang w:eastAsia="lv-LV"/>
              </w:rPr>
              <w:t xml:space="preserve">6.2. </w:t>
            </w:r>
            <w:r w:rsidRPr="00C37372">
              <w:rPr>
                <w:rFonts w:eastAsia="Times New Roman" w:cs="Times New Roman"/>
                <w:sz w:val="22"/>
                <w:lang w:eastAsia="lv-LV"/>
              </w:rPr>
              <w:t>detalizēts izdevumu aprēķins</w:t>
            </w:r>
          </w:p>
        </w:tc>
        <w:tc>
          <w:tcPr>
            <w:tcW w:w="6002" w:type="dxa"/>
            <w:gridSpan w:val="5"/>
            <w:tcBorders>
              <w:top w:val="outset" w:sz="6" w:space="0" w:color="auto"/>
              <w:left w:val="outset" w:sz="6" w:space="0" w:color="auto"/>
              <w:bottom w:val="outset" w:sz="6" w:space="0" w:color="auto"/>
              <w:right w:val="outset" w:sz="6" w:space="0" w:color="auto"/>
            </w:tcBorders>
            <w:vAlign w:val="center"/>
            <w:hideMark/>
          </w:tcPr>
          <w:p w:rsidR="009A6886" w:rsidRPr="00A90E0A" w:rsidRDefault="009A6886" w:rsidP="005F0EFE">
            <w:pPr>
              <w:rPr>
                <w:rFonts w:eastAsia="Times New Roman" w:cs="Times New Roman"/>
                <w:sz w:val="24"/>
                <w:szCs w:val="24"/>
                <w:lang w:eastAsia="lv-LV"/>
              </w:rPr>
            </w:pPr>
          </w:p>
        </w:tc>
      </w:tr>
      <w:tr w:rsidR="009A6886" w:rsidRPr="005A039A" w:rsidTr="00583EB9">
        <w:trPr>
          <w:tblCellSpacing w:w="0" w:type="dxa"/>
        </w:trPr>
        <w:tc>
          <w:tcPr>
            <w:tcW w:w="3085" w:type="dxa"/>
            <w:tcBorders>
              <w:top w:val="outset" w:sz="6" w:space="0" w:color="auto"/>
              <w:left w:val="outset" w:sz="6" w:space="0" w:color="auto"/>
              <w:bottom w:val="outset" w:sz="6" w:space="0" w:color="auto"/>
              <w:right w:val="outset" w:sz="6" w:space="0" w:color="auto"/>
            </w:tcBorders>
            <w:hideMark/>
          </w:tcPr>
          <w:p w:rsidR="009A6886" w:rsidRPr="005A039A" w:rsidRDefault="00BD0F83" w:rsidP="005F0EFE">
            <w:pPr>
              <w:rPr>
                <w:rFonts w:eastAsia="Times New Roman" w:cs="Times New Roman"/>
                <w:sz w:val="24"/>
                <w:szCs w:val="24"/>
                <w:lang w:eastAsia="lv-LV"/>
              </w:rPr>
            </w:pPr>
            <w:r>
              <w:rPr>
                <w:rFonts w:eastAsia="Times New Roman" w:cs="Times New Roman"/>
                <w:sz w:val="24"/>
                <w:szCs w:val="24"/>
                <w:lang w:eastAsia="lv-LV"/>
              </w:rPr>
              <w:t>7</w:t>
            </w:r>
            <w:r w:rsidR="009A6886" w:rsidRPr="005A039A">
              <w:rPr>
                <w:rFonts w:eastAsia="Times New Roman" w:cs="Times New Roman"/>
                <w:sz w:val="24"/>
                <w:szCs w:val="24"/>
                <w:lang w:eastAsia="lv-LV"/>
              </w:rPr>
              <w:t>. Cita informācija</w:t>
            </w:r>
          </w:p>
        </w:tc>
        <w:tc>
          <w:tcPr>
            <w:tcW w:w="6002" w:type="dxa"/>
            <w:gridSpan w:val="5"/>
            <w:tcBorders>
              <w:top w:val="outset" w:sz="6" w:space="0" w:color="auto"/>
              <w:left w:val="outset" w:sz="6" w:space="0" w:color="auto"/>
              <w:bottom w:val="outset" w:sz="6" w:space="0" w:color="auto"/>
              <w:right w:val="outset" w:sz="6" w:space="0" w:color="auto"/>
            </w:tcBorders>
            <w:hideMark/>
          </w:tcPr>
          <w:p w:rsidR="00EE6D56" w:rsidRDefault="00EE6D56" w:rsidP="004B3EB7">
            <w:pPr>
              <w:jc w:val="both"/>
              <w:rPr>
                <w:rFonts w:eastAsia="Times New Roman" w:cs="Times New Roman"/>
                <w:sz w:val="24"/>
                <w:szCs w:val="24"/>
                <w:lang w:eastAsia="lv-LV"/>
              </w:rPr>
            </w:pPr>
            <w:r>
              <w:rPr>
                <w:rFonts w:eastAsia="Times New Roman" w:cs="Times New Roman"/>
                <w:sz w:val="24"/>
                <w:szCs w:val="24"/>
                <w:lang w:eastAsia="lv-LV"/>
              </w:rPr>
              <w:t>VID nodokļu informatīvo sistēmu plānots pielāgot esošā finansējuma ietvaros.</w:t>
            </w:r>
          </w:p>
          <w:p w:rsidR="00915520" w:rsidRPr="00D7249F" w:rsidRDefault="00DA3269" w:rsidP="004B3EB7">
            <w:pPr>
              <w:jc w:val="both"/>
              <w:rPr>
                <w:rFonts w:eastAsia="Times New Roman" w:cs="Times New Roman"/>
                <w:color w:val="BFBFBF" w:themeColor="background1" w:themeShade="BF"/>
                <w:sz w:val="24"/>
                <w:szCs w:val="24"/>
                <w:lang w:eastAsia="lv-LV"/>
              </w:rPr>
            </w:pPr>
            <w:r w:rsidRPr="00A90E0A">
              <w:rPr>
                <w:rFonts w:eastAsia="Times New Roman" w:cs="Times New Roman"/>
                <w:sz w:val="24"/>
                <w:szCs w:val="24"/>
                <w:lang w:eastAsia="lv-LV"/>
              </w:rPr>
              <w:t>Ņemot vērā to, ka šobrīd nav iespējams prognozēt to fizisko personu skaitu, kuras deklarācijā uzrādīs nepatiesu mantisko stāvokli un ienākumus, nav iespējams noteikt likumprojektā paredzētās atbildības par gūtā ienākuma slēpšanu un iedzīvotāju ienākuma nodokļa aprēķina ietekmi uz valsts budžetu.</w:t>
            </w:r>
          </w:p>
        </w:tc>
      </w:tr>
    </w:tbl>
    <w:tbl>
      <w:tblPr>
        <w:tblW w:w="922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4328"/>
        <w:gridCol w:w="4262"/>
      </w:tblGrid>
      <w:tr w:rsidR="00A37CFD" w:rsidRPr="005A039A" w:rsidTr="00D72546">
        <w:trPr>
          <w:tblCellSpacing w:w="0" w:type="dxa"/>
        </w:trPr>
        <w:tc>
          <w:tcPr>
            <w:tcW w:w="9224" w:type="dxa"/>
            <w:gridSpan w:val="3"/>
            <w:tcBorders>
              <w:top w:val="outset" w:sz="6" w:space="0" w:color="auto"/>
              <w:left w:val="outset" w:sz="6" w:space="0" w:color="auto"/>
              <w:bottom w:val="outset" w:sz="6" w:space="0" w:color="auto"/>
              <w:right w:val="outset" w:sz="6" w:space="0" w:color="auto"/>
            </w:tcBorders>
          </w:tcPr>
          <w:p w:rsidR="00A37CFD" w:rsidRDefault="00A37CFD" w:rsidP="00A37CFD">
            <w:pPr>
              <w:rPr>
                <w:rFonts w:eastAsia="Times New Roman" w:cs="Times New Roman"/>
                <w:b/>
                <w:bCs/>
                <w:sz w:val="24"/>
                <w:szCs w:val="24"/>
                <w:lang w:eastAsia="lv-LV"/>
              </w:rPr>
            </w:pPr>
          </w:p>
          <w:p w:rsidR="00A37CFD" w:rsidRPr="00A37CFD" w:rsidRDefault="00A37CFD" w:rsidP="00A37CFD">
            <w:pPr>
              <w:rPr>
                <w:rFonts w:eastAsia="Times New Roman" w:cs="Times New Roman"/>
                <w:b/>
                <w:bCs/>
                <w:sz w:val="24"/>
                <w:szCs w:val="24"/>
                <w:lang w:eastAsia="lv-LV"/>
              </w:rPr>
            </w:pPr>
            <w:r>
              <w:rPr>
                <w:rFonts w:eastAsia="Times New Roman" w:cs="Times New Roman"/>
                <w:b/>
                <w:bCs/>
                <w:sz w:val="24"/>
                <w:szCs w:val="24"/>
                <w:lang w:eastAsia="lv-LV"/>
              </w:rPr>
              <w:t>Anotācijas</w:t>
            </w:r>
            <w:r w:rsidRPr="00A37CFD">
              <w:rPr>
                <w:rFonts w:eastAsia="Times New Roman" w:cs="Times New Roman"/>
                <w:b/>
                <w:bCs/>
                <w:sz w:val="24"/>
                <w:szCs w:val="24"/>
                <w:lang w:eastAsia="lv-LV"/>
              </w:rPr>
              <w:t xml:space="preserve"> IV un V sadaļa – projekts šīs jomas neskar.</w:t>
            </w:r>
          </w:p>
          <w:p w:rsidR="00A37CFD" w:rsidRPr="005A039A" w:rsidRDefault="00A37CFD" w:rsidP="001119FE">
            <w:pPr>
              <w:jc w:val="center"/>
              <w:rPr>
                <w:rFonts w:eastAsia="Times New Roman" w:cs="Times New Roman"/>
                <w:b/>
                <w:bCs/>
                <w:sz w:val="24"/>
                <w:szCs w:val="24"/>
                <w:lang w:eastAsia="lv-LV"/>
              </w:rPr>
            </w:pPr>
          </w:p>
        </w:tc>
      </w:tr>
      <w:tr w:rsidR="00797FA6" w:rsidRPr="005A039A" w:rsidTr="00D72546">
        <w:trPr>
          <w:tblCellSpacing w:w="0" w:type="dxa"/>
        </w:trPr>
        <w:tc>
          <w:tcPr>
            <w:tcW w:w="9224" w:type="dxa"/>
            <w:gridSpan w:val="3"/>
            <w:tcBorders>
              <w:top w:val="outset" w:sz="6" w:space="0" w:color="auto"/>
              <w:left w:val="outset" w:sz="6" w:space="0" w:color="auto"/>
              <w:bottom w:val="outset" w:sz="6" w:space="0" w:color="auto"/>
              <w:right w:val="outset" w:sz="6" w:space="0" w:color="auto"/>
            </w:tcBorders>
            <w:hideMark/>
          </w:tcPr>
          <w:p w:rsidR="00797FA6" w:rsidRPr="005A039A" w:rsidRDefault="00797FA6"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VI. Sabiedrības līdzdalība un šīs līdzdalības rezultāti</w:t>
            </w:r>
          </w:p>
        </w:tc>
      </w:tr>
      <w:tr w:rsidR="00797FA6" w:rsidRPr="005A039A" w:rsidTr="00E41C8D">
        <w:trPr>
          <w:trHeight w:val="456"/>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Sabiedrības informēšana par projekta izstrādes uzsākšanu</w:t>
            </w:r>
          </w:p>
        </w:tc>
        <w:tc>
          <w:tcPr>
            <w:tcW w:w="4262" w:type="dxa"/>
            <w:tcBorders>
              <w:top w:val="outset" w:sz="6" w:space="0" w:color="auto"/>
              <w:left w:val="outset" w:sz="6" w:space="0" w:color="auto"/>
              <w:bottom w:val="outset" w:sz="6" w:space="0" w:color="auto"/>
              <w:right w:val="outset" w:sz="6" w:space="0" w:color="auto"/>
            </w:tcBorders>
            <w:hideMark/>
          </w:tcPr>
          <w:p w:rsidR="00A50809" w:rsidRPr="00A90E0A" w:rsidRDefault="00EF1B2D" w:rsidP="00EF1B2D">
            <w:pPr>
              <w:ind w:right="127"/>
              <w:jc w:val="both"/>
              <w:rPr>
                <w:rFonts w:eastAsia="Times New Roman" w:cs="Times New Roman"/>
                <w:sz w:val="24"/>
                <w:szCs w:val="24"/>
                <w:lang w:eastAsia="lv-LV"/>
              </w:rPr>
            </w:pPr>
            <w:r>
              <w:rPr>
                <w:rFonts w:eastAsia="Times New Roman" w:cs="Times New Roman"/>
                <w:sz w:val="24"/>
                <w:szCs w:val="24"/>
                <w:lang w:eastAsia="lv-LV"/>
              </w:rPr>
              <w:t>Finanšu ministrijas mājaslapā pieejama prezentācija par likumprojektu, kā arī šāda likumprojekta izstrādes nepieciešamība paredzēta</w:t>
            </w:r>
            <w:r w:rsidRPr="002B05D3">
              <w:rPr>
                <w:sz w:val="24"/>
              </w:rPr>
              <w:t xml:space="preserve"> Pasākumu plān</w:t>
            </w:r>
            <w:r>
              <w:rPr>
                <w:sz w:val="24"/>
              </w:rPr>
              <w:t>ā</w:t>
            </w:r>
            <w:r w:rsidRPr="002B05D3">
              <w:rPr>
                <w:sz w:val="24"/>
              </w:rPr>
              <w:t xml:space="preserve"> ēnu ekonomikas apkarošanai un godīgas konkurences nodrošināšanai 2010.–2013.gadam</w:t>
            </w:r>
            <w:r>
              <w:rPr>
                <w:sz w:val="24"/>
              </w:rPr>
              <w:t>, kas ir publiski pieejams Finanšu ministrijas mājas lapā.</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Sabiedrības līdzdalība projekta izstrādē</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05279F">
            <w:pPr>
              <w:ind w:right="127"/>
              <w:jc w:val="both"/>
              <w:rPr>
                <w:rFonts w:eastAsia="Times New Roman" w:cs="Times New Roman"/>
                <w:sz w:val="24"/>
                <w:szCs w:val="24"/>
                <w:lang w:eastAsia="lv-LV"/>
              </w:rPr>
            </w:pPr>
            <w:r w:rsidRPr="004405CA">
              <w:rPr>
                <w:sz w:val="24"/>
              </w:rPr>
              <w:t>Latvijas Darba devēju konfederācija, Latvijas Pašvaldību savienība, Latvijas Arodbiedrību savienība.</w:t>
            </w:r>
            <w:r>
              <w:rPr>
                <w:sz w:val="24"/>
                <w:szCs w:val="24"/>
                <w:lang w:eastAsia="lv-LV"/>
              </w:rPr>
              <w:t xml:space="preserve"> </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3.</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Sabiedrības līdzdalības rezultāti</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A50809" w:rsidP="00D72546">
            <w:pPr>
              <w:jc w:val="both"/>
              <w:rPr>
                <w:rFonts w:eastAsia="Times New Roman" w:cs="Times New Roman"/>
                <w:sz w:val="24"/>
                <w:szCs w:val="24"/>
                <w:lang w:eastAsia="lv-LV"/>
              </w:rPr>
            </w:pPr>
            <w:r>
              <w:rPr>
                <w:rFonts w:eastAsia="Times New Roman" w:cs="Times New Roman"/>
                <w:sz w:val="24"/>
                <w:szCs w:val="24"/>
                <w:lang w:eastAsia="lv-LV"/>
              </w:rPr>
              <w:t>Darba grupa konceptuāli atbalstīja likumprojekta izstrādi.</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Saeimas un ekspertu līdzdalība</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643A3D" w:rsidP="00643A3D">
            <w:pPr>
              <w:rPr>
                <w:rFonts w:eastAsia="Times New Roman" w:cs="Times New Roman"/>
                <w:sz w:val="24"/>
                <w:szCs w:val="24"/>
                <w:lang w:eastAsia="lv-LV"/>
              </w:rPr>
            </w:pPr>
            <w:r>
              <w:rPr>
                <w:rFonts w:eastAsia="Times New Roman" w:cs="Times New Roman"/>
                <w:sz w:val="24"/>
                <w:szCs w:val="24"/>
                <w:lang w:eastAsia="lv-LV"/>
              </w:rPr>
              <w:t xml:space="preserve">2008.gada 31.janvārī 2.lasījumā Saeimā tika atbalstīts līdzvērtīgs likumprojekts, kura mērķis bija </w:t>
            </w:r>
            <w:r w:rsidRPr="00643A3D">
              <w:rPr>
                <w:rFonts w:eastAsia="Times New Roman" w:cs="Times New Roman"/>
                <w:sz w:val="24"/>
                <w:szCs w:val="24"/>
                <w:lang w:eastAsia="lv-LV"/>
              </w:rPr>
              <w:t>konstatēt fizisko personu mantisko stāvokli un uzkrājumus</w:t>
            </w:r>
            <w:r>
              <w:rPr>
                <w:rFonts w:eastAsia="Times New Roman" w:cs="Times New Roman"/>
                <w:sz w:val="24"/>
                <w:szCs w:val="24"/>
                <w:lang w:eastAsia="lv-LV"/>
              </w:rPr>
              <w:t>. Tā kā likumprojekts netika izskatīts 3.lasījumā, likumprojekts tika izstrādāts atkārtoti.</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360BDA">
            <w:pPr>
              <w:rPr>
                <w:rFonts w:eastAsia="Times New Roman" w:cs="Times New Roman"/>
                <w:sz w:val="24"/>
                <w:szCs w:val="24"/>
                <w:lang w:eastAsia="lv-LV"/>
              </w:rPr>
            </w:pPr>
            <w:r w:rsidRPr="005A039A">
              <w:rPr>
                <w:rFonts w:eastAsia="Times New Roman" w:cs="Times New Roman"/>
                <w:sz w:val="24"/>
                <w:szCs w:val="24"/>
                <w:lang w:eastAsia="lv-LV"/>
              </w:rPr>
              <w:t> Cita informācija </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797FA6" w:rsidP="005F0EFE">
            <w:pPr>
              <w:rPr>
                <w:rFonts w:eastAsia="Times New Roman" w:cs="Times New Roman"/>
                <w:sz w:val="24"/>
                <w:szCs w:val="24"/>
                <w:lang w:eastAsia="lv-LV"/>
              </w:rPr>
            </w:pPr>
            <w:r w:rsidRPr="00A90E0A">
              <w:rPr>
                <w:rFonts w:eastAsia="Times New Roman" w:cs="Times New Roman"/>
                <w:sz w:val="24"/>
                <w:szCs w:val="24"/>
                <w:lang w:eastAsia="lv-LV"/>
              </w:rPr>
              <w:t>Nav</w:t>
            </w:r>
          </w:p>
        </w:tc>
      </w:tr>
      <w:tr w:rsidR="00797FA6" w:rsidRPr="005A039A" w:rsidTr="00D72546">
        <w:trPr>
          <w:tblCellSpacing w:w="0" w:type="dxa"/>
        </w:trPr>
        <w:tc>
          <w:tcPr>
            <w:tcW w:w="9224" w:type="dxa"/>
            <w:gridSpan w:val="3"/>
            <w:tcBorders>
              <w:top w:val="outset" w:sz="6" w:space="0" w:color="auto"/>
              <w:left w:val="outset" w:sz="6" w:space="0" w:color="auto"/>
              <w:bottom w:val="outset" w:sz="6" w:space="0" w:color="auto"/>
              <w:right w:val="outset" w:sz="6" w:space="0" w:color="auto"/>
            </w:tcBorders>
            <w:hideMark/>
          </w:tcPr>
          <w:p w:rsidR="00797FA6" w:rsidRPr="005A039A" w:rsidRDefault="00797FA6"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VII. Tiesību akta projekta izpildes nodrošināšana un tās ietekme uz institūcijām</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izpildē iesaistītās institūcijas</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725E4C" w:rsidP="004405CA">
            <w:pPr>
              <w:rPr>
                <w:rFonts w:eastAsia="Times New Roman" w:cs="Times New Roman"/>
                <w:sz w:val="24"/>
                <w:szCs w:val="24"/>
                <w:lang w:eastAsia="lv-LV"/>
              </w:rPr>
            </w:pPr>
            <w:r>
              <w:rPr>
                <w:rFonts w:eastAsia="Times New Roman" w:cs="Times New Roman"/>
                <w:sz w:val="24"/>
                <w:szCs w:val="24"/>
                <w:lang w:eastAsia="lv-LV"/>
              </w:rPr>
              <w:t>Valsts ieņēmumu dienests</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funkcijām</w:t>
            </w:r>
          </w:p>
        </w:tc>
        <w:tc>
          <w:tcPr>
            <w:tcW w:w="4262" w:type="dxa"/>
            <w:tcBorders>
              <w:top w:val="outset" w:sz="6" w:space="0" w:color="auto"/>
              <w:left w:val="outset" w:sz="6" w:space="0" w:color="auto"/>
              <w:bottom w:val="outset" w:sz="6" w:space="0" w:color="auto"/>
              <w:right w:val="outset" w:sz="6" w:space="0" w:color="auto"/>
            </w:tcBorders>
            <w:hideMark/>
          </w:tcPr>
          <w:p w:rsidR="00797FA6" w:rsidRPr="00F2213D" w:rsidRDefault="00797FA6" w:rsidP="00D15A96">
            <w:pPr>
              <w:rPr>
                <w:rFonts w:eastAsia="Times New Roman" w:cs="Times New Roman"/>
                <w:sz w:val="24"/>
                <w:szCs w:val="24"/>
                <w:lang w:eastAsia="lv-LV"/>
              </w:rPr>
            </w:pPr>
            <w:r w:rsidRPr="00F2213D">
              <w:rPr>
                <w:rFonts w:eastAsia="Times New Roman" w:cs="Times New Roman"/>
                <w:sz w:val="24"/>
                <w:szCs w:val="24"/>
                <w:lang w:eastAsia="lv-LV"/>
              </w:rPr>
              <w:t> </w:t>
            </w:r>
            <w:r w:rsidR="006E0B6A" w:rsidRPr="00F2213D">
              <w:rPr>
                <w:rFonts w:eastAsia="Times New Roman" w:cs="Times New Roman"/>
                <w:sz w:val="24"/>
                <w:szCs w:val="24"/>
                <w:lang w:eastAsia="lv-LV"/>
              </w:rPr>
              <w:t>Projekt</w:t>
            </w:r>
            <w:r w:rsidR="00D15A96">
              <w:rPr>
                <w:rFonts w:eastAsia="Times New Roman" w:cs="Times New Roman"/>
                <w:sz w:val="24"/>
                <w:szCs w:val="24"/>
                <w:lang w:eastAsia="lv-LV"/>
              </w:rPr>
              <w:t>s paredz jaunu funkciju VID administrēt fizisko personu mantiskā stāvokļa deklarācijas.</w:t>
            </w:r>
          </w:p>
        </w:tc>
      </w:tr>
      <w:tr w:rsidR="00F2213D"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4328"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Jaunu institūciju izveide</w:t>
            </w:r>
          </w:p>
        </w:tc>
        <w:tc>
          <w:tcPr>
            <w:tcW w:w="4262" w:type="dxa"/>
            <w:tcBorders>
              <w:top w:val="outset" w:sz="6" w:space="0" w:color="auto"/>
              <w:left w:val="outset" w:sz="6" w:space="0" w:color="auto"/>
              <w:bottom w:val="outset" w:sz="6" w:space="0" w:color="auto"/>
              <w:right w:val="outset" w:sz="6" w:space="0" w:color="auto"/>
            </w:tcBorders>
            <w:hideMark/>
          </w:tcPr>
          <w:p w:rsidR="00F2213D" w:rsidRPr="00F2213D" w:rsidRDefault="009368B9" w:rsidP="00665C23">
            <w:pPr>
              <w:rPr>
                <w:sz w:val="24"/>
                <w:szCs w:val="24"/>
              </w:rPr>
            </w:pPr>
            <w:r>
              <w:rPr>
                <w:sz w:val="24"/>
                <w:szCs w:val="24"/>
              </w:rPr>
              <w:t> </w:t>
            </w:r>
            <w:r w:rsidR="00F2213D" w:rsidRPr="00F2213D">
              <w:rPr>
                <w:sz w:val="24"/>
                <w:szCs w:val="24"/>
              </w:rPr>
              <w:t>Nav nepieciešams izveidot jaunas institūcijas.</w:t>
            </w:r>
          </w:p>
        </w:tc>
      </w:tr>
      <w:tr w:rsidR="00F2213D"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4328"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Esošu institūciju likvidācija</w:t>
            </w:r>
          </w:p>
        </w:tc>
        <w:tc>
          <w:tcPr>
            <w:tcW w:w="4262" w:type="dxa"/>
            <w:tcBorders>
              <w:top w:val="outset" w:sz="6" w:space="0" w:color="auto"/>
              <w:left w:val="outset" w:sz="6" w:space="0" w:color="auto"/>
              <w:bottom w:val="outset" w:sz="6" w:space="0" w:color="auto"/>
              <w:right w:val="outset" w:sz="6" w:space="0" w:color="auto"/>
            </w:tcBorders>
            <w:hideMark/>
          </w:tcPr>
          <w:p w:rsidR="00F2213D" w:rsidRPr="00F2213D" w:rsidRDefault="009368B9" w:rsidP="00665C23">
            <w:pPr>
              <w:rPr>
                <w:sz w:val="24"/>
                <w:szCs w:val="24"/>
              </w:rPr>
            </w:pPr>
            <w:r>
              <w:rPr>
                <w:sz w:val="24"/>
                <w:szCs w:val="24"/>
              </w:rPr>
              <w:t> </w:t>
            </w:r>
            <w:r w:rsidR="00F2213D" w:rsidRPr="00F2213D">
              <w:rPr>
                <w:sz w:val="24"/>
                <w:szCs w:val="24"/>
              </w:rPr>
              <w:t>Nav nepieciešams likvidēt esošas institūcijas.</w:t>
            </w:r>
          </w:p>
        </w:tc>
      </w:tr>
      <w:tr w:rsidR="00F2213D"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4328" w:type="dxa"/>
            <w:tcBorders>
              <w:top w:val="outset" w:sz="6" w:space="0" w:color="auto"/>
              <w:left w:val="outset" w:sz="6" w:space="0" w:color="auto"/>
              <w:bottom w:val="outset" w:sz="6" w:space="0" w:color="auto"/>
              <w:right w:val="outset" w:sz="6" w:space="0" w:color="auto"/>
            </w:tcBorders>
            <w:hideMark/>
          </w:tcPr>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 Projekta izpildes ietekme uz pārvaldes institucionālo struktūru.</w:t>
            </w:r>
          </w:p>
          <w:p w:rsidR="00F2213D" w:rsidRPr="005A039A" w:rsidRDefault="00F2213D" w:rsidP="005F0EFE">
            <w:pPr>
              <w:rPr>
                <w:rFonts w:eastAsia="Times New Roman" w:cs="Times New Roman"/>
                <w:sz w:val="24"/>
                <w:szCs w:val="24"/>
                <w:lang w:eastAsia="lv-LV"/>
              </w:rPr>
            </w:pPr>
            <w:r w:rsidRPr="005A039A">
              <w:rPr>
                <w:rFonts w:eastAsia="Times New Roman" w:cs="Times New Roman"/>
                <w:sz w:val="24"/>
                <w:szCs w:val="24"/>
                <w:lang w:eastAsia="lv-LV"/>
              </w:rPr>
              <w:t>Esošu institūciju reorganizācija</w:t>
            </w:r>
          </w:p>
        </w:tc>
        <w:tc>
          <w:tcPr>
            <w:tcW w:w="4262" w:type="dxa"/>
            <w:tcBorders>
              <w:top w:val="outset" w:sz="6" w:space="0" w:color="auto"/>
              <w:left w:val="outset" w:sz="6" w:space="0" w:color="auto"/>
              <w:bottom w:val="outset" w:sz="6" w:space="0" w:color="auto"/>
              <w:right w:val="outset" w:sz="6" w:space="0" w:color="auto"/>
            </w:tcBorders>
            <w:hideMark/>
          </w:tcPr>
          <w:p w:rsidR="00F2213D" w:rsidRPr="00F2213D" w:rsidRDefault="009368B9" w:rsidP="00665C23">
            <w:pPr>
              <w:rPr>
                <w:sz w:val="24"/>
                <w:szCs w:val="24"/>
              </w:rPr>
            </w:pPr>
            <w:r>
              <w:rPr>
                <w:sz w:val="24"/>
                <w:szCs w:val="24"/>
              </w:rPr>
              <w:t> </w:t>
            </w:r>
            <w:r w:rsidR="00F2213D" w:rsidRPr="00F2213D">
              <w:rPr>
                <w:sz w:val="24"/>
                <w:szCs w:val="24"/>
              </w:rPr>
              <w:t>Nav nepieciešama esošo institūciju reorganizācija.</w:t>
            </w:r>
          </w:p>
        </w:tc>
      </w:tr>
      <w:tr w:rsidR="00797FA6" w:rsidRPr="005A039A" w:rsidTr="00D72546">
        <w:trPr>
          <w:tblCellSpacing w:w="0" w:type="dxa"/>
        </w:trPr>
        <w:tc>
          <w:tcPr>
            <w:tcW w:w="634"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4328" w:type="dxa"/>
            <w:tcBorders>
              <w:top w:val="outset" w:sz="6" w:space="0" w:color="auto"/>
              <w:left w:val="outset" w:sz="6" w:space="0" w:color="auto"/>
              <w:bottom w:val="outset" w:sz="6" w:space="0" w:color="auto"/>
              <w:right w:val="outset" w:sz="6" w:space="0" w:color="auto"/>
            </w:tcBorders>
            <w:hideMark/>
          </w:tcPr>
          <w:p w:rsidR="00797FA6" w:rsidRPr="005A039A" w:rsidRDefault="00797FA6"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4262" w:type="dxa"/>
            <w:tcBorders>
              <w:top w:val="outset" w:sz="6" w:space="0" w:color="auto"/>
              <w:left w:val="outset" w:sz="6" w:space="0" w:color="auto"/>
              <w:bottom w:val="outset" w:sz="6" w:space="0" w:color="auto"/>
              <w:right w:val="outset" w:sz="6" w:space="0" w:color="auto"/>
            </w:tcBorders>
            <w:hideMark/>
          </w:tcPr>
          <w:p w:rsidR="00797FA6" w:rsidRPr="00A90E0A" w:rsidRDefault="00797FA6" w:rsidP="005F0EFE">
            <w:pPr>
              <w:rPr>
                <w:rFonts w:eastAsia="Times New Roman" w:cs="Times New Roman"/>
                <w:sz w:val="24"/>
                <w:szCs w:val="24"/>
                <w:lang w:eastAsia="lv-LV"/>
              </w:rPr>
            </w:pPr>
            <w:r w:rsidRPr="00A90E0A">
              <w:rPr>
                <w:rFonts w:eastAsia="Times New Roman" w:cs="Times New Roman"/>
                <w:sz w:val="24"/>
                <w:szCs w:val="24"/>
                <w:lang w:eastAsia="lv-LV"/>
              </w:rPr>
              <w:t> Nav</w:t>
            </w:r>
          </w:p>
        </w:tc>
      </w:tr>
    </w:tbl>
    <w:p w:rsidR="001706FB" w:rsidRDefault="001706FB" w:rsidP="005F0EFE">
      <w:pPr>
        <w:pStyle w:val="BodyTextIndent"/>
        <w:ind w:firstLine="0"/>
        <w:rPr>
          <w:sz w:val="24"/>
          <w:lang w:eastAsia="lv-LV"/>
        </w:rPr>
      </w:pPr>
    </w:p>
    <w:p w:rsidR="00927F72" w:rsidRDefault="00927F72" w:rsidP="005F0EFE">
      <w:pPr>
        <w:pStyle w:val="BodyTextIndent"/>
        <w:ind w:firstLine="0"/>
        <w:rPr>
          <w:sz w:val="24"/>
          <w:lang w:eastAsia="lv-LV"/>
        </w:rPr>
      </w:pPr>
    </w:p>
    <w:p w:rsidR="00927F72" w:rsidRDefault="00927F72" w:rsidP="005F0EFE">
      <w:pPr>
        <w:pStyle w:val="BodyTextIndent"/>
        <w:ind w:firstLine="0"/>
        <w:rPr>
          <w:sz w:val="24"/>
          <w:lang w:eastAsia="lv-LV"/>
        </w:rPr>
      </w:pPr>
    </w:p>
    <w:p w:rsidR="00BB1E0F" w:rsidRPr="00BD20D6" w:rsidRDefault="00BB1E0F" w:rsidP="005F0EFE">
      <w:pPr>
        <w:pStyle w:val="Heading5"/>
        <w:tabs>
          <w:tab w:val="left" w:pos="142"/>
          <w:tab w:val="left" w:pos="7200"/>
        </w:tabs>
        <w:spacing w:before="0" w:after="0"/>
        <w:rPr>
          <w:b w:val="0"/>
          <w:i w:val="0"/>
        </w:rPr>
      </w:pPr>
      <w:r w:rsidRPr="00BD20D6">
        <w:rPr>
          <w:b w:val="0"/>
          <w:i w:val="0"/>
        </w:rPr>
        <w:t>Finanšu ministrs</w:t>
      </w:r>
      <w:r w:rsidRPr="00BD20D6">
        <w:rPr>
          <w:b w:val="0"/>
          <w:i w:val="0"/>
        </w:rPr>
        <w:tab/>
      </w:r>
      <w:r w:rsidR="000916CA" w:rsidRPr="00BD20D6">
        <w:rPr>
          <w:b w:val="0"/>
          <w:i w:val="0"/>
        </w:rPr>
        <w:t>A.Vilks</w:t>
      </w:r>
    </w:p>
    <w:p w:rsidR="00D014D1" w:rsidRDefault="00D014D1" w:rsidP="005F0EFE">
      <w:pPr>
        <w:pStyle w:val="BodyTextIndent"/>
        <w:ind w:firstLine="0"/>
        <w:rPr>
          <w:sz w:val="18"/>
          <w:szCs w:val="18"/>
          <w:lang w:eastAsia="lv-LV"/>
        </w:rPr>
      </w:pPr>
    </w:p>
    <w:p w:rsidR="008264EB" w:rsidRDefault="008264EB" w:rsidP="008264EB">
      <w:pPr>
        <w:rPr>
          <w:sz w:val="20"/>
        </w:rPr>
      </w:pPr>
    </w:p>
    <w:p w:rsidR="00D72546" w:rsidRDefault="00D72546" w:rsidP="008264EB">
      <w:pPr>
        <w:rPr>
          <w:sz w:val="20"/>
        </w:rPr>
      </w:pPr>
    </w:p>
    <w:p w:rsidR="00D72546" w:rsidRDefault="00D72546" w:rsidP="008264EB">
      <w:pPr>
        <w:rPr>
          <w:sz w:val="20"/>
        </w:rPr>
      </w:pPr>
    </w:p>
    <w:p w:rsidR="00D72546" w:rsidRDefault="00D72546" w:rsidP="008264EB">
      <w:pPr>
        <w:rPr>
          <w:sz w:val="20"/>
        </w:rPr>
      </w:pPr>
    </w:p>
    <w:p w:rsidR="008264EB" w:rsidRDefault="008264EB"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A33D2E" w:rsidRDefault="00A33D2E" w:rsidP="008264EB">
      <w:pPr>
        <w:rPr>
          <w:sz w:val="20"/>
        </w:rPr>
      </w:pPr>
    </w:p>
    <w:p w:rsidR="008264EB" w:rsidRDefault="00B30D28" w:rsidP="008264EB">
      <w:pPr>
        <w:rPr>
          <w:sz w:val="20"/>
        </w:rPr>
      </w:pPr>
      <w:r>
        <w:rPr>
          <w:sz w:val="20"/>
        </w:rPr>
        <w:t>2011.04.04. 17:21</w:t>
      </w:r>
      <w:bookmarkStart w:id="2" w:name="_GoBack"/>
      <w:bookmarkEnd w:id="2"/>
    </w:p>
    <w:p w:rsidR="00B30D28" w:rsidRDefault="00B30D28" w:rsidP="008264EB">
      <w:pPr>
        <w:rPr>
          <w:sz w:val="20"/>
        </w:rPr>
      </w:pPr>
      <w:r>
        <w:rPr>
          <w:sz w:val="20"/>
        </w:rPr>
        <w:t>1633</w:t>
      </w:r>
    </w:p>
    <w:p w:rsidR="008264EB" w:rsidRPr="00840284" w:rsidRDefault="00D7249F" w:rsidP="008264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Dace Avotina</w:t>
      </w:r>
      <w:r w:rsidR="008264EB" w:rsidRPr="00840284">
        <w:rPr>
          <w:rFonts w:ascii="Times New Roman" w:eastAsia="Times New Roman" w:hAnsi="Times New Roman" w:cs="Times New Roman"/>
        </w:rPr>
        <w:t xml:space="preserve">, </w:t>
      </w:r>
      <w:r>
        <w:rPr>
          <w:rFonts w:ascii="Times New Roman" w:eastAsia="Times New Roman" w:hAnsi="Times New Roman" w:cs="Times New Roman"/>
        </w:rPr>
        <w:t>67083920</w:t>
      </w:r>
    </w:p>
    <w:p w:rsidR="008264EB" w:rsidRPr="001600ED" w:rsidRDefault="00E86EE2" w:rsidP="008264EB">
      <w:pPr>
        <w:rPr>
          <w:szCs w:val="28"/>
        </w:rPr>
      </w:pPr>
      <w:hyperlink r:id="rId9" w:history="1">
        <w:r w:rsidR="00D7249F" w:rsidRPr="00440C77">
          <w:rPr>
            <w:rStyle w:val="Hyperlink"/>
            <w:sz w:val="20"/>
          </w:rPr>
          <w:t>Dace.Avotina@fm.gov.lv</w:t>
        </w:r>
      </w:hyperlink>
    </w:p>
    <w:p w:rsidR="00BB1E0F" w:rsidRPr="00085EA4" w:rsidRDefault="00BB1E0F" w:rsidP="008264EB">
      <w:pPr>
        <w:pStyle w:val="BodyTextIndent"/>
        <w:ind w:firstLine="0"/>
      </w:pPr>
    </w:p>
    <w:sectPr w:rsidR="00BB1E0F" w:rsidRPr="00085EA4" w:rsidSect="00EE76FB">
      <w:headerReference w:type="default" r:id="rId10"/>
      <w:footerReference w:type="default" r:id="rId11"/>
      <w:footerReference w:type="first" r:id="rId12"/>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E2" w:rsidRDefault="00E86EE2" w:rsidP="008125DD">
      <w:r>
        <w:separator/>
      </w:r>
    </w:p>
  </w:endnote>
  <w:endnote w:type="continuationSeparator" w:id="0">
    <w:p w:rsidR="00E86EE2" w:rsidRDefault="00E86EE2"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38" w:rsidRPr="003C0970" w:rsidRDefault="00503138" w:rsidP="00F954A5">
    <w:pPr>
      <w:jc w:val="both"/>
      <w:rPr>
        <w:sz w:val="20"/>
        <w:szCs w:val="20"/>
        <w:lang w:eastAsia="lv-LV"/>
      </w:rPr>
    </w:pPr>
    <w:r w:rsidRPr="0061514D">
      <w:rPr>
        <w:sz w:val="20"/>
      </w:rPr>
      <w:fldChar w:fldCharType="begin"/>
    </w:r>
    <w:r w:rsidRPr="0061514D">
      <w:rPr>
        <w:sz w:val="20"/>
      </w:rPr>
      <w:instrText xml:space="preserve"> FILENAME  \* MERGEFORMAT </w:instrText>
    </w:r>
    <w:r w:rsidRPr="0061514D">
      <w:rPr>
        <w:sz w:val="20"/>
      </w:rPr>
      <w:fldChar w:fldCharType="separate"/>
    </w:r>
    <w:r w:rsidR="002A0DAD">
      <w:rPr>
        <w:noProof/>
        <w:sz w:val="20"/>
      </w:rPr>
      <w:t>FMAnot_sakumdekl_04042011.docx</w:t>
    </w:r>
    <w:r w:rsidRPr="0061514D">
      <w:rPr>
        <w:sz w:val="20"/>
      </w:rPr>
      <w:fldChar w:fldCharType="end"/>
    </w:r>
    <w:r w:rsidRPr="0061514D">
      <w:rPr>
        <w:sz w:val="20"/>
      </w:rPr>
      <w:t xml:space="preserve">; </w:t>
    </w:r>
    <w:r>
      <w:rPr>
        <w:sz w:val="20"/>
      </w:rPr>
      <w:t>Likumprojekta „</w:t>
    </w:r>
    <w:r w:rsidRPr="00EE76FB">
      <w:rPr>
        <w:sz w:val="20"/>
      </w:rPr>
      <w:t>Fizisko personu mantiskā stāvokļa deklarēšanas likums</w:t>
    </w:r>
    <w:r>
      <w:rPr>
        <w:sz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38" w:rsidRPr="00FC68B5" w:rsidRDefault="002A0DAD" w:rsidP="008264EB">
    <w:pPr>
      <w:jc w:val="both"/>
      <w:rPr>
        <w:sz w:val="20"/>
      </w:rPr>
    </w:pPr>
    <w:fldSimple w:instr=" FILENAME  \* MERGEFORMAT ">
      <w:r w:rsidRPr="002A0DAD">
        <w:rPr>
          <w:noProof/>
          <w:sz w:val="20"/>
          <w:szCs w:val="20"/>
        </w:rPr>
        <w:t>FMAnot_sakumdekl_04042011</w:t>
      </w:r>
      <w:r>
        <w:rPr>
          <w:noProof/>
        </w:rPr>
        <w:t>.docx</w:t>
      </w:r>
    </w:fldSimple>
    <w:r w:rsidR="00503138" w:rsidRPr="00984598">
      <w:rPr>
        <w:sz w:val="20"/>
        <w:szCs w:val="20"/>
      </w:rPr>
      <w:t>;</w:t>
    </w:r>
    <w:r w:rsidR="00503138" w:rsidRPr="003C0970">
      <w:rPr>
        <w:sz w:val="20"/>
        <w:szCs w:val="20"/>
      </w:rPr>
      <w:t xml:space="preserve"> </w:t>
    </w:r>
    <w:r w:rsidR="00503138">
      <w:rPr>
        <w:sz w:val="20"/>
        <w:szCs w:val="20"/>
        <w:lang w:eastAsia="lv-LV"/>
      </w:rPr>
      <w:t xml:space="preserve"> </w:t>
    </w:r>
    <w:r w:rsidR="00503138">
      <w:rPr>
        <w:sz w:val="20"/>
      </w:rPr>
      <w:t xml:space="preserve">Likumprojekta „Grozījumi likumā „Par nodokļiem un nodevām”” anotācija </w:t>
    </w:r>
  </w:p>
  <w:p w:rsidR="00503138" w:rsidRDefault="00503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E2" w:rsidRDefault="00E86EE2" w:rsidP="008125DD">
      <w:r>
        <w:separator/>
      </w:r>
    </w:p>
  </w:footnote>
  <w:footnote w:type="continuationSeparator" w:id="0">
    <w:p w:rsidR="00E86EE2" w:rsidRDefault="00E86EE2"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844"/>
      <w:docPartObj>
        <w:docPartGallery w:val="Page Numbers (Top of Page)"/>
        <w:docPartUnique/>
      </w:docPartObj>
    </w:sdtPr>
    <w:sdtEndPr/>
    <w:sdtContent>
      <w:p w:rsidR="00503138" w:rsidRDefault="00503138">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sidR="00B30D28">
          <w:rPr>
            <w:noProof/>
            <w:sz w:val="20"/>
            <w:szCs w:val="20"/>
          </w:rPr>
          <w:t>6</w:t>
        </w:r>
        <w:r w:rsidRPr="009C62E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88"/>
    <w:multiLevelType w:val="hybridMultilevel"/>
    <w:tmpl w:val="56708D44"/>
    <w:lvl w:ilvl="0" w:tplc="8174CB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96338A"/>
    <w:multiLevelType w:val="hybridMultilevel"/>
    <w:tmpl w:val="CB503270"/>
    <w:lvl w:ilvl="0" w:tplc="3AE4B50A">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01E29F9"/>
    <w:multiLevelType w:val="hybridMultilevel"/>
    <w:tmpl w:val="E708D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87A52"/>
    <w:multiLevelType w:val="hybridMultilevel"/>
    <w:tmpl w:val="39F240A2"/>
    <w:lvl w:ilvl="0" w:tplc="CE9CDD66">
      <w:start w:val="1"/>
      <w:numFmt w:val="decimal"/>
      <w:lvlText w:val="%1."/>
      <w:lvlJc w:val="left"/>
      <w:pPr>
        <w:ind w:left="486" w:hanging="360"/>
      </w:pPr>
      <w:rPr>
        <w:rFonts w:hint="default"/>
        <w:i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4">
    <w:nsid w:val="4918696F"/>
    <w:multiLevelType w:val="hybridMultilevel"/>
    <w:tmpl w:val="8FAA0700"/>
    <w:lvl w:ilvl="0" w:tplc="82C2E6A2">
      <w:start w:val="7"/>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5">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6">
    <w:nsid w:val="55E92386"/>
    <w:multiLevelType w:val="hybridMultilevel"/>
    <w:tmpl w:val="C392729A"/>
    <w:lvl w:ilvl="0" w:tplc="C2C23C5A">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7">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52C1129"/>
    <w:multiLevelType w:val="hybridMultilevel"/>
    <w:tmpl w:val="4ED83FA8"/>
    <w:lvl w:ilvl="0" w:tplc="DC58C68A">
      <w:start w:val="6"/>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9">
    <w:nsid w:val="67AF7CD0"/>
    <w:multiLevelType w:val="hybridMultilevel"/>
    <w:tmpl w:val="E9FE68C8"/>
    <w:lvl w:ilvl="0" w:tplc="B756F8E4">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0">
    <w:nsid w:val="686E06DF"/>
    <w:multiLevelType w:val="hybridMultilevel"/>
    <w:tmpl w:val="9426FDB2"/>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1">
    <w:nsid w:val="7F983C6D"/>
    <w:multiLevelType w:val="hybridMultilevel"/>
    <w:tmpl w:val="BAAE2282"/>
    <w:lvl w:ilvl="0" w:tplc="8174CB5E">
      <w:numFmt w:val="bullet"/>
      <w:lvlText w:val="-"/>
      <w:lvlJc w:val="left"/>
      <w:pPr>
        <w:ind w:left="825" w:hanging="360"/>
      </w:pPr>
      <w:rPr>
        <w:rFonts w:ascii="Times New Roman" w:eastAsiaTheme="minorHAnsi" w:hAnsi="Times New Roman" w:cs="Times New Roman"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1"/>
  </w:num>
  <w:num w:numId="7">
    <w:abstractNumId w:val="11"/>
  </w:num>
  <w:num w:numId="8">
    <w:abstractNumId w:val="7"/>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9A"/>
    <w:rsid w:val="00002E15"/>
    <w:rsid w:val="00003D04"/>
    <w:rsid w:val="00004CCF"/>
    <w:rsid w:val="00004EB5"/>
    <w:rsid w:val="00007B75"/>
    <w:rsid w:val="000106A5"/>
    <w:rsid w:val="000132B9"/>
    <w:rsid w:val="00016B08"/>
    <w:rsid w:val="0001788E"/>
    <w:rsid w:val="000209F0"/>
    <w:rsid w:val="00020D55"/>
    <w:rsid w:val="00024038"/>
    <w:rsid w:val="00031494"/>
    <w:rsid w:val="00032F60"/>
    <w:rsid w:val="00033CF8"/>
    <w:rsid w:val="00036550"/>
    <w:rsid w:val="00037085"/>
    <w:rsid w:val="00040487"/>
    <w:rsid w:val="000404D7"/>
    <w:rsid w:val="000425C1"/>
    <w:rsid w:val="00050172"/>
    <w:rsid w:val="00050266"/>
    <w:rsid w:val="0005162C"/>
    <w:rsid w:val="0005279F"/>
    <w:rsid w:val="000532D8"/>
    <w:rsid w:val="00057293"/>
    <w:rsid w:val="0006321F"/>
    <w:rsid w:val="00063B95"/>
    <w:rsid w:val="00065FE8"/>
    <w:rsid w:val="00070478"/>
    <w:rsid w:val="00077A57"/>
    <w:rsid w:val="000840FE"/>
    <w:rsid w:val="000854FF"/>
    <w:rsid w:val="00085EA4"/>
    <w:rsid w:val="00090087"/>
    <w:rsid w:val="0009095D"/>
    <w:rsid w:val="000916CA"/>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256F"/>
    <w:rsid w:val="000D2749"/>
    <w:rsid w:val="000D58ED"/>
    <w:rsid w:val="000D66D2"/>
    <w:rsid w:val="000E2411"/>
    <w:rsid w:val="000E2A8F"/>
    <w:rsid w:val="000F0126"/>
    <w:rsid w:val="000F312B"/>
    <w:rsid w:val="000F3AD2"/>
    <w:rsid w:val="000F6EA7"/>
    <w:rsid w:val="00101FB9"/>
    <w:rsid w:val="00103682"/>
    <w:rsid w:val="00110200"/>
    <w:rsid w:val="00110A46"/>
    <w:rsid w:val="001119FE"/>
    <w:rsid w:val="0011363F"/>
    <w:rsid w:val="00114A07"/>
    <w:rsid w:val="0012301B"/>
    <w:rsid w:val="00123828"/>
    <w:rsid w:val="00124A50"/>
    <w:rsid w:val="00124CFC"/>
    <w:rsid w:val="00126C90"/>
    <w:rsid w:val="00131008"/>
    <w:rsid w:val="0013416C"/>
    <w:rsid w:val="001370A0"/>
    <w:rsid w:val="00140714"/>
    <w:rsid w:val="00143D5C"/>
    <w:rsid w:val="0014607F"/>
    <w:rsid w:val="001477AA"/>
    <w:rsid w:val="00147DB1"/>
    <w:rsid w:val="001510FA"/>
    <w:rsid w:val="00151F2F"/>
    <w:rsid w:val="00152700"/>
    <w:rsid w:val="00162DAD"/>
    <w:rsid w:val="001633B9"/>
    <w:rsid w:val="00163732"/>
    <w:rsid w:val="00164732"/>
    <w:rsid w:val="001656E1"/>
    <w:rsid w:val="001706FB"/>
    <w:rsid w:val="00172364"/>
    <w:rsid w:val="00181002"/>
    <w:rsid w:val="00184ECE"/>
    <w:rsid w:val="00190450"/>
    <w:rsid w:val="00190A4A"/>
    <w:rsid w:val="001926B5"/>
    <w:rsid w:val="00196683"/>
    <w:rsid w:val="001A3AD5"/>
    <w:rsid w:val="001A6533"/>
    <w:rsid w:val="001A6FB4"/>
    <w:rsid w:val="001B0197"/>
    <w:rsid w:val="001B0345"/>
    <w:rsid w:val="001B3B62"/>
    <w:rsid w:val="001B5F38"/>
    <w:rsid w:val="001D1825"/>
    <w:rsid w:val="001D3D28"/>
    <w:rsid w:val="001E0C8C"/>
    <w:rsid w:val="001E0DD3"/>
    <w:rsid w:val="001E17B2"/>
    <w:rsid w:val="001E5245"/>
    <w:rsid w:val="001F40CC"/>
    <w:rsid w:val="001F44A1"/>
    <w:rsid w:val="001F52FC"/>
    <w:rsid w:val="001F641B"/>
    <w:rsid w:val="00201F69"/>
    <w:rsid w:val="0020393E"/>
    <w:rsid w:val="002073C4"/>
    <w:rsid w:val="0021238C"/>
    <w:rsid w:val="0021385F"/>
    <w:rsid w:val="00214C86"/>
    <w:rsid w:val="0021690C"/>
    <w:rsid w:val="00220650"/>
    <w:rsid w:val="00221D45"/>
    <w:rsid w:val="002220D8"/>
    <w:rsid w:val="00225C70"/>
    <w:rsid w:val="002266A8"/>
    <w:rsid w:val="00226B40"/>
    <w:rsid w:val="0023096D"/>
    <w:rsid w:val="00233B09"/>
    <w:rsid w:val="00234EE0"/>
    <w:rsid w:val="0023571B"/>
    <w:rsid w:val="00235CFB"/>
    <w:rsid w:val="00240D0E"/>
    <w:rsid w:val="00242F9F"/>
    <w:rsid w:val="00246AC2"/>
    <w:rsid w:val="00250631"/>
    <w:rsid w:val="00254CE3"/>
    <w:rsid w:val="002558AA"/>
    <w:rsid w:val="0025590C"/>
    <w:rsid w:val="002606D7"/>
    <w:rsid w:val="00262B68"/>
    <w:rsid w:val="002649CA"/>
    <w:rsid w:val="00266B21"/>
    <w:rsid w:val="002674F8"/>
    <w:rsid w:val="00275808"/>
    <w:rsid w:val="00275C84"/>
    <w:rsid w:val="002761CC"/>
    <w:rsid w:val="002778BE"/>
    <w:rsid w:val="002854EE"/>
    <w:rsid w:val="0029068A"/>
    <w:rsid w:val="002925F9"/>
    <w:rsid w:val="002A0DAD"/>
    <w:rsid w:val="002A1149"/>
    <w:rsid w:val="002A321A"/>
    <w:rsid w:val="002A3EE5"/>
    <w:rsid w:val="002B11A9"/>
    <w:rsid w:val="002B21B0"/>
    <w:rsid w:val="002B21E8"/>
    <w:rsid w:val="002B25ED"/>
    <w:rsid w:val="002B32B6"/>
    <w:rsid w:val="002C44AA"/>
    <w:rsid w:val="002C5971"/>
    <w:rsid w:val="002C764E"/>
    <w:rsid w:val="002D0453"/>
    <w:rsid w:val="002D097C"/>
    <w:rsid w:val="002D0B60"/>
    <w:rsid w:val="002D10F2"/>
    <w:rsid w:val="002D5252"/>
    <w:rsid w:val="002D7462"/>
    <w:rsid w:val="002D7AD9"/>
    <w:rsid w:val="002F0702"/>
    <w:rsid w:val="002F170C"/>
    <w:rsid w:val="002F231C"/>
    <w:rsid w:val="002F398B"/>
    <w:rsid w:val="00300A08"/>
    <w:rsid w:val="00301498"/>
    <w:rsid w:val="00301778"/>
    <w:rsid w:val="00305ACB"/>
    <w:rsid w:val="00307DD0"/>
    <w:rsid w:val="00313206"/>
    <w:rsid w:val="003132B0"/>
    <w:rsid w:val="003134CF"/>
    <w:rsid w:val="00317933"/>
    <w:rsid w:val="003221E0"/>
    <w:rsid w:val="003237CA"/>
    <w:rsid w:val="00330AED"/>
    <w:rsid w:val="00330C74"/>
    <w:rsid w:val="00333C03"/>
    <w:rsid w:val="003363CC"/>
    <w:rsid w:val="00337AB7"/>
    <w:rsid w:val="00337FD0"/>
    <w:rsid w:val="00343349"/>
    <w:rsid w:val="003455D0"/>
    <w:rsid w:val="003459D3"/>
    <w:rsid w:val="003500FB"/>
    <w:rsid w:val="0035049F"/>
    <w:rsid w:val="00350C3D"/>
    <w:rsid w:val="00353135"/>
    <w:rsid w:val="00356153"/>
    <w:rsid w:val="00356240"/>
    <w:rsid w:val="00360BDA"/>
    <w:rsid w:val="003621E2"/>
    <w:rsid w:val="00362948"/>
    <w:rsid w:val="00364DBF"/>
    <w:rsid w:val="00374369"/>
    <w:rsid w:val="00382232"/>
    <w:rsid w:val="003864B9"/>
    <w:rsid w:val="00392507"/>
    <w:rsid w:val="00392F00"/>
    <w:rsid w:val="00395A4C"/>
    <w:rsid w:val="00395CBC"/>
    <w:rsid w:val="0039636F"/>
    <w:rsid w:val="003A5FA4"/>
    <w:rsid w:val="003A75C1"/>
    <w:rsid w:val="003A7DC4"/>
    <w:rsid w:val="003B0028"/>
    <w:rsid w:val="003B0673"/>
    <w:rsid w:val="003B35F4"/>
    <w:rsid w:val="003B3E52"/>
    <w:rsid w:val="003C0970"/>
    <w:rsid w:val="003C6FDD"/>
    <w:rsid w:val="003D1338"/>
    <w:rsid w:val="003D2391"/>
    <w:rsid w:val="003D31F8"/>
    <w:rsid w:val="003D3303"/>
    <w:rsid w:val="003D69EB"/>
    <w:rsid w:val="003E162A"/>
    <w:rsid w:val="003E3D28"/>
    <w:rsid w:val="003E3DBD"/>
    <w:rsid w:val="003E7020"/>
    <w:rsid w:val="003F3538"/>
    <w:rsid w:val="003F58F8"/>
    <w:rsid w:val="003F5C07"/>
    <w:rsid w:val="00402452"/>
    <w:rsid w:val="00403AC6"/>
    <w:rsid w:val="004106C1"/>
    <w:rsid w:val="00420082"/>
    <w:rsid w:val="004342E0"/>
    <w:rsid w:val="004405CA"/>
    <w:rsid w:val="00443600"/>
    <w:rsid w:val="004444D9"/>
    <w:rsid w:val="00451BC5"/>
    <w:rsid w:val="00453C57"/>
    <w:rsid w:val="00457FDD"/>
    <w:rsid w:val="00461A2A"/>
    <w:rsid w:val="00463BE7"/>
    <w:rsid w:val="004675C3"/>
    <w:rsid w:val="004675C8"/>
    <w:rsid w:val="004737E1"/>
    <w:rsid w:val="0047441F"/>
    <w:rsid w:val="00494075"/>
    <w:rsid w:val="004973D9"/>
    <w:rsid w:val="004A0433"/>
    <w:rsid w:val="004A1A60"/>
    <w:rsid w:val="004B08EE"/>
    <w:rsid w:val="004B0FE9"/>
    <w:rsid w:val="004B19D4"/>
    <w:rsid w:val="004B3E89"/>
    <w:rsid w:val="004B3EB7"/>
    <w:rsid w:val="004B501F"/>
    <w:rsid w:val="004B544E"/>
    <w:rsid w:val="004B7B23"/>
    <w:rsid w:val="004C1FC4"/>
    <w:rsid w:val="004C2148"/>
    <w:rsid w:val="004C4DBE"/>
    <w:rsid w:val="004C5F52"/>
    <w:rsid w:val="004D14A0"/>
    <w:rsid w:val="004D1859"/>
    <w:rsid w:val="004D21E1"/>
    <w:rsid w:val="004D27E8"/>
    <w:rsid w:val="004D29F0"/>
    <w:rsid w:val="004D4DEF"/>
    <w:rsid w:val="004D6A39"/>
    <w:rsid w:val="004E0147"/>
    <w:rsid w:val="004E1BDF"/>
    <w:rsid w:val="004E2CD8"/>
    <w:rsid w:val="004E667B"/>
    <w:rsid w:val="004E714F"/>
    <w:rsid w:val="004E756C"/>
    <w:rsid w:val="004F28BA"/>
    <w:rsid w:val="004F485C"/>
    <w:rsid w:val="004F5515"/>
    <w:rsid w:val="004F7F51"/>
    <w:rsid w:val="00501875"/>
    <w:rsid w:val="00502969"/>
    <w:rsid w:val="00503138"/>
    <w:rsid w:val="00510ED3"/>
    <w:rsid w:val="00514322"/>
    <w:rsid w:val="00514CEE"/>
    <w:rsid w:val="00521532"/>
    <w:rsid w:val="00524E1B"/>
    <w:rsid w:val="00526952"/>
    <w:rsid w:val="00526A64"/>
    <w:rsid w:val="00532461"/>
    <w:rsid w:val="00533279"/>
    <w:rsid w:val="0053430F"/>
    <w:rsid w:val="00534EC3"/>
    <w:rsid w:val="005376A4"/>
    <w:rsid w:val="0054450E"/>
    <w:rsid w:val="00544942"/>
    <w:rsid w:val="005457B1"/>
    <w:rsid w:val="005562EE"/>
    <w:rsid w:val="00561078"/>
    <w:rsid w:val="005616C8"/>
    <w:rsid w:val="0056247D"/>
    <w:rsid w:val="00562F81"/>
    <w:rsid w:val="00563363"/>
    <w:rsid w:val="0056453A"/>
    <w:rsid w:val="00566CC9"/>
    <w:rsid w:val="00567A64"/>
    <w:rsid w:val="005706F7"/>
    <w:rsid w:val="00570F90"/>
    <w:rsid w:val="00571F52"/>
    <w:rsid w:val="00573A1F"/>
    <w:rsid w:val="005762B0"/>
    <w:rsid w:val="00577061"/>
    <w:rsid w:val="00577FE5"/>
    <w:rsid w:val="00583EB9"/>
    <w:rsid w:val="00590849"/>
    <w:rsid w:val="0059331A"/>
    <w:rsid w:val="005946AC"/>
    <w:rsid w:val="005954B4"/>
    <w:rsid w:val="0059679B"/>
    <w:rsid w:val="00597BD0"/>
    <w:rsid w:val="005A039A"/>
    <w:rsid w:val="005B2D51"/>
    <w:rsid w:val="005B74DA"/>
    <w:rsid w:val="005C1E93"/>
    <w:rsid w:val="005D3C30"/>
    <w:rsid w:val="005D4AD8"/>
    <w:rsid w:val="005D559D"/>
    <w:rsid w:val="005F0EFE"/>
    <w:rsid w:val="005F674E"/>
    <w:rsid w:val="00605A3E"/>
    <w:rsid w:val="0060685C"/>
    <w:rsid w:val="006135DF"/>
    <w:rsid w:val="0061514D"/>
    <w:rsid w:val="00621AA4"/>
    <w:rsid w:val="00625B72"/>
    <w:rsid w:val="0062726E"/>
    <w:rsid w:val="00631202"/>
    <w:rsid w:val="00632A29"/>
    <w:rsid w:val="006367A8"/>
    <w:rsid w:val="00643A3D"/>
    <w:rsid w:val="0064469C"/>
    <w:rsid w:val="00644E7F"/>
    <w:rsid w:val="00647BC9"/>
    <w:rsid w:val="0065091E"/>
    <w:rsid w:val="00650E32"/>
    <w:rsid w:val="006536D3"/>
    <w:rsid w:val="0065746F"/>
    <w:rsid w:val="0066198C"/>
    <w:rsid w:val="00662672"/>
    <w:rsid w:val="00665C23"/>
    <w:rsid w:val="00672768"/>
    <w:rsid w:val="00675FC9"/>
    <w:rsid w:val="006766C6"/>
    <w:rsid w:val="0068020A"/>
    <w:rsid w:val="006821F2"/>
    <w:rsid w:val="00683A49"/>
    <w:rsid w:val="00683C25"/>
    <w:rsid w:val="00687E23"/>
    <w:rsid w:val="00691138"/>
    <w:rsid w:val="0069406A"/>
    <w:rsid w:val="006A5BEE"/>
    <w:rsid w:val="006A62FD"/>
    <w:rsid w:val="006A777C"/>
    <w:rsid w:val="006B0409"/>
    <w:rsid w:val="006B1D13"/>
    <w:rsid w:val="006C1515"/>
    <w:rsid w:val="006C18BC"/>
    <w:rsid w:val="006C22C6"/>
    <w:rsid w:val="006C2AAA"/>
    <w:rsid w:val="006C3439"/>
    <w:rsid w:val="006C3B45"/>
    <w:rsid w:val="006C6120"/>
    <w:rsid w:val="006D0007"/>
    <w:rsid w:val="006D0FCD"/>
    <w:rsid w:val="006E0B6A"/>
    <w:rsid w:val="006E658B"/>
    <w:rsid w:val="006E6EA6"/>
    <w:rsid w:val="006F32C5"/>
    <w:rsid w:val="006F6289"/>
    <w:rsid w:val="006F7CBA"/>
    <w:rsid w:val="0070128C"/>
    <w:rsid w:val="007027CE"/>
    <w:rsid w:val="00702FDC"/>
    <w:rsid w:val="00706247"/>
    <w:rsid w:val="007074DB"/>
    <w:rsid w:val="00711EE5"/>
    <w:rsid w:val="0071238D"/>
    <w:rsid w:val="0071754B"/>
    <w:rsid w:val="00720C6D"/>
    <w:rsid w:val="007250B0"/>
    <w:rsid w:val="00725E4C"/>
    <w:rsid w:val="0072757E"/>
    <w:rsid w:val="00730454"/>
    <w:rsid w:val="00731075"/>
    <w:rsid w:val="00732E0A"/>
    <w:rsid w:val="0073354E"/>
    <w:rsid w:val="00733B66"/>
    <w:rsid w:val="007346C3"/>
    <w:rsid w:val="00734D73"/>
    <w:rsid w:val="00745407"/>
    <w:rsid w:val="00746E89"/>
    <w:rsid w:val="00747E39"/>
    <w:rsid w:val="00752F08"/>
    <w:rsid w:val="00753EC0"/>
    <w:rsid w:val="00763064"/>
    <w:rsid w:val="00765810"/>
    <w:rsid w:val="007665AD"/>
    <w:rsid w:val="00766FB9"/>
    <w:rsid w:val="00771AF9"/>
    <w:rsid w:val="00772D65"/>
    <w:rsid w:val="00775E60"/>
    <w:rsid w:val="00784117"/>
    <w:rsid w:val="00793EE1"/>
    <w:rsid w:val="0079410D"/>
    <w:rsid w:val="00794849"/>
    <w:rsid w:val="00794B39"/>
    <w:rsid w:val="00796BEB"/>
    <w:rsid w:val="00797FA6"/>
    <w:rsid w:val="007A0C42"/>
    <w:rsid w:val="007A1225"/>
    <w:rsid w:val="007A39B9"/>
    <w:rsid w:val="007A4BB7"/>
    <w:rsid w:val="007A7D95"/>
    <w:rsid w:val="007B1B05"/>
    <w:rsid w:val="007B2F0F"/>
    <w:rsid w:val="007B3C3E"/>
    <w:rsid w:val="007B4202"/>
    <w:rsid w:val="007C2428"/>
    <w:rsid w:val="007C6213"/>
    <w:rsid w:val="007D09E6"/>
    <w:rsid w:val="007D1D03"/>
    <w:rsid w:val="007D26FE"/>
    <w:rsid w:val="007D4392"/>
    <w:rsid w:val="007D4BB3"/>
    <w:rsid w:val="007D4BE2"/>
    <w:rsid w:val="007D6062"/>
    <w:rsid w:val="007E150D"/>
    <w:rsid w:val="007E238B"/>
    <w:rsid w:val="007E4D50"/>
    <w:rsid w:val="007F4FA2"/>
    <w:rsid w:val="00805D61"/>
    <w:rsid w:val="008071A6"/>
    <w:rsid w:val="00807D08"/>
    <w:rsid w:val="008125DD"/>
    <w:rsid w:val="00813430"/>
    <w:rsid w:val="00816AA3"/>
    <w:rsid w:val="00817A10"/>
    <w:rsid w:val="008237C1"/>
    <w:rsid w:val="00825484"/>
    <w:rsid w:val="008264EB"/>
    <w:rsid w:val="00826652"/>
    <w:rsid w:val="0082792F"/>
    <w:rsid w:val="008305D5"/>
    <w:rsid w:val="0084021F"/>
    <w:rsid w:val="00840668"/>
    <w:rsid w:val="00841696"/>
    <w:rsid w:val="00841D7F"/>
    <w:rsid w:val="0084563F"/>
    <w:rsid w:val="00845E11"/>
    <w:rsid w:val="00850470"/>
    <w:rsid w:val="008506B9"/>
    <w:rsid w:val="008551C9"/>
    <w:rsid w:val="0086528D"/>
    <w:rsid w:val="0086614A"/>
    <w:rsid w:val="00867A87"/>
    <w:rsid w:val="00867C74"/>
    <w:rsid w:val="00874871"/>
    <w:rsid w:val="008768DC"/>
    <w:rsid w:val="00877130"/>
    <w:rsid w:val="00881F21"/>
    <w:rsid w:val="00882009"/>
    <w:rsid w:val="00895D1B"/>
    <w:rsid w:val="00896708"/>
    <w:rsid w:val="00897E19"/>
    <w:rsid w:val="008A0486"/>
    <w:rsid w:val="008A21CA"/>
    <w:rsid w:val="008A238C"/>
    <w:rsid w:val="008A331C"/>
    <w:rsid w:val="008B15F2"/>
    <w:rsid w:val="008B29CC"/>
    <w:rsid w:val="008B2A46"/>
    <w:rsid w:val="008B2F0A"/>
    <w:rsid w:val="008B37C8"/>
    <w:rsid w:val="008B4CC6"/>
    <w:rsid w:val="008B4E81"/>
    <w:rsid w:val="008C2DDA"/>
    <w:rsid w:val="008C6613"/>
    <w:rsid w:val="008C6964"/>
    <w:rsid w:val="008D0E91"/>
    <w:rsid w:val="008D59BC"/>
    <w:rsid w:val="008D7237"/>
    <w:rsid w:val="008E7630"/>
    <w:rsid w:val="008E7DE5"/>
    <w:rsid w:val="008F091E"/>
    <w:rsid w:val="008F284A"/>
    <w:rsid w:val="009006C3"/>
    <w:rsid w:val="00900FF8"/>
    <w:rsid w:val="00901620"/>
    <w:rsid w:val="00903433"/>
    <w:rsid w:val="0090355F"/>
    <w:rsid w:val="00904AF7"/>
    <w:rsid w:val="009075F2"/>
    <w:rsid w:val="00907CFD"/>
    <w:rsid w:val="00912059"/>
    <w:rsid w:val="00913BA8"/>
    <w:rsid w:val="0091453D"/>
    <w:rsid w:val="00915520"/>
    <w:rsid w:val="0091718C"/>
    <w:rsid w:val="00922500"/>
    <w:rsid w:val="009231B6"/>
    <w:rsid w:val="00923933"/>
    <w:rsid w:val="009252B8"/>
    <w:rsid w:val="00925CEE"/>
    <w:rsid w:val="00926B88"/>
    <w:rsid w:val="00927F72"/>
    <w:rsid w:val="00931088"/>
    <w:rsid w:val="00936730"/>
    <w:rsid w:val="009368B9"/>
    <w:rsid w:val="00937BC4"/>
    <w:rsid w:val="00943EC8"/>
    <w:rsid w:val="00944B3D"/>
    <w:rsid w:val="00947A94"/>
    <w:rsid w:val="00951DD5"/>
    <w:rsid w:val="00956672"/>
    <w:rsid w:val="00956A18"/>
    <w:rsid w:val="00960403"/>
    <w:rsid w:val="00960EEF"/>
    <w:rsid w:val="0096121A"/>
    <w:rsid w:val="00963F93"/>
    <w:rsid w:val="00966B35"/>
    <w:rsid w:val="0097122D"/>
    <w:rsid w:val="00974A4C"/>
    <w:rsid w:val="009768BD"/>
    <w:rsid w:val="009777DD"/>
    <w:rsid w:val="0098388A"/>
    <w:rsid w:val="00984712"/>
    <w:rsid w:val="00985BE0"/>
    <w:rsid w:val="00985CE2"/>
    <w:rsid w:val="009865D6"/>
    <w:rsid w:val="00990F45"/>
    <w:rsid w:val="00993A36"/>
    <w:rsid w:val="009966EA"/>
    <w:rsid w:val="00996FC2"/>
    <w:rsid w:val="00997674"/>
    <w:rsid w:val="009A3458"/>
    <w:rsid w:val="009A52C5"/>
    <w:rsid w:val="009A679C"/>
    <w:rsid w:val="009A6886"/>
    <w:rsid w:val="009A6B60"/>
    <w:rsid w:val="009B2A3B"/>
    <w:rsid w:val="009B6F52"/>
    <w:rsid w:val="009B7EC2"/>
    <w:rsid w:val="009C62E1"/>
    <w:rsid w:val="009C797D"/>
    <w:rsid w:val="009D0DA7"/>
    <w:rsid w:val="009D1ACE"/>
    <w:rsid w:val="009D28DC"/>
    <w:rsid w:val="009D7122"/>
    <w:rsid w:val="009D7FED"/>
    <w:rsid w:val="009E297B"/>
    <w:rsid w:val="009E588D"/>
    <w:rsid w:val="009F3BF9"/>
    <w:rsid w:val="009F4705"/>
    <w:rsid w:val="009F5006"/>
    <w:rsid w:val="009F645B"/>
    <w:rsid w:val="009F682A"/>
    <w:rsid w:val="009F72D5"/>
    <w:rsid w:val="00A0342F"/>
    <w:rsid w:val="00A041E3"/>
    <w:rsid w:val="00A066AE"/>
    <w:rsid w:val="00A11351"/>
    <w:rsid w:val="00A120FA"/>
    <w:rsid w:val="00A125B3"/>
    <w:rsid w:val="00A12CC2"/>
    <w:rsid w:val="00A130C0"/>
    <w:rsid w:val="00A14C6C"/>
    <w:rsid w:val="00A163CE"/>
    <w:rsid w:val="00A17B1C"/>
    <w:rsid w:val="00A214CD"/>
    <w:rsid w:val="00A24A5E"/>
    <w:rsid w:val="00A25E07"/>
    <w:rsid w:val="00A2645B"/>
    <w:rsid w:val="00A32AAB"/>
    <w:rsid w:val="00A33D2E"/>
    <w:rsid w:val="00A37CFD"/>
    <w:rsid w:val="00A420E2"/>
    <w:rsid w:val="00A43EE3"/>
    <w:rsid w:val="00A50809"/>
    <w:rsid w:val="00A51070"/>
    <w:rsid w:val="00A5529D"/>
    <w:rsid w:val="00A625DB"/>
    <w:rsid w:val="00A6260E"/>
    <w:rsid w:val="00A731BA"/>
    <w:rsid w:val="00A7388D"/>
    <w:rsid w:val="00A7647F"/>
    <w:rsid w:val="00A775AB"/>
    <w:rsid w:val="00A775BC"/>
    <w:rsid w:val="00A80043"/>
    <w:rsid w:val="00A80124"/>
    <w:rsid w:val="00A82C41"/>
    <w:rsid w:val="00A8403B"/>
    <w:rsid w:val="00A86F30"/>
    <w:rsid w:val="00A90E0A"/>
    <w:rsid w:val="00A92B15"/>
    <w:rsid w:val="00A93C56"/>
    <w:rsid w:val="00A9638C"/>
    <w:rsid w:val="00A97E23"/>
    <w:rsid w:val="00AA70B6"/>
    <w:rsid w:val="00AA7138"/>
    <w:rsid w:val="00AB1FDA"/>
    <w:rsid w:val="00AB4CD7"/>
    <w:rsid w:val="00AB5FC6"/>
    <w:rsid w:val="00AC006E"/>
    <w:rsid w:val="00AC1462"/>
    <w:rsid w:val="00AC31B9"/>
    <w:rsid w:val="00AC4BAC"/>
    <w:rsid w:val="00AC4D94"/>
    <w:rsid w:val="00AC4E92"/>
    <w:rsid w:val="00AC5CFD"/>
    <w:rsid w:val="00AC7D8E"/>
    <w:rsid w:val="00AD12EB"/>
    <w:rsid w:val="00AD7705"/>
    <w:rsid w:val="00AE031B"/>
    <w:rsid w:val="00AE06FD"/>
    <w:rsid w:val="00AE46DC"/>
    <w:rsid w:val="00AE4A9A"/>
    <w:rsid w:val="00AF282E"/>
    <w:rsid w:val="00AF67CE"/>
    <w:rsid w:val="00AF6A71"/>
    <w:rsid w:val="00B008F0"/>
    <w:rsid w:val="00B01684"/>
    <w:rsid w:val="00B03EDD"/>
    <w:rsid w:val="00B04852"/>
    <w:rsid w:val="00B05654"/>
    <w:rsid w:val="00B137C6"/>
    <w:rsid w:val="00B15D62"/>
    <w:rsid w:val="00B16B83"/>
    <w:rsid w:val="00B16C2A"/>
    <w:rsid w:val="00B17C59"/>
    <w:rsid w:val="00B203D4"/>
    <w:rsid w:val="00B24E2C"/>
    <w:rsid w:val="00B2735F"/>
    <w:rsid w:val="00B30D28"/>
    <w:rsid w:val="00B32310"/>
    <w:rsid w:val="00B32F95"/>
    <w:rsid w:val="00B33565"/>
    <w:rsid w:val="00B3531E"/>
    <w:rsid w:val="00B35691"/>
    <w:rsid w:val="00B3644A"/>
    <w:rsid w:val="00B40B8F"/>
    <w:rsid w:val="00B410D5"/>
    <w:rsid w:val="00B441CE"/>
    <w:rsid w:val="00B53E21"/>
    <w:rsid w:val="00B54CA8"/>
    <w:rsid w:val="00B566EF"/>
    <w:rsid w:val="00B570FE"/>
    <w:rsid w:val="00B577D9"/>
    <w:rsid w:val="00B607EE"/>
    <w:rsid w:val="00B60C0D"/>
    <w:rsid w:val="00B6630A"/>
    <w:rsid w:val="00B6673B"/>
    <w:rsid w:val="00B70BC1"/>
    <w:rsid w:val="00B70E7F"/>
    <w:rsid w:val="00B7178E"/>
    <w:rsid w:val="00B74912"/>
    <w:rsid w:val="00B75465"/>
    <w:rsid w:val="00B801F5"/>
    <w:rsid w:val="00B81BEC"/>
    <w:rsid w:val="00B91CC9"/>
    <w:rsid w:val="00B91E6D"/>
    <w:rsid w:val="00B94029"/>
    <w:rsid w:val="00B95F22"/>
    <w:rsid w:val="00B96F69"/>
    <w:rsid w:val="00BA040B"/>
    <w:rsid w:val="00BA0A5B"/>
    <w:rsid w:val="00BA243F"/>
    <w:rsid w:val="00BB1E0F"/>
    <w:rsid w:val="00BB21D3"/>
    <w:rsid w:val="00BB3F9E"/>
    <w:rsid w:val="00BB58DD"/>
    <w:rsid w:val="00BC0992"/>
    <w:rsid w:val="00BC495A"/>
    <w:rsid w:val="00BD0F83"/>
    <w:rsid w:val="00BD20D6"/>
    <w:rsid w:val="00BD3E5A"/>
    <w:rsid w:val="00BD40C8"/>
    <w:rsid w:val="00BD68C2"/>
    <w:rsid w:val="00BD78F2"/>
    <w:rsid w:val="00BE174A"/>
    <w:rsid w:val="00BE2AD5"/>
    <w:rsid w:val="00BE57CB"/>
    <w:rsid w:val="00BF0C43"/>
    <w:rsid w:val="00BF329D"/>
    <w:rsid w:val="00BF4D21"/>
    <w:rsid w:val="00BF5183"/>
    <w:rsid w:val="00BF65F5"/>
    <w:rsid w:val="00BF77A5"/>
    <w:rsid w:val="00C0002A"/>
    <w:rsid w:val="00C018C7"/>
    <w:rsid w:val="00C028BE"/>
    <w:rsid w:val="00C04A99"/>
    <w:rsid w:val="00C057FE"/>
    <w:rsid w:val="00C14A49"/>
    <w:rsid w:val="00C15BD3"/>
    <w:rsid w:val="00C16E7F"/>
    <w:rsid w:val="00C17BFF"/>
    <w:rsid w:val="00C2070B"/>
    <w:rsid w:val="00C21952"/>
    <w:rsid w:val="00C21E74"/>
    <w:rsid w:val="00C22CB0"/>
    <w:rsid w:val="00C33C87"/>
    <w:rsid w:val="00C34540"/>
    <w:rsid w:val="00C37372"/>
    <w:rsid w:val="00C426F6"/>
    <w:rsid w:val="00C43E07"/>
    <w:rsid w:val="00C4622C"/>
    <w:rsid w:val="00C47D62"/>
    <w:rsid w:val="00C534E4"/>
    <w:rsid w:val="00C5374E"/>
    <w:rsid w:val="00C5414A"/>
    <w:rsid w:val="00C65D2D"/>
    <w:rsid w:val="00C7307C"/>
    <w:rsid w:val="00C82F0D"/>
    <w:rsid w:val="00C83318"/>
    <w:rsid w:val="00C83EEB"/>
    <w:rsid w:val="00C85F36"/>
    <w:rsid w:val="00C87E9B"/>
    <w:rsid w:val="00C93F90"/>
    <w:rsid w:val="00C97598"/>
    <w:rsid w:val="00CA474A"/>
    <w:rsid w:val="00CA4DC4"/>
    <w:rsid w:val="00CB4AF1"/>
    <w:rsid w:val="00CB518B"/>
    <w:rsid w:val="00CB5C27"/>
    <w:rsid w:val="00CC062F"/>
    <w:rsid w:val="00CC2272"/>
    <w:rsid w:val="00CC3432"/>
    <w:rsid w:val="00CC35F4"/>
    <w:rsid w:val="00CC49B4"/>
    <w:rsid w:val="00CD065B"/>
    <w:rsid w:val="00CD537F"/>
    <w:rsid w:val="00CD791E"/>
    <w:rsid w:val="00CE514A"/>
    <w:rsid w:val="00CF17D1"/>
    <w:rsid w:val="00CF1F63"/>
    <w:rsid w:val="00CF203A"/>
    <w:rsid w:val="00CF3B2C"/>
    <w:rsid w:val="00CF6DC8"/>
    <w:rsid w:val="00D014D1"/>
    <w:rsid w:val="00D0363B"/>
    <w:rsid w:val="00D054F6"/>
    <w:rsid w:val="00D10330"/>
    <w:rsid w:val="00D150EA"/>
    <w:rsid w:val="00D154DB"/>
    <w:rsid w:val="00D15A96"/>
    <w:rsid w:val="00D20611"/>
    <w:rsid w:val="00D22ECC"/>
    <w:rsid w:val="00D268A0"/>
    <w:rsid w:val="00D26CED"/>
    <w:rsid w:val="00D27E07"/>
    <w:rsid w:val="00D32FA8"/>
    <w:rsid w:val="00D4239C"/>
    <w:rsid w:val="00D42918"/>
    <w:rsid w:val="00D429FE"/>
    <w:rsid w:val="00D46E9F"/>
    <w:rsid w:val="00D53766"/>
    <w:rsid w:val="00D54B1D"/>
    <w:rsid w:val="00D568B9"/>
    <w:rsid w:val="00D62132"/>
    <w:rsid w:val="00D64796"/>
    <w:rsid w:val="00D669BD"/>
    <w:rsid w:val="00D677EF"/>
    <w:rsid w:val="00D7249F"/>
    <w:rsid w:val="00D72546"/>
    <w:rsid w:val="00D72C32"/>
    <w:rsid w:val="00D745E6"/>
    <w:rsid w:val="00D74A98"/>
    <w:rsid w:val="00D7741C"/>
    <w:rsid w:val="00D77E81"/>
    <w:rsid w:val="00D806F0"/>
    <w:rsid w:val="00D86382"/>
    <w:rsid w:val="00D865D3"/>
    <w:rsid w:val="00D86ED3"/>
    <w:rsid w:val="00D91C2D"/>
    <w:rsid w:val="00D97B25"/>
    <w:rsid w:val="00D97F44"/>
    <w:rsid w:val="00DA240F"/>
    <w:rsid w:val="00DA3269"/>
    <w:rsid w:val="00DA50E6"/>
    <w:rsid w:val="00DA7FA8"/>
    <w:rsid w:val="00DB508D"/>
    <w:rsid w:val="00DB63FB"/>
    <w:rsid w:val="00DB7728"/>
    <w:rsid w:val="00DC1D8E"/>
    <w:rsid w:val="00DC3CBE"/>
    <w:rsid w:val="00DC52F0"/>
    <w:rsid w:val="00DC5EFE"/>
    <w:rsid w:val="00DD1D2C"/>
    <w:rsid w:val="00DD21CA"/>
    <w:rsid w:val="00DD2E2D"/>
    <w:rsid w:val="00DD6D34"/>
    <w:rsid w:val="00DD7846"/>
    <w:rsid w:val="00DE1C37"/>
    <w:rsid w:val="00DE452C"/>
    <w:rsid w:val="00DE5920"/>
    <w:rsid w:val="00DE5BFD"/>
    <w:rsid w:val="00DE5D16"/>
    <w:rsid w:val="00DE676A"/>
    <w:rsid w:val="00DF0727"/>
    <w:rsid w:val="00DF5944"/>
    <w:rsid w:val="00E00B95"/>
    <w:rsid w:val="00E00C4F"/>
    <w:rsid w:val="00E01859"/>
    <w:rsid w:val="00E03F32"/>
    <w:rsid w:val="00E06393"/>
    <w:rsid w:val="00E068BA"/>
    <w:rsid w:val="00E1176A"/>
    <w:rsid w:val="00E136E3"/>
    <w:rsid w:val="00E15379"/>
    <w:rsid w:val="00E211F4"/>
    <w:rsid w:val="00E21D71"/>
    <w:rsid w:val="00E22C46"/>
    <w:rsid w:val="00E24AAB"/>
    <w:rsid w:val="00E24E81"/>
    <w:rsid w:val="00E25553"/>
    <w:rsid w:val="00E318F3"/>
    <w:rsid w:val="00E31C07"/>
    <w:rsid w:val="00E31EE4"/>
    <w:rsid w:val="00E332BD"/>
    <w:rsid w:val="00E3734B"/>
    <w:rsid w:val="00E41C8D"/>
    <w:rsid w:val="00E45208"/>
    <w:rsid w:val="00E4781A"/>
    <w:rsid w:val="00E54F33"/>
    <w:rsid w:val="00E568D2"/>
    <w:rsid w:val="00E62AEF"/>
    <w:rsid w:val="00E63F5E"/>
    <w:rsid w:val="00E64B2B"/>
    <w:rsid w:val="00E653A6"/>
    <w:rsid w:val="00E77E85"/>
    <w:rsid w:val="00E84864"/>
    <w:rsid w:val="00E85E64"/>
    <w:rsid w:val="00E86EE2"/>
    <w:rsid w:val="00E93117"/>
    <w:rsid w:val="00E93BAB"/>
    <w:rsid w:val="00E949EC"/>
    <w:rsid w:val="00E94A74"/>
    <w:rsid w:val="00E95027"/>
    <w:rsid w:val="00E9731B"/>
    <w:rsid w:val="00EA3201"/>
    <w:rsid w:val="00EA3BB3"/>
    <w:rsid w:val="00EA4790"/>
    <w:rsid w:val="00EB0A59"/>
    <w:rsid w:val="00EB1C65"/>
    <w:rsid w:val="00EB4EA8"/>
    <w:rsid w:val="00EC03A8"/>
    <w:rsid w:val="00EC3371"/>
    <w:rsid w:val="00ED6726"/>
    <w:rsid w:val="00ED6C1A"/>
    <w:rsid w:val="00EE177F"/>
    <w:rsid w:val="00EE2D66"/>
    <w:rsid w:val="00EE385C"/>
    <w:rsid w:val="00EE6D56"/>
    <w:rsid w:val="00EE76FB"/>
    <w:rsid w:val="00EF1B2D"/>
    <w:rsid w:val="00F044A5"/>
    <w:rsid w:val="00F07C07"/>
    <w:rsid w:val="00F07CC7"/>
    <w:rsid w:val="00F10CCC"/>
    <w:rsid w:val="00F11780"/>
    <w:rsid w:val="00F13FC5"/>
    <w:rsid w:val="00F21B81"/>
    <w:rsid w:val="00F2213D"/>
    <w:rsid w:val="00F229FB"/>
    <w:rsid w:val="00F25DF3"/>
    <w:rsid w:val="00F26EAB"/>
    <w:rsid w:val="00F354E8"/>
    <w:rsid w:val="00F36871"/>
    <w:rsid w:val="00F37EF5"/>
    <w:rsid w:val="00F407E7"/>
    <w:rsid w:val="00F44151"/>
    <w:rsid w:val="00F47275"/>
    <w:rsid w:val="00F516E8"/>
    <w:rsid w:val="00F53F7E"/>
    <w:rsid w:val="00F565D8"/>
    <w:rsid w:val="00F643C2"/>
    <w:rsid w:val="00F646B0"/>
    <w:rsid w:val="00F64C5D"/>
    <w:rsid w:val="00F6593E"/>
    <w:rsid w:val="00F67A91"/>
    <w:rsid w:val="00F73A57"/>
    <w:rsid w:val="00F77A94"/>
    <w:rsid w:val="00F80AAD"/>
    <w:rsid w:val="00F81748"/>
    <w:rsid w:val="00F8287B"/>
    <w:rsid w:val="00F85657"/>
    <w:rsid w:val="00F85D72"/>
    <w:rsid w:val="00F87F33"/>
    <w:rsid w:val="00F9040A"/>
    <w:rsid w:val="00F907E2"/>
    <w:rsid w:val="00F90A19"/>
    <w:rsid w:val="00F9215A"/>
    <w:rsid w:val="00F93660"/>
    <w:rsid w:val="00F954A5"/>
    <w:rsid w:val="00F968F0"/>
    <w:rsid w:val="00F970B8"/>
    <w:rsid w:val="00FA3631"/>
    <w:rsid w:val="00FA6CFB"/>
    <w:rsid w:val="00FA70AE"/>
    <w:rsid w:val="00FB0252"/>
    <w:rsid w:val="00FB0C1E"/>
    <w:rsid w:val="00FB287F"/>
    <w:rsid w:val="00FB646B"/>
    <w:rsid w:val="00FC0537"/>
    <w:rsid w:val="00FC170C"/>
    <w:rsid w:val="00FC3F9F"/>
    <w:rsid w:val="00FC45CF"/>
    <w:rsid w:val="00FC69F0"/>
    <w:rsid w:val="00FC717F"/>
    <w:rsid w:val="00FC77EB"/>
    <w:rsid w:val="00FD0971"/>
    <w:rsid w:val="00FD0BA1"/>
    <w:rsid w:val="00FD4781"/>
    <w:rsid w:val="00FE007C"/>
    <w:rsid w:val="00FE354D"/>
    <w:rsid w:val="00FE36B6"/>
    <w:rsid w:val="00FF0A44"/>
    <w:rsid w:val="00FF4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unhideWhenUsed/>
    <w:rsid w:val="00EE76FB"/>
    <w:pPr>
      <w:spacing w:after="120"/>
    </w:pPr>
  </w:style>
  <w:style w:type="character" w:customStyle="1" w:styleId="BodyTextChar">
    <w:name w:val="Body Text Char"/>
    <w:basedOn w:val="DefaultParagraphFont"/>
    <w:link w:val="BodyText"/>
    <w:uiPriority w:val="99"/>
    <w:rsid w:val="00EE76FB"/>
  </w:style>
  <w:style w:type="character" w:styleId="PageNumber">
    <w:name w:val="page number"/>
    <w:basedOn w:val="DefaultParagraphFont"/>
    <w:rsid w:val="00EE76FB"/>
  </w:style>
  <w:style w:type="paragraph" w:styleId="Revision">
    <w:name w:val="Revision"/>
    <w:hidden/>
    <w:uiPriority w:val="99"/>
    <w:semiHidden/>
    <w:rsid w:val="0082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 w:type="paragraph" w:styleId="BodyText">
    <w:name w:val="Body Text"/>
    <w:basedOn w:val="Normal"/>
    <w:link w:val="BodyTextChar"/>
    <w:uiPriority w:val="99"/>
    <w:unhideWhenUsed/>
    <w:rsid w:val="00EE76FB"/>
    <w:pPr>
      <w:spacing w:after="120"/>
    </w:pPr>
  </w:style>
  <w:style w:type="character" w:customStyle="1" w:styleId="BodyTextChar">
    <w:name w:val="Body Text Char"/>
    <w:basedOn w:val="DefaultParagraphFont"/>
    <w:link w:val="BodyText"/>
    <w:uiPriority w:val="99"/>
    <w:rsid w:val="00EE76FB"/>
  </w:style>
  <w:style w:type="character" w:styleId="PageNumber">
    <w:name w:val="page number"/>
    <w:basedOn w:val="DefaultParagraphFont"/>
    <w:rsid w:val="00EE76FB"/>
  </w:style>
  <w:style w:type="paragraph" w:styleId="Revision">
    <w:name w:val="Revision"/>
    <w:hidden/>
    <w:uiPriority w:val="99"/>
    <w:semiHidden/>
    <w:rsid w:val="0082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3568">
      <w:bodyDiv w:val="1"/>
      <w:marLeft w:val="0"/>
      <w:marRight w:val="0"/>
      <w:marTop w:val="0"/>
      <w:marBottom w:val="0"/>
      <w:divBdr>
        <w:top w:val="none" w:sz="0" w:space="0" w:color="auto"/>
        <w:left w:val="none" w:sz="0" w:space="0" w:color="auto"/>
        <w:bottom w:val="none" w:sz="0" w:space="0" w:color="auto"/>
        <w:right w:val="none" w:sz="0" w:space="0" w:color="auto"/>
      </w:divBdr>
    </w:div>
    <w:div w:id="850922069">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126394195">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Avot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2B24-B4A0-4301-95E6-7419D147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8242</Words>
  <Characters>4699</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(anotācija) likumprojektam „Fizisko personu mantiskā stāvokļa deklarēšanas likums”</vt:lpstr>
      <vt:lpstr>Anotācija likumprojektam "Grozījumi likumā "Par pievienotās vērtības nodokli""</vt:lpstr>
    </vt:vector>
  </TitlesOfParts>
  <Company>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likumprojektam „Fizisko personu mantiskā stāvokļa deklarēšanas likums”</dc:title>
  <dc:subject>Anotācija</dc:subject>
  <dc:creator>D.Avotiņa</dc:creator>
  <cp:keywords/>
  <dc:description>Tālrunis 67083920
Fakss 67095421
Dace.Avotīna@fm.gov.lv</dc:description>
  <cp:lastModifiedBy>kc-sprug</cp:lastModifiedBy>
  <cp:revision>5</cp:revision>
  <cp:lastPrinted>2011-04-04T14:21:00Z</cp:lastPrinted>
  <dcterms:created xsi:type="dcterms:W3CDTF">2011-04-04T14:18:00Z</dcterms:created>
  <dcterms:modified xsi:type="dcterms:W3CDTF">2011-04-05T07:21:00Z</dcterms:modified>
  <cp:category>FM</cp:category>
</cp:coreProperties>
</file>