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CE7" w:rsidRDefault="00A93CE7" w:rsidP="00A06185">
      <w:pPr>
        <w:pStyle w:val="BodyText"/>
        <w:ind w:right="-283"/>
        <w:jc w:val="right"/>
        <w:rPr>
          <w:b w:val="0"/>
        </w:rPr>
      </w:pPr>
      <w:bookmarkStart w:id="0" w:name="OLE_LINK7"/>
      <w:bookmarkStart w:id="1" w:name="OLE_LINK8"/>
    </w:p>
    <w:p w:rsidR="00A93CE7" w:rsidRDefault="00A93CE7" w:rsidP="00A06185">
      <w:pPr>
        <w:pStyle w:val="BodyText"/>
        <w:ind w:right="-283"/>
        <w:jc w:val="right"/>
        <w:rPr>
          <w:b w:val="0"/>
        </w:rPr>
      </w:pPr>
    </w:p>
    <w:p w:rsidR="00A06185" w:rsidRPr="00A06185" w:rsidRDefault="00A06185" w:rsidP="00A06185">
      <w:pPr>
        <w:pStyle w:val="BodyText"/>
        <w:ind w:right="-283"/>
        <w:jc w:val="right"/>
        <w:rPr>
          <w:b w:val="0"/>
        </w:rPr>
      </w:pPr>
      <w:r>
        <w:rPr>
          <w:b w:val="0"/>
        </w:rPr>
        <w:t xml:space="preserve">Pielikums </w:t>
      </w:r>
      <w:r w:rsidRPr="00A06185">
        <w:rPr>
          <w:b w:val="0"/>
        </w:rPr>
        <w:t>Ministru kabineta rīkojuma projekt</w:t>
      </w:r>
      <w:r w:rsidR="007D06FF">
        <w:rPr>
          <w:b w:val="0"/>
        </w:rPr>
        <w:t>a</w:t>
      </w:r>
      <w:r w:rsidRPr="00A06185">
        <w:rPr>
          <w:b w:val="0"/>
        </w:rPr>
        <w:t xml:space="preserve"> </w:t>
      </w:r>
    </w:p>
    <w:p w:rsidR="00A06185" w:rsidRPr="00A06185" w:rsidRDefault="00A06185" w:rsidP="00A06185">
      <w:pPr>
        <w:pStyle w:val="BodyText"/>
        <w:ind w:right="-283"/>
        <w:jc w:val="right"/>
        <w:rPr>
          <w:b w:val="0"/>
        </w:rPr>
      </w:pPr>
      <w:r w:rsidRPr="00A06185">
        <w:rPr>
          <w:b w:val="0"/>
        </w:rPr>
        <w:t xml:space="preserve">„Grozījumi Ministru kabineta 2012.gada 24.augusta rīkojumā Nr.410 „Par finansējuma piešķiršanu Korupcijas novēršanas un apkarošanas biroja ēku </w:t>
      </w:r>
      <w:proofErr w:type="spellStart"/>
      <w:r w:rsidRPr="00A06185">
        <w:rPr>
          <w:b w:val="0"/>
        </w:rPr>
        <w:t>Aristida</w:t>
      </w:r>
      <w:proofErr w:type="spellEnd"/>
      <w:r w:rsidRPr="00A06185">
        <w:rPr>
          <w:b w:val="0"/>
        </w:rPr>
        <w:t xml:space="preserve"> </w:t>
      </w:r>
      <w:proofErr w:type="spellStart"/>
      <w:r w:rsidRPr="00A06185">
        <w:rPr>
          <w:b w:val="0"/>
        </w:rPr>
        <w:t>Briāna</w:t>
      </w:r>
      <w:proofErr w:type="spellEnd"/>
      <w:r w:rsidRPr="00A06185">
        <w:rPr>
          <w:b w:val="0"/>
        </w:rPr>
        <w:t xml:space="preserve"> ielā 13, Rīgā, būvniecības projekta izdevumu segšanai</w:t>
      </w:r>
      <w:r w:rsidRPr="00A06185">
        <w:rPr>
          <w:b w:val="0"/>
          <w:iCs/>
          <w:lang w:eastAsia="lv-LV"/>
        </w:rPr>
        <w:t>””</w:t>
      </w:r>
      <w:r w:rsidRPr="00A06185">
        <w:rPr>
          <w:b w:val="0"/>
          <w:bCs w:val="0"/>
        </w:rPr>
        <w:t xml:space="preserve"> sākotnējās ietekmes novērtējuma ziņojum</w:t>
      </w:r>
      <w:r w:rsidR="007D06FF">
        <w:rPr>
          <w:b w:val="0"/>
          <w:bCs w:val="0"/>
        </w:rPr>
        <w:t>am</w:t>
      </w:r>
      <w:r w:rsidRPr="00A06185">
        <w:rPr>
          <w:b w:val="0"/>
          <w:bCs w:val="0"/>
        </w:rPr>
        <w:t xml:space="preserve"> (anotācija</w:t>
      </w:r>
      <w:r w:rsidR="007D06FF">
        <w:rPr>
          <w:b w:val="0"/>
          <w:bCs w:val="0"/>
        </w:rPr>
        <w:t>i</w:t>
      </w:r>
      <w:r w:rsidRPr="00A06185">
        <w:rPr>
          <w:b w:val="0"/>
          <w:bCs w:val="0"/>
        </w:rPr>
        <w:t>)</w:t>
      </w:r>
    </w:p>
    <w:bookmarkEnd w:id="0"/>
    <w:bookmarkEnd w:id="1"/>
    <w:p w:rsidR="00757804" w:rsidRDefault="00757804" w:rsidP="009F7C77">
      <w:pPr>
        <w:spacing w:after="0" w:line="240" w:lineRule="auto"/>
        <w:jc w:val="center"/>
        <w:rPr>
          <w:b/>
          <w:sz w:val="24"/>
          <w:szCs w:val="24"/>
        </w:rPr>
      </w:pPr>
    </w:p>
    <w:p w:rsidR="00391D19" w:rsidRDefault="00391D19" w:rsidP="00391D19">
      <w:pPr>
        <w:spacing w:after="0" w:line="240" w:lineRule="auto"/>
        <w:jc w:val="center"/>
        <w:rPr>
          <w:b/>
          <w:sz w:val="24"/>
          <w:szCs w:val="24"/>
        </w:rPr>
      </w:pPr>
    </w:p>
    <w:p w:rsidR="00391D19" w:rsidRDefault="00391D19" w:rsidP="00391D19">
      <w:pPr>
        <w:spacing w:after="0" w:line="240" w:lineRule="auto"/>
        <w:jc w:val="center"/>
        <w:rPr>
          <w:b/>
          <w:sz w:val="24"/>
          <w:szCs w:val="24"/>
        </w:rPr>
      </w:pPr>
    </w:p>
    <w:p w:rsidR="00391D19" w:rsidRDefault="00784D38" w:rsidP="00391D19">
      <w:pPr>
        <w:spacing w:after="0" w:line="240" w:lineRule="auto"/>
        <w:jc w:val="center"/>
        <w:rPr>
          <w:b/>
          <w:sz w:val="24"/>
          <w:szCs w:val="24"/>
        </w:rPr>
      </w:pPr>
      <w:r>
        <w:rPr>
          <w:b/>
          <w:sz w:val="24"/>
          <w:szCs w:val="24"/>
        </w:rPr>
        <w:t>I</w:t>
      </w:r>
      <w:r w:rsidRPr="00744A62">
        <w:rPr>
          <w:b/>
          <w:sz w:val="24"/>
          <w:szCs w:val="24"/>
        </w:rPr>
        <w:t>nformācij</w:t>
      </w:r>
      <w:r>
        <w:rPr>
          <w:b/>
          <w:sz w:val="24"/>
          <w:szCs w:val="24"/>
        </w:rPr>
        <w:t>a</w:t>
      </w:r>
      <w:r w:rsidRPr="00744A62">
        <w:rPr>
          <w:b/>
          <w:sz w:val="24"/>
          <w:szCs w:val="24"/>
        </w:rPr>
        <w:t xml:space="preserve"> </w:t>
      </w:r>
    </w:p>
    <w:p w:rsidR="00784D38" w:rsidRDefault="00784D38" w:rsidP="00391D19">
      <w:pPr>
        <w:spacing w:after="0" w:line="240" w:lineRule="auto"/>
        <w:jc w:val="center"/>
        <w:rPr>
          <w:b/>
          <w:sz w:val="24"/>
          <w:szCs w:val="24"/>
        </w:rPr>
      </w:pPr>
      <w:r w:rsidRPr="00744A62">
        <w:rPr>
          <w:b/>
          <w:sz w:val="24"/>
          <w:szCs w:val="24"/>
        </w:rPr>
        <w:t>par būvniecības projekt</w:t>
      </w:r>
      <w:r>
        <w:rPr>
          <w:b/>
          <w:sz w:val="24"/>
          <w:szCs w:val="24"/>
        </w:rPr>
        <w:t>a „</w:t>
      </w:r>
      <w:r w:rsidRPr="00B348DE">
        <w:rPr>
          <w:b/>
          <w:sz w:val="24"/>
          <w:szCs w:val="24"/>
        </w:rPr>
        <w:t xml:space="preserve">Korupcijas novēršanas un apkarošanas biroja ēku </w:t>
      </w:r>
      <w:proofErr w:type="spellStart"/>
      <w:r w:rsidRPr="00B348DE">
        <w:rPr>
          <w:b/>
          <w:sz w:val="24"/>
          <w:szCs w:val="24"/>
        </w:rPr>
        <w:t>Aristida</w:t>
      </w:r>
      <w:proofErr w:type="spellEnd"/>
      <w:r w:rsidRPr="00B348DE">
        <w:rPr>
          <w:b/>
          <w:sz w:val="24"/>
          <w:szCs w:val="24"/>
        </w:rPr>
        <w:t xml:space="preserve"> </w:t>
      </w:r>
      <w:proofErr w:type="spellStart"/>
      <w:r w:rsidRPr="00B348DE">
        <w:rPr>
          <w:b/>
          <w:sz w:val="24"/>
          <w:szCs w:val="24"/>
        </w:rPr>
        <w:t>Briāna</w:t>
      </w:r>
      <w:proofErr w:type="spellEnd"/>
      <w:r w:rsidRPr="00B348DE">
        <w:rPr>
          <w:b/>
          <w:sz w:val="24"/>
          <w:szCs w:val="24"/>
        </w:rPr>
        <w:t xml:space="preserve"> ielā 13, Rīgā,</w:t>
      </w:r>
      <w:r w:rsidRPr="0000030F">
        <w:rPr>
          <w:b/>
          <w:sz w:val="24"/>
          <w:szCs w:val="24"/>
        </w:rPr>
        <w:t xml:space="preserve"> rekonstrukcija</w:t>
      </w:r>
      <w:r>
        <w:rPr>
          <w:b/>
          <w:sz w:val="24"/>
          <w:szCs w:val="24"/>
        </w:rPr>
        <w:t>”</w:t>
      </w:r>
      <w:r w:rsidRPr="0012505D">
        <w:rPr>
          <w:b/>
          <w:sz w:val="24"/>
          <w:szCs w:val="24"/>
        </w:rPr>
        <w:t xml:space="preserve"> </w:t>
      </w:r>
      <w:r w:rsidR="00391D19">
        <w:rPr>
          <w:b/>
          <w:sz w:val="24"/>
          <w:szCs w:val="24"/>
        </w:rPr>
        <w:t xml:space="preserve">precizēto </w:t>
      </w:r>
      <w:r w:rsidR="00C21730">
        <w:rPr>
          <w:b/>
          <w:sz w:val="24"/>
          <w:szCs w:val="24"/>
        </w:rPr>
        <w:t>provizorisk</w:t>
      </w:r>
      <w:r w:rsidR="00391D19">
        <w:rPr>
          <w:b/>
          <w:sz w:val="24"/>
          <w:szCs w:val="24"/>
        </w:rPr>
        <w:t>o</w:t>
      </w:r>
      <w:r w:rsidRPr="00A93CE7">
        <w:rPr>
          <w:b/>
          <w:sz w:val="24"/>
          <w:szCs w:val="24"/>
        </w:rPr>
        <w:t xml:space="preserve"> naudas plūsm</w:t>
      </w:r>
      <w:r w:rsidR="00391D19">
        <w:rPr>
          <w:b/>
          <w:sz w:val="24"/>
          <w:szCs w:val="24"/>
        </w:rPr>
        <w:t>u</w:t>
      </w:r>
      <w:r w:rsidRPr="00A93CE7">
        <w:rPr>
          <w:b/>
          <w:sz w:val="24"/>
          <w:szCs w:val="24"/>
        </w:rPr>
        <w:t xml:space="preserve"> sadalījumā pa gadiem</w:t>
      </w:r>
      <w:r w:rsidR="00895420">
        <w:rPr>
          <w:b/>
          <w:sz w:val="24"/>
          <w:szCs w:val="24"/>
        </w:rPr>
        <w:t xml:space="preserve"> </w:t>
      </w:r>
    </w:p>
    <w:p w:rsidR="00895420" w:rsidRDefault="00895420" w:rsidP="00391D19">
      <w:pPr>
        <w:spacing w:after="0" w:line="240" w:lineRule="auto"/>
        <w:jc w:val="center"/>
        <w:rPr>
          <w:b/>
          <w:sz w:val="24"/>
          <w:szCs w:val="24"/>
        </w:rPr>
      </w:pPr>
    </w:p>
    <w:tbl>
      <w:tblPr>
        <w:tblW w:w="9955" w:type="dxa"/>
        <w:jc w:val="center"/>
        <w:tblInd w:w="10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8"/>
        <w:gridCol w:w="851"/>
        <w:gridCol w:w="1182"/>
        <w:gridCol w:w="1234"/>
        <w:gridCol w:w="1239"/>
        <w:gridCol w:w="1234"/>
        <w:gridCol w:w="1195"/>
        <w:gridCol w:w="1199"/>
        <w:gridCol w:w="1253"/>
      </w:tblGrid>
      <w:tr w:rsidR="00895420" w:rsidRPr="00895420" w:rsidTr="00895420">
        <w:trPr>
          <w:trHeight w:val="1647"/>
          <w:jc w:val="center"/>
        </w:trPr>
        <w:tc>
          <w:tcPr>
            <w:tcW w:w="568" w:type="dxa"/>
            <w:vMerge w:val="restart"/>
            <w:shd w:val="clear" w:color="000000" w:fill="FFFFFF"/>
            <w:vAlign w:val="center"/>
            <w:hideMark/>
          </w:tcPr>
          <w:p w:rsidR="00895420" w:rsidRPr="00895420" w:rsidRDefault="00895420" w:rsidP="00895420">
            <w:pPr>
              <w:spacing w:after="0" w:line="240" w:lineRule="auto"/>
              <w:jc w:val="center"/>
              <w:rPr>
                <w:b/>
                <w:bCs/>
                <w:sz w:val="16"/>
                <w:szCs w:val="16"/>
                <w:lang w:eastAsia="lv-LV"/>
              </w:rPr>
            </w:pPr>
            <w:r w:rsidRPr="00895420">
              <w:rPr>
                <w:b/>
                <w:bCs/>
                <w:sz w:val="16"/>
                <w:szCs w:val="16"/>
                <w:lang w:eastAsia="lv-LV"/>
              </w:rPr>
              <w:t>Nr.</w:t>
            </w:r>
            <w:r w:rsidRPr="00895420">
              <w:rPr>
                <w:b/>
                <w:bCs/>
                <w:sz w:val="16"/>
                <w:szCs w:val="16"/>
                <w:lang w:eastAsia="lv-LV"/>
              </w:rPr>
              <w:br/>
              <w:t>p.k.</w:t>
            </w:r>
          </w:p>
        </w:tc>
        <w:tc>
          <w:tcPr>
            <w:tcW w:w="851" w:type="dxa"/>
            <w:vMerge w:val="restart"/>
            <w:shd w:val="clear" w:color="000000" w:fill="FFFFFF"/>
            <w:vAlign w:val="center"/>
            <w:hideMark/>
          </w:tcPr>
          <w:p w:rsidR="00895420" w:rsidRPr="00895420" w:rsidRDefault="00895420" w:rsidP="00895420">
            <w:pPr>
              <w:spacing w:after="0" w:line="240" w:lineRule="auto"/>
              <w:jc w:val="center"/>
              <w:rPr>
                <w:b/>
                <w:bCs/>
                <w:sz w:val="16"/>
                <w:szCs w:val="16"/>
                <w:lang w:eastAsia="lv-LV"/>
              </w:rPr>
            </w:pPr>
            <w:r w:rsidRPr="00895420">
              <w:rPr>
                <w:b/>
                <w:bCs/>
                <w:sz w:val="16"/>
                <w:szCs w:val="16"/>
                <w:lang w:eastAsia="lv-LV"/>
              </w:rPr>
              <w:t>Pārskata periods</w:t>
            </w:r>
            <w:r w:rsidRPr="00895420">
              <w:rPr>
                <w:b/>
                <w:bCs/>
                <w:sz w:val="16"/>
                <w:szCs w:val="16"/>
                <w:lang w:eastAsia="lv-LV"/>
              </w:rPr>
              <w:br/>
              <w:t>(gads)</w:t>
            </w:r>
          </w:p>
        </w:tc>
        <w:tc>
          <w:tcPr>
            <w:tcW w:w="1182" w:type="dxa"/>
            <w:vMerge w:val="restart"/>
            <w:shd w:val="clear" w:color="000000" w:fill="FFFFFF"/>
            <w:vAlign w:val="center"/>
            <w:hideMark/>
          </w:tcPr>
          <w:p w:rsidR="00895420" w:rsidRPr="00895420" w:rsidRDefault="00895420" w:rsidP="00895420">
            <w:pPr>
              <w:spacing w:after="0" w:line="240" w:lineRule="auto"/>
              <w:jc w:val="center"/>
              <w:rPr>
                <w:b/>
                <w:bCs/>
                <w:sz w:val="16"/>
                <w:szCs w:val="16"/>
                <w:lang w:eastAsia="lv-LV"/>
              </w:rPr>
            </w:pPr>
            <w:r w:rsidRPr="00895420">
              <w:rPr>
                <w:b/>
                <w:bCs/>
                <w:sz w:val="16"/>
                <w:szCs w:val="16"/>
                <w:lang w:eastAsia="lv-LV"/>
              </w:rPr>
              <w:t>Likumā „Par valsts budžetu 2013.gadam” Finanšu ministrijai apstiprinātās ilgtermiņu saistības sadalījumā pa gadiem būvniecības izdevumu segšanai (LVL)</w:t>
            </w:r>
          </w:p>
        </w:tc>
        <w:tc>
          <w:tcPr>
            <w:tcW w:w="3707" w:type="dxa"/>
            <w:gridSpan w:val="3"/>
            <w:shd w:val="clear" w:color="000000" w:fill="FFFFFF"/>
            <w:vAlign w:val="center"/>
            <w:hideMark/>
          </w:tcPr>
          <w:p w:rsidR="00895420" w:rsidRPr="00895420" w:rsidRDefault="001620A5" w:rsidP="00895420">
            <w:pPr>
              <w:spacing w:after="0" w:line="240" w:lineRule="auto"/>
              <w:jc w:val="center"/>
              <w:rPr>
                <w:b/>
                <w:bCs/>
                <w:sz w:val="16"/>
                <w:szCs w:val="16"/>
                <w:lang w:eastAsia="lv-LV"/>
              </w:rPr>
            </w:pPr>
            <w:r w:rsidRPr="0095243E">
              <w:rPr>
                <w:b/>
                <w:bCs/>
                <w:sz w:val="16"/>
                <w:szCs w:val="16"/>
                <w:lang w:eastAsia="lv-LV"/>
              </w:rPr>
              <w:t>Izmaiņas +/-</w:t>
            </w:r>
          </w:p>
        </w:tc>
        <w:tc>
          <w:tcPr>
            <w:tcW w:w="3647" w:type="dxa"/>
            <w:gridSpan w:val="3"/>
            <w:shd w:val="clear" w:color="000000" w:fill="FFFFFF"/>
            <w:vAlign w:val="center"/>
            <w:hideMark/>
          </w:tcPr>
          <w:p w:rsidR="00895420" w:rsidRPr="00895420" w:rsidRDefault="00895420" w:rsidP="00895420">
            <w:pPr>
              <w:spacing w:after="0" w:line="240" w:lineRule="auto"/>
              <w:jc w:val="center"/>
              <w:rPr>
                <w:b/>
                <w:bCs/>
                <w:sz w:val="16"/>
                <w:szCs w:val="16"/>
                <w:lang w:eastAsia="lv-LV"/>
              </w:rPr>
            </w:pPr>
            <w:r w:rsidRPr="00895420">
              <w:rPr>
                <w:b/>
                <w:bCs/>
                <w:sz w:val="16"/>
                <w:szCs w:val="16"/>
                <w:lang w:eastAsia="lv-LV"/>
              </w:rPr>
              <w:t>Finanšu ministrijai paredzamās ilgtermiņu saistības sadalījumā pa gadiem būvniecības izdevumu segšanai</w:t>
            </w:r>
          </w:p>
        </w:tc>
      </w:tr>
      <w:tr w:rsidR="00895420" w:rsidRPr="00895420" w:rsidTr="00895420">
        <w:trPr>
          <w:trHeight w:val="852"/>
          <w:jc w:val="center"/>
        </w:trPr>
        <w:tc>
          <w:tcPr>
            <w:tcW w:w="568" w:type="dxa"/>
            <w:vMerge/>
            <w:vAlign w:val="center"/>
            <w:hideMark/>
          </w:tcPr>
          <w:p w:rsidR="00895420" w:rsidRPr="00895420" w:rsidRDefault="00895420" w:rsidP="00895420">
            <w:pPr>
              <w:spacing w:after="0" w:line="240" w:lineRule="auto"/>
              <w:rPr>
                <w:b/>
                <w:bCs/>
                <w:sz w:val="16"/>
                <w:szCs w:val="16"/>
                <w:lang w:eastAsia="lv-LV"/>
              </w:rPr>
            </w:pPr>
          </w:p>
        </w:tc>
        <w:tc>
          <w:tcPr>
            <w:tcW w:w="851" w:type="dxa"/>
            <w:vMerge/>
            <w:vAlign w:val="center"/>
            <w:hideMark/>
          </w:tcPr>
          <w:p w:rsidR="00895420" w:rsidRPr="00895420" w:rsidRDefault="00895420" w:rsidP="00895420">
            <w:pPr>
              <w:spacing w:after="0" w:line="240" w:lineRule="auto"/>
              <w:rPr>
                <w:b/>
                <w:bCs/>
                <w:sz w:val="16"/>
                <w:szCs w:val="16"/>
                <w:lang w:eastAsia="lv-LV"/>
              </w:rPr>
            </w:pPr>
          </w:p>
        </w:tc>
        <w:tc>
          <w:tcPr>
            <w:tcW w:w="1182" w:type="dxa"/>
            <w:vMerge/>
            <w:vAlign w:val="center"/>
            <w:hideMark/>
          </w:tcPr>
          <w:p w:rsidR="00895420" w:rsidRPr="00895420" w:rsidRDefault="00895420" w:rsidP="00895420">
            <w:pPr>
              <w:spacing w:after="0" w:line="240" w:lineRule="auto"/>
              <w:rPr>
                <w:b/>
                <w:bCs/>
                <w:sz w:val="16"/>
                <w:szCs w:val="16"/>
                <w:lang w:eastAsia="lv-LV"/>
              </w:rPr>
            </w:pPr>
          </w:p>
        </w:tc>
        <w:tc>
          <w:tcPr>
            <w:tcW w:w="1234" w:type="dxa"/>
            <w:shd w:val="clear" w:color="000000" w:fill="FFFFFF"/>
            <w:vAlign w:val="center"/>
            <w:hideMark/>
          </w:tcPr>
          <w:p w:rsidR="00895420" w:rsidRPr="00895420" w:rsidRDefault="00895420" w:rsidP="00895420">
            <w:pPr>
              <w:spacing w:after="0" w:line="240" w:lineRule="auto"/>
              <w:jc w:val="center"/>
              <w:rPr>
                <w:b/>
                <w:bCs/>
                <w:sz w:val="16"/>
                <w:szCs w:val="16"/>
                <w:lang w:eastAsia="lv-LV"/>
              </w:rPr>
            </w:pPr>
            <w:r w:rsidRPr="00895420">
              <w:rPr>
                <w:b/>
                <w:bCs/>
                <w:sz w:val="16"/>
                <w:szCs w:val="16"/>
                <w:lang w:eastAsia="lv-LV"/>
              </w:rPr>
              <w:t>(LVL)</w:t>
            </w:r>
          </w:p>
        </w:tc>
        <w:tc>
          <w:tcPr>
            <w:tcW w:w="1239" w:type="dxa"/>
            <w:shd w:val="clear" w:color="000000" w:fill="FFFFFF"/>
            <w:vAlign w:val="center"/>
            <w:hideMark/>
          </w:tcPr>
          <w:p w:rsidR="00895420" w:rsidRPr="00895420" w:rsidRDefault="00895420" w:rsidP="00895420">
            <w:pPr>
              <w:spacing w:after="0" w:line="240" w:lineRule="auto"/>
              <w:jc w:val="center"/>
              <w:rPr>
                <w:b/>
                <w:bCs/>
                <w:sz w:val="16"/>
                <w:szCs w:val="16"/>
                <w:lang w:eastAsia="lv-LV"/>
              </w:rPr>
            </w:pPr>
            <w:r w:rsidRPr="00895420">
              <w:rPr>
                <w:b/>
                <w:bCs/>
                <w:sz w:val="16"/>
                <w:szCs w:val="16"/>
                <w:lang w:eastAsia="lv-LV"/>
              </w:rPr>
              <w:t>(EUR, EIKL 6.pants)</w:t>
            </w:r>
          </w:p>
        </w:tc>
        <w:tc>
          <w:tcPr>
            <w:tcW w:w="1234" w:type="dxa"/>
            <w:shd w:val="clear" w:color="000000" w:fill="FFFFFF"/>
            <w:vAlign w:val="center"/>
            <w:hideMark/>
          </w:tcPr>
          <w:p w:rsidR="00895420" w:rsidRPr="00895420" w:rsidRDefault="00895420" w:rsidP="00895420">
            <w:pPr>
              <w:spacing w:after="0" w:line="240" w:lineRule="auto"/>
              <w:jc w:val="center"/>
              <w:rPr>
                <w:b/>
                <w:bCs/>
                <w:sz w:val="16"/>
                <w:szCs w:val="16"/>
                <w:lang w:eastAsia="lv-LV"/>
              </w:rPr>
            </w:pPr>
            <w:r w:rsidRPr="00895420">
              <w:rPr>
                <w:b/>
                <w:bCs/>
                <w:sz w:val="16"/>
                <w:szCs w:val="16"/>
                <w:lang w:eastAsia="lv-LV"/>
              </w:rPr>
              <w:t xml:space="preserve">(EUR, </w:t>
            </w:r>
            <w:r w:rsidRPr="00895420">
              <w:rPr>
                <w:sz w:val="16"/>
                <w:szCs w:val="16"/>
                <w:lang w:eastAsia="lv-LV"/>
              </w:rPr>
              <w:t>budžeta pārrēķina princip</w:t>
            </w:r>
            <w:r w:rsidRPr="00895420">
              <w:rPr>
                <w:b/>
                <w:bCs/>
                <w:sz w:val="16"/>
                <w:szCs w:val="16"/>
                <w:lang w:eastAsia="lv-LV"/>
              </w:rPr>
              <w:t>s)</w:t>
            </w:r>
          </w:p>
        </w:tc>
        <w:tc>
          <w:tcPr>
            <w:tcW w:w="1195" w:type="dxa"/>
            <w:shd w:val="clear" w:color="000000" w:fill="FFFFFF"/>
            <w:vAlign w:val="center"/>
            <w:hideMark/>
          </w:tcPr>
          <w:p w:rsidR="00895420" w:rsidRPr="00895420" w:rsidRDefault="00895420" w:rsidP="00895420">
            <w:pPr>
              <w:spacing w:after="0" w:line="240" w:lineRule="auto"/>
              <w:jc w:val="center"/>
              <w:rPr>
                <w:b/>
                <w:bCs/>
                <w:sz w:val="16"/>
                <w:szCs w:val="16"/>
                <w:lang w:eastAsia="lv-LV"/>
              </w:rPr>
            </w:pPr>
            <w:r w:rsidRPr="00895420">
              <w:rPr>
                <w:b/>
                <w:bCs/>
                <w:sz w:val="16"/>
                <w:szCs w:val="16"/>
                <w:lang w:eastAsia="lv-LV"/>
              </w:rPr>
              <w:t>(LVL)</w:t>
            </w:r>
          </w:p>
        </w:tc>
        <w:tc>
          <w:tcPr>
            <w:tcW w:w="1199" w:type="dxa"/>
            <w:shd w:val="clear" w:color="000000" w:fill="FFFFFF"/>
            <w:vAlign w:val="center"/>
            <w:hideMark/>
          </w:tcPr>
          <w:p w:rsidR="00895420" w:rsidRPr="00895420" w:rsidRDefault="00895420" w:rsidP="00895420">
            <w:pPr>
              <w:spacing w:after="0" w:line="240" w:lineRule="auto"/>
              <w:jc w:val="center"/>
              <w:rPr>
                <w:b/>
                <w:bCs/>
                <w:sz w:val="16"/>
                <w:szCs w:val="16"/>
                <w:lang w:eastAsia="lv-LV"/>
              </w:rPr>
            </w:pPr>
            <w:r w:rsidRPr="00895420">
              <w:rPr>
                <w:b/>
                <w:bCs/>
                <w:sz w:val="16"/>
                <w:szCs w:val="16"/>
                <w:lang w:eastAsia="lv-LV"/>
              </w:rPr>
              <w:t>(EUR, EIKL 6.pants)</w:t>
            </w:r>
          </w:p>
        </w:tc>
        <w:tc>
          <w:tcPr>
            <w:tcW w:w="1253" w:type="dxa"/>
            <w:shd w:val="clear" w:color="000000" w:fill="FFFFFF"/>
            <w:vAlign w:val="center"/>
            <w:hideMark/>
          </w:tcPr>
          <w:p w:rsidR="00895420" w:rsidRPr="00895420" w:rsidRDefault="00895420" w:rsidP="00895420">
            <w:pPr>
              <w:spacing w:after="0" w:line="240" w:lineRule="auto"/>
              <w:jc w:val="center"/>
              <w:rPr>
                <w:b/>
                <w:bCs/>
                <w:sz w:val="16"/>
                <w:szCs w:val="16"/>
                <w:lang w:eastAsia="lv-LV"/>
              </w:rPr>
            </w:pPr>
            <w:r w:rsidRPr="00895420">
              <w:rPr>
                <w:b/>
                <w:bCs/>
                <w:sz w:val="16"/>
                <w:szCs w:val="16"/>
                <w:lang w:eastAsia="lv-LV"/>
              </w:rPr>
              <w:t xml:space="preserve">(EUR, </w:t>
            </w:r>
            <w:r w:rsidRPr="00895420">
              <w:rPr>
                <w:sz w:val="16"/>
                <w:szCs w:val="16"/>
                <w:lang w:eastAsia="lv-LV"/>
              </w:rPr>
              <w:t>budžeta pārrēķina princip</w:t>
            </w:r>
            <w:r w:rsidRPr="00895420">
              <w:rPr>
                <w:b/>
                <w:bCs/>
                <w:sz w:val="16"/>
                <w:szCs w:val="16"/>
                <w:lang w:eastAsia="lv-LV"/>
              </w:rPr>
              <w:t>s)</w:t>
            </w:r>
          </w:p>
        </w:tc>
      </w:tr>
      <w:tr w:rsidR="00895420" w:rsidRPr="00895420" w:rsidTr="00895420">
        <w:trPr>
          <w:trHeight w:val="255"/>
          <w:jc w:val="center"/>
        </w:trPr>
        <w:tc>
          <w:tcPr>
            <w:tcW w:w="568" w:type="dxa"/>
            <w:shd w:val="clear" w:color="000000" w:fill="FFFFFF"/>
            <w:vAlign w:val="center"/>
            <w:hideMark/>
          </w:tcPr>
          <w:p w:rsidR="00895420" w:rsidRPr="00895420" w:rsidRDefault="00895420" w:rsidP="00E443A0">
            <w:pPr>
              <w:spacing w:after="0" w:line="240" w:lineRule="auto"/>
              <w:jc w:val="center"/>
              <w:rPr>
                <w:sz w:val="16"/>
                <w:szCs w:val="16"/>
                <w:lang w:eastAsia="lv-LV"/>
              </w:rPr>
            </w:pPr>
            <w:r w:rsidRPr="00895420">
              <w:rPr>
                <w:sz w:val="16"/>
                <w:szCs w:val="16"/>
                <w:lang w:eastAsia="lv-LV"/>
              </w:rPr>
              <w:t>1</w:t>
            </w:r>
          </w:p>
        </w:tc>
        <w:tc>
          <w:tcPr>
            <w:tcW w:w="851" w:type="dxa"/>
            <w:shd w:val="clear" w:color="000000" w:fill="FFFFFF"/>
            <w:vAlign w:val="center"/>
            <w:hideMark/>
          </w:tcPr>
          <w:p w:rsidR="00895420" w:rsidRPr="00895420" w:rsidRDefault="00895420" w:rsidP="00E443A0">
            <w:pPr>
              <w:spacing w:after="0" w:line="240" w:lineRule="auto"/>
              <w:jc w:val="center"/>
              <w:rPr>
                <w:sz w:val="16"/>
                <w:szCs w:val="16"/>
                <w:lang w:eastAsia="lv-LV"/>
              </w:rPr>
            </w:pPr>
            <w:r w:rsidRPr="00895420">
              <w:rPr>
                <w:sz w:val="16"/>
                <w:szCs w:val="16"/>
                <w:lang w:eastAsia="lv-LV"/>
              </w:rPr>
              <w:t>2</w:t>
            </w:r>
          </w:p>
        </w:tc>
        <w:tc>
          <w:tcPr>
            <w:tcW w:w="1182" w:type="dxa"/>
            <w:shd w:val="clear" w:color="000000" w:fill="FFFFFF"/>
            <w:vAlign w:val="center"/>
            <w:hideMark/>
          </w:tcPr>
          <w:p w:rsidR="00895420" w:rsidRPr="00895420" w:rsidRDefault="00895420" w:rsidP="00E443A0">
            <w:pPr>
              <w:spacing w:after="0" w:line="240" w:lineRule="auto"/>
              <w:jc w:val="center"/>
              <w:rPr>
                <w:sz w:val="16"/>
                <w:szCs w:val="16"/>
                <w:lang w:eastAsia="lv-LV"/>
              </w:rPr>
            </w:pPr>
            <w:r w:rsidRPr="00895420">
              <w:rPr>
                <w:sz w:val="16"/>
                <w:szCs w:val="16"/>
                <w:lang w:eastAsia="lv-LV"/>
              </w:rPr>
              <w:t>3</w:t>
            </w:r>
          </w:p>
        </w:tc>
        <w:tc>
          <w:tcPr>
            <w:tcW w:w="1234" w:type="dxa"/>
            <w:shd w:val="clear" w:color="000000" w:fill="FFFFFF"/>
            <w:vAlign w:val="center"/>
            <w:hideMark/>
          </w:tcPr>
          <w:p w:rsidR="00895420" w:rsidRPr="00895420" w:rsidRDefault="00895420" w:rsidP="00895420">
            <w:pPr>
              <w:spacing w:after="0" w:line="240" w:lineRule="auto"/>
              <w:jc w:val="center"/>
              <w:rPr>
                <w:sz w:val="16"/>
                <w:szCs w:val="16"/>
                <w:lang w:eastAsia="lv-LV"/>
              </w:rPr>
            </w:pPr>
            <w:r w:rsidRPr="00895420">
              <w:rPr>
                <w:sz w:val="16"/>
                <w:szCs w:val="16"/>
                <w:lang w:eastAsia="lv-LV"/>
              </w:rPr>
              <w:t>4.=7.-3.</w:t>
            </w:r>
          </w:p>
        </w:tc>
        <w:tc>
          <w:tcPr>
            <w:tcW w:w="1239" w:type="dxa"/>
            <w:shd w:val="clear" w:color="000000" w:fill="FFFFFF"/>
            <w:vAlign w:val="center"/>
            <w:hideMark/>
          </w:tcPr>
          <w:p w:rsidR="00895420" w:rsidRPr="00895420" w:rsidRDefault="00895420" w:rsidP="00895420">
            <w:pPr>
              <w:spacing w:after="0" w:line="240" w:lineRule="auto"/>
              <w:jc w:val="center"/>
              <w:rPr>
                <w:sz w:val="16"/>
                <w:szCs w:val="16"/>
                <w:lang w:eastAsia="lv-LV"/>
              </w:rPr>
            </w:pPr>
            <w:r w:rsidRPr="00895420">
              <w:rPr>
                <w:sz w:val="16"/>
                <w:szCs w:val="16"/>
                <w:lang w:eastAsia="lv-LV"/>
              </w:rPr>
              <w:t>5</w:t>
            </w:r>
          </w:p>
        </w:tc>
        <w:tc>
          <w:tcPr>
            <w:tcW w:w="1234" w:type="dxa"/>
            <w:shd w:val="clear" w:color="000000" w:fill="FFFFFF"/>
            <w:vAlign w:val="center"/>
            <w:hideMark/>
          </w:tcPr>
          <w:p w:rsidR="00895420" w:rsidRPr="00895420" w:rsidRDefault="00895420" w:rsidP="00895420">
            <w:pPr>
              <w:spacing w:after="0" w:line="240" w:lineRule="auto"/>
              <w:jc w:val="center"/>
              <w:rPr>
                <w:sz w:val="16"/>
                <w:szCs w:val="16"/>
                <w:lang w:eastAsia="lv-LV"/>
              </w:rPr>
            </w:pPr>
            <w:r w:rsidRPr="00895420">
              <w:rPr>
                <w:sz w:val="16"/>
                <w:szCs w:val="16"/>
                <w:lang w:eastAsia="lv-LV"/>
              </w:rPr>
              <w:t>6</w:t>
            </w:r>
          </w:p>
        </w:tc>
        <w:tc>
          <w:tcPr>
            <w:tcW w:w="1195" w:type="dxa"/>
            <w:shd w:val="clear" w:color="000000" w:fill="FFFFFF"/>
            <w:vAlign w:val="center"/>
            <w:hideMark/>
          </w:tcPr>
          <w:p w:rsidR="00895420" w:rsidRPr="00895420" w:rsidRDefault="00895420" w:rsidP="00895420">
            <w:pPr>
              <w:spacing w:after="0" w:line="240" w:lineRule="auto"/>
              <w:jc w:val="center"/>
              <w:rPr>
                <w:sz w:val="16"/>
                <w:szCs w:val="16"/>
                <w:lang w:eastAsia="lv-LV"/>
              </w:rPr>
            </w:pPr>
            <w:r w:rsidRPr="00895420">
              <w:rPr>
                <w:sz w:val="16"/>
                <w:szCs w:val="16"/>
                <w:lang w:eastAsia="lv-LV"/>
              </w:rPr>
              <w:t>7</w:t>
            </w:r>
          </w:p>
        </w:tc>
        <w:tc>
          <w:tcPr>
            <w:tcW w:w="1199" w:type="dxa"/>
            <w:shd w:val="clear" w:color="000000" w:fill="FFFFFF"/>
            <w:vAlign w:val="center"/>
            <w:hideMark/>
          </w:tcPr>
          <w:p w:rsidR="00895420" w:rsidRPr="00895420" w:rsidRDefault="00895420" w:rsidP="00895420">
            <w:pPr>
              <w:spacing w:after="0" w:line="240" w:lineRule="auto"/>
              <w:jc w:val="center"/>
              <w:rPr>
                <w:sz w:val="16"/>
                <w:szCs w:val="16"/>
                <w:lang w:eastAsia="lv-LV"/>
              </w:rPr>
            </w:pPr>
            <w:r w:rsidRPr="00895420">
              <w:rPr>
                <w:sz w:val="16"/>
                <w:szCs w:val="16"/>
                <w:lang w:eastAsia="lv-LV"/>
              </w:rPr>
              <w:t>8</w:t>
            </w:r>
          </w:p>
        </w:tc>
        <w:tc>
          <w:tcPr>
            <w:tcW w:w="1253" w:type="dxa"/>
            <w:shd w:val="clear" w:color="000000" w:fill="FFFFFF"/>
            <w:vAlign w:val="center"/>
            <w:hideMark/>
          </w:tcPr>
          <w:p w:rsidR="00895420" w:rsidRPr="00895420" w:rsidRDefault="00895420" w:rsidP="00895420">
            <w:pPr>
              <w:spacing w:after="0" w:line="240" w:lineRule="auto"/>
              <w:jc w:val="center"/>
              <w:rPr>
                <w:sz w:val="16"/>
                <w:szCs w:val="16"/>
                <w:lang w:eastAsia="lv-LV"/>
              </w:rPr>
            </w:pPr>
            <w:r w:rsidRPr="00895420">
              <w:rPr>
                <w:sz w:val="16"/>
                <w:szCs w:val="16"/>
                <w:lang w:eastAsia="lv-LV"/>
              </w:rPr>
              <w:t>9</w:t>
            </w:r>
          </w:p>
        </w:tc>
      </w:tr>
      <w:tr w:rsidR="00895420" w:rsidRPr="00895420" w:rsidTr="00895420">
        <w:trPr>
          <w:trHeight w:val="300"/>
          <w:jc w:val="center"/>
        </w:trPr>
        <w:tc>
          <w:tcPr>
            <w:tcW w:w="568" w:type="dxa"/>
            <w:shd w:val="clear" w:color="000000" w:fill="FFFFFF"/>
            <w:vAlign w:val="center"/>
            <w:hideMark/>
          </w:tcPr>
          <w:p w:rsidR="00895420" w:rsidRPr="00895420" w:rsidRDefault="00895420" w:rsidP="00895420">
            <w:pPr>
              <w:spacing w:after="0" w:line="240" w:lineRule="auto"/>
              <w:jc w:val="center"/>
              <w:rPr>
                <w:sz w:val="20"/>
                <w:szCs w:val="20"/>
                <w:lang w:eastAsia="lv-LV"/>
              </w:rPr>
            </w:pPr>
            <w:r w:rsidRPr="00895420">
              <w:rPr>
                <w:sz w:val="20"/>
                <w:szCs w:val="20"/>
                <w:lang w:eastAsia="lv-LV"/>
              </w:rPr>
              <w:t>1</w:t>
            </w:r>
          </w:p>
        </w:tc>
        <w:tc>
          <w:tcPr>
            <w:tcW w:w="851" w:type="dxa"/>
            <w:shd w:val="clear" w:color="000000" w:fill="FFFFFF"/>
            <w:vAlign w:val="center"/>
            <w:hideMark/>
          </w:tcPr>
          <w:p w:rsidR="00895420" w:rsidRPr="00895420" w:rsidRDefault="00895420" w:rsidP="00895420">
            <w:pPr>
              <w:spacing w:after="0" w:line="240" w:lineRule="auto"/>
              <w:jc w:val="center"/>
              <w:rPr>
                <w:sz w:val="20"/>
                <w:szCs w:val="20"/>
                <w:lang w:eastAsia="lv-LV"/>
              </w:rPr>
            </w:pPr>
            <w:r w:rsidRPr="00895420">
              <w:rPr>
                <w:sz w:val="20"/>
                <w:szCs w:val="20"/>
                <w:lang w:eastAsia="lv-LV"/>
              </w:rPr>
              <w:t>2013</w:t>
            </w:r>
          </w:p>
        </w:tc>
        <w:tc>
          <w:tcPr>
            <w:tcW w:w="1182" w:type="dxa"/>
            <w:shd w:val="clear" w:color="000000" w:fill="FFFFFF"/>
            <w:vAlign w:val="center"/>
            <w:hideMark/>
          </w:tcPr>
          <w:p w:rsidR="00895420" w:rsidRPr="00895420" w:rsidRDefault="00895420" w:rsidP="00895420">
            <w:pPr>
              <w:spacing w:after="0" w:line="240" w:lineRule="auto"/>
              <w:jc w:val="center"/>
              <w:rPr>
                <w:sz w:val="20"/>
                <w:szCs w:val="20"/>
                <w:lang w:eastAsia="lv-LV"/>
              </w:rPr>
            </w:pPr>
            <w:r w:rsidRPr="00895420">
              <w:rPr>
                <w:sz w:val="20"/>
                <w:szCs w:val="20"/>
                <w:lang w:eastAsia="lv-LV"/>
              </w:rPr>
              <w:t>183322</w:t>
            </w:r>
          </w:p>
        </w:tc>
        <w:tc>
          <w:tcPr>
            <w:tcW w:w="1234" w:type="dxa"/>
            <w:shd w:val="clear" w:color="000000" w:fill="FFFFFF"/>
            <w:vAlign w:val="center"/>
            <w:hideMark/>
          </w:tcPr>
          <w:p w:rsidR="00895420" w:rsidRPr="00895420" w:rsidRDefault="00895420" w:rsidP="00895420">
            <w:pPr>
              <w:spacing w:after="0" w:line="240" w:lineRule="auto"/>
              <w:jc w:val="center"/>
              <w:rPr>
                <w:sz w:val="20"/>
                <w:szCs w:val="20"/>
                <w:lang w:eastAsia="lv-LV"/>
              </w:rPr>
            </w:pPr>
            <w:r w:rsidRPr="00895420">
              <w:rPr>
                <w:sz w:val="20"/>
                <w:szCs w:val="20"/>
                <w:lang w:eastAsia="lv-LV"/>
              </w:rPr>
              <w:t>-156886</w:t>
            </w:r>
          </w:p>
        </w:tc>
        <w:tc>
          <w:tcPr>
            <w:tcW w:w="1239" w:type="dxa"/>
            <w:shd w:val="clear" w:color="000000" w:fill="FFFFFF"/>
            <w:vAlign w:val="center"/>
            <w:hideMark/>
          </w:tcPr>
          <w:p w:rsidR="00895420" w:rsidRPr="00895420" w:rsidRDefault="00895420" w:rsidP="00895420">
            <w:pPr>
              <w:spacing w:after="0" w:line="240" w:lineRule="auto"/>
              <w:jc w:val="right"/>
              <w:rPr>
                <w:sz w:val="20"/>
                <w:szCs w:val="20"/>
                <w:lang w:eastAsia="lv-LV"/>
              </w:rPr>
            </w:pPr>
            <w:r w:rsidRPr="00895420">
              <w:rPr>
                <w:sz w:val="20"/>
                <w:szCs w:val="20"/>
                <w:lang w:eastAsia="lv-LV"/>
              </w:rPr>
              <w:t>-223228,67</w:t>
            </w:r>
          </w:p>
        </w:tc>
        <w:tc>
          <w:tcPr>
            <w:tcW w:w="1234" w:type="dxa"/>
            <w:shd w:val="clear" w:color="000000" w:fill="FFFFFF"/>
            <w:vAlign w:val="center"/>
            <w:hideMark/>
          </w:tcPr>
          <w:p w:rsidR="00895420" w:rsidRPr="00895420" w:rsidRDefault="00895420" w:rsidP="00895420">
            <w:pPr>
              <w:spacing w:after="0" w:line="240" w:lineRule="auto"/>
              <w:jc w:val="center"/>
              <w:rPr>
                <w:sz w:val="20"/>
                <w:szCs w:val="20"/>
                <w:lang w:eastAsia="lv-LV"/>
              </w:rPr>
            </w:pPr>
            <w:r w:rsidRPr="00895420">
              <w:rPr>
                <w:sz w:val="20"/>
                <w:szCs w:val="20"/>
                <w:lang w:eastAsia="lv-LV"/>
              </w:rPr>
              <w:t>-223229</w:t>
            </w:r>
          </w:p>
        </w:tc>
        <w:tc>
          <w:tcPr>
            <w:tcW w:w="1195" w:type="dxa"/>
            <w:shd w:val="clear" w:color="000000" w:fill="FFFFFF"/>
            <w:vAlign w:val="center"/>
            <w:hideMark/>
          </w:tcPr>
          <w:p w:rsidR="00895420" w:rsidRPr="00895420" w:rsidRDefault="00895420" w:rsidP="00895420">
            <w:pPr>
              <w:spacing w:after="0" w:line="240" w:lineRule="auto"/>
              <w:jc w:val="center"/>
              <w:rPr>
                <w:sz w:val="20"/>
                <w:szCs w:val="20"/>
                <w:lang w:eastAsia="lv-LV"/>
              </w:rPr>
            </w:pPr>
            <w:r w:rsidRPr="00895420">
              <w:rPr>
                <w:sz w:val="20"/>
                <w:szCs w:val="20"/>
                <w:lang w:eastAsia="lv-LV"/>
              </w:rPr>
              <w:t>26436</w:t>
            </w:r>
          </w:p>
        </w:tc>
        <w:tc>
          <w:tcPr>
            <w:tcW w:w="1199" w:type="dxa"/>
            <w:shd w:val="clear" w:color="000000" w:fill="FFFFFF"/>
            <w:vAlign w:val="center"/>
            <w:hideMark/>
          </w:tcPr>
          <w:p w:rsidR="00895420" w:rsidRPr="00895420" w:rsidRDefault="00895420" w:rsidP="00895420">
            <w:pPr>
              <w:spacing w:after="0" w:line="240" w:lineRule="auto"/>
              <w:jc w:val="right"/>
              <w:rPr>
                <w:sz w:val="20"/>
                <w:szCs w:val="20"/>
                <w:lang w:eastAsia="lv-LV"/>
              </w:rPr>
            </w:pPr>
            <w:r w:rsidRPr="00895420">
              <w:rPr>
                <w:sz w:val="20"/>
                <w:szCs w:val="20"/>
                <w:lang w:eastAsia="lv-LV"/>
              </w:rPr>
              <w:t>37615,04</w:t>
            </w:r>
          </w:p>
        </w:tc>
        <w:tc>
          <w:tcPr>
            <w:tcW w:w="1253" w:type="dxa"/>
            <w:shd w:val="clear" w:color="000000" w:fill="FFFFFF"/>
            <w:vAlign w:val="center"/>
            <w:hideMark/>
          </w:tcPr>
          <w:p w:rsidR="00895420" w:rsidRPr="00895420" w:rsidRDefault="00895420" w:rsidP="00895420">
            <w:pPr>
              <w:spacing w:after="0" w:line="240" w:lineRule="auto"/>
              <w:jc w:val="center"/>
              <w:rPr>
                <w:sz w:val="20"/>
                <w:szCs w:val="20"/>
                <w:lang w:eastAsia="lv-LV"/>
              </w:rPr>
            </w:pPr>
            <w:r w:rsidRPr="00895420">
              <w:rPr>
                <w:sz w:val="20"/>
                <w:szCs w:val="20"/>
                <w:lang w:eastAsia="lv-LV"/>
              </w:rPr>
              <w:t>37615</w:t>
            </w:r>
          </w:p>
        </w:tc>
      </w:tr>
      <w:tr w:rsidR="00895420" w:rsidRPr="00895420" w:rsidTr="00895420">
        <w:trPr>
          <w:trHeight w:val="300"/>
          <w:jc w:val="center"/>
        </w:trPr>
        <w:tc>
          <w:tcPr>
            <w:tcW w:w="568" w:type="dxa"/>
            <w:shd w:val="clear" w:color="000000" w:fill="FFFFFF"/>
            <w:vAlign w:val="center"/>
            <w:hideMark/>
          </w:tcPr>
          <w:p w:rsidR="00895420" w:rsidRPr="00895420" w:rsidRDefault="00895420" w:rsidP="00895420">
            <w:pPr>
              <w:spacing w:after="0" w:line="240" w:lineRule="auto"/>
              <w:jc w:val="center"/>
              <w:rPr>
                <w:sz w:val="20"/>
                <w:szCs w:val="20"/>
                <w:lang w:eastAsia="lv-LV"/>
              </w:rPr>
            </w:pPr>
            <w:r w:rsidRPr="00895420">
              <w:rPr>
                <w:sz w:val="20"/>
                <w:szCs w:val="20"/>
                <w:lang w:eastAsia="lv-LV"/>
              </w:rPr>
              <w:t>2</w:t>
            </w:r>
          </w:p>
        </w:tc>
        <w:tc>
          <w:tcPr>
            <w:tcW w:w="851" w:type="dxa"/>
            <w:shd w:val="clear" w:color="000000" w:fill="FFFFFF"/>
            <w:vAlign w:val="center"/>
            <w:hideMark/>
          </w:tcPr>
          <w:p w:rsidR="00895420" w:rsidRPr="00895420" w:rsidRDefault="00895420" w:rsidP="00895420">
            <w:pPr>
              <w:spacing w:after="0" w:line="240" w:lineRule="auto"/>
              <w:jc w:val="center"/>
              <w:rPr>
                <w:sz w:val="20"/>
                <w:szCs w:val="20"/>
                <w:lang w:eastAsia="lv-LV"/>
              </w:rPr>
            </w:pPr>
            <w:r w:rsidRPr="00895420">
              <w:rPr>
                <w:sz w:val="20"/>
                <w:szCs w:val="20"/>
                <w:lang w:eastAsia="lv-LV"/>
              </w:rPr>
              <w:t>2014</w:t>
            </w:r>
          </w:p>
        </w:tc>
        <w:tc>
          <w:tcPr>
            <w:tcW w:w="1182" w:type="dxa"/>
            <w:shd w:val="clear" w:color="000000" w:fill="FFFFFF"/>
            <w:vAlign w:val="center"/>
            <w:hideMark/>
          </w:tcPr>
          <w:p w:rsidR="00895420" w:rsidRPr="00895420" w:rsidRDefault="00895420" w:rsidP="00895420">
            <w:pPr>
              <w:spacing w:after="0" w:line="240" w:lineRule="auto"/>
              <w:jc w:val="center"/>
              <w:rPr>
                <w:sz w:val="20"/>
                <w:szCs w:val="20"/>
                <w:lang w:eastAsia="lv-LV"/>
              </w:rPr>
            </w:pPr>
            <w:r w:rsidRPr="00895420">
              <w:rPr>
                <w:sz w:val="20"/>
                <w:szCs w:val="20"/>
                <w:lang w:eastAsia="lv-LV"/>
              </w:rPr>
              <w:t>2147877</w:t>
            </w:r>
          </w:p>
        </w:tc>
        <w:tc>
          <w:tcPr>
            <w:tcW w:w="1234" w:type="dxa"/>
            <w:shd w:val="clear" w:color="000000" w:fill="FFFFFF"/>
            <w:vAlign w:val="center"/>
            <w:hideMark/>
          </w:tcPr>
          <w:p w:rsidR="00895420" w:rsidRPr="00895420" w:rsidRDefault="00895420" w:rsidP="00895420">
            <w:pPr>
              <w:spacing w:after="0" w:line="240" w:lineRule="auto"/>
              <w:jc w:val="center"/>
              <w:rPr>
                <w:sz w:val="20"/>
                <w:szCs w:val="20"/>
                <w:lang w:eastAsia="lv-LV"/>
              </w:rPr>
            </w:pPr>
            <w:r w:rsidRPr="00895420">
              <w:rPr>
                <w:sz w:val="20"/>
                <w:szCs w:val="20"/>
                <w:lang w:eastAsia="lv-LV"/>
              </w:rPr>
              <w:t>-1666389</w:t>
            </w:r>
          </w:p>
        </w:tc>
        <w:tc>
          <w:tcPr>
            <w:tcW w:w="1239" w:type="dxa"/>
            <w:shd w:val="clear" w:color="000000" w:fill="FFFFFF"/>
            <w:vAlign w:val="center"/>
            <w:hideMark/>
          </w:tcPr>
          <w:p w:rsidR="00895420" w:rsidRPr="00895420" w:rsidRDefault="00895420" w:rsidP="00895420">
            <w:pPr>
              <w:spacing w:after="0" w:line="240" w:lineRule="auto"/>
              <w:jc w:val="right"/>
              <w:rPr>
                <w:sz w:val="20"/>
                <w:szCs w:val="20"/>
                <w:lang w:eastAsia="lv-LV"/>
              </w:rPr>
            </w:pPr>
            <w:r w:rsidRPr="00895420">
              <w:rPr>
                <w:sz w:val="20"/>
                <w:szCs w:val="20"/>
                <w:lang w:eastAsia="lv-LV"/>
              </w:rPr>
              <w:t>-2371057,93</w:t>
            </w:r>
          </w:p>
        </w:tc>
        <w:tc>
          <w:tcPr>
            <w:tcW w:w="1234" w:type="dxa"/>
            <w:shd w:val="clear" w:color="000000" w:fill="FFFFFF"/>
            <w:vAlign w:val="center"/>
            <w:hideMark/>
          </w:tcPr>
          <w:p w:rsidR="00895420" w:rsidRPr="00895420" w:rsidRDefault="00895420" w:rsidP="00895420">
            <w:pPr>
              <w:spacing w:after="0" w:line="240" w:lineRule="auto"/>
              <w:jc w:val="center"/>
              <w:rPr>
                <w:sz w:val="20"/>
                <w:szCs w:val="20"/>
                <w:lang w:eastAsia="lv-LV"/>
              </w:rPr>
            </w:pPr>
            <w:r w:rsidRPr="00895420">
              <w:rPr>
                <w:sz w:val="20"/>
                <w:szCs w:val="20"/>
                <w:lang w:eastAsia="lv-LV"/>
              </w:rPr>
              <w:t>-2371058</w:t>
            </w:r>
          </w:p>
        </w:tc>
        <w:tc>
          <w:tcPr>
            <w:tcW w:w="1195" w:type="dxa"/>
            <w:shd w:val="clear" w:color="000000" w:fill="FFFFFF"/>
            <w:vAlign w:val="center"/>
            <w:hideMark/>
          </w:tcPr>
          <w:p w:rsidR="00895420" w:rsidRPr="00895420" w:rsidRDefault="00895420" w:rsidP="00895420">
            <w:pPr>
              <w:spacing w:after="0" w:line="240" w:lineRule="auto"/>
              <w:jc w:val="center"/>
              <w:rPr>
                <w:sz w:val="20"/>
                <w:szCs w:val="20"/>
                <w:lang w:eastAsia="lv-LV"/>
              </w:rPr>
            </w:pPr>
            <w:r w:rsidRPr="00895420">
              <w:rPr>
                <w:sz w:val="20"/>
                <w:szCs w:val="20"/>
                <w:lang w:eastAsia="lv-LV"/>
              </w:rPr>
              <w:t>481488</w:t>
            </w:r>
          </w:p>
        </w:tc>
        <w:tc>
          <w:tcPr>
            <w:tcW w:w="1199" w:type="dxa"/>
            <w:shd w:val="clear" w:color="000000" w:fill="FFFFFF"/>
            <w:vAlign w:val="center"/>
            <w:hideMark/>
          </w:tcPr>
          <w:p w:rsidR="00895420" w:rsidRPr="00895420" w:rsidRDefault="00895420" w:rsidP="00895420">
            <w:pPr>
              <w:spacing w:after="0" w:line="240" w:lineRule="auto"/>
              <w:jc w:val="right"/>
              <w:rPr>
                <w:sz w:val="20"/>
                <w:szCs w:val="20"/>
                <w:lang w:eastAsia="lv-LV"/>
              </w:rPr>
            </w:pPr>
            <w:r w:rsidRPr="00895420">
              <w:rPr>
                <w:sz w:val="20"/>
                <w:szCs w:val="20"/>
                <w:lang w:eastAsia="lv-LV"/>
              </w:rPr>
              <w:t>685095,70</w:t>
            </w:r>
          </w:p>
        </w:tc>
        <w:tc>
          <w:tcPr>
            <w:tcW w:w="1253" w:type="dxa"/>
            <w:shd w:val="clear" w:color="000000" w:fill="FFFFFF"/>
            <w:vAlign w:val="center"/>
            <w:hideMark/>
          </w:tcPr>
          <w:p w:rsidR="00895420" w:rsidRPr="00895420" w:rsidRDefault="00895420" w:rsidP="00895420">
            <w:pPr>
              <w:spacing w:after="0" w:line="240" w:lineRule="auto"/>
              <w:jc w:val="center"/>
              <w:rPr>
                <w:sz w:val="20"/>
                <w:szCs w:val="20"/>
                <w:lang w:eastAsia="lv-LV"/>
              </w:rPr>
            </w:pPr>
            <w:r w:rsidRPr="00895420">
              <w:rPr>
                <w:sz w:val="20"/>
                <w:szCs w:val="20"/>
                <w:lang w:eastAsia="lv-LV"/>
              </w:rPr>
              <w:t>685096</w:t>
            </w:r>
          </w:p>
        </w:tc>
      </w:tr>
      <w:tr w:rsidR="00895420" w:rsidRPr="00895420" w:rsidTr="00895420">
        <w:trPr>
          <w:trHeight w:val="300"/>
          <w:jc w:val="center"/>
        </w:trPr>
        <w:tc>
          <w:tcPr>
            <w:tcW w:w="568" w:type="dxa"/>
            <w:shd w:val="clear" w:color="000000" w:fill="FFFFFF"/>
            <w:vAlign w:val="center"/>
            <w:hideMark/>
          </w:tcPr>
          <w:p w:rsidR="00895420" w:rsidRPr="00895420" w:rsidRDefault="00895420" w:rsidP="00895420">
            <w:pPr>
              <w:spacing w:after="0" w:line="240" w:lineRule="auto"/>
              <w:jc w:val="center"/>
              <w:rPr>
                <w:sz w:val="20"/>
                <w:szCs w:val="20"/>
                <w:lang w:eastAsia="lv-LV"/>
              </w:rPr>
            </w:pPr>
            <w:r w:rsidRPr="00895420">
              <w:rPr>
                <w:sz w:val="20"/>
                <w:szCs w:val="20"/>
                <w:lang w:eastAsia="lv-LV"/>
              </w:rPr>
              <w:t>3</w:t>
            </w:r>
          </w:p>
        </w:tc>
        <w:tc>
          <w:tcPr>
            <w:tcW w:w="851" w:type="dxa"/>
            <w:shd w:val="clear" w:color="000000" w:fill="FFFFFF"/>
            <w:vAlign w:val="center"/>
            <w:hideMark/>
          </w:tcPr>
          <w:p w:rsidR="00895420" w:rsidRPr="00895420" w:rsidRDefault="00895420" w:rsidP="00895420">
            <w:pPr>
              <w:spacing w:after="0" w:line="240" w:lineRule="auto"/>
              <w:jc w:val="center"/>
              <w:rPr>
                <w:sz w:val="20"/>
                <w:szCs w:val="20"/>
                <w:lang w:eastAsia="lv-LV"/>
              </w:rPr>
            </w:pPr>
            <w:r w:rsidRPr="00895420">
              <w:rPr>
                <w:sz w:val="20"/>
                <w:szCs w:val="20"/>
                <w:lang w:eastAsia="lv-LV"/>
              </w:rPr>
              <w:t>2015</w:t>
            </w:r>
          </w:p>
        </w:tc>
        <w:tc>
          <w:tcPr>
            <w:tcW w:w="1182" w:type="dxa"/>
            <w:shd w:val="clear" w:color="000000" w:fill="FFFFFF"/>
            <w:vAlign w:val="center"/>
            <w:hideMark/>
          </w:tcPr>
          <w:p w:rsidR="00895420" w:rsidRPr="00895420" w:rsidRDefault="00895420" w:rsidP="00895420">
            <w:pPr>
              <w:spacing w:after="0" w:line="240" w:lineRule="auto"/>
              <w:jc w:val="center"/>
              <w:rPr>
                <w:sz w:val="20"/>
                <w:szCs w:val="20"/>
                <w:lang w:eastAsia="lv-LV"/>
              </w:rPr>
            </w:pPr>
            <w:r w:rsidRPr="00895420">
              <w:rPr>
                <w:sz w:val="20"/>
                <w:szCs w:val="20"/>
                <w:lang w:eastAsia="lv-LV"/>
              </w:rPr>
              <w:t> </w:t>
            </w:r>
          </w:p>
        </w:tc>
        <w:tc>
          <w:tcPr>
            <w:tcW w:w="1234" w:type="dxa"/>
            <w:shd w:val="clear" w:color="000000" w:fill="FFFFFF"/>
            <w:vAlign w:val="center"/>
            <w:hideMark/>
          </w:tcPr>
          <w:p w:rsidR="00895420" w:rsidRPr="00895420" w:rsidRDefault="00895420" w:rsidP="00895420">
            <w:pPr>
              <w:spacing w:after="0" w:line="240" w:lineRule="auto"/>
              <w:jc w:val="center"/>
              <w:rPr>
                <w:sz w:val="20"/>
                <w:szCs w:val="20"/>
                <w:lang w:eastAsia="lv-LV"/>
              </w:rPr>
            </w:pPr>
            <w:r w:rsidRPr="00895420">
              <w:rPr>
                <w:sz w:val="20"/>
                <w:szCs w:val="20"/>
                <w:lang w:eastAsia="lv-LV"/>
              </w:rPr>
              <w:t>1823275</w:t>
            </w:r>
          </w:p>
        </w:tc>
        <w:tc>
          <w:tcPr>
            <w:tcW w:w="1239" w:type="dxa"/>
            <w:shd w:val="clear" w:color="000000" w:fill="FFFFFF"/>
            <w:vAlign w:val="center"/>
            <w:hideMark/>
          </w:tcPr>
          <w:p w:rsidR="00895420" w:rsidRPr="00895420" w:rsidRDefault="00895420" w:rsidP="00895420">
            <w:pPr>
              <w:spacing w:after="0" w:line="240" w:lineRule="auto"/>
              <w:jc w:val="right"/>
              <w:rPr>
                <w:sz w:val="20"/>
                <w:szCs w:val="20"/>
                <w:lang w:eastAsia="lv-LV"/>
              </w:rPr>
            </w:pPr>
            <w:r w:rsidRPr="00895420">
              <w:rPr>
                <w:sz w:val="20"/>
                <w:szCs w:val="20"/>
                <w:lang w:eastAsia="lv-LV"/>
              </w:rPr>
              <w:t>2594286,60</w:t>
            </w:r>
          </w:p>
        </w:tc>
        <w:tc>
          <w:tcPr>
            <w:tcW w:w="1234" w:type="dxa"/>
            <w:shd w:val="clear" w:color="000000" w:fill="FFFFFF"/>
            <w:vAlign w:val="center"/>
            <w:hideMark/>
          </w:tcPr>
          <w:p w:rsidR="00895420" w:rsidRPr="00895420" w:rsidRDefault="00895420" w:rsidP="00895420">
            <w:pPr>
              <w:spacing w:after="0" w:line="240" w:lineRule="auto"/>
              <w:jc w:val="center"/>
              <w:rPr>
                <w:sz w:val="20"/>
                <w:szCs w:val="20"/>
                <w:lang w:eastAsia="lv-LV"/>
              </w:rPr>
            </w:pPr>
            <w:r w:rsidRPr="00895420">
              <w:rPr>
                <w:sz w:val="20"/>
                <w:szCs w:val="20"/>
                <w:lang w:eastAsia="lv-LV"/>
              </w:rPr>
              <w:t>2594287</w:t>
            </w:r>
          </w:p>
        </w:tc>
        <w:tc>
          <w:tcPr>
            <w:tcW w:w="1195" w:type="dxa"/>
            <w:shd w:val="clear" w:color="000000" w:fill="FFFFFF"/>
            <w:vAlign w:val="center"/>
            <w:hideMark/>
          </w:tcPr>
          <w:p w:rsidR="00895420" w:rsidRPr="00895420" w:rsidRDefault="00895420" w:rsidP="00895420">
            <w:pPr>
              <w:spacing w:after="0" w:line="240" w:lineRule="auto"/>
              <w:jc w:val="center"/>
              <w:rPr>
                <w:sz w:val="20"/>
                <w:szCs w:val="20"/>
                <w:lang w:eastAsia="lv-LV"/>
              </w:rPr>
            </w:pPr>
            <w:r w:rsidRPr="00895420">
              <w:rPr>
                <w:sz w:val="20"/>
                <w:szCs w:val="20"/>
                <w:lang w:eastAsia="lv-LV"/>
              </w:rPr>
              <w:t>1823275</w:t>
            </w:r>
          </w:p>
        </w:tc>
        <w:tc>
          <w:tcPr>
            <w:tcW w:w="1199" w:type="dxa"/>
            <w:shd w:val="clear" w:color="000000" w:fill="FFFFFF"/>
            <w:vAlign w:val="center"/>
            <w:hideMark/>
          </w:tcPr>
          <w:p w:rsidR="00895420" w:rsidRPr="00895420" w:rsidRDefault="00895420" w:rsidP="00895420">
            <w:pPr>
              <w:spacing w:after="0" w:line="240" w:lineRule="auto"/>
              <w:jc w:val="right"/>
              <w:rPr>
                <w:sz w:val="20"/>
                <w:szCs w:val="20"/>
                <w:lang w:eastAsia="lv-LV"/>
              </w:rPr>
            </w:pPr>
            <w:r w:rsidRPr="00895420">
              <w:rPr>
                <w:sz w:val="20"/>
                <w:szCs w:val="20"/>
                <w:lang w:eastAsia="lv-LV"/>
              </w:rPr>
              <w:t>2594286,60</w:t>
            </w:r>
          </w:p>
        </w:tc>
        <w:tc>
          <w:tcPr>
            <w:tcW w:w="1253" w:type="dxa"/>
            <w:shd w:val="clear" w:color="000000" w:fill="FFFFFF"/>
            <w:vAlign w:val="center"/>
            <w:hideMark/>
          </w:tcPr>
          <w:p w:rsidR="00895420" w:rsidRPr="00895420" w:rsidRDefault="00895420" w:rsidP="00895420">
            <w:pPr>
              <w:spacing w:after="0" w:line="240" w:lineRule="auto"/>
              <w:jc w:val="center"/>
              <w:rPr>
                <w:sz w:val="20"/>
                <w:szCs w:val="20"/>
                <w:lang w:eastAsia="lv-LV"/>
              </w:rPr>
            </w:pPr>
            <w:r w:rsidRPr="00895420">
              <w:rPr>
                <w:sz w:val="20"/>
                <w:szCs w:val="20"/>
                <w:lang w:eastAsia="lv-LV"/>
              </w:rPr>
              <w:t>2594287</w:t>
            </w:r>
          </w:p>
        </w:tc>
      </w:tr>
      <w:tr w:rsidR="00895420" w:rsidRPr="00895420" w:rsidTr="00895420">
        <w:trPr>
          <w:trHeight w:val="525"/>
          <w:jc w:val="center"/>
        </w:trPr>
        <w:tc>
          <w:tcPr>
            <w:tcW w:w="1419" w:type="dxa"/>
            <w:gridSpan w:val="2"/>
            <w:shd w:val="clear" w:color="000000" w:fill="FFFFFF"/>
            <w:vAlign w:val="center"/>
            <w:hideMark/>
          </w:tcPr>
          <w:p w:rsidR="00895420" w:rsidRPr="00895420" w:rsidRDefault="00895420" w:rsidP="00895420">
            <w:pPr>
              <w:spacing w:after="0" w:line="240" w:lineRule="auto"/>
              <w:jc w:val="center"/>
              <w:rPr>
                <w:b/>
                <w:bCs/>
                <w:sz w:val="20"/>
                <w:szCs w:val="20"/>
                <w:lang w:eastAsia="lv-LV"/>
              </w:rPr>
            </w:pPr>
            <w:r w:rsidRPr="00895420">
              <w:rPr>
                <w:b/>
                <w:bCs/>
                <w:sz w:val="20"/>
                <w:szCs w:val="20"/>
                <w:lang w:eastAsia="lv-LV"/>
              </w:rPr>
              <w:t>PAVISAM KOPĀ:</w:t>
            </w:r>
          </w:p>
        </w:tc>
        <w:tc>
          <w:tcPr>
            <w:tcW w:w="1182" w:type="dxa"/>
            <w:shd w:val="clear" w:color="000000" w:fill="FFFFFF"/>
            <w:vAlign w:val="center"/>
            <w:hideMark/>
          </w:tcPr>
          <w:p w:rsidR="00895420" w:rsidRPr="00895420" w:rsidRDefault="00895420" w:rsidP="00895420">
            <w:pPr>
              <w:spacing w:after="0" w:line="240" w:lineRule="auto"/>
              <w:jc w:val="center"/>
              <w:rPr>
                <w:b/>
                <w:bCs/>
                <w:sz w:val="20"/>
                <w:szCs w:val="20"/>
                <w:lang w:eastAsia="lv-LV"/>
              </w:rPr>
            </w:pPr>
            <w:r w:rsidRPr="00895420">
              <w:rPr>
                <w:b/>
                <w:bCs/>
                <w:sz w:val="20"/>
                <w:szCs w:val="20"/>
                <w:lang w:eastAsia="lv-LV"/>
              </w:rPr>
              <w:t>2331199</w:t>
            </w:r>
          </w:p>
        </w:tc>
        <w:tc>
          <w:tcPr>
            <w:tcW w:w="1234" w:type="dxa"/>
            <w:shd w:val="clear" w:color="000000" w:fill="FFFFFF"/>
            <w:vAlign w:val="center"/>
            <w:hideMark/>
          </w:tcPr>
          <w:p w:rsidR="00895420" w:rsidRPr="00895420" w:rsidRDefault="00895420" w:rsidP="00895420">
            <w:pPr>
              <w:spacing w:after="0" w:line="240" w:lineRule="auto"/>
              <w:jc w:val="center"/>
              <w:rPr>
                <w:b/>
                <w:bCs/>
                <w:sz w:val="20"/>
                <w:szCs w:val="20"/>
                <w:lang w:eastAsia="lv-LV"/>
              </w:rPr>
            </w:pPr>
            <w:r w:rsidRPr="00895420">
              <w:rPr>
                <w:b/>
                <w:bCs/>
                <w:sz w:val="20"/>
                <w:szCs w:val="20"/>
                <w:lang w:eastAsia="lv-LV"/>
              </w:rPr>
              <w:t>0</w:t>
            </w:r>
          </w:p>
        </w:tc>
        <w:tc>
          <w:tcPr>
            <w:tcW w:w="1239" w:type="dxa"/>
            <w:shd w:val="clear" w:color="000000" w:fill="FFFFFF"/>
            <w:vAlign w:val="center"/>
            <w:hideMark/>
          </w:tcPr>
          <w:p w:rsidR="00895420" w:rsidRPr="00895420" w:rsidRDefault="00895420" w:rsidP="00895420">
            <w:pPr>
              <w:spacing w:after="0" w:line="240" w:lineRule="auto"/>
              <w:jc w:val="center"/>
              <w:rPr>
                <w:b/>
                <w:bCs/>
                <w:sz w:val="20"/>
                <w:szCs w:val="20"/>
                <w:lang w:eastAsia="lv-LV"/>
              </w:rPr>
            </w:pPr>
            <w:r w:rsidRPr="00895420">
              <w:rPr>
                <w:b/>
                <w:bCs/>
                <w:sz w:val="20"/>
                <w:szCs w:val="20"/>
                <w:lang w:eastAsia="lv-LV"/>
              </w:rPr>
              <w:t>0</w:t>
            </w:r>
          </w:p>
        </w:tc>
        <w:tc>
          <w:tcPr>
            <w:tcW w:w="1234" w:type="dxa"/>
            <w:shd w:val="clear" w:color="000000" w:fill="FFFFFF"/>
            <w:vAlign w:val="center"/>
            <w:hideMark/>
          </w:tcPr>
          <w:p w:rsidR="00895420" w:rsidRPr="00895420" w:rsidRDefault="00895420" w:rsidP="00895420">
            <w:pPr>
              <w:spacing w:after="0" w:line="240" w:lineRule="auto"/>
              <w:jc w:val="center"/>
              <w:rPr>
                <w:b/>
                <w:bCs/>
                <w:sz w:val="20"/>
                <w:szCs w:val="20"/>
                <w:lang w:eastAsia="lv-LV"/>
              </w:rPr>
            </w:pPr>
            <w:r w:rsidRPr="00895420">
              <w:rPr>
                <w:b/>
                <w:bCs/>
                <w:sz w:val="20"/>
                <w:szCs w:val="20"/>
                <w:lang w:eastAsia="lv-LV"/>
              </w:rPr>
              <w:t>0</w:t>
            </w:r>
          </w:p>
        </w:tc>
        <w:tc>
          <w:tcPr>
            <w:tcW w:w="1195" w:type="dxa"/>
            <w:shd w:val="clear" w:color="000000" w:fill="FFFFFF"/>
            <w:vAlign w:val="center"/>
            <w:hideMark/>
          </w:tcPr>
          <w:p w:rsidR="00895420" w:rsidRPr="00895420" w:rsidRDefault="00895420" w:rsidP="00895420">
            <w:pPr>
              <w:spacing w:after="0" w:line="240" w:lineRule="auto"/>
              <w:jc w:val="center"/>
              <w:rPr>
                <w:b/>
                <w:bCs/>
                <w:sz w:val="20"/>
                <w:szCs w:val="20"/>
                <w:lang w:eastAsia="lv-LV"/>
              </w:rPr>
            </w:pPr>
            <w:r w:rsidRPr="00895420">
              <w:rPr>
                <w:b/>
                <w:bCs/>
                <w:sz w:val="20"/>
                <w:szCs w:val="20"/>
                <w:lang w:eastAsia="lv-LV"/>
              </w:rPr>
              <w:t>2331199</w:t>
            </w:r>
          </w:p>
        </w:tc>
        <w:tc>
          <w:tcPr>
            <w:tcW w:w="1199" w:type="dxa"/>
            <w:shd w:val="clear" w:color="000000" w:fill="FFFFFF"/>
            <w:vAlign w:val="center"/>
            <w:hideMark/>
          </w:tcPr>
          <w:p w:rsidR="00895420" w:rsidRPr="00895420" w:rsidRDefault="00895420" w:rsidP="00895420">
            <w:pPr>
              <w:spacing w:after="0" w:line="240" w:lineRule="auto"/>
              <w:jc w:val="center"/>
              <w:rPr>
                <w:b/>
                <w:bCs/>
                <w:sz w:val="20"/>
                <w:szCs w:val="20"/>
                <w:lang w:eastAsia="lv-LV"/>
              </w:rPr>
            </w:pPr>
            <w:r w:rsidRPr="00895420">
              <w:rPr>
                <w:b/>
                <w:bCs/>
                <w:sz w:val="20"/>
                <w:szCs w:val="20"/>
                <w:lang w:eastAsia="lv-LV"/>
              </w:rPr>
              <w:t>3316997,34</w:t>
            </w:r>
          </w:p>
        </w:tc>
        <w:tc>
          <w:tcPr>
            <w:tcW w:w="1253" w:type="dxa"/>
            <w:shd w:val="clear" w:color="000000" w:fill="FFFFFF"/>
            <w:vAlign w:val="center"/>
            <w:hideMark/>
          </w:tcPr>
          <w:p w:rsidR="00895420" w:rsidRPr="00895420" w:rsidRDefault="00895420" w:rsidP="00895420">
            <w:pPr>
              <w:spacing w:after="0" w:line="240" w:lineRule="auto"/>
              <w:jc w:val="center"/>
              <w:rPr>
                <w:b/>
                <w:bCs/>
                <w:sz w:val="20"/>
                <w:szCs w:val="20"/>
                <w:lang w:eastAsia="lv-LV"/>
              </w:rPr>
            </w:pPr>
            <w:r w:rsidRPr="00895420">
              <w:rPr>
                <w:b/>
                <w:bCs/>
                <w:sz w:val="20"/>
                <w:szCs w:val="20"/>
                <w:lang w:eastAsia="lv-LV"/>
              </w:rPr>
              <w:t>3316998</w:t>
            </w:r>
          </w:p>
        </w:tc>
      </w:tr>
    </w:tbl>
    <w:p w:rsidR="00B742D9" w:rsidRPr="0070217B" w:rsidRDefault="00B742D9" w:rsidP="00895420">
      <w:pPr>
        <w:spacing w:after="0" w:line="240" w:lineRule="auto"/>
        <w:ind w:left="-567" w:right="-567"/>
        <w:rPr>
          <w:sz w:val="16"/>
          <w:szCs w:val="16"/>
          <w:lang w:eastAsia="lv-LV"/>
        </w:rPr>
      </w:pPr>
      <w:r w:rsidRPr="0070217B">
        <w:rPr>
          <w:sz w:val="16"/>
          <w:szCs w:val="16"/>
          <w:lang w:eastAsia="lv-LV"/>
        </w:rPr>
        <w:t>*Norādītie kapitālieguldījumi ir provizoriski un ir precizējami pēc būvniecības tehnisk</w:t>
      </w:r>
      <w:r>
        <w:rPr>
          <w:sz w:val="16"/>
          <w:szCs w:val="16"/>
          <w:lang w:eastAsia="lv-LV"/>
        </w:rPr>
        <w:t>ā</w:t>
      </w:r>
      <w:r w:rsidRPr="0070217B">
        <w:rPr>
          <w:sz w:val="16"/>
          <w:szCs w:val="16"/>
          <w:lang w:eastAsia="lv-LV"/>
        </w:rPr>
        <w:t xml:space="preserve"> projekt</w:t>
      </w:r>
      <w:r>
        <w:rPr>
          <w:sz w:val="16"/>
          <w:szCs w:val="16"/>
          <w:lang w:eastAsia="lv-LV"/>
        </w:rPr>
        <w:t>a</w:t>
      </w:r>
      <w:r w:rsidRPr="0070217B">
        <w:rPr>
          <w:sz w:val="16"/>
          <w:szCs w:val="16"/>
          <w:lang w:eastAsia="lv-LV"/>
        </w:rPr>
        <w:t xml:space="preserve"> izstrādes, pēc būvniecības līgum</w:t>
      </w:r>
      <w:r>
        <w:rPr>
          <w:sz w:val="16"/>
          <w:szCs w:val="16"/>
          <w:lang w:eastAsia="lv-LV"/>
        </w:rPr>
        <w:t>a</w:t>
      </w:r>
      <w:r w:rsidRPr="0070217B">
        <w:rPr>
          <w:sz w:val="16"/>
          <w:szCs w:val="16"/>
          <w:lang w:eastAsia="lv-LV"/>
        </w:rPr>
        <w:t xml:space="preserve"> noslēgšanas un rekonstrukcijas darbu laikā.</w:t>
      </w:r>
    </w:p>
    <w:p w:rsidR="00A83A24" w:rsidRDefault="00A83A24" w:rsidP="00727196">
      <w:pPr>
        <w:spacing w:after="0" w:line="240" w:lineRule="auto"/>
        <w:rPr>
          <w:sz w:val="24"/>
          <w:szCs w:val="24"/>
        </w:rPr>
      </w:pPr>
    </w:p>
    <w:p w:rsidR="00784D38" w:rsidRDefault="00784D38" w:rsidP="00727196">
      <w:pPr>
        <w:spacing w:after="0" w:line="240" w:lineRule="auto"/>
        <w:rPr>
          <w:sz w:val="24"/>
          <w:szCs w:val="24"/>
        </w:rPr>
      </w:pPr>
    </w:p>
    <w:p w:rsidR="00391D19" w:rsidRDefault="00391D19" w:rsidP="00727196">
      <w:pPr>
        <w:spacing w:after="0" w:line="240" w:lineRule="auto"/>
        <w:rPr>
          <w:sz w:val="24"/>
          <w:szCs w:val="24"/>
        </w:rPr>
      </w:pPr>
    </w:p>
    <w:p w:rsidR="00391D19" w:rsidRDefault="00391D19" w:rsidP="00727196">
      <w:pPr>
        <w:spacing w:after="0" w:line="240" w:lineRule="auto"/>
        <w:rPr>
          <w:sz w:val="24"/>
          <w:szCs w:val="24"/>
        </w:rPr>
      </w:pPr>
    </w:p>
    <w:p w:rsidR="00391D19" w:rsidRDefault="00391D19" w:rsidP="00727196">
      <w:pPr>
        <w:spacing w:after="0" w:line="240" w:lineRule="auto"/>
        <w:rPr>
          <w:sz w:val="24"/>
          <w:szCs w:val="24"/>
        </w:rPr>
      </w:pPr>
    </w:p>
    <w:p w:rsidR="00C21730" w:rsidRDefault="00C21730" w:rsidP="00727196">
      <w:pPr>
        <w:spacing w:after="0" w:line="240" w:lineRule="auto"/>
        <w:rPr>
          <w:sz w:val="24"/>
          <w:szCs w:val="24"/>
        </w:rPr>
      </w:pPr>
    </w:p>
    <w:p w:rsidR="00841FD0" w:rsidRPr="00757804" w:rsidRDefault="00841FD0" w:rsidP="00727196">
      <w:pPr>
        <w:spacing w:after="0" w:line="240" w:lineRule="auto"/>
        <w:rPr>
          <w:sz w:val="24"/>
          <w:szCs w:val="24"/>
        </w:rPr>
      </w:pPr>
      <w:r w:rsidRPr="00757804">
        <w:rPr>
          <w:sz w:val="24"/>
          <w:szCs w:val="24"/>
        </w:rPr>
        <w:t>Finanšu ministrs</w:t>
      </w:r>
      <w:r w:rsidRPr="00757804">
        <w:rPr>
          <w:sz w:val="24"/>
          <w:szCs w:val="24"/>
        </w:rPr>
        <w:tab/>
      </w:r>
      <w:r w:rsidRPr="00757804">
        <w:rPr>
          <w:sz w:val="24"/>
          <w:szCs w:val="24"/>
        </w:rPr>
        <w:tab/>
      </w:r>
      <w:r w:rsidRPr="00757804">
        <w:rPr>
          <w:sz w:val="24"/>
          <w:szCs w:val="24"/>
        </w:rPr>
        <w:tab/>
      </w:r>
      <w:r w:rsidRPr="00757804">
        <w:rPr>
          <w:sz w:val="24"/>
          <w:szCs w:val="24"/>
        </w:rPr>
        <w:tab/>
      </w:r>
      <w:r w:rsidRPr="00757804">
        <w:rPr>
          <w:sz w:val="24"/>
          <w:szCs w:val="24"/>
        </w:rPr>
        <w:tab/>
      </w:r>
      <w:r w:rsidRPr="00757804">
        <w:rPr>
          <w:sz w:val="24"/>
          <w:szCs w:val="24"/>
        </w:rPr>
        <w:tab/>
      </w:r>
      <w:r w:rsidRPr="00757804">
        <w:rPr>
          <w:sz w:val="24"/>
          <w:szCs w:val="24"/>
        </w:rPr>
        <w:tab/>
      </w:r>
      <w:r w:rsidRPr="00757804">
        <w:rPr>
          <w:sz w:val="24"/>
          <w:szCs w:val="24"/>
        </w:rPr>
        <w:tab/>
        <w:t>A.Vilks</w:t>
      </w:r>
    </w:p>
    <w:p w:rsidR="00B17F52" w:rsidRDefault="00B17F52" w:rsidP="00BD7ABB">
      <w:pPr>
        <w:spacing w:after="0"/>
        <w:rPr>
          <w:sz w:val="16"/>
          <w:szCs w:val="16"/>
        </w:rPr>
      </w:pPr>
    </w:p>
    <w:p w:rsidR="00B742D9" w:rsidRDefault="00B742D9" w:rsidP="00BD7ABB">
      <w:pPr>
        <w:spacing w:after="0"/>
        <w:rPr>
          <w:sz w:val="16"/>
          <w:szCs w:val="16"/>
        </w:rPr>
      </w:pPr>
    </w:p>
    <w:p w:rsidR="00391D19" w:rsidRDefault="00391D19" w:rsidP="00BD7ABB">
      <w:pPr>
        <w:spacing w:after="0"/>
        <w:rPr>
          <w:sz w:val="16"/>
          <w:szCs w:val="16"/>
        </w:rPr>
      </w:pPr>
    </w:p>
    <w:p w:rsidR="00391D19" w:rsidRDefault="00391D19" w:rsidP="00BD7ABB">
      <w:pPr>
        <w:spacing w:after="0"/>
        <w:rPr>
          <w:sz w:val="16"/>
          <w:szCs w:val="16"/>
        </w:rPr>
      </w:pPr>
    </w:p>
    <w:p w:rsidR="00391D19" w:rsidRDefault="00391D19" w:rsidP="00BD7ABB">
      <w:pPr>
        <w:spacing w:after="0"/>
        <w:rPr>
          <w:sz w:val="16"/>
          <w:szCs w:val="16"/>
        </w:rPr>
      </w:pPr>
    </w:p>
    <w:p w:rsidR="00391D19" w:rsidRDefault="00391D19" w:rsidP="00BD7ABB">
      <w:pPr>
        <w:spacing w:after="0"/>
        <w:rPr>
          <w:sz w:val="16"/>
          <w:szCs w:val="16"/>
        </w:rPr>
      </w:pPr>
    </w:p>
    <w:p w:rsidR="00391D19" w:rsidRDefault="00391D19" w:rsidP="00BD7ABB">
      <w:pPr>
        <w:spacing w:after="0"/>
        <w:rPr>
          <w:sz w:val="16"/>
          <w:szCs w:val="16"/>
        </w:rPr>
      </w:pPr>
    </w:p>
    <w:p w:rsidR="00391D19" w:rsidRDefault="00391D19" w:rsidP="00BD7ABB">
      <w:pPr>
        <w:spacing w:after="0"/>
        <w:rPr>
          <w:sz w:val="16"/>
          <w:szCs w:val="16"/>
        </w:rPr>
      </w:pPr>
    </w:p>
    <w:p w:rsidR="00391D19" w:rsidRDefault="00391D19" w:rsidP="00BD7ABB">
      <w:pPr>
        <w:spacing w:after="0"/>
        <w:rPr>
          <w:sz w:val="16"/>
          <w:szCs w:val="16"/>
        </w:rPr>
      </w:pPr>
    </w:p>
    <w:p w:rsidR="00841FD0" w:rsidRPr="003E497D" w:rsidRDefault="00F172D7" w:rsidP="00BD7ABB">
      <w:pPr>
        <w:spacing w:after="0"/>
        <w:rPr>
          <w:sz w:val="16"/>
          <w:szCs w:val="16"/>
        </w:rPr>
      </w:pPr>
      <w:r>
        <w:rPr>
          <w:sz w:val="16"/>
          <w:szCs w:val="16"/>
        </w:rPr>
        <w:t>06.09</w:t>
      </w:r>
      <w:r w:rsidR="00841FD0">
        <w:rPr>
          <w:sz w:val="16"/>
          <w:szCs w:val="16"/>
        </w:rPr>
        <w:t>.201</w:t>
      </w:r>
      <w:r w:rsidR="00B348DE">
        <w:rPr>
          <w:sz w:val="16"/>
          <w:szCs w:val="16"/>
        </w:rPr>
        <w:t>3</w:t>
      </w:r>
      <w:r w:rsidR="00841FD0">
        <w:rPr>
          <w:sz w:val="16"/>
          <w:szCs w:val="16"/>
        </w:rPr>
        <w:t xml:space="preserve"> </w:t>
      </w:r>
      <w:r w:rsidR="002D3F1A">
        <w:rPr>
          <w:sz w:val="16"/>
          <w:szCs w:val="16"/>
        </w:rPr>
        <w:t>8:08</w:t>
      </w:r>
    </w:p>
    <w:p w:rsidR="00841FD0" w:rsidRPr="003E497D" w:rsidRDefault="000912BD" w:rsidP="00BD7ABB">
      <w:pPr>
        <w:spacing w:after="0"/>
        <w:rPr>
          <w:sz w:val="16"/>
          <w:szCs w:val="16"/>
        </w:rPr>
      </w:pPr>
      <w:fldSimple w:instr=" NUMWORDS   \* MERGEFORMAT ">
        <w:r w:rsidR="008524F0" w:rsidRPr="008524F0">
          <w:rPr>
            <w:noProof/>
            <w:sz w:val="16"/>
            <w:szCs w:val="16"/>
          </w:rPr>
          <w:t>182</w:t>
        </w:r>
      </w:fldSimple>
      <w:bookmarkStart w:id="2" w:name="_GoBack"/>
      <w:bookmarkEnd w:id="2"/>
    </w:p>
    <w:p w:rsidR="00841FD0" w:rsidRDefault="00841FD0" w:rsidP="00BD7ABB">
      <w:pPr>
        <w:spacing w:after="0"/>
        <w:rPr>
          <w:sz w:val="16"/>
          <w:szCs w:val="16"/>
        </w:rPr>
      </w:pPr>
      <w:bookmarkStart w:id="3" w:name="OLE_LINK10"/>
      <w:bookmarkStart w:id="4" w:name="OLE_LINK11"/>
      <w:r w:rsidRPr="003E497D">
        <w:rPr>
          <w:sz w:val="16"/>
          <w:szCs w:val="16"/>
        </w:rPr>
        <w:t>A.Gulbe</w:t>
      </w:r>
      <w:r>
        <w:rPr>
          <w:sz w:val="16"/>
          <w:szCs w:val="16"/>
        </w:rPr>
        <w:t xml:space="preserve">, </w:t>
      </w:r>
      <w:bookmarkStart w:id="5" w:name="OLE_LINK1"/>
      <w:bookmarkStart w:id="6" w:name="OLE_LINK2"/>
    </w:p>
    <w:p w:rsidR="00841FD0" w:rsidRDefault="00841FD0" w:rsidP="007214BB">
      <w:pPr>
        <w:spacing w:after="0"/>
        <w:rPr>
          <w:b/>
          <w:sz w:val="24"/>
          <w:szCs w:val="24"/>
        </w:rPr>
      </w:pPr>
      <w:bookmarkStart w:id="7" w:name="OLE_LINK5"/>
      <w:bookmarkStart w:id="8" w:name="OLE_LINK6"/>
      <w:bookmarkStart w:id="9" w:name="OLE_LINK9"/>
      <w:r w:rsidRPr="003E497D">
        <w:rPr>
          <w:sz w:val="16"/>
          <w:szCs w:val="16"/>
        </w:rPr>
        <w:t>67024698</w:t>
      </w:r>
      <w:bookmarkEnd w:id="5"/>
      <w:bookmarkEnd w:id="6"/>
      <w:r w:rsidRPr="003E497D">
        <w:rPr>
          <w:sz w:val="16"/>
          <w:szCs w:val="16"/>
        </w:rPr>
        <w:t xml:space="preserve">, </w:t>
      </w:r>
      <w:bookmarkStart w:id="10" w:name="OLE_LINK3"/>
      <w:bookmarkStart w:id="11" w:name="OLE_LINK4"/>
      <w:r w:rsidR="00976E6E" w:rsidRPr="003E497D">
        <w:rPr>
          <w:sz w:val="16"/>
          <w:szCs w:val="16"/>
        </w:rPr>
        <w:fldChar w:fldCharType="begin"/>
      </w:r>
      <w:r w:rsidRPr="003E497D">
        <w:rPr>
          <w:sz w:val="16"/>
          <w:szCs w:val="16"/>
        </w:rPr>
        <w:instrText xml:space="preserve"> HYPERLINK "mailto:aiga.gulbe@vni.lv" </w:instrText>
      </w:r>
      <w:r w:rsidR="00976E6E" w:rsidRPr="003E497D">
        <w:rPr>
          <w:sz w:val="16"/>
          <w:szCs w:val="16"/>
        </w:rPr>
        <w:fldChar w:fldCharType="separate"/>
      </w:r>
      <w:r w:rsidRPr="003E497D">
        <w:rPr>
          <w:rStyle w:val="Hyperlink"/>
          <w:sz w:val="16"/>
          <w:szCs w:val="16"/>
        </w:rPr>
        <w:t>aiga.gulbe@vni.lv</w:t>
      </w:r>
      <w:r w:rsidR="00976E6E" w:rsidRPr="003E497D">
        <w:rPr>
          <w:sz w:val="16"/>
          <w:szCs w:val="16"/>
        </w:rPr>
        <w:fldChar w:fldCharType="end"/>
      </w:r>
      <w:bookmarkEnd w:id="3"/>
      <w:bookmarkEnd w:id="4"/>
      <w:bookmarkEnd w:id="7"/>
      <w:bookmarkEnd w:id="8"/>
      <w:bookmarkEnd w:id="9"/>
      <w:bookmarkEnd w:id="10"/>
      <w:bookmarkEnd w:id="11"/>
    </w:p>
    <w:sectPr w:rsidR="00841FD0" w:rsidSect="00B742D9">
      <w:headerReference w:type="default" r:id="rId8"/>
      <w:footerReference w:type="default" r:id="rId9"/>
      <w:footerReference w:type="first" r:id="rId10"/>
      <w:pgSz w:w="11906" w:h="16838"/>
      <w:pgMar w:top="993" w:right="1416" w:bottom="709" w:left="1701" w:header="851" w:footer="54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409" w:rsidRDefault="00206409" w:rsidP="00737CA9">
      <w:pPr>
        <w:spacing w:after="0" w:line="240" w:lineRule="auto"/>
      </w:pPr>
      <w:r>
        <w:separator/>
      </w:r>
    </w:p>
  </w:endnote>
  <w:endnote w:type="continuationSeparator" w:id="0">
    <w:p w:rsidR="00206409" w:rsidRDefault="00206409" w:rsidP="00737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F47" w:rsidRPr="00CD46C3" w:rsidRDefault="000912BD" w:rsidP="00CD46C3">
    <w:pPr>
      <w:spacing w:after="0" w:line="240" w:lineRule="auto"/>
      <w:ind w:right="-1"/>
      <w:jc w:val="both"/>
      <w:rPr>
        <w:szCs w:val="20"/>
      </w:rPr>
    </w:pPr>
    <w:fldSimple w:instr=" FILENAME   \* MERGEFORMAT ">
      <w:r w:rsidR="00F172D7" w:rsidRPr="00F172D7">
        <w:rPr>
          <w:noProof/>
          <w:sz w:val="16"/>
          <w:szCs w:val="16"/>
        </w:rPr>
        <w:t>FMAnotp_230813_GrozMKrik410</w:t>
      </w:r>
    </w:fldSimple>
    <w:r w:rsidR="00D96F47" w:rsidRPr="008E574A">
      <w:rPr>
        <w:sz w:val="16"/>
        <w:szCs w:val="16"/>
      </w:rPr>
      <w:t xml:space="preserve">; </w:t>
    </w:r>
    <w:r w:rsidR="00D96F47">
      <w:rPr>
        <w:sz w:val="16"/>
        <w:szCs w:val="16"/>
      </w:rPr>
      <w:t xml:space="preserve">Pielikums </w:t>
    </w:r>
    <w:r w:rsidR="00D96F47" w:rsidRPr="008E574A">
      <w:rPr>
        <w:sz w:val="16"/>
        <w:szCs w:val="16"/>
      </w:rPr>
      <w:t xml:space="preserve">Ministru kabineta rīkojuma projekta „Grozījumi Ministru kabineta 2012.gada 24.augusta rīkojumā Nr.410 „Par finansējuma piešķiršanu Korupcijas novēršanas un apkarošanas biroja ēku </w:t>
    </w:r>
    <w:proofErr w:type="spellStart"/>
    <w:r w:rsidR="00D96F47" w:rsidRPr="008E574A">
      <w:rPr>
        <w:sz w:val="16"/>
        <w:szCs w:val="16"/>
      </w:rPr>
      <w:t>Aristida</w:t>
    </w:r>
    <w:proofErr w:type="spellEnd"/>
    <w:r w:rsidR="00D96F47" w:rsidRPr="008E574A">
      <w:rPr>
        <w:sz w:val="16"/>
        <w:szCs w:val="16"/>
      </w:rPr>
      <w:t xml:space="preserve"> </w:t>
    </w:r>
    <w:proofErr w:type="spellStart"/>
    <w:r w:rsidR="00D96F47" w:rsidRPr="008E574A">
      <w:rPr>
        <w:sz w:val="16"/>
        <w:szCs w:val="16"/>
      </w:rPr>
      <w:t>Briāna</w:t>
    </w:r>
    <w:proofErr w:type="spellEnd"/>
    <w:r w:rsidR="00D96F47" w:rsidRPr="008E574A">
      <w:rPr>
        <w:sz w:val="16"/>
        <w:szCs w:val="16"/>
      </w:rPr>
      <w:t xml:space="preserve"> ielā 13, Rīgā, būvniecības projekta izdevumu segšanai”” sākotnējās ietekmes novērtējuma ziņojumam (anotācijai)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F47" w:rsidRPr="008E574A" w:rsidRDefault="000912BD" w:rsidP="00B348DE">
    <w:pPr>
      <w:spacing w:after="0" w:line="240" w:lineRule="auto"/>
      <w:ind w:right="-1"/>
      <w:jc w:val="both"/>
      <w:rPr>
        <w:sz w:val="16"/>
        <w:szCs w:val="16"/>
      </w:rPr>
    </w:pPr>
    <w:fldSimple w:instr=" FILENAME   \* MERGEFORMAT ">
      <w:r w:rsidR="00F172D7" w:rsidRPr="00F172D7">
        <w:rPr>
          <w:noProof/>
          <w:sz w:val="16"/>
          <w:szCs w:val="16"/>
        </w:rPr>
        <w:t>FMAnotp_230813_GrozMKrik410</w:t>
      </w:r>
    </w:fldSimple>
    <w:r w:rsidR="00D96F47" w:rsidRPr="008E574A">
      <w:rPr>
        <w:sz w:val="16"/>
        <w:szCs w:val="16"/>
      </w:rPr>
      <w:t xml:space="preserve">; </w:t>
    </w:r>
    <w:r w:rsidR="00D96F47">
      <w:rPr>
        <w:sz w:val="16"/>
        <w:szCs w:val="16"/>
      </w:rPr>
      <w:t xml:space="preserve">Pielikums </w:t>
    </w:r>
    <w:r w:rsidR="00D96F47" w:rsidRPr="008E574A">
      <w:rPr>
        <w:sz w:val="16"/>
        <w:szCs w:val="16"/>
      </w:rPr>
      <w:t xml:space="preserve">Ministru kabineta rīkojuma projekta „Grozījumi Ministru kabineta 2012.gada 24.augusta rīkojumā Nr.410 „Par finansējuma piešķiršanu Korupcijas novēršanas un apkarošanas biroja ēku </w:t>
    </w:r>
    <w:proofErr w:type="spellStart"/>
    <w:r w:rsidR="00D96F47" w:rsidRPr="008E574A">
      <w:rPr>
        <w:sz w:val="16"/>
        <w:szCs w:val="16"/>
      </w:rPr>
      <w:t>Aristida</w:t>
    </w:r>
    <w:proofErr w:type="spellEnd"/>
    <w:r w:rsidR="00D96F47" w:rsidRPr="008E574A">
      <w:rPr>
        <w:sz w:val="16"/>
        <w:szCs w:val="16"/>
      </w:rPr>
      <w:t xml:space="preserve"> </w:t>
    </w:r>
    <w:proofErr w:type="spellStart"/>
    <w:r w:rsidR="00D96F47" w:rsidRPr="008E574A">
      <w:rPr>
        <w:sz w:val="16"/>
        <w:szCs w:val="16"/>
      </w:rPr>
      <w:t>Briāna</w:t>
    </w:r>
    <w:proofErr w:type="spellEnd"/>
    <w:r w:rsidR="00D96F47" w:rsidRPr="008E574A">
      <w:rPr>
        <w:sz w:val="16"/>
        <w:szCs w:val="16"/>
      </w:rPr>
      <w:t xml:space="preserve"> ielā 13, Rīgā, būvniecības projekta izdevumu segšanai”” sākotnējās ietekmes novērtējuma ziņojumam (anotācijai)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409" w:rsidRDefault="00206409" w:rsidP="00737CA9">
      <w:pPr>
        <w:spacing w:after="0" w:line="240" w:lineRule="auto"/>
      </w:pPr>
      <w:r>
        <w:separator/>
      </w:r>
    </w:p>
  </w:footnote>
  <w:footnote w:type="continuationSeparator" w:id="0">
    <w:p w:rsidR="00206409" w:rsidRDefault="00206409" w:rsidP="00737C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F47" w:rsidRPr="00B17F52" w:rsidRDefault="00976E6E">
    <w:pPr>
      <w:pStyle w:val="Header"/>
      <w:jc w:val="center"/>
      <w:rPr>
        <w:sz w:val="24"/>
        <w:szCs w:val="24"/>
      </w:rPr>
    </w:pPr>
    <w:r w:rsidRPr="00B17F52">
      <w:rPr>
        <w:sz w:val="24"/>
        <w:szCs w:val="24"/>
      </w:rPr>
      <w:fldChar w:fldCharType="begin"/>
    </w:r>
    <w:r w:rsidR="00D96F47" w:rsidRPr="00B17F52">
      <w:rPr>
        <w:sz w:val="24"/>
        <w:szCs w:val="24"/>
      </w:rPr>
      <w:instrText xml:space="preserve"> PAGE   \* MERGEFORMAT </w:instrText>
    </w:r>
    <w:r w:rsidRPr="00B17F52">
      <w:rPr>
        <w:sz w:val="24"/>
        <w:szCs w:val="24"/>
      </w:rPr>
      <w:fldChar w:fldCharType="separate"/>
    </w:r>
    <w:r w:rsidR="00895420">
      <w:rPr>
        <w:noProof/>
        <w:sz w:val="24"/>
        <w:szCs w:val="24"/>
      </w:rPr>
      <w:t>2</w:t>
    </w:r>
    <w:r w:rsidRPr="00B17F52">
      <w:rPr>
        <w:sz w:val="24"/>
        <w:szCs w:val="24"/>
      </w:rPr>
      <w:fldChar w:fldCharType="end"/>
    </w:r>
  </w:p>
  <w:p w:rsidR="00D96F47" w:rsidRDefault="00D96F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235BD"/>
    <w:multiLevelType w:val="hybridMultilevel"/>
    <w:tmpl w:val="6882CB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EC22936"/>
    <w:multiLevelType w:val="hybridMultilevel"/>
    <w:tmpl w:val="6882CB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0883011"/>
    <w:multiLevelType w:val="hybridMultilevel"/>
    <w:tmpl w:val="84682436"/>
    <w:lvl w:ilvl="0" w:tplc="B94AC854">
      <w:start w:val="1"/>
      <w:numFmt w:val="decimal"/>
      <w:lvlText w:val="[%1]"/>
      <w:lvlJc w:val="left"/>
      <w:pPr>
        <w:ind w:left="1146"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3">
    <w:nsid w:val="209539B6"/>
    <w:multiLevelType w:val="hybridMultilevel"/>
    <w:tmpl w:val="6882CB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EF76658"/>
    <w:multiLevelType w:val="hybridMultilevel"/>
    <w:tmpl w:val="C69E45FE"/>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CA9"/>
    <w:rsid w:val="0000030F"/>
    <w:rsid w:val="00000ACF"/>
    <w:rsid w:val="00035A5A"/>
    <w:rsid w:val="00041386"/>
    <w:rsid w:val="00046A68"/>
    <w:rsid w:val="00061588"/>
    <w:rsid w:val="00067983"/>
    <w:rsid w:val="000720DF"/>
    <w:rsid w:val="00072FDE"/>
    <w:rsid w:val="00082947"/>
    <w:rsid w:val="0009070D"/>
    <w:rsid w:val="000912BD"/>
    <w:rsid w:val="000A03BE"/>
    <w:rsid w:val="000A60E4"/>
    <w:rsid w:val="000C70AC"/>
    <w:rsid w:val="000E6C53"/>
    <w:rsid w:val="00105DC4"/>
    <w:rsid w:val="00132F62"/>
    <w:rsid w:val="0014182D"/>
    <w:rsid w:val="00146663"/>
    <w:rsid w:val="00147571"/>
    <w:rsid w:val="001607CC"/>
    <w:rsid w:val="001620A5"/>
    <w:rsid w:val="0017325F"/>
    <w:rsid w:val="00175592"/>
    <w:rsid w:val="001823E1"/>
    <w:rsid w:val="001853FC"/>
    <w:rsid w:val="00192EF6"/>
    <w:rsid w:val="001A7455"/>
    <w:rsid w:val="001D4022"/>
    <w:rsid w:val="001F7A0E"/>
    <w:rsid w:val="001F7D59"/>
    <w:rsid w:val="002049B3"/>
    <w:rsid w:val="00206409"/>
    <w:rsid w:val="0020700D"/>
    <w:rsid w:val="00234E68"/>
    <w:rsid w:val="00235277"/>
    <w:rsid w:val="002461F9"/>
    <w:rsid w:val="00254A22"/>
    <w:rsid w:val="00256828"/>
    <w:rsid w:val="0026020F"/>
    <w:rsid w:val="002963F2"/>
    <w:rsid w:val="002A178B"/>
    <w:rsid w:val="002A50D5"/>
    <w:rsid w:val="002B4B51"/>
    <w:rsid w:val="002B77E1"/>
    <w:rsid w:val="002C594A"/>
    <w:rsid w:val="002D205F"/>
    <w:rsid w:val="002D2F04"/>
    <w:rsid w:val="002D3F1A"/>
    <w:rsid w:val="002D407C"/>
    <w:rsid w:val="002F3EC9"/>
    <w:rsid w:val="0031303B"/>
    <w:rsid w:val="00317BBF"/>
    <w:rsid w:val="0033210E"/>
    <w:rsid w:val="00344CB8"/>
    <w:rsid w:val="00352F7A"/>
    <w:rsid w:val="003674F8"/>
    <w:rsid w:val="00391D19"/>
    <w:rsid w:val="003A4965"/>
    <w:rsid w:val="003A6127"/>
    <w:rsid w:val="003D397B"/>
    <w:rsid w:val="003D7D66"/>
    <w:rsid w:val="003E497D"/>
    <w:rsid w:val="003E6AF9"/>
    <w:rsid w:val="003E7B56"/>
    <w:rsid w:val="003F20F7"/>
    <w:rsid w:val="003F6233"/>
    <w:rsid w:val="0041433F"/>
    <w:rsid w:val="0046338A"/>
    <w:rsid w:val="00475FB8"/>
    <w:rsid w:val="004815F2"/>
    <w:rsid w:val="0048707B"/>
    <w:rsid w:val="004B0EDC"/>
    <w:rsid w:val="004F074B"/>
    <w:rsid w:val="0050516D"/>
    <w:rsid w:val="00526440"/>
    <w:rsid w:val="00534653"/>
    <w:rsid w:val="0055028A"/>
    <w:rsid w:val="00574943"/>
    <w:rsid w:val="00576AAA"/>
    <w:rsid w:val="00583541"/>
    <w:rsid w:val="005862A6"/>
    <w:rsid w:val="005A693A"/>
    <w:rsid w:val="005B24F7"/>
    <w:rsid w:val="005D2EBF"/>
    <w:rsid w:val="005E42D1"/>
    <w:rsid w:val="005F6B4E"/>
    <w:rsid w:val="0061049A"/>
    <w:rsid w:val="00625B05"/>
    <w:rsid w:val="006414AB"/>
    <w:rsid w:val="006537E2"/>
    <w:rsid w:val="00661068"/>
    <w:rsid w:val="0066112F"/>
    <w:rsid w:val="0068332F"/>
    <w:rsid w:val="006843FA"/>
    <w:rsid w:val="00684AD0"/>
    <w:rsid w:val="00695328"/>
    <w:rsid w:val="00695828"/>
    <w:rsid w:val="00697638"/>
    <w:rsid w:val="006C6324"/>
    <w:rsid w:val="006D6EC0"/>
    <w:rsid w:val="0070217B"/>
    <w:rsid w:val="0071786C"/>
    <w:rsid w:val="007214BB"/>
    <w:rsid w:val="00727196"/>
    <w:rsid w:val="0073035C"/>
    <w:rsid w:val="00737B02"/>
    <w:rsid w:val="00737CA9"/>
    <w:rsid w:val="00753A9B"/>
    <w:rsid w:val="007566D9"/>
    <w:rsid w:val="00757804"/>
    <w:rsid w:val="007614D7"/>
    <w:rsid w:val="00765748"/>
    <w:rsid w:val="00780A57"/>
    <w:rsid w:val="00781D6F"/>
    <w:rsid w:val="00782674"/>
    <w:rsid w:val="00784D38"/>
    <w:rsid w:val="00792FA9"/>
    <w:rsid w:val="007A78DD"/>
    <w:rsid w:val="007D06FF"/>
    <w:rsid w:val="007D5D9D"/>
    <w:rsid w:val="007D70B8"/>
    <w:rsid w:val="007D77E5"/>
    <w:rsid w:val="007E2476"/>
    <w:rsid w:val="007F4AA5"/>
    <w:rsid w:val="008264CC"/>
    <w:rsid w:val="00830241"/>
    <w:rsid w:val="0083189B"/>
    <w:rsid w:val="00841FD0"/>
    <w:rsid w:val="008524F0"/>
    <w:rsid w:val="00855072"/>
    <w:rsid w:val="008665B6"/>
    <w:rsid w:val="00895420"/>
    <w:rsid w:val="008C08FF"/>
    <w:rsid w:val="008E2BBB"/>
    <w:rsid w:val="008E574A"/>
    <w:rsid w:val="009251C2"/>
    <w:rsid w:val="009376C3"/>
    <w:rsid w:val="00945A39"/>
    <w:rsid w:val="009503C1"/>
    <w:rsid w:val="009601CE"/>
    <w:rsid w:val="00976E6E"/>
    <w:rsid w:val="009841E1"/>
    <w:rsid w:val="0099679F"/>
    <w:rsid w:val="009A2923"/>
    <w:rsid w:val="009A6F58"/>
    <w:rsid w:val="009C16F2"/>
    <w:rsid w:val="009D526D"/>
    <w:rsid w:val="009F7122"/>
    <w:rsid w:val="009F7C77"/>
    <w:rsid w:val="00A06185"/>
    <w:rsid w:val="00A122BB"/>
    <w:rsid w:val="00A41D19"/>
    <w:rsid w:val="00A552F8"/>
    <w:rsid w:val="00A571E2"/>
    <w:rsid w:val="00A65C8E"/>
    <w:rsid w:val="00A77247"/>
    <w:rsid w:val="00A83A24"/>
    <w:rsid w:val="00A9279A"/>
    <w:rsid w:val="00A93CE7"/>
    <w:rsid w:val="00AA271F"/>
    <w:rsid w:val="00AA3406"/>
    <w:rsid w:val="00AA5558"/>
    <w:rsid w:val="00AA671B"/>
    <w:rsid w:val="00AB6F4B"/>
    <w:rsid w:val="00AC7635"/>
    <w:rsid w:val="00AD47CE"/>
    <w:rsid w:val="00AE1DFF"/>
    <w:rsid w:val="00B05E18"/>
    <w:rsid w:val="00B1639D"/>
    <w:rsid w:val="00B168E0"/>
    <w:rsid w:val="00B17F52"/>
    <w:rsid w:val="00B2448D"/>
    <w:rsid w:val="00B32F04"/>
    <w:rsid w:val="00B3335E"/>
    <w:rsid w:val="00B348DE"/>
    <w:rsid w:val="00B46055"/>
    <w:rsid w:val="00B51100"/>
    <w:rsid w:val="00B528C9"/>
    <w:rsid w:val="00B541EA"/>
    <w:rsid w:val="00B565DB"/>
    <w:rsid w:val="00B742D9"/>
    <w:rsid w:val="00B74DD4"/>
    <w:rsid w:val="00B77A0D"/>
    <w:rsid w:val="00B9589F"/>
    <w:rsid w:val="00B976CD"/>
    <w:rsid w:val="00BA0857"/>
    <w:rsid w:val="00BA60A2"/>
    <w:rsid w:val="00BB1697"/>
    <w:rsid w:val="00BC3976"/>
    <w:rsid w:val="00BD2C12"/>
    <w:rsid w:val="00BD7ABB"/>
    <w:rsid w:val="00C02E3D"/>
    <w:rsid w:val="00C11495"/>
    <w:rsid w:val="00C21730"/>
    <w:rsid w:val="00C378DC"/>
    <w:rsid w:val="00C46187"/>
    <w:rsid w:val="00C46492"/>
    <w:rsid w:val="00C72FD2"/>
    <w:rsid w:val="00C752F8"/>
    <w:rsid w:val="00C805FD"/>
    <w:rsid w:val="00C85DB2"/>
    <w:rsid w:val="00CC1C63"/>
    <w:rsid w:val="00CC4683"/>
    <w:rsid w:val="00CD46C3"/>
    <w:rsid w:val="00CE7CB0"/>
    <w:rsid w:val="00CF00BF"/>
    <w:rsid w:val="00CF7BBB"/>
    <w:rsid w:val="00D54A91"/>
    <w:rsid w:val="00D6425D"/>
    <w:rsid w:val="00D72227"/>
    <w:rsid w:val="00D96F47"/>
    <w:rsid w:val="00DB4DFD"/>
    <w:rsid w:val="00DC1353"/>
    <w:rsid w:val="00DC21FC"/>
    <w:rsid w:val="00DC3657"/>
    <w:rsid w:val="00E1594F"/>
    <w:rsid w:val="00E262B4"/>
    <w:rsid w:val="00E443A0"/>
    <w:rsid w:val="00E7192E"/>
    <w:rsid w:val="00EA75F1"/>
    <w:rsid w:val="00EB7BFE"/>
    <w:rsid w:val="00EE30ED"/>
    <w:rsid w:val="00F0676D"/>
    <w:rsid w:val="00F16958"/>
    <w:rsid w:val="00F172D7"/>
    <w:rsid w:val="00F35E3A"/>
    <w:rsid w:val="00F47FBC"/>
    <w:rsid w:val="00F5471A"/>
    <w:rsid w:val="00F61E7D"/>
    <w:rsid w:val="00F84C7A"/>
    <w:rsid w:val="00F91189"/>
    <w:rsid w:val="00FB0518"/>
    <w:rsid w:val="00FB1924"/>
    <w:rsid w:val="00FB29E5"/>
    <w:rsid w:val="00FB45D8"/>
    <w:rsid w:val="00FD3496"/>
    <w:rsid w:val="00FE3E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241"/>
    <w:pPr>
      <w:spacing w:after="200" w:line="276" w:lineRule="auto"/>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37CA9"/>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737CA9"/>
    <w:rPr>
      <w:rFonts w:cs="Times New Roman"/>
      <w:sz w:val="28"/>
    </w:rPr>
  </w:style>
  <w:style w:type="paragraph" w:styleId="Footer">
    <w:name w:val="footer"/>
    <w:basedOn w:val="Normal"/>
    <w:link w:val="FooterChar"/>
    <w:uiPriority w:val="99"/>
    <w:rsid w:val="00737CA9"/>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737CA9"/>
    <w:rPr>
      <w:rFonts w:cs="Times New Roman"/>
      <w:sz w:val="28"/>
    </w:rPr>
  </w:style>
  <w:style w:type="paragraph" w:customStyle="1" w:styleId="CharChar1RakstzRakstzRakstz">
    <w:name w:val="Char Char1 Rakstz. Rakstz. Rakstz."/>
    <w:basedOn w:val="Normal"/>
    <w:uiPriority w:val="99"/>
    <w:rsid w:val="0026020F"/>
    <w:pPr>
      <w:spacing w:after="160" w:line="240" w:lineRule="exact"/>
    </w:pPr>
    <w:rPr>
      <w:rFonts w:ascii="Tahoma" w:hAnsi="Tahoma"/>
      <w:sz w:val="20"/>
      <w:szCs w:val="20"/>
      <w:lang w:val="en-US"/>
    </w:rPr>
  </w:style>
  <w:style w:type="character" w:styleId="Hyperlink">
    <w:name w:val="Hyperlink"/>
    <w:basedOn w:val="DefaultParagraphFont"/>
    <w:uiPriority w:val="99"/>
    <w:rsid w:val="001853FC"/>
    <w:rPr>
      <w:rFonts w:cs="Times New Roman"/>
      <w:color w:val="0000FF"/>
      <w:u w:val="single"/>
    </w:rPr>
  </w:style>
  <w:style w:type="paragraph" w:styleId="BodyText">
    <w:name w:val="Body Text"/>
    <w:basedOn w:val="Normal"/>
    <w:link w:val="BodyTextChar"/>
    <w:rsid w:val="00A06185"/>
    <w:pPr>
      <w:spacing w:after="0" w:line="240" w:lineRule="auto"/>
      <w:jc w:val="center"/>
    </w:pPr>
    <w:rPr>
      <w:b/>
      <w:bCs/>
      <w:sz w:val="24"/>
      <w:szCs w:val="24"/>
    </w:rPr>
  </w:style>
  <w:style w:type="character" w:customStyle="1" w:styleId="BodyTextChar">
    <w:name w:val="Body Text Char"/>
    <w:basedOn w:val="DefaultParagraphFont"/>
    <w:link w:val="BodyText"/>
    <w:rsid w:val="00A06185"/>
    <w:rPr>
      <w:b/>
      <w:bCs/>
      <w:sz w:val="24"/>
      <w:szCs w:val="24"/>
      <w:lang w:eastAsia="en-US"/>
    </w:rPr>
  </w:style>
  <w:style w:type="paragraph" w:styleId="ListParagraph">
    <w:name w:val="List Paragraph"/>
    <w:basedOn w:val="Normal"/>
    <w:uiPriority w:val="34"/>
    <w:qFormat/>
    <w:rsid w:val="00784D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241"/>
    <w:pPr>
      <w:spacing w:after="200" w:line="276" w:lineRule="auto"/>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37CA9"/>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737CA9"/>
    <w:rPr>
      <w:rFonts w:cs="Times New Roman"/>
      <w:sz w:val="28"/>
    </w:rPr>
  </w:style>
  <w:style w:type="paragraph" w:styleId="Footer">
    <w:name w:val="footer"/>
    <w:basedOn w:val="Normal"/>
    <w:link w:val="FooterChar"/>
    <w:uiPriority w:val="99"/>
    <w:rsid w:val="00737CA9"/>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737CA9"/>
    <w:rPr>
      <w:rFonts w:cs="Times New Roman"/>
      <w:sz w:val="28"/>
    </w:rPr>
  </w:style>
  <w:style w:type="paragraph" w:customStyle="1" w:styleId="CharChar1RakstzRakstzRakstz">
    <w:name w:val="Char Char1 Rakstz. Rakstz. Rakstz."/>
    <w:basedOn w:val="Normal"/>
    <w:uiPriority w:val="99"/>
    <w:rsid w:val="0026020F"/>
    <w:pPr>
      <w:spacing w:after="160" w:line="240" w:lineRule="exact"/>
    </w:pPr>
    <w:rPr>
      <w:rFonts w:ascii="Tahoma" w:hAnsi="Tahoma"/>
      <w:sz w:val="20"/>
      <w:szCs w:val="20"/>
      <w:lang w:val="en-US"/>
    </w:rPr>
  </w:style>
  <w:style w:type="character" w:styleId="Hyperlink">
    <w:name w:val="Hyperlink"/>
    <w:basedOn w:val="DefaultParagraphFont"/>
    <w:uiPriority w:val="99"/>
    <w:rsid w:val="001853FC"/>
    <w:rPr>
      <w:rFonts w:cs="Times New Roman"/>
      <w:color w:val="0000FF"/>
      <w:u w:val="single"/>
    </w:rPr>
  </w:style>
  <w:style w:type="paragraph" w:styleId="BodyText">
    <w:name w:val="Body Text"/>
    <w:basedOn w:val="Normal"/>
    <w:link w:val="BodyTextChar"/>
    <w:rsid w:val="00A06185"/>
    <w:pPr>
      <w:spacing w:after="0" w:line="240" w:lineRule="auto"/>
      <w:jc w:val="center"/>
    </w:pPr>
    <w:rPr>
      <w:b/>
      <w:bCs/>
      <w:sz w:val="24"/>
      <w:szCs w:val="24"/>
    </w:rPr>
  </w:style>
  <w:style w:type="character" w:customStyle="1" w:styleId="BodyTextChar">
    <w:name w:val="Body Text Char"/>
    <w:basedOn w:val="DefaultParagraphFont"/>
    <w:link w:val="BodyText"/>
    <w:rsid w:val="00A06185"/>
    <w:rPr>
      <w:b/>
      <w:bCs/>
      <w:sz w:val="24"/>
      <w:szCs w:val="24"/>
      <w:lang w:eastAsia="en-US"/>
    </w:rPr>
  </w:style>
  <w:style w:type="paragraph" w:styleId="ListParagraph">
    <w:name w:val="List Paragraph"/>
    <w:basedOn w:val="Normal"/>
    <w:uiPriority w:val="34"/>
    <w:qFormat/>
    <w:rsid w:val="00784D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90312">
      <w:marLeft w:val="0"/>
      <w:marRight w:val="0"/>
      <w:marTop w:val="0"/>
      <w:marBottom w:val="0"/>
      <w:divBdr>
        <w:top w:val="none" w:sz="0" w:space="0" w:color="auto"/>
        <w:left w:val="none" w:sz="0" w:space="0" w:color="auto"/>
        <w:bottom w:val="none" w:sz="0" w:space="0" w:color="auto"/>
        <w:right w:val="none" w:sz="0" w:space="0" w:color="auto"/>
      </w:divBdr>
    </w:div>
    <w:div w:id="126290313">
      <w:marLeft w:val="0"/>
      <w:marRight w:val="0"/>
      <w:marTop w:val="0"/>
      <w:marBottom w:val="0"/>
      <w:divBdr>
        <w:top w:val="none" w:sz="0" w:space="0" w:color="auto"/>
        <w:left w:val="none" w:sz="0" w:space="0" w:color="auto"/>
        <w:bottom w:val="none" w:sz="0" w:space="0" w:color="auto"/>
        <w:right w:val="none" w:sz="0" w:space="0" w:color="auto"/>
      </w:divBdr>
    </w:div>
    <w:div w:id="126290314">
      <w:marLeft w:val="0"/>
      <w:marRight w:val="0"/>
      <w:marTop w:val="0"/>
      <w:marBottom w:val="0"/>
      <w:divBdr>
        <w:top w:val="none" w:sz="0" w:space="0" w:color="auto"/>
        <w:left w:val="none" w:sz="0" w:space="0" w:color="auto"/>
        <w:bottom w:val="none" w:sz="0" w:space="0" w:color="auto"/>
        <w:right w:val="none" w:sz="0" w:space="0" w:color="auto"/>
      </w:divBdr>
    </w:div>
    <w:div w:id="126290315">
      <w:marLeft w:val="0"/>
      <w:marRight w:val="0"/>
      <w:marTop w:val="0"/>
      <w:marBottom w:val="0"/>
      <w:divBdr>
        <w:top w:val="none" w:sz="0" w:space="0" w:color="auto"/>
        <w:left w:val="none" w:sz="0" w:space="0" w:color="auto"/>
        <w:bottom w:val="none" w:sz="0" w:space="0" w:color="auto"/>
        <w:right w:val="none" w:sz="0" w:space="0" w:color="auto"/>
      </w:divBdr>
    </w:div>
    <w:div w:id="126290316">
      <w:marLeft w:val="0"/>
      <w:marRight w:val="0"/>
      <w:marTop w:val="0"/>
      <w:marBottom w:val="0"/>
      <w:divBdr>
        <w:top w:val="none" w:sz="0" w:space="0" w:color="auto"/>
        <w:left w:val="none" w:sz="0" w:space="0" w:color="auto"/>
        <w:bottom w:val="none" w:sz="0" w:space="0" w:color="auto"/>
        <w:right w:val="none" w:sz="0" w:space="0" w:color="auto"/>
      </w:divBdr>
    </w:div>
    <w:div w:id="126290317">
      <w:marLeft w:val="0"/>
      <w:marRight w:val="0"/>
      <w:marTop w:val="0"/>
      <w:marBottom w:val="0"/>
      <w:divBdr>
        <w:top w:val="none" w:sz="0" w:space="0" w:color="auto"/>
        <w:left w:val="none" w:sz="0" w:space="0" w:color="auto"/>
        <w:bottom w:val="none" w:sz="0" w:space="0" w:color="auto"/>
        <w:right w:val="none" w:sz="0" w:space="0" w:color="auto"/>
      </w:divBdr>
    </w:div>
    <w:div w:id="126290318">
      <w:marLeft w:val="0"/>
      <w:marRight w:val="0"/>
      <w:marTop w:val="0"/>
      <w:marBottom w:val="0"/>
      <w:divBdr>
        <w:top w:val="none" w:sz="0" w:space="0" w:color="auto"/>
        <w:left w:val="none" w:sz="0" w:space="0" w:color="auto"/>
        <w:bottom w:val="none" w:sz="0" w:space="0" w:color="auto"/>
        <w:right w:val="none" w:sz="0" w:space="0" w:color="auto"/>
      </w:divBdr>
    </w:div>
    <w:div w:id="126290319">
      <w:marLeft w:val="0"/>
      <w:marRight w:val="0"/>
      <w:marTop w:val="0"/>
      <w:marBottom w:val="0"/>
      <w:divBdr>
        <w:top w:val="none" w:sz="0" w:space="0" w:color="auto"/>
        <w:left w:val="none" w:sz="0" w:space="0" w:color="auto"/>
        <w:bottom w:val="none" w:sz="0" w:space="0" w:color="auto"/>
        <w:right w:val="none" w:sz="0" w:space="0" w:color="auto"/>
      </w:divBdr>
    </w:div>
    <w:div w:id="126290320">
      <w:marLeft w:val="0"/>
      <w:marRight w:val="0"/>
      <w:marTop w:val="0"/>
      <w:marBottom w:val="0"/>
      <w:divBdr>
        <w:top w:val="none" w:sz="0" w:space="0" w:color="auto"/>
        <w:left w:val="none" w:sz="0" w:space="0" w:color="auto"/>
        <w:bottom w:val="none" w:sz="0" w:space="0" w:color="auto"/>
        <w:right w:val="none" w:sz="0" w:space="0" w:color="auto"/>
      </w:divBdr>
    </w:div>
    <w:div w:id="126290321">
      <w:marLeft w:val="0"/>
      <w:marRight w:val="0"/>
      <w:marTop w:val="0"/>
      <w:marBottom w:val="0"/>
      <w:divBdr>
        <w:top w:val="none" w:sz="0" w:space="0" w:color="auto"/>
        <w:left w:val="none" w:sz="0" w:space="0" w:color="auto"/>
        <w:bottom w:val="none" w:sz="0" w:space="0" w:color="auto"/>
        <w:right w:val="none" w:sz="0" w:space="0" w:color="auto"/>
      </w:divBdr>
    </w:div>
    <w:div w:id="126290322">
      <w:marLeft w:val="0"/>
      <w:marRight w:val="0"/>
      <w:marTop w:val="0"/>
      <w:marBottom w:val="0"/>
      <w:divBdr>
        <w:top w:val="none" w:sz="0" w:space="0" w:color="auto"/>
        <w:left w:val="none" w:sz="0" w:space="0" w:color="auto"/>
        <w:bottom w:val="none" w:sz="0" w:space="0" w:color="auto"/>
        <w:right w:val="none" w:sz="0" w:space="0" w:color="auto"/>
      </w:divBdr>
    </w:div>
    <w:div w:id="126290323">
      <w:marLeft w:val="0"/>
      <w:marRight w:val="0"/>
      <w:marTop w:val="0"/>
      <w:marBottom w:val="0"/>
      <w:divBdr>
        <w:top w:val="none" w:sz="0" w:space="0" w:color="auto"/>
        <w:left w:val="none" w:sz="0" w:space="0" w:color="auto"/>
        <w:bottom w:val="none" w:sz="0" w:space="0" w:color="auto"/>
        <w:right w:val="none" w:sz="0" w:space="0" w:color="auto"/>
      </w:divBdr>
    </w:div>
    <w:div w:id="126290324">
      <w:marLeft w:val="0"/>
      <w:marRight w:val="0"/>
      <w:marTop w:val="0"/>
      <w:marBottom w:val="0"/>
      <w:divBdr>
        <w:top w:val="none" w:sz="0" w:space="0" w:color="auto"/>
        <w:left w:val="none" w:sz="0" w:space="0" w:color="auto"/>
        <w:bottom w:val="none" w:sz="0" w:space="0" w:color="auto"/>
        <w:right w:val="none" w:sz="0" w:space="0" w:color="auto"/>
      </w:divBdr>
    </w:div>
    <w:div w:id="126290325">
      <w:marLeft w:val="0"/>
      <w:marRight w:val="0"/>
      <w:marTop w:val="0"/>
      <w:marBottom w:val="0"/>
      <w:divBdr>
        <w:top w:val="none" w:sz="0" w:space="0" w:color="auto"/>
        <w:left w:val="none" w:sz="0" w:space="0" w:color="auto"/>
        <w:bottom w:val="none" w:sz="0" w:space="0" w:color="auto"/>
        <w:right w:val="none" w:sz="0" w:space="0" w:color="auto"/>
      </w:divBdr>
    </w:div>
    <w:div w:id="126290326">
      <w:marLeft w:val="0"/>
      <w:marRight w:val="0"/>
      <w:marTop w:val="0"/>
      <w:marBottom w:val="0"/>
      <w:divBdr>
        <w:top w:val="none" w:sz="0" w:space="0" w:color="auto"/>
        <w:left w:val="none" w:sz="0" w:space="0" w:color="auto"/>
        <w:bottom w:val="none" w:sz="0" w:space="0" w:color="auto"/>
        <w:right w:val="none" w:sz="0" w:space="0" w:color="auto"/>
      </w:divBdr>
    </w:div>
    <w:div w:id="126290327">
      <w:marLeft w:val="0"/>
      <w:marRight w:val="0"/>
      <w:marTop w:val="0"/>
      <w:marBottom w:val="0"/>
      <w:divBdr>
        <w:top w:val="none" w:sz="0" w:space="0" w:color="auto"/>
        <w:left w:val="none" w:sz="0" w:space="0" w:color="auto"/>
        <w:bottom w:val="none" w:sz="0" w:space="0" w:color="auto"/>
        <w:right w:val="none" w:sz="0" w:space="0" w:color="auto"/>
      </w:divBdr>
    </w:div>
    <w:div w:id="126290328">
      <w:marLeft w:val="0"/>
      <w:marRight w:val="0"/>
      <w:marTop w:val="0"/>
      <w:marBottom w:val="0"/>
      <w:divBdr>
        <w:top w:val="none" w:sz="0" w:space="0" w:color="auto"/>
        <w:left w:val="none" w:sz="0" w:space="0" w:color="auto"/>
        <w:bottom w:val="none" w:sz="0" w:space="0" w:color="auto"/>
        <w:right w:val="none" w:sz="0" w:space="0" w:color="auto"/>
      </w:divBdr>
    </w:div>
    <w:div w:id="126290329">
      <w:marLeft w:val="0"/>
      <w:marRight w:val="0"/>
      <w:marTop w:val="0"/>
      <w:marBottom w:val="0"/>
      <w:divBdr>
        <w:top w:val="none" w:sz="0" w:space="0" w:color="auto"/>
        <w:left w:val="none" w:sz="0" w:space="0" w:color="auto"/>
        <w:bottom w:val="none" w:sz="0" w:space="0" w:color="auto"/>
        <w:right w:val="none" w:sz="0" w:space="0" w:color="auto"/>
      </w:divBdr>
    </w:div>
    <w:div w:id="126290330">
      <w:marLeft w:val="0"/>
      <w:marRight w:val="0"/>
      <w:marTop w:val="0"/>
      <w:marBottom w:val="0"/>
      <w:divBdr>
        <w:top w:val="none" w:sz="0" w:space="0" w:color="auto"/>
        <w:left w:val="none" w:sz="0" w:space="0" w:color="auto"/>
        <w:bottom w:val="none" w:sz="0" w:space="0" w:color="auto"/>
        <w:right w:val="none" w:sz="0" w:space="0" w:color="auto"/>
      </w:divBdr>
    </w:div>
    <w:div w:id="126290331">
      <w:marLeft w:val="0"/>
      <w:marRight w:val="0"/>
      <w:marTop w:val="0"/>
      <w:marBottom w:val="0"/>
      <w:divBdr>
        <w:top w:val="none" w:sz="0" w:space="0" w:color="auto"/>
        <w:left w:val="none" w:sz="0" w:space="0" w:color="auto"/>
        <w:bottom w:val="none" w:sz="0" w:space="0" w:color="auto"/>
        <w:right w:val="none" w:sz="0" w:space="0" w:color="auto"/>
      </w:divBdr>
    </w:div>
    <w:div w:id="126290332">
      <w:marLeft w:val="0"/>
      <w:marRight w:val="0"/>
      <w:marTop w:val="0"/>
      <w:marBottom w:val="0"/>
      <w:divBdr>
        <w:top w:val="none" w:sz="0" w:space="0" w:color="auto"/>
        <w:left w:val="none" w:sz="0" w:space="0" w:color="auto"/>
        <w:bottom w:val="none" w:sz="0" w:space="0" w:color="auto"/>
        <w:right w:val="none" w:sz="0" w:space="0" w:color="auto"/>
      </w:divBdr>
    </w:div>
    <w:div w:id="126290333">
      <w:marLeft w:val="0"/>
      <w:marRight w:val="0"/>
      <w:marTop w:val="0"/>
      <w:marBottom w:val="0"/>
      <w:divBdr>
        <w:top w:val="none" w:sz="0" w:space="0" w:color="auto"/>
        <w:left w:val="none" w:sz="0" w:space="0" w:color="auto"/>
        <w:bottom w:val="none" w:sz="0" w:space="0" w:color="auto"/>
        <w:right w:val="none" w:sz="0" w:space="0" w:color="auto"/>
      </w:divBdr>
    </w:div>
    <w:div w:id="126290334">
      <w:marLeft w:val="0"/>
      <w:marRight w:val="0"/>
      <w:marTop w:val="0"/>
      <w:marBottom w:val="0"/>
      <w:divBdr>
        <w:top w:val="none" w:sz="0" w:space="0" w:color="auto"/>
        <w:left w:val="none" w:sz="0" w:space="0" w:color="auto"/>
        <w:bottom w:val="none" w:sz="0" w:space="0" w:color="auto"/>
        <w:right w:val="none" w:sz="0" w:space="0" w:color="auto"/>
      </w:divBdr>
    </w:div>
    <w:div w:id="126290335">
      <w:marLeft w:val="0"/>
      <w:marRight w:val="0"/>
      <w:marTop w:val="0"/>
      <w:marBottom w:val="0"/>
      <w:divBdr>
        <w:top w:val="none" w:sz="0" w:space="0" w:color="auto"/>
        <w:left w:val="none" w:sz="0" w:space="0" w:color="auto"/>
        <w:bottom w:val="none" w:sz="0" w:space="0" w:color="auto"/>
        <w:right w:val="none" w:sz="0" w:space="0" w:color="auto"/>
      </w:divBdr>
    </w:div>
    <w:div w:id="126290336">
      <w:marLeft w:val="0"/>
      <w:marRight w:val="0"/>
      <w:marTop w:val="0"/>
      <w:marBottom w:val="0"/>
      <w:divBdr>
        <w:top w:val="none" w:sz="0" w:space="0" w:color="auto"/>
        <w:left w:val="none" w:sz="0" w:space="0" w:color="auto"/>
        <w:bottom w:val="none" w:sz="0" w:space="0" w:color="auto"/>
        <w:right w:val="none" w:sz="0" w:space="0" w:color="auto"/>
      </w:divBdr>
    </w:div>
    <w:div w:id="126290337">
      <w:marLeft w:val="0"/>
      <w:marRight w:val="0"/>
      <w:marTop w:val="0"/>
      <w:marBottom w:val="0"/>
      <w:divBdr>
        <w:top w:val="none" w:sz="0" w:space="0" w:color="auto"/>
        <w:left w:val="none" w:sz="0" w:space="0" w:color="auto"/>
        <w:bottom w:val="none" w:sz="0" w:space="0" w:color="auto"/>
        <w:right w:val="none" w:sz="0" w:space="0" w:color="auto"/>
      </w:divBdr>
    </w:div>
    <w:div w:id="126290338">
      <w:marLeft w:val="0"/>
      <w:marRight w:val="0"/>
      <w:marTop w:val="0"/>
      <w:marBottom w:val="0"/>
      <w:divBdr>
        <w:top w:val="none" w:sz="0" w:space="0" w:color="auto"/>
        <w:left w:val="none" w:sz="0" w:space="0" w:color="auto"/>
        <w:bottom w:val="none" w:sz="0" w:space="0" w:color="auto"/>
        <w:right w:val="none" w:sz="0" w:space="0" w:color="auto"/>
      </w:divBdr>
    </w:div>
    <w:div w:id="126290339">
      <w:marLeft w:val="0"/>
      <w:marRight w:val="0"/>
      <w:marTop w:val="0"/>
      <w:marBottom w:val="0"/>
      <w:divBdr>
        <w:top w:val="none" w:sz="0" w:space="0" w:color="auto"/>
        <w:left w:val="none" w:sz="0" w:space="0" w:color="auto"/>
        <w:bottom w:val="none" w:sz="0" w:space="0" w:color="auto"/>
        <w:right w:val="none" w:sz="0" w:space="0" w:color="auto"/>
      </w:divBdr>
    </w:div>
    <w:div w:id="126290340">
      <w:marLeft w:val="0"/>
      <w:marRight w:val="0"/>
      <w:marTop w:val="0"/>
      <w:marBottom w:val="0"/>
      <w:divBdr>
        <w:top w:val="none" w:sz="0" w:space="0" w:color="auto"/>
        <w:left w:val="none" w:sz="0" w:space="0" w:color="auto"/>
        <w:bottom w:val="none" w:sz="0" w:space="0" w:color="auto"/>
        <w:right w:val="none" w:sz="0" w:space="0" w:color="auto"/>
      </w:divBdr>
    </w:div>
    <w:div w:id="126290341">
      <w:marLeft w:val="0"/>
      <w:marRight w:val="0"/>
      <w:marTop w:val="0"/>
      <w:marBottom w:val="0"/>
      <w:divBdr>
        <w:top w:val="none" w:sz="0" w:space="0" w:color="auto"/>
        <w:left w:val="none" w:sz="0" w:space="0" w:color="auto"/>
        <w:bottom w:val="none" w:sz="0" w:space="0" w:color="auto"/>
        <w:right w:val="none" w:sz="0" w:space="0" w:color="auto"/>
      </w:divBdr>
    </w:div>
    <w:div w:id="126290342">
      <w:marLeft w:val="0"/>
      <w:marRight w:val="0"/>
      <w:marTop w:val="0"/>
      <w:marBottom w:val="0"/>
      <w:divBdr>
        <w:top w:val="none" w:sz="0" w:space="0" w:color="auto"/>
        <w:left w:val="none" w:sz="0" w:space="0" w:color="auto"/>
        <w:bottom w:val="none" w:sz="0" w:space="0" w:color="auto"/>
        <w:right w:val="none" w:sz="0" w:space="0" w:color="auto"/>
      </w:divBdr>
    </w:div>
    <w:div w:id="126290343">
      <w:marLeft w:val="0"/>
      <w:marRight w:val="0"/>
      <w:marTop w:val="0"/>
      <w:marBottom w:val="0"/>
      <w:divBdr>
        <w:top w:val="none" w:sz="0" w:space="0" w:color="auto"/>
        <w:left w:val="none" w:sz="0" w:space="0" w:color="auto"/>
        <w:bottom w:val="none" w:sz="0" w:space="0" w:color="auto"/>
        <w:right w:val="none" w:sz="0" w:space="0" w:color="auto"/>
      </w:divBdr>
    </w:div>
    <w:div w:id="126290344">
      <w:marLeft w:val="0"/>
      <w:marRight w:val="0"/>
      <w:marTop w:val="0"/>
      <w:marBottom w:val="0"/>
      <w:divBdr>
        <w:top w:val="none" w:sz="0" w:space="0" w:color="auto"/>
        <w:left w:val="none" w:sz="0" w:space="0" w:color="auto"/>
        <w:bottom w:val="none" w:sz="0" w:space="0" w:color="auto"/>
        <w:right w:val="none" w:sz="0" w:space="0" w:color="auto"/>
      </w:divBdr>
    </w:div>
    <w:div w:id="126290345">
      <w:marLeft w:val="0"/>
      <w:marRight w:val="0"/>
      <w:marTop w:val="0"/>
      <w:marBottom w:val="0"/>
      <w:divBdr>
        <w:top w:val="none" w:sz="0" w:space="0" w:color="auto"/>
        <w:left w:val="none" w:sz="0" w:space="0" w:color="auto"/>
        <w:bottom w:val="none" w:sz="0" w:space="0" w:color="auto"/>
        <w:right w:val="none" w:sz="0" w:space="0" w:color="auto"/>
      </w:divBdr>
    </w:div>
    <w:div w:id="128325512">
      <w:bodyDiv w:val="1"/>
      <w:marLeft w:val="0"/>
      <w:marRight w:val="0"/>
      <w:marTop w:val="0"/>
      <w:marBottom w:val="0"/>
      <w:divBdr>
        <w:top w:val="none" w:sz="0" w:space="0" w:color="auto"/>
        <w:left w:val="none" w:sz="0" w:space="0" w:color="auto"/>
        <w:bottom w:val="none" w:sz="0" w:space="0" w:color="auto"/>
        <w:right w:val="none" w:sz="0" w:space="0" w:color="auto"/>
      </w:divBdr>
    </w:div>
    <w:div w:id="482351616">
      <w:bodyDiv w:val="1"/>
      <w:marLeft w:val="0"/>
      <w:marRight w:val="0"/>
      <w:marTop w:val="0"/>
      <w:marBottom w:val="0"/>
      <w:divBdr>
        <w:top w:val="none" w:sz="0" w:space="0" w:color="auto"/>
        <w:left w:val="none" w:sz="0" w:space="0" w:color="auto"/>
        <w:bottom w:val="none" w:sz="0" w:space="0" w:color="auto"/>
        <w:right w:val="none" w:sz="0" w:space="0" w:color="auto"/>
      </w:divBdr>
    </w:div>
    <w:div w:id="1145003470">
      <w:bodyDiv w:val="1"/>
      <w:marLeft w:val="0"/>
      <w:marRight w:val="0"/>
      <w:marTop w:val="0"/>
      <w:marBottom w:val="0"/>
      <w:divBdr>
        <w:top w:val="none" w:sz="0" w:space="0" w:color="auto"/>
        <w:left w:val="none" w:sz="0" w:space="0" w:color="auto"/>
        <w:bottom w:val="none" w:sz="0" w:space="0" w:color="auto"/>
        <w:right w:val="none" w:sz="0" w:space="0" w:color="auto"/>
      </w:divBdr>
    </w:div>
    <w:div w:id="1285190871">
      <w:bodyDiv w:val="1"/>
      <w:marLeft w:val="0"/>
      <w:marRight w:val="0"/>
      <w:marTop w:val="0"/>
      <w:marBottom w:val="0"/>
      <w:divBdr>
        <w:top w:val="none" w:sz="0" w:space="0" w:color="auto"/>
        <w:left w:val="none" w:sz="0" w:space="0" w:color="auto"/>
        <w:bottom w:val="none" w:sz="0" w:space="0" w:color="auto"/>
        <w:right w:val="none" w:sz="0" w:space="0" w:color="auto"/>
      </w:divBdr>
    </w:div>
    <w:div w:id="1422215265">
      <w:bodyDiv w:val="1"/>
      <w:marLeft w:val="0"/>
      <w:marRight w:val="0"/>
      <w:marTop w:val="0"/>
      <w:marBottom w:val="0"/>
      <w:divBdr>
        <w:top w:val="none" w:sz="0" w:space="0" w:color="auto"/>
        <w:left w:val="none" w:sz="0" w:space="0" w:color="auto"/>
        <w:bottom w:val="none" w:sz="0" w:space="0" w:color="auto"/>
        <w:right w:val="none" w:sz="0" w:space="0" w:color="auto"/>
      </w:divBdr>
    </w:div>
    <w:div w:id="1875263937">
      <w:bodyDiv w:val="1"/>
      <w:marLeft w:val="0"/>
      <w:marRight w:val="0"/>
      <w:marTop w:val="0"/>
      <w:marBottom w:val="0"/>
      <w:divBdr>
        <w:top w:val="none" w:sz="0" w:space="0" w:color="auto"/>
        <w:left w:val="none" w:sz="0" w:space="0" w:color="auto"/>
        <w:bottom w:val="none" w:sz="0" w:space="0" w:color="auto"/>
        <w:right w:val="none" w:sz="0" w:space="0" w:color="auto"/>
      </w:divBdr>
    </w:div>
    <w:div w:id="1920556231">
      <w:bodyDiv w:val="1"/>
      <w:marLeft w:val="0"/>
      <w:marRight w:val="0"/>
      <w:marTop w:val="0"/>
      <w:marBottom w:val="0"/>
      <w:divBdr>
        <w:top w:val="none" w:sz="0" w:space="0" w:color="auto"/>
        <w:left w:val="none" w:sz="0" w:space="0" w:color="auto"/>
        <w:bottom w:val="none" w:sz="0" w:space="0" w:color="auto"/>
        <w:right w:val="none" w:sz="0" w:space="0" w:color="auto"/>
      </w:divBdr>
    </w:div>
    <w:div w:id="2134787010">
      <w:bodyDiv w:val="1"/>
      <w:marLeft w:val="0"/>
      <w:marRight w:val="0"/>
      <w:marTop w:val="0"/>
      <w:marBottom w:val="0"/>
      <w:divBdr>
        <w:top w:val="none" w:sz="0" w:space="0" w:color="auto"/>
        <w:left w:val="none" w:sz="0" w:space="0" w:color="auto"/>
        <w:bottom w:val="none" w:sz="0" w:space="0" w:color="auto"/>
        <w:right w:val="none" w:sz="0" w:space="0" w:color="auto"/>
      </w:divBdr>
    </w:div>
    <w:div w:id="213837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1390</Characters>
  <Application>Microsoft Office Word</Application>
  <DocSecurity>0</DocSecurity>
  <Lines>11</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Pielikums Ministru kabineta rīkojuma projekta „Grozījumi Ministru kabineta 2012.gada 24.augusta rīkojumā Nr.410 „Par finansējuma piešķiršanu Korupcijas novēršanas un apkarošanas biroja ēku Aristida Briāna ielā 13, Rīgā, būvniecības projekta izdevumu segša</vt:lpstr>
      <vt:lpstr>Pielikums Ministru kabineta rīkojuma projekta „Grozījumi Ministru kabineta 2012.gada 24.augusta rīkojumā Nr.410 „Par finansējuma piešķiršanu Korupcijas novēršanas un apkarošanas biroja ēku Aristida Briāna ielā 13, Rīgā, būvniecības projekta izdevumu segša</vt:lpstr>
    </vt:vector>
  </TitlesOfParts>
  <Manager>S.Bajāre</Manager>
  <Company>Finanšu ministrija (VNĪ)</Company>
  <LinksUpToDate>false</LinksUpToDate>
  <CharactersWithSpaces>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 Ministru kabineta rīkojuma projekta „Grozījumi Ministru kabineta 2012.gada 24.augusta rīkojumā Nr.410 „Par finansējuma piešķiršanu Korupcijas novēršanas un apkarošanas biroja ēku Aristida Briāna ielā 13, Rīgā, būvniecības projekta izdevumu segšanai”” sākotnējās ietekmes novērtējuma ziņojumam (anotācijai)</dc:title>
  <dc:subject>Anotācijas pielikums</dc:subject>
  <dc:creator>A.Gulbe</dc:creator>
  <dc:description>A.Gulbe, 
67024698, aiga.gulbe@vni.lv</dc:description>
  <cp:lastModifiedBy>Santa Lūse</cp:lastModifiedBy>
  <cp:revision>3</cp:revision>
  <cp:lastPrinted>2013-09-06T15:13:00Z</cp:lastPrinted>
  <dcterms:created xsi:type="dcterms:W3CDTF">2013-08-29T14:20:00Z</dcterms:created>
  <dcterms:modified xsi:type="dcterms:W3CDTF">2013-09-06T15:14:00Z</dcterms:modified>
</cp:coreProperties>
</file>