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95" w:rsidRPr="001A2264" w:rsidRDefault="00CD4895" w:rsidP="0079416C">
      <w:pPr>
        <w:ind w:left="5760"/>
        <w:jc w:val="right"/>
        <w:rPr>
          <w:szCs w:val="24"/>
        </w:rPr>
      </w:pPr>
      <w:r w:rsidRPr="001A2264">
        <w:rPr>
          <w:szCs w:val="24"/>
        </w:rPr>
        <w:t>Projekts</w:t>
      </w:r>
    </w:p>
    <w:p w:rsidR="00CD4895" w:rsidRPr="001A2264" w:rsidRDefault="00CD4895" w:rsidP="0079416C">
      <w:pPr>
        <w:ind w:left="5760"/>
        <w:jc w:val="right"/>
        <w:rPr>
          <w:szCs w:val="24"/>
        </w:rPr>
      </w:pPr>
    </w:p>
    <w:p w:rsidR="00CD4895" w:rsidRPr="001A2264" w:rsidRDefault="00CD4895" w:rsidP="0079416C">
      <w:pPr>
        <w:ind w:left="5245"/>
        <w:jc w:val="right"/>
        <w:rPr>
          <w:b/>
          <w:szCs w:val="24"/>
        </w:rPr>
      </w:pPr>
      <w:r w:rsidRPr="001A2264">
        <w:rPr>
          <w:b/>
          <w:szCs w:val="24"/>
        </w:rPr>
        <w:t>Ministru kabineta vēstule Latvijas Republikas Saeimai</w:t>
      </w:r>
    </w:p>
    <w:p w:rsidR="0079416C" w:rsidRPr="001A2264" w:rsidRDefault="0079416C" w:rsidP="0079416C">
      <w:pPr>
        <w:ind w:left="5245"/>
        <w:jc w:val="right"/>
        <w:rPr>
          <w:b/>
          <w:szCs w:val="24"/>
        </w:rPr>
      </w:pPr>
    </w:p>
    <w:p w:rsidR="00CD4895" w:rsidRPr="001A2264" w:rsidRDefault="00CD4895" w:rsidP="0079416C">
      <w:pPr>
        <w:jc w:val="right"/>
        <w:rPr>
          <w:b/>
          <w:szCs w:val="24"/>
        </w:rPr>
      </w:pPr>
    </w:p>
    <w:p w:rsidR="000060E8" w:rsidRPr="001A2264" w:rsidRDefault="000060E8" w:rsidP="0079416C">
      <w:pPr>
        <w:rPr>
          <w:i/>
          <w:szCs w:val="24"/>
        </w:rPr>
      </w:pPr>
      <w:bookmarkStart w:id="0" w:name="OLE_LINK5"/>
      <w:bookmarkStart w:id="1" w:name="OLE_LINK6"/>
      <w:r w:rsidRPr="001A2264">
        <w:rPr>
          <w:i/>
          <w:szCs w:val="24"/>
        </w:rPr>
        <w:t>Par Saeimas Publisko izdevumu un</w:t>
      </w:r>
    </w:p>
    <w:p w:rsidR="00517753" w:rsidRPr="001A2264" w:rsidRDefault="000060E8" w:rsidP="0079416C">
      <w:pPr>
        <w:jc w:val="left"/>
        <w:rPr>
          <w:i/>
          <w:szCs w:val="24"/>
        </w:rPr>
      </w:pPr>
      <w:r w:rsidRPr="001A2264">
        <w:rPr>
          <w:i/>
          <w:szCs w:val="24"/>
        </w:rPr>
        <w:t>revīzijas komisijas darba plānu</w:t>
      </w:r>
    </w:p>
    <w:bookmarkEnd w:id="0"/>
    <w:bookmarkEnd w:id="1"/>
    <w:p w:rsidR="00291CF3" w:rsidRPr="001A2264" w:rsidRDefault="00291CF3" w:rsidP="0079416C">
      <w:pPr>
        <w:jc w:val="left"/>
        <w:rPr>
          <w:i/>
          <w:szCs w:val="24"/>
        </w:rPr>
      </w:pPr>
    </w:p>
    <w:p w:rsidR="00654557" w:rsidRPr="001A2264" w:rsidRDefault="00CD4895" w:rsidP="00654557">
      <w:pPr>
        <w:ind w:firstLine="720"/>
        <w:rPr>
          <w:szCs w:val="24"/>
        </w:rPr>
      </w:pPr>
      <w:r w:rsidRPr="001A2264">
        <w:rPr>
          <w:szCs w:val="24"/>
        </w:rPr>
        <w:t>Ministru kabinets</w:t>
      </w:r>
      <w:r w:rsidR="00FD2281" w:rsidRPr="001A2264">
        <w:rPr>
          <w:szCs w:val="24"/>
        </w:rPr>
        <w:t xml:space="preserve"> atbilstoši savai kompetencei </w:t>
      </w:r>
      <w:r w:rsidR="0079416C" w:rsidRPr="001A2264">
        <w:rPr>
          <w:szCs w:val="24"/>
        </w:rPr>
        <w:t xml:space="preserve">ir </w:t>
      </w:r>
      <w:r w:rsidR="00FD2281" w:rsidRPr="001A2264">
        <w:rPr>
          <w:szCs w:val="24"/>
        </w:rPr>
        <w:t>izskatīj</w:t>
      </w:r>
      <w:r w:rsidR="0079416C" w:rsidRPr="001A2264">
        <w:rPr>
          <w:szCs w:val="24"/>
        </w:rPr>
        <w:t>is</w:t>
      </w:r>
      <w:r w:rsidR="00FD2281" w:rsidRPr="001A2264">
        <w:rPr>
          <w:szCs w:val="24"/>
        </w:rPr>
        <w:t xml:space="preserve"> </w:t>
      </w:r>
      <w:r w:rsidR="00575E52" w:rsidRPr="001A2264">
        <w:rPr>
          <w:szCs w:val="24"/>
        </w:rPr>
        <w:t xml:space="preserve">Jūsu </w:t>
      </w:r>
      <w:r w:rsidR="00FD2281" w:rsidRPr="001A2264">
        <w:rPr>
          <w:szCs w:val="24"/>
        </w:rPr>
        <w:t xml:space="preserve">iesniegto </w:t>
      </w:r>
      <w:r w:rsidR="000060E8" w:rsidRPr="001A2264">
        <w:rPr>
          <w:szCs w:val="24"/>
        </w:rPr>
        <w:t>201</w:t>
      </w:r>
      <w:r w:rsidR="0079416C" w:rsidRPr="001A2264">
        <w:rPr>
          <w:szCs w:val="24"/>
        </w:rPr>
        <w:t>1</w:t>
      </w:r>
      <w:r w:rsidR="000060E8" w:rsidRPr="001A2264">
        <w:rPr>
          <w:szCs w:val="24"/>
        </w:rPr>
        <w:t>.</w:t>
      </w:r>
      <w:r w:rsidR="0079416C" w:rsidRPr="001A2264">
        <w:rPr>
          <w:szCs w:val="24"/>
        </w:rPr>
        <w:t xml:space="preserve"> </w:t>
      </w:r>
      <w:r w:rsidR="000060E8" w:rsidRPr="001A2264">
        <w:rPr>
          <w:szCs w:val="24"/>
        </w:rPr>
        <w:t>g</w:t>
      </w:r>
      <w:r w:rsidR="00FD2281" w:rsidRPr="001A2264">
        <w:rPr>
          <w:szCs w:val="24"/>
        </w:rPr>
        <w:t>ada</w:t>
      </w:r>
      <w:r w:rsidR="000060E8" w:rsidRPr="001A2264">
        <w:rPr>
          <w:szCs w:val="24"/>
        </w:rPr>
        <w:t xml:space="preserve"> 1</w:t>
      </w:r>
      <w:r w:rsidR="0079416C" w:rsidRPr="001A2264">
        <w:rPr>
          <w:szCs w:val="24"/>
        </w:rPr>
        <w:t>1</w:t>
      </w:r>
      <w:r w:rsidR="000060E8" w:rsidRPr="001A2264">
        <w:rPr>
          <w:szCs w:val="24"/>
        </w:rPr>
        <w:t>.</w:t>
      </w:r>
      <w:r w:rsidR="0079416C" w:rsidRPr="001A2264">
        <w:rPr>
          <w:szCs w:val="24"/>
        </w:rPr>
        <w:t xml:space="preserve"> </w:t>
      </w:r>
      <w:r w:rsidR="000060E8" w:rsidRPr="001A2264">
        <w:rPr>
          <w:szCs w:val="24"/>
        </w:rPr>
        <w:t>janvāra v</w:t>
      </w:r>
      <w:r w:rsidR="00291CF3" w:rsidRPr="001A2264">
        <w:rPr>
          <w:szCs w:val="24"/>
        </w:rPr>
        <w:t xml:space="preserve">ēstuli </w:t>
      </w:r>
      <w:proofErr w:type="spellStart"/>
      <w:r w:rsidR="00291CF3" w:rsidRPr="001A2264">
        <w:rPr>
          <w:szCs w:val="24"/>
        </w:rPr>
        <w:t>Nr</w:t>
      </w:r>
      <w:proofErr w:type="spellEnd"/>
      <w:r w:rsidR="00291CF3" w:rsidRPr="001A2264">
        <w:rPr>
          <w:szCs w:val="24"/>
        </w:rPr>
        <w:t xml:space="preserve">. </w:t>
      </w:r>
      <w:r w:rsidR="000060E8" w:rsidRPr="001A2264">
        <w:rPr>
          <w:szCs w:val="24"/>
        </w:rPr>
        <w:t>9/1</w:t>
      </w:r>
      <w:r w:rsidR="0079416C" w:rsidRPr="001A2264">
        <w:rPr>
          <w:szCs w:val="24"/>
        </w:rPr>
        <w:t>2</w:t>
      </w:r>
      <w:r w:rsidR="000060E8" w:rsidRPr="001A2264">
        <w:rPr>
          <w:szCs w:val="24"/>
        </w:rPr>
        <w:t>-2-n/</w:t>
      </w:r>
      <w:r w:rsidR="0079416C" w:rsidRPr="001A2264">
        <w:rPr>
          <w:szCs w:val="24"/>
        </w:rPr>
        <w:t>3</w:t>
      </w:r>
      <w:r w:rsidR="000060E8" w:rsidRPr="001A2264">
        <w:rPr>
          <w:szCs w:val="24"/>
        </w:rPr>
        <w:t>-</w:t>
      </w:r>
      <w:r w:rsidR="0079416C" w:rsidRPr="001A2264">
        <w:rPr>
          <w:szCs w:val="24"/>
        </w:rPr>
        <w:t>20</w:t>
      </w:r>
      <w:r w:rsidR="00947E28" w:rsidRPr="001A2264">
        <w:rPr>
          <w:szCs w:val="24"/>
        </w:rPr>
        <w:t>1</w:t>
      </w:r>
      <w:r w:rsidR="0079416C" w:rsidRPr="001A2264">
        <w:rPr>
          <w:szCs w:val="24"/>
        </w:rPr>
        <w:t xml:space="preserve">1 </w:t>
      </w:r>
      <w:r w:rsidR="00FD2281" w:rsidRPr="001A2264">
        <w:rPr>
          <w:szCs w:val="24"/>
        </w:rPr>
        <w:t xml:space="preserve">par </w:t>
      </w:r>
      <w:r w:rsidR="000060E8" w:rsidRPr="001A2264">
        <w:rPr>
          <w:szCs w:val="24"/>
        </w:rPr>
        <w:t xml:space="preserve">Saeimas Publisko izdevumu un revīzijas komisijas darba plānu </w:t>
      </w:r>
      <w:r w:rsidR="00F91E5F" w:rsidRPr="001A2264">
        <w:rPr>
          <w:szCs w:val="24"/>
        </w:rPr>
        <w:t xml:space="preserve">un informē par </w:t>
      </w:r>
      <w:r w:rsidR="0079416C" w:rsidRPr="001A2264">
        <w:rPr>
          <w:szCs w:val="24"/>
        </w:rPr>
        <w:t>valsts budžeta</w:t>
      </w:r>
      <w:r w:rsidR="00427208" w:rsidRPr="001A2264">
        <w:rPr>
          <w:szCs w:val="24"/>
        </w:rPr>
        <w:t xml:space="preserve"> </w:t>
      </w:r>
      <w:r w:rsidR="0079416C" w:rsidRPr="001A2264">
        <w:rPr>
          <w:szCs w:val="24"/>
        </w:rPr>
        <w:t>2012. gadam sagatavošanas procesu</w:t>
      </w:r>
      <w:r w:rsidR="00F91E5F" w:rsidRPr="001A2264">
        <w:rPr>
          <w:szCs w:val="24"/>
        </w:rPr>
        <w:t>.</w:t>
      </w:r>
    </w:p>
    <w:p w:rsidR="00654557" w:rsidRPr="001A2264" w:rsidRDefault="00654557" w:rsidP="00654557">
      <w:pPr>
        <w:ind w:firstLine="720"/>
        <w:rPr>
          <w:szCs w:val="24"/>
        </w:rPr>
      </w:pPr>
    </w:p>
    <w:p w:rsidR="005F129B" w:rsidRPr="001A2264" w:rsidRDefault="005F129B" w:rsidP="00654557">
      <w:pPr>
        <w:ind w:firstLine="720"/>
        <w:rPr>
          <w:szCs w:val="24"/>
        </w:rPr>
      </w:pPr>
    </w:p>
    <w:p w:rsidR="00654557" w:rsidRPr="001A2264" w:rsidRDefault="00654557" w:rsidP="005F129B">
      <w:pPr>
        <w:pStyle w:val="ListParagraph"/>
        <w:numPr>
          <w:ilvl w:val="0"/>
          <w:numId w:val="21"/>
        </w:numPr>
        <w:jc w:val="center"/>
        <w:rPr>
          <w:b/>
        </w:rPr>
      </w:pPr>
      <w:r w:rsidRPr="001A2264">
        <w:rPr>
          <w:b/>
        </w:rPr>
        <w:t>Novērtējums par tautsaimniecības attīstību un sagaidāmajiem riskiem.</w:t>
      </w:r>
    </w:p>
    <w:p w:rsidR="005F129B" w:rsidRPr="001A2264" w:rsidRDefault="005F129B" w:rsidP="00654557">
      <w:pPr>
        <w:rPr>
          <w:i/>
          <w:szCs w:val="24"/>
        </w:rPr>
      </w:pPr>
    </w:p>
    <w:p w:rsidR="005F129B" w:rsidRPr="001A2264" w:rsidRDefault="005F129B" w:rsidP="005F129B">
      <w:pPr>
        <w:ind w:firstLine="720"/>
        <w:rPr>
          <w:szCs w:val="24"/>
        </w:rPr>
      </w:pPr>
      <w:r w:rsidRPr="001A2264">
        <w:rPr>
          <w:szCs w:val="24"/>
        </w:rPr>
        <w:t xml:space="preserve">Latvijas ekonomikā pēc septiņiem </w:t>
      </w:r>
      <w:r w:rsidRPr="001A2264">
        <w:rPr>
          <w:noProof/>
          <w:szCs w:val="24"/>
        </w:rPr>
        <w:t>recesijā</w:t>
      </w:r>
      <w:r w:rsidRPr="001A2264">
        <w:rPr>
          <w:szCs w:val="24"/>
        </w:rPr>
        <w:t xml:space="preserve"> pavadītiem ceturkšņiem 2009.gada beigās ir atjaunojusies izaugsme, ko nodrošināja gan ekonomikas stabilizācijas un iekšējās devalvācijas pasākumi, gan labvēlīgā situācija ārējos tirgos, palielinot pieprasījumu pēc Latvijas eksporta precēm un pakalpojumiem. 2010.gada otrajā pusē izaugsme ir atjaunojusies arī gada griezumā un gadā kopumā IKP samazinājās tikai par 0,3%.</w:t>
      </w:r>
    </w:p>
    <w:p w:rsidR="005F129B" w:rsidRPr="001A2264" w:rsidRDefault="005F129B" w:rsidP="005F129B">
      <w:pPr>
        <w:ind w:firstLine="720"/>
        <w:rPr>
          <w:szCs w:val="24"/>
        </w:rPr>
      </w:pPr>
      <w:r w:rsidRPr="001A2264">
        <w:rPr>
          <w:szCs w:val="24"/>
        </w:rPr>
        <w:t xml:space="preserve">Iekšzemes kopprodukta ātrais novērtējums uzrāda, ka </w:t>
      </w:r>
      <w:proofErr w:type="spellStart"/>
      <w:r w:rsidRPr="001A2264">
        <w:rPr>
          <w:szCs w:val="24"/>
        </w:rPr>
        <w:t>š.g</w:t>
      </w:r>
      <w:proofErr w:type="spellEnd"/>
      <w:r w:rsidRPr="001A2264">
        <w:rPr>
          <w:szCs w:val="24"/>
        </w:rPr>
        <w:t>. pirmajā ceturksnī salīdzinājumā ar pagājušā gada attiecīgo ceturksni ekonomika ir pieaugusi par 3,4 procentiem. Lai gan gada griezumā pieauguma tempi ir nedaudz samazinājušies, tomēr IKP joprojām uzrāda pozitīvus pieauguma tempus un salīdzinājumā ar iepriekšējo ceturksni sezonāli izlīdzinātais IKP ir pieaudzis par 0,2%.</w:t>
      </w:r>
      <w:r w:rsidRPr="001A2264" w:rsidDel="0024168D">
        <w:rPr>
          <w:szCs w:val="24"/>
        </w:rPr>
        <w:t xml:space="preserve"> </w:t>
      </w:r>
      <w:r w:rsidRPr="001A2264">
        <w:rPr>
          <w:szCs w:val="24"/>
        </w:rPr>
        <w:t xml:space="preserve">Lai gan ekonomikas lejupslīde ir pārvarēta un paredzams, ka 2011.gadā IKP pieaugums sasniegs jau 3,3%, </w:t>
      </w:r>
      <w:r w:rsidRPr="00BD658F">
        <w:rPr>
          <w:b/>
          <w:szCs w:val="24"/>
        </w:rPr>
        <w:t>pastāv vairāki iekšējās un ārējās vides riski, kas var negatīvi ietekmēt Latvijas turpmāko ekonomisko attīstību</w:t>
      </w:r>
      <w:r w:rsidRPr="001A2264">
        <w:rPr>
          <w:szCs w:val="24"/>
        </w:rPr>
        <w:t xml:space="preserve">. Ja sākotnēji galvenais ekonomiskās izaugsmes dzinējspēks bija eksports, </w:t>
      </w:r>
      <w:r w:rsidRPr="00BD658F">
        <w:rPr>
          <w:b/>
          <w:szCs w:val="24"/>
        </w:rPr>
        <w:t>turpmāk līdzās ārējam sektoram IKP pieaugumu jānodrošina arī privātajam patēriņam un uzņēmumu investīcijām</w:t>
      </w:r>
      <w:r w:rsidRPr="001A2264">
        <w:rPr>
          <w:szCs w:val="24"/>
        </w:rPr>
        <w:t>, kamēr sabiedriskais patēriņš līdz ar īstenotajiem konsolidācijas pasākumiem līdz 2012. gadam turpinās samazināties. Līdz ar ekonomiskās lejupslīdes pārvarēšanu notiek arī izmaiņas ekonomikas nozaru struktūrā, lielāku īpatsvaru iegūstot rūpniecībai, kamēr būvniecības un tirdzniecības neatbilstoši augstais īpatsvars ir sācis samazināties.</w:t>
      </w:r>
    </w:p>
    <w:p w:rsidR="005F129B" w:rsidRPr="001A2264" w:rsidRDefault="005F129B" w:rsidP="005F129B">
      <w:pPr>
        <w:ind w:firstLine="720"/>
        <w:rPr>
          <w:szCs w:val="24"/>
        </w:rPr>
      </w:pPr>
      <w:r w:rsidRPr="001A2264">
        <w:rPr>
          <w:szCs w:val="24"/>
        </w:rPr>
        <w:t xml:space="preserve">No nozarēm 2010.gadā kopumā pieaugumu uzrādīja apstrādes rūpniecība par 15,4%, vairumtirdzniecība un mazumtirdzniecība – 3,3%, kā arī transports un sakari – 3,0%. Turpretī būvniecība samazinājās par 24,2% un finanšu pakalpojumi – 10,5%. Būtiski, ka 2010. gadā turpinājās jau 2009.gadā sākušās izmaiņas tautsaimniecības struktūrā un būvniecības īpatsvars IKP samazinājās no 6,1% līdz 4,6%, savukārt apstrādes rūpniecības īpatsvars pieauga no 9,9% līdz 11,5 procentiem. Šāda tautsaimniecības struktūras maiņa ir nepieciešama, turpmākas, sabalansētas attīstības nodrošināšanai. </w:t>
      </w:r>
    </w:p>
    <w:p w:rsidR="005F129B" w:rsidRPr="001A2264" w:rsidRDefault="005F129B" w:rsidP="005F129B">
      <w:pPr>
        <w:ind w:firstLine="720"/>
        <w:rPr>
          <w:szCs w:val="24"/>
        </w:rPr>
      </w:pPr>
      <w:r w:rsidRPr="001A2264">
        <w:rPr>
          <w:szCs w:val="24"/>
        </w:rPr>
        <w:t xml:space="preserve">Pozitīvi, ka 2011.gada </w:t>
      </w:r>
      <w:proofErr w:type="spellStart"/>
      <w:r w:rsidRPr="001A2264">
        <w:rPr>
          <w:szCs w:val="24"/>
        </w:rPr>
        <w:t>pirmajā ceturksnī</w:t>
      </w:r>
      <w:proofErr w:type="spellEnd"/>
      <w:r w:rsidRPr="001A2264">
        <w:rPr>
          <w:szCs w:val="24"/>
        </w:rPr>
        <w:t xml:space="preserve"> turpinājās rūpniecības pieaugums un salīdzinājumā ar iepriekšējā gada attiecīgo ceturksni, rūpniecības produkcijas izlaide pēc darba dienu skaita izlīdzinātiem datiem salīdzināmās cenās pieauga par 9,0%, tajā skaitā apstrādes rūpniecībā – par 12,8%, elektroenerģijas un gāzes apgādes nozarē – par 4,2%, bet ieguves rūpniecībā un karjeru izstrādē samazinājās par 18,2 procentiem. </w:t>
      </w:r>
    </w:p>
    <w:p w:rsidR="005F129B" w:rsidRPr="001A2264" w:rsidRDefault="005F129B" w:rsidP="005F129B">
      <w:pPr>
        <w:rPr>
          <w:szCs w:val="24"/>
        </w:rPr>
      </w:pPr>
      <w:r w:rsidRPr="001A2264">
        <w:rPr>
          <w:szCs w:val="24"/>
        </w:rPr>
        <w:t>Apstrādes rūpniecībā noteicošais virzītājs joprojām ir uz eksportu orientētā ražošanas izaugsme, 2011.gada janvārī rūpniecības izlaides apjomi eksportam jau pārsniedz</w:t>
      </w:r>
      <w:r w:rsidR="00252F68">
        <w:rPr>
          <w:szCs w:val="24"/>
        </w:rPr>
        <w:t>a</w:t>
      </w:r>
      <w:r w:rsidRPr="001A2264">
        <w:rPr>
          <w:szCs w:val="24"/>
        </w:rPr>
        <w:t xml:space="preserve"> pirmskrīzes līmeni, kaut arī kopējā rūpniecības izlaide joprojām atrodas zem pirmskrīzes līmeņa.</w:t>
      </w:r>
      <w:r w:rsidRPr="001A2264" w:rsidDel="00E7181C">
        <w:rPr>
          <w:szCs w:val="24"/>
        </w:rPr>
        <w:t xml:space="preserve"> </w:t>
      </w:r>
      <w:r w:rsidRPr="001A2264">
        <w:rPr>
          <w:szCs w:val="24"/>
        </w:rPr>
        <w:t>Sagaidāms, ka 2011.gadā rūpniecība turpinās pieaugt, lai arī ne tik straujos tempos, kā 2010.gadā. Sagaidāms, ka  rūpniecības jaudu noslodze 2011.gada 2.</w:t>
      </w:r>
      <w:r w:rsidR="00252F68">
        <w:rPr>
          <w:szCs w:val="24"/>
        </w:rPr>
        <w:t>c</w:t>
      </w:r>
      <w:r w:rsidRPr="001A2264">
        <w:rPr>
          <w:szCs w:val="24"/>
        </w:rPr>
        <w:t xml:space="preserve">eturksnī pieaugs tikai par 0,2 procentpunktiem, salīdzinot ar iepriekšējo ceturksni. Būtiski uzsvērt, ka jaudu noslodze ir </w:t>
      </w:r>
      <w:r w:rsidRPr="001A2264">
        <w:rPr>
          <w:szCs w:val="24"/>
        </w:rPr>
        <w:lastRenderedPageBreak/>
        <w:t>zemāka un brīvas ražošanas jaudas vairāk pieejamas tieši uz iekšējo tirgu vērstajās nozarēs, taču to attīstību kavē joprojām ierobežotā mājsaimniecību pirktspēja un vājais iekšējais pieprasījums. Atjaunojoties iekšējam pieprasījumam uz vietējo tirgu vērstās nozares varētu būt būtisks rūpniecības izlaides pieauguma avots.</w:t>
      </w:r>
    </w:p>
    <w:p w:rsidR="005F129B" w:rsidRPr="001A2264" w:rsidRDefault="005F129B" w:rsidP="005F129B">
      <w:pPr>
        <w:ind w:firstLine="720"/>
        <w:rPr>
          <w:szCs w:val="24"/>
        </w:rPr>
      </w:pPr>
      <w:r w:rsidRPr="001A2264">
        <w:rPr>
          <w:bCs/>
          <w:szCs w:val="24"/>
        </w:rPr>
        <w:t>Vājais iekšējais pieprasījums 2011.gada I ceturksnī atspoguļojās arī mazumtirdzniecības apgrozījumā un salīdzinājumā ar 2010.gada I ceturksni</w:t>
      </w:r>
      <w:r w:rsidRPr="001A2264">
        <w:rPr>
          <w:b/>
          <w:bCs/>
          <w:szCs w:val="24"/>
        </w:rPr>
        <w:t xml:space="preserve">, </w:t>
      </w:r>
      <w:r w:rsidRPr="001A2264">
        <w:rPr>
          <w:szCs w:val="24"/>
        </w:rPr>
        <w:t xml:space="preserve">pēc kalendāri izlīdzinātiem datiem, tas pieaudzis par 1.7%. Par 3.4% palielinājies nepārtikas preču mazumtirdzniecības apjoms, savukārt, pārtikas preču apjomi  ir samazinājušies  par 1.4%. Mazais mazumtirdzniecības pieaugums skaidrojams ar straujo patēriņa cenu pieaugumu </w:t>
      </w:r>
      <w:proofErr w:type="spellStart"/>
      <w:r w:rsidRPr="001A2264">
        <w:rPr>
          <w:szCs w:val="24"/>
        </w:rPr>
        <w:t>š.g</w:t>
      </w:r>
      <w:proofErr w:type="spellEnd"/>
      <w:r w:rsidRPr="001A2264">
        <w:rPr>
          <w:szCs w:val="24"/>
        </w:rPr>
        <w:t>, pirmajā ceturksnī un auksto ziemu, kas palielināja iedzīvotājiem   mājokļa uzturēšanas izdevumus. Šo faktoru ietekmē tika ierobežota iedzīvotāju pirktspēja, kas visvairāk bija vērojama degvielas tirdzniecības apjomu samazinājumā. Salīdzinājumā ar 2010.gada I ceturksni, auto degvielas tirdzniecība samazinājās par 9,3%.</w:t>
      </w:r>
    </w:p>
    <w:p w:rsidR="005F129B" w:rsidRPr="001A2264" w:rsidRDefault="005F129B" w:rsidP="005F129B">
      <w:pPr>
        <w:ind w:firstLine="720"/>
        <w:rPr>
          <w:szCs w:val="24"/>
        </w:rPr>
      </w:pPr>
      <w:r w:rsidRPr="001A2264">
        <w:rPr>
          <w:szCs w:val="24"/>
        </w:rPr>
        <w:t xml:space="preserve">Šī gada pirmajā ceturksnī patēriņa cenas kopumā pieauga par 2,3%. Patēriņa cenu izmaiņas </w:t>
      </w:r>
      <w:proofErr w:type="spellStart"/>
      <w:r w:rsidRPr="001A2264">
        <w:rPr>
          <w:szCs w:val="24"/>
        </w:rPr>
        <w:t>š.g</w:t>
      </w:r>
      <w:proofErr w:type="spellEnd"/>
      <w:r w:rsidRPr="001A2264">
        <w:rPr>
          <w:szCs w:val="24"/>
        </w:rPr>
        <w:t xml:space="preserve">. pirmajā ceturksnī pārsvarā noteica, pārtikas un naftas produktu cenu kāpums, nodokļu politikas izmaiņas, kā arī sezonālas apģērbu cenu pārmaiņas. </w:t>
      </w:r>
      <w:proofErr w:type="spellStart"/>
      <w:r w:rsidRPr="001A2264">
        <w:rPr>
          <w:szCs w:val="24"/>
        </w:rPr>
        <w:t>Š.g</w:t>
      </w:r>
      <w:proofErr w:type="spellEnd"/>
      <w:r w:rsidRPr="001A2264">
        <w:rPr>
          <w:szCs w:val="24"/>
        </w:rPr>
        <w:t xml:space="preserve">. pirmā ceturkšņa laikā bija novērojams straujš naftas produktu cenu kāpums pasaules biržās, ko izraisījuši nemieri </w:t>
      </w:r>
      <w:proofErr w:type="spellStart"/>
      <w:r w:rsidRPr="001A2264">
        <w:rPr>
          <w:szCs w:val="24"/>
        </w:rPr>
        <w:t>Ziemeļāfrikas</w:t>
      </w:r>
      <w:proofErr w:type="spellEnd"/>
      <w:r w:rsidRPr="001A2264">
        <w:rPr>
          <w:szCs w:val="24"/>
        </w:rPr>
        <w:t xml:space="preserve"> reģionā un bažas par naftas piegādes drošību</w:t>
      </w:r>
      <w:r w:rsidRPr="001A2264">
        <w:rPr>
          <w:color w:val="FF0000"/>
          <w:szCs w:val="24"/>
        </w:rPr>
        <w:t xml:space="preserve">. </w:t>
      </w:r>
      <w:r w:rsidRPr="001A2264">
        <w:rPr>
          <w:szCs w:val="24"/>
        </w:rPr>
        <w:t xml:space="preserve">Arī pārtikas cenām bija novērojama pieaugoša tendence, kas ir saistīta ar nelabvēlīgu ražu pagājušajā gadā un izsīkstošajām pārtikas rezervēm atsevišķos reģionos. Šie globālie cenu pieaugumi ietekmēja arī patēriņa cenu palielināšanos  Latvijā. Izmaiņas nodokļu politikā negatīvi  iespaidoja cenu pieaugumu valstī.  Sākot ar </w:t>
      </w:r>
      <w:proofErr w:type="spellStart"/>
      <w:r w:rsidRPr="001A2264">
        <w:rPr>
          <w:szCs w:val="24"/>
        </w:rPr>
        <w:t>š.g</w:t>
      </w:r>
      <w:proofErr w:type="spellEnd"/>
      <w:r w:rsidRPr="001A2264">
        <w:rPr>
          <w:szCs w:val="24"/>
        </w:rPr>
        <w:t>. janvāri tika paaugstināta pievienotās vērtības nodokļa pamatlikme no 21% uz 22%, samazinātā likme no 10% uz 12%, kā arī pievienotās vērtības nodoklis elektroenerģijai no 10% uz 22%. Taču neskatoties uz straujo cenu pieaugumu ārējos tirgos, šie faktori neveicina inflācijas spirāles veidošanos un augstais bezdarbs, kā arī zemā pirktspēja joprojām ierobežo cenu kāpumu.</w:t>
      </w:r>
    </w:p>
    <w:p w:rsidR="005F129B" w:rsidRPr="001A2264" w:rsidRDefault="005F129B" w:rsidP="005F129B">
      <w:pPr>
        <w:ind w:firstLine="720"/>
        <w:rPr>
          <w:szCs w:val="24"/>
          <w:highlight w:val="yellow"/>
        </w:rPr>
      </w:pPr>
      <w:r w:rsidRPr="001A2264">
        <w:rPr>
          <w:szCs w:val="24"/>
        </w:rPr>
        <w:t xml:space="preserve">Kaut arī līdz ar ekonomiskās izaugsmes atjaunošanos 2010.gada laikā nodarbināto iedzīvotāju skaits atkal pakāpeniski sācis paaugstināties un reģistrētā bezdarba </w:t>
      </w:r>
      <w:r w:rsidR="00252F68" w:rsidRPr="001A2264">
        <w:rPr>
          <w:szCs w:val="24"/>
        </w:rPr>
        <w:t>līmeni</w:t>
      </w:r>
      <w:r w:rsidR="00252F68">
        <w:rPr>
          <w:szCs w:val="24"/>
        </w:rPr>
        <w:t>s</w:t>
      </w:r>
      <w:r w:rsidR="00252F68" w:rsidRPr="001A2264">
        <w:rPr>
          <w:szCs w:val="24"/>
        </w:rPr>
        <w:t xml:space="preserve"> </w:t>
      </w:r>
      <w:r w:rsidRPr="001A2264">
        <w:rPr>
          <w:szCs w:val="24"/>
        </w:rPr>
        <w:t xml:space="preserve">samazināties, 2011.gada aprīlī reģistrētā bezdarba līmenis joprojām ir augstā līmenī un sastāda 13,9% no ekonomiski aktīvajiem iedzīvotājiem. Līdz ar reģistrētā bezdarba samazināšanos, pieaudzis arī tautsaimniecībā nodarbināto skaits. 2010.gada ceturtajā ceturksnī tautsaimniecībā nodarbināto iedzīvotāju skaits bija  951,0 </w:t>
      </w:r>
      <w:proofErr w:type="spellStart"/>
      <w:r w:rsidRPr="001A2264">
        <w:rPr>
          <w:szCs w:val="24"/>
        </w:rPr>
        <w:t>tūkst</w:t>
      </w:r>
      <w:proofErr w:type="spellEnd"/>
      <w:r w:rsidRPr="001A2264">
        <w:rPr>
          <w:szCs w:val="24"/>
        </w:rPr>
        <w:t xml:space="preserve">. – par 18,4 </w:t>
      </w:r>
      <w:proofErr w:type="spellStart"/>
      <w:r w:rsidRPr="001A2264">
        <w:rPr>
          <w:szCs w:val="24"/>
        </w:rPr>
        <w:t>tūkst</w:t>
      </w:r>
      <w:proofErr w:type="spellEnd"/>
      <w:r w:rsidRPr="001A2264">
        <w:rPr>
          <w:szCs w:val="24"/>
        </w:rPr>
        <w:t>. jeb 2,0% vairāk nekā 2009.gada attiecīgajā ceturksnī. Darba meklētāju īpatsvars 2010.gada ceturtajā ceturksnī samazinājies līdz 16,9%, salīdzinot ar 19,7% 2009.gada ceturtajā ceturksnī. Vienlaikus ar jaunu darba vietu radīšanu bezdarba līmeni samazina to cilvēku skaits, kas, zaudējot cerības atrast darbu, aiziet no darba tirgus un kļūst ekonomiski neaktīvi.</w:t>
      </w:r>
    </w:p>
    <w:p w:rsidR="005F129B" w:rsidRPr="001A2264" w:rsidRDefault="005F129B" w:rsidP="005F129B">
      <w:pPr>
        <w:ind w:firstLine="720"/>
        <w:rPr>
          <w:szCs w:val="24"/>
        </w:rPr>
      </w:pPr>
      <w:r w:rsidRPr="001A2264">
        <w:rPr>
          <w:szCs w:val="24"/>
        </w:rPr>
        <w:t>Neskatoties uz augsto bezdarba līmeni šobrīd, vidējā termiņā svarīgu lomu Latvijas ekonomikas attīstībā būs darbaspēka pieejamībai. Latvijas iedzīvotāju skaits samazinās vidēji par 0,4 – 0,5% gadā un 2011.gada sākumā bija 2,23 miljoni. Iedzīvotāju skaita samazināšanās ir saistīta galvenokārt ar negatīvo dabisko pieaugumu, bet pēdējos gados arvien būtiskāka ietekme ir emigrācijai. Saskaņā ar Centrālās statistikas pārvaldes informāciju 2010.gadā no valsts emigrējušo cilvēku skaits, salīdzinot ar 2007.gada līmeni, ir palielinājies divas reizes, un iedzīvotāju izbraukšana darbā uz ārvalstīm tuvākajos gados turpināsies. Atšķirībā no iepriekšējās desmitgades, darbspējas vecuma iedzīvotāju skaits (15-64 gadi) šobrīd samazinās straujāk nekā kopējais iedzīvotāju skaits, ko pamatā nosaka lielais samazinājums vecuma grupā no 15 līdz 24 gadiem, kas saistīts ar zemo dzim</w:t>
      </w:r>
      <w:r w:rsidRPr="001A2264">
        <w:rPr>
          <w:szCs w:val="24"/>
        </w:rPr>
        <w:softHyphen/>
        <w:t xml:space="preserve">stību pagājušā gadsimta 90. gados. Tuvākajos gados darbaspējas vecuma iedzīvotāju skaita samazināšanas var pat divas reizes pārsniegt kopējā iedzīvotāju skaita samazināšanos. </w:t>
      </w:r>
      <w:proofErr w:type="spellStart"/>
      <w:r w:rsidRPr="001A2264">
        <w:rPr>
          <w:szCs w:val="24"/>
        </w:rPr>
        <w:t>Īstermiņā</w:t>
      </w:r>
      <w:proofErr w:type="spellEnd"/>
      <w:r w:rsidRPr="001A2264">
        <w:rPr>
          <w:szCs w:val="24"/>
        </w:rPr>
        <w:t xml:space="preserve"> gan iedzīvotāju skaita samazināšanās nebūs būtiskas ietekmes uz ekonomikas attīstību, jo bezdarba līmenis joprojām saglabāsies augstā līmenī.</w:t>
      </w:r>
    </w:p>
    <w:p w:rsidR="005F129B" w:rsidRPr="001A2264" w:rsidRDefault="005F129B" w:rsidP="005F129B">
      <w:pPr>
        <w:ind w:firstLine="720"/>
        <w:rPr>
          <w:i/>
          <w:szCs w:val="24"/>
        </w:rPr>
      </w:pPr>
      <w:r w:rsidRPr="001A2264">
        <w:rPr>
          <w:szCs w:val="24"/>
        </w:rPr>
        <w:t xml:space="preserve">Lai nodrošinātu turpmāku ekonomikas attīstību Latvijai ir svarīgi atgūt investoru uzticību. Jau 2010.gadā ievērojami mazinājusies spriedze finanšu tirgū. Lata procentu likmes </w:t>
      </w:r>
      <w:r w:rsidRPr="001A2264">
        <w:rPr>
          <w:szCs w:val="24"/>
        </w:rPr>
        <w:lastRenderedPageBreak/>
        <w:t>starpbanku tirgū samazinājušās zem eiro likmju līmeņa, un ievērojami sarukušas Latvijas kredītu neizpildes mijmaiņas līgumu (CDS) cenas</w:t>
      </w:r>
      <w:r w:rsidRPr="001A2264">
        <w:rPr>
          <w:color w:val="FF0000"/>
          <w:szCs w:val="24"/>
        </w:rPr>
        <w:t xml:space="preserve">. </w:t>
      </w:r>
      <w:r w:rsidRPr="001A2264">
        <w:rPr>
          <w:szCs w:val="24"/>
        </w:rPr>
        <w:t>Maksājumu bilancē tekošā konta deficītu nomainījis neliels pārpalikums, samazinot privātā sektora ārējo parādu, un Latvijas ekonomiskās un finanšu tirgus situācijas uzlabošanās atspoguļojusies valsts kredītreitinga pacelšanā un tā perspektīvas uzlabošanā, ko veikušas reitingu aģentūras „</w:t>
      </w:r>
      <w:r w:rsidRPr="001A2264">
        <w:rPr>
          <w:i/>
          <w:szCs w:val="24"/>
        </w:rPr>
        <w:t xml:space="preserve">Standard &amp; </w:t>
      </w:r>
      <w:r w:rsidRPr="001A2264">
        <w:rPr>
          <w:i/>
          <w:noProof/>
          <w:szCs w:val="24"/>
        </w:rPr>
        <w:t>Poor's</w:t>
      </w:r>
      <w:r w:rsidRPr="001A2264">
        <w:rPr>
          <w:noProof/>
          <w:szCs w:val="24"/>
        </w:rPr>
        <w:t>”, „</w:t>
      </w:r>
      <w:r w:rsidRPr="001A2264">
        <w:rPr>
          <w:i/>
          <w:noProof/>
          <w:szCs w:val="24"/>
        </w:rPr>
        <w:t>Rating and Investment Information</w:t>
      </w:r>
      <w:r w:rsidRPr="001A2264">
        <w:rPr>
          <w:noProof/>
          <w:szCs w:val="24"/>
        </w:rPr>
        <w:t>” un „</w:t>
      </w:r>
      <w:r w:rsidRPr="001A2264">
        <w:rPr>
          <w:i/>
          <w:noProof/>
          <w:szCs w:val="24"/>
        </w:rPr>
        <w:t>Fitch Ratings</w:t>
      </w:r>
      <w:r w:rsidRPr="001A2264">
        <w:rPr>
          <w:szCs w:val="24"/>
        </w:rPr>
        <w:t>”</w:t>
      </w:r>
      <w:r w:rsidRPr="001A2264">
        <w:rPr>
          <w:i/>
          <w:szCs w:val="24"/>
        </w:rPr>
        <w:t>.</w:t>
      </w:r>
    </w:p>
    <w:p w:rsidR="005F129B" w:rsidRPr="001A2264" w:rsidRDefault="005F129B" w:rsidP="005F129B">
      <w:pPr>
        <w:ind w:firstLine="720"/>
        <w:rPr>
          <w:szCs w:val="24"/>
        </w:rPr>
      </w:pPr>
      <w:bookmarkStart w:id="2" w:name="_Toc48371894"/>
      <w:r w:rsidRPr="001A2264">
        <w:rPr>
          <w:szCs w:val="24"/>
        </w:rPr>
        <w:t xml:space="preserve">Eksports un ar to saistīto nozare attīstība joprojām ir Latvijas ekonomikas atkopšanās pamatā. Globālās tirdzniecības apjomi 2010.gadā strauji pieauga, ko veiksmīgi izmantoja Latvijas uzņēmēji palielinot eksporta apjomus. 2011.gada pirmajā ceturksnī salīdzinājumā ar pagājušā gada attiecīgu ceturksni preču eksports pieaudzis par 41%, savukārt </w:t>
      </w:r>
      <w:r w:rsidR="00F52691">
        <w:rPr>
          <w:szCs w:val="24"/>
        </w:rPr>
        <w:t>i</w:t>
      </w:r>
      <w:r w:rsidR="00F52691" w:rsidRPr="001A2264">
        <w:rPr>
          <w:szCs w:val="24"/>
        </w:rPr>
        <w:t xml:space="preserve">mports </w:t>
      </w:r>
      <w:r w:rsidRPr="001A2264">
        <w:rPr>
          <w:szCs w:val="24"/>
        </w:rPr>
        <w:t xml:space="preserve">par 35%. Eksporta attīstību veicināja ne tikai globālo tirdzniecības apjomu pieaugums, bet arī krīzes laikā ievērojami samazinājušās ražošanas izmaksas, kas ir uzlabojis Latvijas konkurētspēju un ļāvis palielināt Latvijas tirgus daļu mūsu eksporta noieta tirgos. </w:t>
      </w:r>
    </w:p>
    <w:p w:rsidR="005F129B" w:rsidRPr="001A2264" w:rsidRDefault="005F129B" w:rsidP="005F129B">
      <w:pPr>
        <w:ind w:firstLine="720"/>
        <w:rPr>
          <w:szCs w:val="24"/>
        </w:rPr>
      </w:pPr>
      <w:bookmarkStart w:id="3" w:name="_Toc92091178"/>
      <w:bookmarkStart w:id="4" w:name="_Toc120504676"/>
      <w:bookmarkStart w:id="5" w:name="_Toc156371583"/>
      <w:bookmarkStart w:id="6" w:name="_Toc509734898"/>
      <w:bookmarkStart w:id="7" w:name="_Toc513520136"/>
      <w:bookmarkStart w:id="8" w:name="_Toc48371898"/>
      <w:bookmarkStart w:id="9" w:name="_Toc92091181"/>
      <w:bookmarkStart w:id="10" w:name="_Toc120504679"/>
      <w:bookmarkStart w:id="11" w:name="_Toc156371586"/>
      <w:bookmarkEnd w:id="2"/>
      <w:r w:rsidRPr="001A2264">
        <w:rPr>
          <w:szCs w:val="24"/>
        </w:rPr>
        <w:t xml:space="preserve">Finanšu ministrijas izstrādātais makroekonomiskās attīstības scenārijs paredz, ka sākot ar 2011.gadu Latvijas tautsaimniecība atgriežas pie pozitīviem pieauguma tempiem gada griezumā, ko noteiks krīzes laikā uzlabotā konkurētspējas pozīcija un konsekventa budžeta deficīta samazināšana. Tas veicinās investīciju piesaisti Latvijā un ļaus arī turpmāk nodrošinātu  eksporta nozaru attīstību un eksporta apjomu pieaugumu. </w:t>
      </w:r>
    </w:p>
    <w:p w:rsidR="005F129B" w:rsidRPr="001A2264" w:rsidRDefault="005F129B" w:rsidP="005F129B">
      <w:pPr>
        <w:pStyle w:val="T"/>
        <w:jc w:val="right"/>
        <w:rPr>
          <w:szCs w:val="24"/>
        </w:rPr>
      </w:pPr>
    </w:p>
    <w:p w:rsidR="005118D3" w:rsidRPr="00400C6A" w:rsidRDefault="003C27AE" w:rsidP="005F129B">
      <w:pPr>
        <w:pStyle w:val="T"/>
        <w:jc w:val="right"/>
        <w:rPr>
          <w:b w:val="0"/>
          <w:i w:val="0"/>
          <w:szCs w:val="24"/>
        </w:rPr>
      </w:pPr>
      <w:r w:rsidRPr="00400C6A">
        <w:rPr>
          <w:b w:val="0"/>
          <w:i w:val="0"/>
          <w:szCs w:val="24"/>
        </w:rPr>
        <w:t>1.</w:t>
      </w:r>
      <w:r w:rsidR="00400C6A" w:rsidRPr="00400C6A">
        <w:rPr>
          <w:b w:val="0"/>
          <w:i w:val="0"/>
          <w:szCs w:val="24"/>
        </w:rPr>
        <w:t> tabula</w:t>
      </w:r>
      <w:r w:rsidR="005F129B" w:rsidRPr="00400C6A">
        <w:rPr>
          <w:b w:val="0"/>
          <w:i w:val="0"/>
          <w:szCs w:val="24"/>
        </w:rPr>
        <w:t xml:space="preserve"> </w:t>
      </w:r>
    </w:p>
    <w:p w:rsidR="005118D3" w:rsidRPr="003C27AE" w:rsidRDefault="005118D3" w:rsidP="005F129B">
      <w:pPr>
        <w:pStyle w:val="T"/>
        <w:jc w:val="right"/>
        <w:rPr>
          <w:i w:val="0"/>
          <w:szCs w:val="24"/>
        </w:rPr>
      </w:pPr>
    </w:p>
    <w:p w:rsidR="005F129B" w:rsidRPr="003C27AE" w:rsidRDefault="005118D3" w:rsidP="005118D3">
      <w:pPr>
        <w:pStyle w:val="T"/>
        <w:rPr>
          <w:i w:val="0"/>
          <w:szCs w:val="24"/>
        </w:rPr>
      </w:pPr>
      <w:r w:rsidRPr="003C27AE">
        <w:rPr>
          <w:i w:val="0"/>
          <w:szCs w:val="24"/>
        </w:rPr>
        <w:t xml:space="preserve">IKP izlietojums </w:t>
      </w:r>
      <w:r w:rsidR="005F129B" w:rsidRPr="003C27AE">
        <w:rPr>
          <w:i w:val="0"/>
          <w:szCs w:val="24"/>
        </w:rPr>
        <w:t>(pieauguma tempi 2000. gada cenās, % pret iepriekšējo periodu)</w:t>
      </w:r>
    </w:p>
    <w:p w:rsidR="005F129B" w:rsidRPr="001A2264" w:rsidRDefault="005F129B" w:rsidP="005F129B">
      <w:pPr>
        <w:pStyle w:val="T"/>
        <w:jc w:val="right"/>
        <w:rPr>
          <w:szCs w:val="24"/>
        </w:rPr>
      </w:pPr>
    </w:p>
    <w:tbl>
      <w:tblPr>
        <w:tblStyle w:val="TableGrid"/>
        <w:tblW w:w="9024" w:type="dxa"/>
        <w:tblLayout w:type="fixed"/>
        <w:tblLook w:val="0000" w:firstRow="0" w:lastRow="0" w:firstColumn="0" w:lastColumn="0" w:noHBand="0" w:noVBand="0"/>
      </w:tblPr>
      <w:tblGrid>
        <w:gridCol w:w="3369"/>
        <w:gridCol w:w="1045"/>
        <w:gridCol w:w="922"/>
        <w:gridCol w:w="922"/>
        <w:gridCol w:w="922"/>
        <w:gridCol w:w="922"/>
        <w:gridCol w:w="922"/>
      </w:tblGrid>
      <w:tr w:rsidR="005F129B" w:rsidRPr="00400C6A" w:rsidTr="004E37DB">
        <w:tc>
          <w:tcPr>
            <w:tcW w:w="3369" w:type="dxa"/>
          </w:tcPr>
          <w:p w:rsidR="005F129B" w:rsidRPr="00400C6A" w:rsidRDefault="005F129B" w:rsidP="004E37DB">
            <w:pPr>
              <w:pStyle w:val="tabteksts"/>
              <w:jc w:val="center"/>
              <w:rPr>
                <w:b/>
              </w:rPr>
            </w:pPr>
          </w:p>
        </w:tc>
        <w:tc>
          <w:tcPr>
            <w:tcW w:w="1045" w:type="dxa"/>
          </w:tcPr>
          <w:p w:rsidR="005F129B" w:rsidRPr="00400C6A" w:rsidRDefault="005F129B" w:rsidP="004E37DB">
            <w:pPr>
              <w:ind w:hanging="31"/>
              <w:jc w:val="center"/>
              <w:rPr>
                <w:bCs/>
                <w:color w:val="000000"/>
                <w:sz w:val="20"/>
              </w:rPr>
            </w:pPr>
            <w:r w:rsidRPr="00400C6A">
              <w:rPr>
                <w:bCs/>
                <w:color w:val="000000"/>
                <w:sz w:val="20"/>
              </w:rPr>
              <w:t>2009</w:t>
            </w:r>
          </w:p>
        </w:tc>
        <w:tc>
          <w:tcPr>
            <w:tcW w:w="922" w:type="dxa"/>
          </w:tcPr>
          <w:p w:rsidR="005F129B" w:rsidRPr="00400C6A" w:rsidRDefault="005F129B" w:rsidP="004E37DB">
            <w:pPr>
              <w:ind w:hanging="31"/>
              <w:jc w:val="center"/>
              <w:rPr>
                <w:bCs/>
                <w:color w:val="000000"/>
                <w:sz w:val="20"/>
              </w:rPr>
            </w:pPr>
            <w:r w:rsidRPr="00400C6A">
              <w:rPr>
                <w:bCs/>
                <w:color w:val="000000"/>
                <w:sz w:val="20"/>
              </w:rPr>
              <w:t>2010</w:t>
            </w:r>
          </w:p>
        </w:tc>
        <w:tc>
          <w:tcPr>
            <w:tcW w:w="922" w:type="dxa"/>
          </w:tcPr>
          <w:p w:rsidR="005F129B" w:rsidRPr="00400C6A" w:rsidRDefault="005F129B" w:rsidP="004E37DB">
            <w:pPr>
              <w:ind w:hanging="31"/>
              <w:jc w:val="center"/>
              <w:rPr>
                <w:bCs/>
                <w:color w:val="000000"/>
                <w:sz w:val="20"/>
              </w:rPr>
            </w:pPr>
            <w:r w:rsidRPr="00400C6A">
              <w:rPr>
                <w:bCs/>
                <w:color w:val="000000"/>
                <w:sz w:val="20"/>
              </w:rPr>
              <w:t>2011</w:t>
            </w:r>
          </w:p>
        </w:tc>
        <w:tc>
          <w:tcPr>
            <w:tcW w:w="922" w:type="dxa"/>
          </w:tcPr>
          <w:p w:rsidR="005F129B" w:rsidRPr="00400C6A" w:rsidRDefault="005F129B" w:rsidP="004E37DB">
            <w:pPr>
              <w:ind w:hanging="31"/>
              <w:jc w:val="center"/>
              <w:rPr>
                <w:bCs/>
                <w:color w:val="000000"/>
                <w:sz w:val="20"/>
              </w:rPr>
            </w:pPr>
            <w:r w:rsidRPr="00400C6A">
              <w:rPr>
                <w:bCs/>
                <w:color w:val="000000"/>
                <w:sz w:val="20"/>
              </w:rPr>
              <w:t>2012</w:t>
            </w:r>
          </w:p>
        </w:tc>
        <w:tc>
          <w:tcPr>
            <w:tcW w:w="922" w:type="dxa"/>
          </w:tcPr>
          <w:p w:rsidR="005F129B" w:rsidRPr="00400C6A" w:rsidRDefault="005F129B" w:rsidP="004E37DB">
            <w:pPr>
              <w:ind w:hanging="31"/>
              <w:jc w:val="center"/>
              <w:rPr>
                <w:bCs/>
                <w:color w:val="000000"/>
                <w:sz w:val="20"/>
              </w:rPr>
            </w:pPr>
            <w:r w:rsidRPr="00400C6A">
              <w:rPr>
                <w:bCs/>
                <w:color w:val="000000"/>
                <w:sz w:val="20"/>
              </w:rPr>
              <w:t>2013</w:t>
            </w:r>
          </w:p>
        </w:tc>
        <w:tc>
          <w:tcPr>
            <w:tcW w:w="922" w:type="dxa"/>
          </w:tcPr>
          <w:p w:rsidR="005F129B" w:rsidRPr="00400C6A" w:rsidRDefault="005F129B" w:rsidP="004E37DB">
            <w:pPr>
              <w:ind w:hanging="31"/>
              <w:jc w:val="center"/>
              <w:rPr>
                <w:bCs/>
                <w:color w:val="000000"/>
                <w:sz w:val="20"/>
              </w:rPr>
            </w:pPr>
            <w:r w:rsidRPr="00400C6A">
              <w:rPr>
                <w:bCs/>
                <w:color w:val="000000"/>
                <w:sz w:val="20"/>
              </w:rPr>
              <w:t>2014</w:t>
            </w:r>
          </w:p>
        </w:tc>
      </w:tr>
      <w:tr w:rsidR="005F129B" w:rsidRPr="00400C6A" w:rsidTr="004E37DB">
        <w:tc>
          <w:tcPr>
            <w:tcW w:w="3369" w:type="dxa"/>
          </w:tcPr>
          <w:p w:rsidR="005F129B" w:rsidRPr="00400C6A" w:rsidRDefault="005F129B" w:rsidP="004E37DB">
            <w:pPr>
              <w:pStyle w:val="tabteksts"/>
              <w:jc w:val="center"/>
            </w:pPr>
          </w:p>
        </w:tc>
        <w:tc>
          <w:tcPr>
            <w:tcW w:w="1967" w:type="dxa"/>
            <w:gridSpan w:val="2"/>
          </w:tcPr>
          <w:p w:rsidR="005F129B" w:rsidRPr="00400C6A" w:rsidRDefault="005F129B" w:rsidP="004E37DB">
            <w:pPr>
              <w:pStyle w:val="tabteksts"/>
              <w:jc w:val="center"/>
            </w:pPr>
            <w:r w:rsidRPr="00400C6A">
              <w:t>fakts</w:t>
            </w:r>
          </w:p>
        </w:tc>
        <w:tc>
          <w:tcPr>
            <w:tcW w:w="3688" w:type="dxa"/>
            <w:gridSpan w:val="4"/>
          </w:tcPr>
          <w:p w:rsidR="005F129B" w:rsidRPr="00400C6A" w:rsidRDefault="005F129B" w:rsidP="004E37DB">
            <w:pPr>
              <w:pStyle w:val="tabteksts"/>
              <w:jc w:val="center"/>
            </w:pPr>
            <w:r w:rsidRPr="00400C6A">
              <w:t>prognoze</w:t>
            </w:r>
          </w:p>
        </w:tc>
      </w:tr>
      <w:tr w:rsidR="005F129B" w:rsidRPr="00400C6A" w:rsidTr="004E37DB">
        <w:tc>
          <w:tcPr>
            <w:tcW w:w="3369" w:type="dxa"/>
          </w:tcPr>
          <w:p w:rsidR="005F129B" w:rsidRPr="00400C6A" w:rsidRDefault="005F129B" w:rsidP="004E37DB">
            <w:pPr>
              <w:pStyle w:val="tabteksts"/>
            </w:pPr>
            <w:r w:rsidRPr="00400C6A">
              <w:t>IKP</w:t>
            </w:r>
          </w:p>
        </w:tc>
        <w:tc>
          <w:tcPr>
            <w:tcW w:w="1045" w:type="dxa"/>
          </w:tcPr>
          <w:p w:rsidR="005F129B" w:rsidRPr="00400C6A" w:rsidRDefault="005F129B" w:rsidP="004E37DB">
            <w:pPr>
              <w:pStyle w:val="tabteksts"/>
              <w:tabs>
                <w:tab w:val="decimal" w:pos="529"/>
              </w:tabs>
            </w:pPr>
            <w:r w:rsidRPr="00400C6A">
              <w:t>-18,0</w:t>
            </w:r>
          </w:p>
        </w:tc>
        <w:tc>
          <w:tcPr>
            <w:tcW w:w="922" w:type="dxa"/>
          </w:tcPr>
          <w:p w:rsidR="005F129B" w:rsidRPr="00400C6A" w:rsidRDefault="005F129B" w:rsidP="004E37DB">
            <w:pPr>
              <w:pStyle w:val="tabteksts"/>
              <w:tabs>
                <w:tab w:val="decimal" w:pos="674"/>
              </w:tabs>
            </w:pPr>
            <w:r w:rsidRPr="00400C6A">
              <w:t>-0,3</w:t>
            </w:r>
          </w:p>
        </w:tc>
        <w:tc>
          <w:tcPr>
            <w:tcW w:w="922" w:type="dxa"/>
          </w:tcPr>
          <w:p w:rsidR="005F129B" w:rsidRPr="00400C6A" w:rsidRDefault="005F129B" w:rsidP="004E37DB">
            <w:pPr>
              <w:jc w:val="right"/>
              <w:rPr>
                <w:sz w:val="20"/>
              </w:rPr>
            </w:pPr>
            <w:r w:rsidRPr="00400C6A">
              <w:rPr>
                <w:sz w:val="20"/>
              </w:rPr>
              <w:t>3,3</w:t>
            </w:r>
          </w:p>
        </w:tc>
        <w:tc>
          <w:tcPr>
            <w:tcW w:w="922" w:type="dxa"/>
          </w:tcPr>
          <w:p w:rsidR="005F129B" w:rsidRPr="00400C6A" w:rsidRDefault="005F129B" w:rsidP="004E37DB">
            <w:pPr>
              <w:jc w:val="right"/>
              <w:rPr>
                <w:sz w:val="20"/>
              </w:rPr>
            </w:pPr>
            <w:r w:rsidRPr="00400C6A">
              <w:rPr>
                <w:sz w:val="20"/>
              </w:rPr>
              <w:t>4,0</w:t>
            </w:r>
          </w:p>
        </w:tc>
        <w:tc>
          <w:tcPr>
            <w:tcW w:w="922" w:type="dxa"/>
          </w:tcPr>
          <w:p w:rsidR="005F129B" w:rsidRPr="00400C6A" w:rsidRDefault="005F129B" w:rsidP="004E37DB">
            <w:pPr>
              <w:jc w:val="right"/>
              <w:rPr>
                <w:sz w:val="20"/>
              </w:rPr>
            </w:pPr>
            <w:r w:rsidRPr="00400C6A">
              <w:rPr>
                <w:sz w:val="20"/>
              </w:rPr>
              <w:t>4,0</w:t>
            </w:r>
          </w:p>
        </w:tc>
        <w:tc>
          <w:tcPr>
            <w:tcW w:w="922" w:type="dxa"/>
          </w:tcPr>
          <w:p w:rsidR="005F129B" w:rsidRPr="00400C6A" w:rsidRDefault="005F129B" w:rsidP="004E37DB">
            <w:pPr>
              <w:jc w:val="right"/>
              <w:rPr>
                <w:sz w:val="20"/>
              </w:rPr>
            </w:pPr>
            <w:r w:rsidRPr="00400C6A">
              <w:rPr>
                <w:sz w:val="20"/>
              </w:rPr>
              <w:t>4,0</w:t>
            </w:r>
          </w:p>
        </w:tc>
      </w:tr>
      <w:tr w:rsidR="005F129B" w:rsidRPr="00400C6A" w:rsidTr="004E37DB">
        <w:tc>
          <w:tcPr>
            <w:tcW w:w="3369" w:type="dxa"/>
          </w:tcPr>
          <w:p w:rsidR="005F129B" w:rsidRPr="00400C6A" w:rsidRDefault="005F129B" w:rsidP="004E37DB">
            <w:pPr>
              <w:pStyle w:val="tabteksts"/>
            </w:pPr>
            <w:r w:rsidRPr="00400C6A">
              <w:t>Sabiedriskais patēriņš</w:t>
            </w:r>
          </w:p>
        </w:tc>
        <w:tc>
          <w:tcPr>
            <w:tcW w:w="1045" w:type="dxa"/>
          </w:tcPr>
          <w:p w:rsidR="005F129B" w:rsidRPr="00400C6A" w:rsidRDefault="005F129B" w:rsidP="004E37DB">
            <w:pPr>
              <w:pStyle w:val="tabteksts"/>
              <w:tabs>
                <w:tab w:val="decimal" w:pos="529"/>
              </w:tabs>
            </w:pPr>
            <w:r w:rsidRPr="00400C6A">
              <w:t>-9,2</w:t>
            </w:r>
          </w:p>
        </w:tc>
        <w:tc>
          <w:tcPr>
            <w:tcW w:w="922" w:type="dxa"/>
          </w:tcPr>
          <w:p w:rsidR="005F129B" w:rsidRPr="00400C6A" w:rsidRDefault="005F129B" w:rsidP="004E37DB">
            <w:pPr>
              <w:pStyle w:val="tabteksts"/>
              <w:tabs>
                <w:tab w:val="decimal" w:pos="529"/>
              </w:tabs>
            </w:pPr>
            <w:r w:rsidRPr="00400C6A">
              <w:t>-11,0</w:t>
            </w:r>
          </w:p>
        </w:tc>
        <w:tc>
          <w:tcPr>
            <w:tcW w:w="922" w:type="dxa"/>
          </w:tcPr>
          <w:p w:rsidR="005F129B" w:rsidRPr="00400C6A" w:rsidRDefault="005F129B" w:rsidP="004E37DB">
            <w:pPr>
              <w:pStyle w:val="tabteksts"/>
              <w:tabs>
                <w:tab w:val="decimal" w:pos="529"/>
              </w:tabs>
            </w:pPr>
            <w:r w:rsidRPr="00400C6A">
              <w:t>-1,5</w:t>
            </w:r>
          </w:p>
        </w:tc>
        <w:tc>
          <w:tcPr>
            <w:tcW w:w="922" w:type="dxa"/>
          </w:tcPr>
          <w:p w:rsidR="005F129B" w:rsidRPr="00400C6A" w:rsidRDefault="005F129B" w:rsidP="004E37DB">
            <w:pPr>
              <w:pStyle w:val="tabteksts"/>
              <w:tabs>
                <w:tab w:val="decimal" w:pos="529"/>
              </w:tabs>
            </w:pPr>
            <w:r w:rsidRPr="00400C6A">
              <w:t>-1,0</w:t>
            </w:r>
          </w:p>
        </w:tc>
        <w:tc>
          <w:tcPr>
            <w:tcW w:w="922" w:type="dxa"/>
          </w:tcPr>
          <w:p w:rsidR="005F129B" w:rsidRPr="00400C6A" w:rsidRDefault="005F129B" w:rsidP="004E37DB">
            <w:pPr>
              <w:pStyle w:val="tabteksts"/>
              <w:tabs>
                <w:tab w:val="decimal" w:pos="529"/>
              </w:tabs>
            </w:pPr>
            <w:r w:rsidRPr="00400C6A">
              <w:t>1,0</w:t>
            </w:r>
          </w:p>
        </w:tc>
        <w:tc>
          <w:tcPr>
            <w:tcW w:w="922" w:type="dxa"/>
          </w:tcPr>
          <w:p w:rsidR="005F129B" w:rsidRPr="00400C6A" w:rsidRDefault="005F129B" w:rsidP="004E37DB">
            <w:pPr>
              <w:pStyle w:val="tabteksts"/>
              <w:tabs>
                <w:tab w:val="decimal" w:pos="529"/>
              </w:tabs>
            </w:pPr>
            <w:r w:rsidRPr="00400C6A">
              <w:t>2,0</w:t>
            </w:r>
          </w:p>
        </w:tc>
      </w:tr>
      <w:tr w:rsidR="005F129B" w:rsidRPr="00400C6A" w:rsidTr="004E37DB">
        <w:tc>
          <w:tcPr>
            <w:tcW w:w="3369" w:type="dxa"/>
          </w:tcPr>
          <w:p w:rsidR="005F129B" w:rsidRPr="00400C6A" w:rsidRDefault="005F129B" w:rsidP="004E37DB">
            <w:pPr>
              <w:pStyle w:val="tabteksts"/>
            </w:pPr>
            <w:r w:rsidRPr="00400C6A">
              <w:t>Privātais patēriņš</w:t>
            </w:r>
          </w:p>
        </w:tc>
        <w:tc>
          <w:tcPr>
            <w:tcW w:w="1045" w:type="dxa"/>
          </w:tcPr>
          <w:p w:rsidR="005F129B" w:rsidRPr="00400C6A" w:rsidRDefault="005F129B" w:rsidP="004E37DB">
            <w:pPr>
              <w:pStyle w:val="tabteksts"/>
              <w:tabs>
                <w:tab w:val="decimal" w:pos="529"/>
              </w:tabs>
            </w:pPr>
            <w:r w:rsidRPr="00400C6A">
              <w:t>-24,1</w:t>
            </w:r>
          </w:p>
        </w:tc>
        <w:tc>
          <w:tcPr>
            <w:tcW w:w="922" w:type="dxa"/>
          </w:tcPr>
          <w:p w:rsidR="005F129B" w:rsidRPr="00400C6A" w:rsidRDefault="005F129B" w:rsidP="004E37DB">
            <w:pPr>
              <w:pStyle w:val="tabteksts"/>
              <w:tabs>
                <w:tab w:val="decimal" w:pos="529"/>
              </w:tabs>
            </w:pPr>
            <w:r w:rsidRPr="00400C6A">
              <w:t>-0,1</w:t>
            </w:r>
          </w:p>
        </w:tc>
        <w:tc>
          <w:tcPr>
            <w:tcW w:w="922" w:type="dxa"/>
          </w:tcPr>
          <w:p w:rsidR="005F129B" w:rsidRPr="00400C6A" w:rsidRDefault="005F129B" w:rsidP="004E37DB">
            <w:pPr>
              <w:pStyle w:val="tabteksts"/>
              <w:tabs>
                <w:tab w:val="decimal" w:pos="529"/>
              </w:tabs>
            </w:pPr>
            <w:r w:rsidRPr="00400C6A">
              <w:t>3,0</w:t>
            </w:r>
          </w:p>
        </w:tc>
        <w:tc>
          <w:tcPr>
            <w:tcW w:w="922" w:type="dxa"/>
          </w:tcPr>
          <w:p w:rsidR="005F129B" w:rsidRPr="00400C6A" w:rsidRDefault="005F129B" w:rsidP="004E37DB">
            <w:pPr>
              <w:pStyle w:val="tabteksts"/>
              <w:tabs>
                <w:tab w:val="decimal" w:pos="529"/>
              </w:tabs>
            </w:pPr>
            <w:r w:rsidRPr="00400C6A">
              <w:t>4,0</w:t>
            </w:r>
          </w:p>
        </w:tc>
        <w:tc>
          <w:tcPr>
            <w:tcW w:w="922" w:type="dxa"/>
          </w:tcPr>
          <w:p w:rsidR="005F129B" w:rsidRPr="00400C6A" w:rsidRDefault="005F129B" w:rsidP="004E37DB">
            <w:pPr>
              <w:pStyle w:val="tabteksts"/>
              <w:tabs>
                <w:tab w:val="decimal" w:pos="529"/>
              </w:tabs>
            </w:pPr>
            <w:r w:rsidRPr="00400C6A">
              <w:t>4,0</w:t>
            </w:r>
          </w:p>
        </w:tc>
        <w:tc>
          <w:tcPr>
            <w:tcW w:w="922" w:type="dxa"/>
          </w:tcPr>
          <w:p w:rsidR="005F129B" w:rsidRPr="00400C6A" w:rsidRDefault="005F129B" w:rsidP="004E37DB">
            <w:pPr>
              <w:pStyle w:val="tabteksts"/>
              <w:tabs>
                <w:tab w:val="decimal" w:pos="529"/>
              </w:tabs>
            </w:pPr>
            <w:r w:rsidRPr="00400C6A">
              <w:t>4,0</w:t>
            </w:r>
          </w:p>
        </w:tc>
      </w:tr>
      <w:tr w:rsidR="005F129B" w:rsidRPr="00400C6A" w:rsidTr="004E37DB">
        <w:tc>
          <w:tcPr>
            <w:tcW w:w="3369" w:type="dxa"/>
          </w:tcPr>
          <w:p w:rsidR="005F129B" w:rsidRPr="00400C6A" w:rsidRDefault="005F129B" w:rsidP="004E37DB">
            <w:pPr>
              <w:pStyle w:val="tabteksts"/>
            </w:pPr>
            <w:r w:rsidRPr="00400C6A">
              <w:t>Kopējā pamatkapitāla veidošana</w:t>
            </w:r>
          </w:p>
        </w:tc>
        <w:tc>
          <w:tcPr>
            <w:tcW w:w="1045" w:type="dxa"/>
          </w:tcPr>
          <w:p w:rsidR="005F129B" w:rsidRPr="00400C6A" w:rsidRDefault="005F129B" w:rsidP="004E37DB">
            <w:pPr>
              <w:pStyle w:val="tabteksts"/>
              <w:tabs>
                <w:tab w:val="decimal" w:pos="529"/>
              </w:tabs>
            </w:pPr>
            <w:r w:rsidRPr="00400C6A">
              <w:t>-37,3</w:t>
            </w:r>
          </w:p>
        </w:tc>
        <w:tc>
          <w:tcPr>
            <w:tcW w:w="922" w:type="dxa"/>
          </w:tcPr>
          <w:p w:rsidR="005F129B" w:rsidRPr="00400C6A" w:rsidRDefault="005F129B" w:rsidP="004E37DB">
            <w:pPr>
              <w:pStyle w:val="tabteksts"/>
              <w:tabs>
                <w:tab w:val="decimal" w:pos="529"/>
              </w:tabs>
            </w:pPr>
            <w:r w:rsidRPr="00400C6A">
              <w:t>-19,5</w:t>
            </w:r>
          </w:p>
        </w:tc>
        <w:tc>
          <w:tcPr>
            <w:tcW w:w="922" w:type="dxa"/>
          </w:tcPr>
          <w:p w:rsidR="005F129B" w:rsidRPr="00400C6A" w:rsidRDefault="005F129B" w:rsidP="004E37DB">
            <w:pPr>
              <w:pStyle w:val="tabteksts"/>
              <w:tabs>
                <w:tab w:val="decimal" w:pos="529"/>
              </w:tabs>
            </w:pPr>
            <w:r w:rsidRPr="00400C6A">
              <w:t>11,0</w:t>
            </w:r>
          </w:p>
        </w:tc>
        <w:tc>
          <w:tcPr>
            <w:tcW w:w="922" w:type="dxa"/>
          </w:tcPr>
          <w:p w:rsidR="005F129B" w:rsidRPr="00400C6A" w:rsidRDefault="005F129B" w:rsidP="004E37DB">
            <w:pPr>
              <w:pStyle w:val="tabteksts"/>
              <w:tabs>
                <w:tab w:val="decimal" w:pos="529"/>
              </w:tabs>
            </w:pPr>
            <w:r w:rsidRPr="00400C6A">
              <w:t>10,3</w:t>
            </w:r>
          </w:p>
        </w:tc>
        <w:tc>
          <w:tcPr>
            <w:tcW w:w="922" w:type="dxa"/>
          </w:tcPr>
          <w:p w:rsidR="005F129B" w:rsidRPr="00400C6A" w:rsidRDefault="005F129B" w:rsidP="004E37DB">
            <w:pPr>
              <w:pStyle w:val="tabteksts"/>
              <w:tabs>
                <w:tab w:val="decimal" w:pos="529"/>
              </w:tabs>
            </w:pPr>
            <w:r w:rsidRPr="00400C6A">
              <w:t>8,9</w:t>
            </w:r>
          </w:p>
        </w:tc>
        <w:tc>
          <w:tcPr>
            <w:tcW w:w="922" w:type="dxa"/>
          </w:tcPr>
          <w:p w:rsidR="005F129B" w:rsidRPr="00400C6A" w:rsidRDefault="005F129B" w:rsidP="004E37DB">
            <w:pPr>
              <w:pStyle w:val="tabteksts"/>
              <w:tabs>
                <w:tab w:val="decimal" w:pos="529"/>
              </w:tabs>
            </w:pPr>
            <w:r w:rsidRPr="00400C6A">
              <w:t>8,1</w:t>
            </w:r>
          </w:p>
        </w:tc>
      </w:tr>
      <w:tr w:rsidR="005F129B" w:rsidRPr="00400C6A" w:rsidTr="004E37DB">
        <w:tc>
          <w:tcPr>
            <w:tcW w:w="3369" w:type="dxa"/>
          </w:tcPr>
          <w:p w:rsidR="005F129B" w:rsidRPr="00400C6A" w:rsidRDefault="005F129B" w:rsidP="004E37DB">
            <w:pPr>
              <w:pStyle w:val="tabteksts"/>
            </w:pPr>
            <w:r w:rsidRPr="00400C6A">
              <w:t>Preču un pakalpojumu eksports</w:t>
            </w:r>
          </w:p>
        </w:tc>
        <w:tc>
          <w:tcPr>
            <w:tcW w:w="1045" w:type="dxa"/>
          </w:tcPr>
          <w:p w:rsidR="005F129B" w:rsidRPr="00400C6A" w:rsidRDefault="005F129B" w:rsidP="004E37DB">
            <w:pPr>
              <w:pStyle w:val="tabteksts"/>
              <w:tabs>
                <w:tab w:val="decimal" w:pos="529"/>
              </w:tabs>
            </w:pPr>
            <w:r w:rsidRPr="00400C6A">
              <w:t>-14,1</w:t>
            </w:r>
          </w:p>
        </w:tc>
        <w:tc>
          <w:tcPr>
            <w:tcW w:w="922" w:type="dxa"/>
          </w:tcPr>
          <w:p w:rsidR="005F129B" w:rsidRPr="00400C6A" w:rsidRDefault="005F129B" w:rsidP="004E37DB">
            <w:pPr>
              <w:pStyle w:val="tabteksts"/>
              <w:tabs>
                <w:tab w:val="decimal" w:pos="529"/>
              </w:tabs>
            </w:pPr>
            <w:r w:rsidRPr="00400C6A">
              <w:t>10,3</w:t>
            </w:r>
          </w:p>
        </w:tc>
        <w:tc>
          <w:tcPr>
            <w:tcW w:w="922" w:type="dxa"/>
          </w:tcPr>
          <w:p w:rsidR="005F129B" w:rsidRPr="00400C6A" w:rsidRDefault="005F129B" w:rsidP="004E37DB">
            <w:pPr>
              <w:pStyle w:val="tabteksts"/>
              <w:tabs>
                <w:tab w:val="decimal" w:pos="529"/>
              </w:tabs>
            </w:pPr>
            <w:r w:rsidRPr="00400C6A">
              <w:t>5,1</w:t>
            </w:r>
          </w:p>
        </w:tc>
        <w:tc>
          <w:tcPr>
            <w:tcW w:w="922" w:type="dxa"/>
          </w:tcPr>
          <w:p w:rsidR="005F129B" w:rsidRPr="00400C6A" w:rsidRDefault="005F129B" w:rsidP="004E37DB">
            <w:pPr>
              <w:pStyle w:val="tabteksts"/>
              <w:tabs>
                <w:tab w:val="decimal" w:pos="529"/>
              </w:tabs>
            </w:pPr>
            <w:r w:rsidRPr="00400C6A">
              <w:t>5,0</w:t>
            </w:r>
          </w:p>
        </w:tc>
        <w:tc>
          <w:tcPr>
            <w:tcW w:w="922" w:type="dxa"/>
          </w:tcPr>
          <w:p w:rsidR="005F129B" w:rsidRPr="00400C6A" w:rsidRDefault="005F129B" w:rsidP="004E37DB">
            <w:pPr>
              <w:pStyle w:val="tabteksts"/>
              <w:tabs>
                <w:tab w:val="decimal" w:pos="529"/>
              </w:tabs>
            </w:pPr>
            <w:r w:rsidRPr="00400C6A">
              <w:t>5,0</w:t>
            </w:r>
          </w:p>
        </w:tc>
        <w:tc>
          <w:tcPr>
            <w:tcW w:w="922" w:type="dxa"/>
          </w:tcPr>
          <w:p w:rsidR="005F129B" w:rsidRPr="00400C6A" w:rsidRDefault="005F129B" w:rsidP="004E37DB">
            <w:pPr>
              <w:pStyle w:val="tabteksts"/>
              <w:tabs>
                <w:tab w:val="decimal" w:pos="529"/>
              </w:tabs>
            </w:pPr>
            <w:r w:rsidRPr="00400C6A">
              <w:t>5,0</w:t>
            </w:r>
          </w:p>
        </w:tc>
      </w:tr>
      <w:tr w:rsidR="005F129B" w:rsidRPr="00400C6A" w:rsidTr="004E37DB">
        <w:tc>
          <w:tcPr>
            <w:tcW w:w="3369" w:type="dxa"/>
          </w:tcPr>
          <w:p w:rsidR="005F129B" w:rsidRPr="00400C6A" w:rsidRDefault="005F129B" w:rsidP="004E37DB">
            <w:pPr>
              <w:pStyle w:val="tabteksts"/>
            </w:pPr>
            <w:r w:rsidRPr="00400C6A">
              <w:t>Preču un pakalpojumu imports</w:t>
            </w:r>
          </w:p>
        </w:tc>
        <w:tc>
          <w:tcPr>
            <w:tcW w:w="1045" w:type="dxa"/>
          </w:tcPr>
          <w:p w:rsidR="005F129B" w:rsidRPr="00400C6A" w:rsidRDefault="005F129B" w:rsidP="004E37DB">
            <w:pPr>
              <w:pStyle w:val="tabteksts"/>
              <w:tabs>
                <w:tab w:val="decimal" w:pos="529"/>
              </w:tabs>
            </w:pPr>
            <w:r w:rsidRPr="00400C6A">
              <w:t>-33,5</w:t>
            </w:r>
          </w:p>
        </w:tc>
        <w:tc>
          <w:tcPr>
            <w:tcW w:w="922" w:type="dxa"/>
          </w:tcPr>
          <w:p w:rsidR="005F129B" w:rsidRPr="00400C6A" w:rsidRDefault="005F129B" w:rsidP="004E37DB">
            <w:pPr>
              <w:pStyle w:val="tabteksts"/>
              <w:tabs>
                <w:tab w:val="decimal" w:pos="529"/>
              </w:tabs>
            </w:pPr>
            <w:r w:rsidRPr="00400C6A">
              <w:t>8,6</w:t>
            </w:r>
          </w:p>
        </w:tc>
        <w:tc>
          <w:tcPr>
            <w:tcW w:w="922" w:type="dxa"/>
          </w:tcPr>
          <w:p w:rsidR="005F129B" w:rsidRPr="00400C6A" w:rsidRDefault="005F129B" w:rsidP="004E37DB">
            <w:pPr>
              <w:pStyle w:val="tabteksts"/>
              <w:tabs>
                <w:tab w:val="decimal" w:pos="529"/>
              </w:tabs>
            </w:pPr>
            <w:r w:rsidRPr="00400C6A">
              <w:t>6,1</w:t>
            </w:r>
          </w:p>
        </w:tc>
        <w:tc>
          <w:tcPr>
            <w:tcW w:w="922" w:type="dxa"/>
          </w:tcPr>
          <w:p w:rsidR="005F129B" w:rsidRPr="00400C6A" w:rsidRDefault="005F129B" w:rsidP="004E37DB">
            <w:pPr>
              <w:pStyle w:val="tabteksts"/>
              <w:tabs>
                <w:tab w:val="decimal" w:pos="529"/>
              </w:tabs>
            </w:pPr>
            <w:r w:rsidRPr="00400C6A">
              <w:t>6,0</w:t>
            </w:r>
          </w:p>
        </w:tc>
        <w:tc>
          <w:tcPr>
            <w:tcW w:w="922" w:type="dxa"/>
          </w:tcPr>
          <w:p w:rsidR="005F129B" w:rsidRPr="00400C6A" w:rsidRDefault="005F129B" w:rsidP="004E37DB">
            <w:pPr>
              <w:pStyle w:val="tabteksts"/>
              <w:tabs>
                <w:tab w:val="decimal" w:pos="529"/>
              </w:tabs>
            </w:pPr>
            <w:r w:rsidRPr="00400C6A">
              <w:t>6,1</w:t>
            </w:r>
          </w:p>
        </w:tc>
        <w:tc>
          <w:tcPr>
            <w:tcW w:w="922" w:type="dxa"/>
          </w:tcPr>
          <w:p w:rsidR="005F129B" w:rsidRPr="00400C6A" w:rsidRDefault="005F129B" w:rsidP="004E37DB">
            <w:pPr>
              <w:pStyle w:val="tabteksts"/>
              <w:tabs>
                <w:tab w:val="decimal" w:pos="529"/>
              </w:tabs>
            </w:pPr>
            <w:r w:rsidRPr="00400C6A">
              <w:t>6,1</w:t>
            </w:r>
          </w:p>
        </w:tc>
      </w:tr>
    </w:tbl>
    <w:p w:rsidR="005F129B" w:rsidRPr="001A2264" w:rsidRDefault="005F129B" w:rsidP="005F129B">
      <w:pPr>
        <w:rPr>
          <w:szCs w:val="24"/>
        </w:rPr>
      </w:pPr>
    </w:p>
    <w:p w:rsidR="005F129B" w:rsidRPr="001A2264" w:rsidRDefault="005F129B" w:rsidP="005F129B">
      <w:pPr>
        <w:ind w:firstLine="720"/>
        <w:rPr>
          <w:szCs w:val="24"/>
        </w:rPr>
      </w:pPr>
      <w:r w:rsidRPr="001A2264">
        <w:rPr>
          <w:szCs w:val="24"/>
        </w:rPr>
        <w:t>Vidējā termiņā izaugsme galvenokārt balstīsies uz produktivitātes pieaugumu, savukārt darba tirgū saglabāsies būtisks darbaspēka piedāvājuma pārpalikums. Saskaņā ar makroekonomiskās attīstības scenāriju IKP salīdzināmās cenās 2011.gadā pieaugs 3,3 procentu apmērā, savukārt turpmākajos gados IKP pieaugs par 4%.</w:t>
      </w:r>
    </w:p>
    <w:p w:rsidR="005F129B" w:rsidRPr="001A2264" w:rsidRDefault="005F129B" w:rsidP="005F129B">
      <w:pPr>
        <w:rPr>
          <w:szCs w:val="24"/>
        </w:rPr>
      </w:pPr>
    </w:p>
    <w:p w:rsidR="005F129B" w:rsidRPr="001A2264" w:rsidRDefault="005F129B" w:rsidP="005F129B">
      <w:pPr>
        <w:pStyle w:val="Z"/>
        <w:ind w:left="1134"/>
        <w:rPr>
          <w:szCs w:val="24"/>
        </w:rPr>
      </w:pPr>
      <w:r w:rsidRPr="001A2264">
        <w:rPr>
          <w:noProof/>
          <w:szCs w:val="24"/>
          <w:lang w:eastAsia="lv-LV"/>
        </w:rPr>
        <w:drawing>
          <wp:inline distT="0" distB="0" distL="0" distR="0" wp14:anchorId="2C6D4EF5" wp14:editId="787AEA70">
            <wp:extent cx="3823591" cy="2495520"/>
            <wp:effectExtent l="19050" t="19050" r="571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3591" cy="2495520"/>
                    </a:xfrm>
                    <a:prstGeom prst="rect">
                      <a:avLst/>
                    </a:prstGeom>
                    <a:noFill/>
                    <a:ln w="3175">
                      <a:solidFill>
                        <a:schemeClr val="tx1"/>
                      </a:solidFill>
                    </a:ln>
                  </pic:spPr>
                </pic:pic>
              </a:graphicData>
            </a:graphic>
          </wp:inline>
        </w:drawing>
      </w:r>
    </w:p>
    <w:p w:rsidR="005F129B" w:rsidRPr="001A2264" w:rsidRDefault="003C27AE" w:rsidP="005F129B">
      <w:pPr>
        <w:pStyle w:val="Zpar"/>
        <w:spacing w:after="120"/>
        <w:ind w:left="0" w:right="-57" w:firstLine="0"/>
        <w:jc w:val="center"/>
        <w:rPr>
          <w:rFonts w:ascii="Times New Roman" w:hAnsi="Times New Roman"/>
          <w:sz w:val="24"/>
          <w:szCs w:val="24"/>
        </w:rPr>
      </w:pPr>
      <w:r>
        <w:rPr>
          <w:rFonts w:ascii="Times New Roman" w:hAnsi="Times New Roman"/>
          <w:sz w:val="24"/>
          <w:szCs w:val="24"/>
        </w:rPr>
        <w:lastRenderedPageBreak/>
        <w:t>1</w:t>
      </w:r>
      <w:r w:rsidR="005F129B" w:rsidRPr="001A2264">
        <w:rPr>
          <w:rFonts w:ascii="Times New Roman" w:hAnsi="Times New Roman"/>
          <w:sz w:val="24"/>
          <w:szCs w:val="24"/>
        </w:rPr>
        <w:t>.att. Izlietojuma komponenšu ietekme uz IKP 2010.-2014.gadā, procentpunktos</w:t>
      </w:r>
    </w:p>
    <w:p w:rsidR="005F129B" w:rsidRPr="001A2264" w:rsidRDefault="005F129B" w:rsidP="005F129B">
      <w:pPr>
        <w:spacing w:before="120"/>
        <w:ind w:firstLine="720"/>
        <w:rPr>
          <w:szCs w:val="24"/>
        </w:rPr>
      </w:pPr>
      <w:r w:rsidRPr="00BD658F">
        <w:rPr>
          <w:b/>
          <w:szCs w:val="24"/>
        </w:rPr>
        <w:t>Būtiskākie izaugsmi ierobežojošie faktori vidējā t</w:t>
      </w:r>
      <w:r w:rsidR="00F52691" w:rsidRPr="00BD658F">
        <w:rPr>
          <w:b/>
          <w:szCs w:val="24"/>
        </w:rPr>
        <w:t>er</w:t>
      </w:r>
      <w:r w:rsidRPr="00BD658F">
        <w:rPr>
          <w:b/>
          <w:szCs w:val="24"/>
        </w:rPr>
        <w:t>miņā būs ierobežota kreditēšana, liels uzkrātais parāda līmenis, augstais bezdarbs un darbaspēka pieprasījuma un piedāvājuma neatbilstība, kā arī zemais inovāciju līmenis</w:t>
      </w:r>
      <w:r w:rsidRPr="001A2264">
        <w:rPr>
          <w:szCs w:val="24"/>
        </w:rPr>
        <w:t>.</w:t>
      </w:r>
    </w:p>
    <w:bookmarkEnd w:id="3"/>
    <w:bookmarkEnd w:id="4"/>
    <w:bookmarkEnd w:id="5"/>
    <w:p w:rsidR="005F129B" w:rsidRPr="001A2264" w:rsidRDefault="005F129B" w:rsidP="005F129B">
      <w:pPr>
        <w:ind w:firstLine="720"/>
        <w:rPr>
          <w:szCs w:val="24"/>
        </w:rPr>
      </w:pPr>
      <w:r w:rsidRPr="001A2264">
        <w:rPr>
          <w:szCs w:val="24"/>
        </w:rPr>
        <w:t>Vidējā termiņā sagaidāms, ka pie pozitīvas izaugsmes atgriezīsies visas nozares, taču kopumā nozaru attīstību noteiks eksporta un privātā patēriņa attīstība. Turpinot pieaugt eksporta apjomiem, pieaugs uz eksportu orientēto  nozaru - apstrādes rūpniecības un lauksaimniecības īpatsvars IKP, savukārt, iespējams, samazināsies finanšu pakalpojumu, nekustamā īpašuma un tirdzniecības nozaru īpatsvars. Būvniecības attīstība vidējā termiņā būs atkarīga no investīciju apjomiem infrastruktūrā, tomēr nav sagaidāms būtisks būvniecības nozares īpatsvara pieaugums. Transporta nozarē sagaidāms mērens pieaugums, kas būs atkarīgs arī no politiskajām  attiecībām ar Krieviju, jo lielu daļu šīs nozares izlaides sastāda tranzīts. Mazumtirdzniecību un privāto patēriņu kopumā, ierobežos augstais bezdarbs un ierobežotie algu pieauguma tempi, kas neļaus nozares pieauguma tempiem pārsniegt IKP pieauguma tempus. Sabiedrisko pakalpojumu nozarēs 2011. un 2012.gadā vēl sagaidāmi samazinājumi, ko noteiks budžeta konsolidācijas nepieciešamība, taču vidējā termiņā šīs nozares atgriezīsies pie izaugsmes, tomēr šī izaugsme būs mērenāka nekā tautsaimniecībai kopumā.</w:t>
      </w:r>
    </w:p>
    <w:p w:rsidR="005F129B" w:rsidRDefault="005F129B" w:rsidP="005F129B">
      <w:pPr>
        <w:ind w:firstLine="720"/>
        <w:rPr>
          <w:szCs w:val="24"/>
        </w:rPr>
      </w:pPr>
      <w:r w:rsidRPr="001A2264">
        <w:rPr>
          <w:szCs w:val="24"/>
        </w:rPr>
        <w:t>Attiecībā uz patēriņa cenu izmaiņām vidējā termiņā paredzams, ka notiks cenu korekcijas pasaules tirgū, it īpaši  pārtikas produktu cenām, kas 2010.gada beigās un 2011.gada sākumā ir strauji pieaugušas. Sākoties jaunajai ražas sezonai, vidējais pārtikas produktu cenu līmenis kritīsies. Energoresursu sektorā cenu līmeni ietekmēs elektroenerģijas tarifu kāpums 2011.gada aprīlī un nodokļu izmaiņas dabasgāzei sākot ar 2011.gada jūliju. Prognozes neparedz būtiskas degvielas cenu izmaiņas. Vājš iekšējais pieprasījums ierobežos cenu kāpumu precēm un pakalpojumiem, ko nosaka vietējais tirgus. Tomēr kāpjošās izmaksas, it īpaši enerģētikas sektorā, cenām neļaus arī samazināties.</w:t>
      </w:r>
    </w:p>
    <w:p w:rsidR="003C27AE" w:rsidRPr="001A2264" w:rsidRDefault="003C27AE" w:rsidP="005F129B">
      <w:pPr>
        <w:ind w:firstLine="720"/>
        <w:rPr>
          <w:szCs w:val="24"/>
        </w:rPr>
      </w:pPr>
    </w:p>
    <w:p w:rsidR="005F129B" w:rsidRPr="001A2264" w:rsidRDefault="005F129B" w:rsidP="005F129B">
      <w:pPr>
        <w:ind w:left="709"/>
        <w:jc w:val="center"/>
        <w:rPr>
          <w:szCs w:val="24"/>
        </w:rPr>
      </w:pPr>
      <w:r w:rsidRPr="001A2264">
        <w:rPr>
          <w:noProof/>
          <w:szCs w:val="24"/>
          <w:lang w:eastAsia="lv-LV"/>
        </w:rPr>
        <w:drawing>
          <wp:inline distT="0" distB="0" distL="0" distR="0" wp14:anchorId="1E80B7EF" wp14:editId="4B1D1F5E">
            <wp:extent cx="4320000" cy="2383200"/>
            <wp:effectExtent l="19050" t="1905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2810" t="17474" r="2479" b="2498"/>
                    <a:stretch/>
                  </pic:blipFill>
                  <pic:spPr bwMode="auto">
                    <a:xfrm>
                      <a:off x="0" y="0"/>
                      <a:ext cx="4320000" cy="2383200"/>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3C27AE" w:rsidRDefault="003C27AE" w:rsidP="005F129B">
      <w:pPr>
        <w:pStyle w:val="Zpar"/>
        <w:spacing w:after="120"/>
        <w:ind w:left="0" w:right="-57" w:firstLine="0"/>
        <w:jc w:val="center"/>
        <w:rPr>
          <w:rFonts w:ascii="Times New Roman" w:hAnsi="Times New Roman"/>
          <w:sz w:val="24"/>
          <w:szCs w:val="24"/>
        </w:rPr>
      </w:pPr>
    </w:p>
    <w:p w:rsidR="005F129B" w:rsidRPr="001A2264" w:rsidRDefault="003C27AE" w:rsidP="003C27AE">
      <w:pPr>
        <w:pStyle w:val="Zpar"/>
        <w:spacing w:after="120"/>
        <w:ind w:left="0" w:right="-57" w:firstLine="0"/>
        <w:rPr>
          <w:rFonts w:ascii="Times New Roman" w:hAnsi="Times New Roman"/>
          <w:sz w:val="24"/>
          <w:szCs w:val="24"/>
        </w:rPr>
      </w:pPr>
      <w:r>
        <w:rPr>
          <w:rFonts w:ascii="Times New Roman" w:hAnsi="Times New Roman"/>
          <w:sz w:val="24"/>
          <w:szCs w:val="24"/>
        </w:rPr>
        <w:t xml:space="preserve"> 1.1.</w:t>
      </w:r>
      <w:r w:rsidR="005F129B" w:rsidRPr="001A2264">
        <w:rPr>
          <w:rFonts w:ascii="Times New Roman" w:hAnsi="Times New Roman"/>
          <w:sz w:val="24"/>
          <w:szCs w:val="24"/>
        </w:rPr>
        <w:t xml:space="preserve"> </w:t>
      </w:r>
      <w:r w:rsidR="005F129B" w:rsidRPr="001A2264">
        <w:rPr>
          <w:rFonts w:ascii="Times New Roman" w:hAnsi="Times New Roman"/>
          <w:noProof/>
          <w:sz w:val="24"/>
          <w:szCs w:val="24"/>
        </w:rPr>
        <w:t>att.</w:t>
      </w:r>
      <w:r w:rsidR="005F129B" w:rsidRPr="001A2264">
        <w:rPr>
          <w:rFonts w:ascii="Times New Roman" w:hAnsi="Times New Roman"/>
          <w:sz w:val="24"/>
          <w:szCs w:val="24"/>
        </w:rPr>
        <w:t xml:space="preserve"> Patēriņa cenu izmaiņas 2008.-2014. gadā, %</w:t>
      </w:r>
    </w:p>
    <w:p w:rsidR="005F129B" w:rsidRPr="001A2264" w:rsidRDefault="005F129B" w:rsidP="005F129B">
      <w:pPr>
        <w:ind w:firstLine="720"/>
        <w:rPr>
          <w:szCs w:val="24"/>
        </w:rPr>
      </w:pPr>
      <w:r w:rsidRPr="001A2264">
        <w:rPr>
          <w:szCs w:val="24"/>
        </w:rPr>
        <w:t>Gada vidējās inflācijas prognozes 2011.gadam ir 3,5%, savukārt 2012.gadā inflācija stabilizēsies 2% līmenī un šāds mērens patēriņa cenu pieaugums saglabāsies arī vidējā termiņā.</w:t>
      </w:r>
    </w:p>
    <w:p w:rsidR="005F129B" w:rsidRPr="001A2264" w:rsidRDefault="005F129B" w:rsidP="005F129B">
      <w:pPr>
        <w:ind w:firstLine="720"/>
        <w:rPr>
          <w:szCs w:val="24"/>
        </w:rPr>
      </w:pPr>
      <w:r w:rsidRPr="001A2264">
        <w:rPr>
          <w:szCs w:val="24"/>
        </w:rPr>
        <w:t xml:space="preserve">2011.gada janvārī ir pārskatīts un aktualizēts patēriņa cenu indeksa grozs, kurā ir pieaudzis pirmās nepieciešamības preču īpatsvars. Īpatsvari palielinājās pārtikai, degvielai un enerģijai, kas vienlaicīgi ir tās preču un pakalpojumu grupas, kuru cenas pasaules tirgū ir ar augšupvērstu tendenci.  </w:t>
      </w:r>
    </w:p>
    <w:p w:rsidR="005F129B" w:rsidRPr="001A2264" w:rsidRDefault="005F129B" w:rsidP="005F129B">
      <w:pPr>
        <w:ind w:firstLine="720"/>
        <w:rPr>
          <w:szCs w:val="24"/>
        </w:rPr>
      </w:pPr>
      <w:bookmarkStart w:id="12" w:name="_Toc251917331"/>
      <w:r w:rsidRPr="001A2264">
        <w:rPr>
          <w:szCs w:val="24"/>
        </w:rPr>
        <w:lastRenderedPageBreak/>
        <w:t xml:space="preserve">Vidējā termiņā nodarbināto skaits turpinās palielināties un darba meklētāju īpatsvars saruks. Tomēr šīs izmaiņas nebūs straujas, un atgriešanās pie 2007.-2008.gadā uzrādītā nodarbinātības līmeņa vidējā termiņā nav sagaidāma. Iekšzemes kopprodukta pieaugumu tuvākajos gados nodrošinās galvenokārt produktivitātes un nostrādāto stundu skaita pieaugums, kamēr strādājošo skaits palielināsies lēnāk. Pēc straujā nodarbināto iedzīvotāju skaita krituma 2009. un 2010.gadā kopā vairāk nekā par 16%, paredzams, ka 2011.gadā nodarbināto skaits palielināsies par 1,5% un arī nākamajos gados sagaidāms nodarbinātības pieaugums par 1,3%-1,4% gadā. </w:t>
      </w:r>
    </w:p>
    <w:p w:rsidR="005F129B" w:rsidRDefault="005F129B" w:rsidP="005F129B">
      <w:pPr>
        <w:ind w:firstLine="720"/>
        <w:rPr>
          <w:szCs w:val="24"/>
        </w:rPr>
      </w:pPr>
      <w:r w:rsidRPr="001A2264">
        <w:rPr>
          <w:szCs w:val="24"/>
        </w:rPr>
        <w:t>Līdz ar nodarbinātības pakāpenisku paaugstināšanos bezdarba līmenis vidējā termiņā pazemināsies. To ietekmēs arī darbspējas vecuma iedzīvotāju skaita samazināšanās, kamēr ekonomiski aktīvo iedzīvotāju īpatsvars, kas pēdējos gados bija mazliet palielinājies, saglabāsies nemainīgs. Kopējam bezdarba līmenim samazinoties, saglabāsies salīdzinoši augsti strukturālā bezdarba rādītāji, kas vienlaikus ar pieaugošo iedzīvotāju emigrāciju perspektīvā var izraisīt kvalificēta darbaspēka trūkumu atsevišķās profesijās un nozarēs.</w:t>
      </w:r>
    </w:p>
    <w:p w:rsidR="00F52691" w:rsidRPr="001A2264" w:rsidRDefault="00F52691" w:rsidP="005F129B">
      <w:pPr>
        <w:ind w:firstLine="720"/>
        <w:rPr>
          <w:szCs w:val="24"/>
        </w:rPr>
      </w:pPr>
    </w:p>
    <w:p w:rsidR="005F129B" w:rsidRPr="001A2264" w:rsidRDefault="005F129B" w:rsidP="005F129B">
      <w:pPr>
        <w:ind w:left="567"/>
        <w:jc w:val="center"/>
        <w:rPr>
          <w:szCs w:val="24"/>
        </w:rPr>
      </w:pPr>
      <w:r w:rsidRPr="001A2264">
        <w:rPr>
          <w:noProof/>
          <w:szCs w:val="24"/>
          <w:lang w:eastAsia="lv-LV"/>
        </w:rPr>
        <w:drawing>
          <wp:inline distT="0" distB="0" distL="0" distR="0" wp14:anchorId="3749474B" wp14:editId="1140E28A">
            <wp:extent cx="4320000" cy="2419200"/>
            <wp:effectExtent l="19050" t="1905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157" t="12156" r="1" b="3004"/>
                    <a:stretch/>
                  </pic:blipFill>
                  <pic:spPr bwMode="auto">
                    <a:xfrm>
                      <a:off x="0" y="0"/>
                      <a:ext cx="4320000" cy="2419200"/>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3C27AE" w:rsidRDefault="003C27AE" w:rsidP="005F129B">
      <w:pPr>
        <w:pStyle w:val="Zpar"/>
        <w:spacing w:after="120"/>
        <w:ind w:left="0" w:right="-57" w:firstLine="0"/>
        <w:jc w:val="center"/>
        <w:rPr>
          <w:rFonts w:ascii="Times New Roman" w:hAnsi="Times New Roman"/>
          <w:sz w:val="24"/>
          <w:szCs w:val="24"/>
        </w:rPr>
      </w:pPr>
    </w:p>
    <w:p w:rsidR="005F129B" w:rsidRPr="001A2264" w:rsidRDefault="003C27AE" w:rsidP="003C27AE">
      <w:pPr>
        <w:pStyle w:val="Zpar"/>
        <w:spacing w:after="120"/>
        <w:ind w:left="0" w:right="-57" w:firstLine="0"/>
        <w:rPr>
          <w:rFonts w:ascii="Times New Roman" w:hAnsi="Times New Roman"/>
          <w:sz w:val="24"/>
          <w:szCs w:val="24"/>
        </w:rPr>
      </w:pPr>
      <w:r>
        <w:rPr>
          <w:rFonts w:ascii="Times New Roman" w:hAnsi="Times New Roman"/>
          <w:sz w:val="24"/>
          <w:szCs w:val="24"/>
        </w:rPr>
        <w:t>1.2</w:t>
      </w:r>
      <w:r w:rsidR="005F129B" w:rsidRPr="001A2264">
        <w:rPr>
          <w:rFonts w:ascii="Times New Roman" w:hAnsi="Times New Roman"/>
          <w:sz w:val="24"/>
          <w:szCs w:val="24"/>
        </w:rPr>
        <w:t xml:space="preserve"> </w:t>
      </w:r>
      <w:r w:rsidR="005F129B" w:rsidRPr="001A2264">
        <w:rPr>
          <w:rFonts w:ascii="Times New Roman" w:hAnsi="Times New Roman"/>
          <w:noProof/>
          <w:sz w:val="24"/>
          <w:szCs w:val="24"/>
        </w:rPr>
        <w:t>att.</w:t>
      </w:r>
      <w:r w:rsidR="005F129B" w:rsidRPr="001A2264">
        <w:rPr>
          <w:rFonts w:ascii="Times New Roman" w:hAnsi="Times New Roman"/>
          <w:sz w:val="24"/>
          <w:szCs w:val="24"/>
        </w:rPr>
        <w:t xml:space="preserve"> Nodarbinātība un bezdarbs 2007.-2014.gadā</w:t>
      </w:r>
    </w:p>
    <w:p w:rsidR="005F129B" w:rsidRPr="001A2264" w:rsidRDefault="005F129B" w:rsidP="005F129B">
      <w:pPr>
        <w:ind w:firstLine="720"/>
        <w:rPr>
          <w:szCs w:val="24"/>
        </w:rPr>
      </w:pPr>
      <w:bookmarkStart w:id="13" w:name="_Toc92091180"/>
      <w:bookmarkStart w:id="14" w:name="_Toc120504678"/>
      <w:bookmarkStart w:id="15" w:name="_Toc156371585"/>
      <w:bookmarkStart w:id="16" w:name="_Toc150832435"/>
      <w:bookmarkStart w:id="17" w:name="_Toc150833252"/>
      <w:bookmarkEnd w:id="6"/>
      <w:bookmarkEnd w:id="7"/>
      <w:bookmarkEnd w:id="8"/>
      <w:bookmarkEnd w:id="9"/>
      <w:bookmarkEnd w:id="10"/>
      <w:bookmarkEnd w:id="11"/>
      <w:bookmarkEnd w:id="12"/>
      <w:r w:rsidRPr="001A2264">
        <w:rPr>
          <w:szCs w:val="24"/>
        </w:rPr>
        <w:t>Vidējā termiņā eksports turpinās pieaug straujāk nekā IKP un būs ekonomikas izaugsmes pamatā, taču salīdzinājumā ar 2010.gadu pieauguma tempi būs mērenāki. To noteiks ierobežotās ražošanas jaudas un nepieciešamība pēc jaunām investīcijām. Investīciju un eksporta izejvielu nepieciešamība noteiks arī importa pieaugumu. Vidējā termiņā importa pieaugums pārsniegs eksporta pieauguma tempus un tirdzniecības bilance pasliktināsies. Latvijas tautsaimniecībā 2010.gadā bija ievērojama izaugsme rūpniecības nozarē, kas radīja papildu pieprasījumu pēc importa precēm, tai skaitā pēc investīciju precēm, enerģētikas resursiem un rūpniecības izejvielām. Savukārt, uzlabojoties ekonomiskajai aktivitātei un iekšējam patēriņam, gada otrajā pusē importa pieauguma tempi pastiprinājās un 2010. gadā kopumā imports pieauga par gandrīz ceturto daļu. Bezdarba saglabājoties augstā līmenī, vidējā termiņā nav sagaidāms straujš algu pieaugums. Saskaņā ar makroekonomiskās attīstības scenāriju 2011. gadā vidējā darba alga ekonomikā pieaugs par 1,7%, 2012. gadā par 2,0%, savukārt 2013. un 2014. gadā par attiecīgi 2,3% un 2,6%.</w:t>
      </w:r>
    </w:p>
    <w:p w:rsidR="005F129B" w:rsidRPr="001A2264" w:rsidRDefault="005F129B" w:rsidP="005F129B">
      <w:pPr>
        <w:ind w:firstLine="720"/>
        <w:rPr>
          <w:szCs w:val="24"/>
        </w:rPr>
      </w:pPr>
    </w:p>
    <w:p w:rsidR="00E904D7" w:rsidRPr="001A2264" w:rsidRDefault="00E904D7" w:rsidP="005F129B">
      <w:pPr>
        <w:ind w:firstLine="720"/>
        <w:rPr>
          <w:szCs w:val="24"/>
        </w:rPr>
      </w:pPr>
    </w:p>
    <w:p w:rsidR="005F129B" w:rsidRPr="001A2264" w:rsidRDefault="005F129B" w:rsidP="005F129B">
      <w:pPr>
        <w:pStyle w:val="H2"/>
        <w:rPr>
          <w:sz w:val="24"/>
          <w:szCs w:val="24"/>
        </w:rPr>
      </w:pPr>
      <w:bookmarkStart w:id="18" w:name="_Toc290024504"/>
      <w:bookmarkEnd w:id="13"/>
      <w:bookmarkEnd w:id="14"/>
      <w:bookmarkEnd w:id="15"/>
      <w:bookmarkEnd w:id="16"/>
      <w:bookmarkEnd w:id="17"/>
      <w:r w:rsidRPr="001A2264">
        <w:rPr>
          <w:sz w:val="24"/>
          <w:szCs w:val="24"/>
        </w:rPr>
        <w:t>Makroekonomiskā scenārija riski</w:t>
      </w:r>
      <w:bookmarkEnd w:id="18"/>
    </w:p>
    <w:p w:rsidR="00E904D7" w:rsidRPr="001A2264" w:rsidRDefault="00E904D7" w:rsidP="005F129B">
      <w:pPr>
        <w:pStyle w:val="H2"/>
        <w:rPr>
          <w:sz w:val="24"/>
          <w:szCs w:val="24"/>
        </w:rPr>
      </w:pPr>
    </w:p>
    <w:p w:rsidR="005F129B" w:rsidRPr="001A2264" w:rsidRDefault="005F129B" w:rsidP="005F129B">
      <w:pPr>
        <w:ind w:firstLine="720"/>
        <w:rPr>
          <w:szCs w:val="24"/>
        </w:rPr>
      </w:pPr>
      <w:r w:rsidRPr="00BD658F">
        <w:rPr>
          <w:b/>
          <w:szCs w:val="24"/>
        </w:rPr>
        <w:t>Makroekonomiskā scenārija izpildi 2011. – 2014.gadā lielā mērā ietekmēs ārējās vides turpmākā attīstība.</w:t>
      </w:r>
      <w:r w:rsidRPr="001A2264">
        <w:rPr>
          <w:szCs w:val="24"/>
        </w:rPr>
        <w:t xml:space="preserve"> Pasaules izaugsmi joprojām var apdraudēt iespējami satricinājumi </w:t>
      </w:r>
      <w:r w:rsidRPr="001A2264">
        <w:rPr>
          <w:szCs w:val="24"/>
        </w:rPr>
        <w:lastRenderedPageBreak/>
        <w:t>globālajā finanšu sistēmā, atsevišķu valstu finanšu ilgtspēja un parāda apkalpošanas izmaksas un izejvielu cenas pasaulē.</w:t>
      </w:r>
    </w:p>
    <w:p w:rsidR="005F129B" w:rsidRPr="00BD658F" w:rsidRDefault="005F129B" w:rsidP="005F129B">
      <w:pPr>
        <w:ind w:firstLine="720"/>
        <w:rPr>
          <w:b/>
          <w:szCs w:val="24"/>
        </w:rPr>
      </w:pPr>
      <w:r w:rsidRPr="00BD658F">
        <w:rPr>
          <w:b/>
          <w:szCs w:val="24"/>
        </w:rPr>
        <w:t>Papildus ārējās vides riskiem makroekonomiskā scenārija izpildi ietekmēs arī iekšējie faktori – uzņēmumu iespējas piesaistīt un īstenot investīciju projektus, lai palielinātu ražošanas jaudas, kreditēšanas attīstība, budžeta konsolidā</w:t>
      </w:r>
      <w:r w:rsidRPr="00BD658F">
        <w:rPr>
          <w:b/>
          <w:szCs w:val="24"/>
        </w:rPr>
        <w:softHyphen/>
        <w:t xml:space="preserve">cijas ietekme </w:t>
      </w:r>
      <w:proofErr w:type="spellStart"/>
      <w:r w:rsidRPr="00BD658F">
        <w:rPr>
          <w:b/>
          <w:szCs w:val="24"/>
        </w:rPr>
        <w:t>u.c</w:t>
      </w:r>
      <w:proofErr w:type="spellEnd"/>
      <w:r w:rsidRPr="00BD658F">
        <w:rPr>
          <w:b/>
          <w:szCs w:val="24"/>
        </w:rPr>
        <w:t xml:space="preserve">. faktori, kas tiešā veidā ietekmē investīciju riska vērtējumus, procentu likmes un konfidences rādītājus. </w:t>
      </w:r>
    </w:p>
    <w:p w:rsidR="005F129B" w:rsidRPr="00BD658F" w:rsidRDefault="005F129B" w:rsidP="005F129B">
      <w:pPr>
        <w:rPr>
          <w:b/>
          <w:szCs w:val="24"/>
        </w:rPr>
      </w:pPr>
      <w:r w:rsidRPr="001A2264">
        <w:rPr>
          <w:szCs w:val="24"/>
        </w:rPr>
        <w:t xml:space="preserve">Makroekonomiskos riskus, kas noteiks tautsaimniecības attīstību programmas periodā, var iedalīt negatīvajos un pozitīvajos. </w:t>
      </w:r>
      <w:r w:rsidRPr="00BD658F">
        <w:rPr>
          <w:b/>
          <w:szCs w:val="24"/>
        </w:rPr>
        <w:t>Makroekonomiskās attīstības scenārijs ir balstīts uz konservatīviem pieņēmumiem par ārējā un iekšējā pieprasījuma pieaugumu un ņem vērā gan iekšējos, gan ārējos riskus.</w:t>
      </w:r>
    </w:p>
    <w:p w:rsidR="005F129B" w:rsidRPr="001A2264" w:rsidRDefault="005F129B" w:rsidP="005F129B">
      <w:pPr>
        <w:ind w:firstLine="720"/>
        <w:rPr>
          <w:szCs w:val="24"/>
          <w:u w:val="single"/>
        </w:rPr>
      </w:pPr>
      <w:r w:rsidRPr="001A2264">
        <w:rPr>
          <w:szCs w:val="24"/>
          <w:u w:val="single"/>
        </w:rPr>
        <w:t>Negatīvie riski:</w:t>
      </w:r>
    </w:p>
    <w:p w:rsidR="005F129B" w:rsidRPr="001A2264" w:rsidRDefault="005F129B" w:rsidP="005F129B">
      <w:pPr>
        <w:numPr>
          <w:ilvl w:val="0"/>
          <w:numId w:val="22"/>
        </w:numPr>
        <w:spacing w:after="120"/>
        <w:rPr>
          <w:szCs w:val="24"/>
        </w:rPr>
      </w:pPr>
      <w:r w:rsidRPr="001A2264">
        <w:rPr>
          <w:szCs w:val="24"/>
        </w:rPr>
        <w:t xml:space="preserve">Joprojām saglabājas finanšu sistēmas stabilitātes riski Eiropā, kas varētu negatīvi ietekmēt reālo ekonomiku. Šos riskus pastiprina fiskālās ilgtspējas problēmas vairākās ES dalībvalstīs. </w:t>
      </w:r>
    </w:p>
    <w:p w:rsidR="005F129B" w:rsidRPr="001A2264" w:rsidRDefault="005F129B" w:rsidP="005F129B">
      <w:pPr>
        <w:numPr>
          <w:ilvl w:val="0"/>
          <w:numId w:val="22"/>
        </w:numPr>
        <w:spacing w:after="120"/>
        <w:rPr>
          <w:szCs w:val="24"/>
        </w:rPr>
      </w:pPr>
      <w:r w:rsidRPr="001A2264">
        <w:rPr>
          <w:szCs w:val="24"/>
        </w:rPr>
        <w:t xml:space="preserve">Turpmāks pasaules pārtikas un energoresursu, kā arī vietējo cenu pieaugums samazinātu iedzīvotāju rīcībā esošo ienākumu un negatīvi ietekmētu patēriņu. </w:t>
      </w:r>
    </w:p>
    <w:p w:rsidR="005F129B" w:rsidRPr="001A2264" w:rsidRDefault="005F129B" w:rsidP="005F129B">
      <w:pPr>
        <w:numPr>
          <w:ilvl w:val="0"/>
          <w:numId w:val="22"/>
        </w:numPr>
        <w:spacing w:after="120"/>
        <w:rPr>
          <w:szCs w:val="24"/>
        </w:rPr>
      </w:pPr>
      <w:r w:rsidRPr="001A2264">
        <w:rPr>
          <w:szCs w:val="24"/>
        </w:rPr>
        <w:t>Vairāku ES dalībvalstu īstenotie konsolidācijas pasākumi var negatīvi ietekmēt Latvijas eksporta attīstību.</w:t>
      </w:r>
    </w:p>
    <w:p w:rsidR="005F129B" w:rsidRPr="001A2264" w:rsidRDefault="005F129B" w:rsidP="005F129B">
      <w:pPr>
        <w:numPr>
          <w:ilvl w:val="0"/>
          <w:numId w:val="22"/>
        </w:numPr>
        <w:spacing w:after="120"/>
        <w:rPr>
          <w:szCs w:val="24"/>
        </w:rPr>
      </w:pPr>
      <w:r w:rsidRPr="001A2264">
        <w:rPr>
          <w:szCs w:val="24"/>
        </w:rPr>
        <w:t>Politiskās vai sociālās nestabilitātes riski var atstāt negatīvu iespaidu uz tautsaimniecību – gan ietekmējot investīciju vidi, gan kopējās mājsaimniecību, uzņēmēju un tirdzniecības partneru konfidences rādītājus.</w:t>
      </w:r>
    </w:p>
    <w:p w:rsidR="005F129B" w:rsidRPr="001A2264" w:rsidRDefault="005F129B" w:rsidP="005F129B">
      <w:pPr>
        <w:numPr>
          <w:ilvl w:val="0"/>
          <w:numId w:val="22"/>
        </w:numPr>
        <w:spacing w:after="120"/>
        <w:rPr>
          <w:szCs w:val="24"/>
        </w:rPr>
      </w:pPr>
      <w:r w:rsidRPr="001A2264">
        <w:rPr>
          <w:szCs w:val="24"/>
        </w:rPr>
        <w:t xml:space="preserve">Budžeta konsolidācijas negatīvie efekti var izrādīties stiprāki nekā gaidīts – tie var vēl vairāk ietekmēt tautsaimniecības kopējo aktivitātes līmeni, īpaši darba tirgu, nodokļu ieņēmumus, mājsaimniecību un uzņēmumu konfidences rādītājus. </w:t>
      </w:r>
    </w:p>
    <w:p w:rsidR="005F129B" w:rsidRPr="001A2264" w:rsidRDefault="005F129B" w:rsidP="005F129B">
      <w:pPr>
        <w:ind w:firstLine="720"/>
        <w:rPr>
          <w:szCs w:val="24"/>
          <w:u w:val="single"/>
        </w:rPr>
      </w:pPr>
      <w:r w:rsidRPr="001A2264">
        <w:rPr>
          <w:szCs w:val="24"/>
          <w:u w:val="single"/>
        </w:rPr>
        <w:t>Pozitīvie riski:</w:t>
      </w:r>
    </w:p>
    <w:p w:rsidR="005F129B" w:rsidRPr="001A2264" w:rsidRDefault="005F129B" w:rsidP="005F129B">
      <w:pPr>
        <w:numPr>
          <w:ilvl w:val="0"/>
          <w:numId w:val="23"/>
        </w:numPr>
        <w:spacing w:after="120"/>
        <w:rPr>
          <w:szCs w:val="24"/>
        </w:rPr>
      </w:pPr>
      <w:r w:rsidRPr="001A2264">
        <w:rPr>
          <w:szCs w:val="24"/>
        </w:rPr>
        <w:t xml:space="preserve">Svarīgākais pozitīvais risks saistāms ar straujāku investīciju pieaugumu, </w:t>
      </w:r>
      <w:proofErr w:type="spellStart"/>
      <w:r w:rsidRPr="001A2264">
        <w:rPr>
          <w:szCs w:val="24"/>
        </w:rPr>
        <w:t>t.sk</w:t>
      </w:r>
      <w:proofErr w:type="spellEnd"/>
      <w:r w:rsidRPr="001A2264">
        <w:rPr>
          <w:szCs w:val="24"/>
        </w:rPr>
        <w:t xml:space="preserve">. ārvalstu tiešo investīciju piesaisti, kas nodrošinātu straujāku pozitīvu izaugsmi vidējā termiņā. </w:t>
      </w:r>
    </w:p>
    <w:p w:rsidR="005F129B" w:rsidRPr="001A2264" w:rsidRDefault="005F129B" w:rsidP="005F129B">
      <w:pPr>
        <w:numPr>
          <w:ilvl w:val="0"/>
          <w:numId w:val="23"/>
        </w:numPr>
        <w:spacing w:after="120"/>
        <w:rPr>
          <w:szCs w:val="24"/>
        </w:rPr>
      </w:pPr>
      <w:r w:rsidRPr="001A2264">
        <w:rPr>
          <w:szCs w:val="24"/>
        </w:rPr>
        <w:t>Līdzīgi kā 2010.gadā, pozitīvāka, nekā šobrīd prognozēta, ārējās vides attīstība (it īpaši Latvijas lielākajās tirdzniecības partnervalstīs) dotu pozitīvu impulsu Latvijas eksporta tālākai izaugsmei.</w:t>
      </w:r>
    </w:p>
    <w:p w:rsidR="005F129B" w:rsidRPr="001A2264" w:rsidRDefault="005F129B" w:rsidP="005F129B">
      <w:pPr>
        <w:numPr>
          <w:ilvl w:val="0"/>
          <w:numId w:val="23"/>
        </w:numPr>
        <w:spacing w:after="120"/>
        <w:rPr>
          <w:szCs w:val="24"/>
        </w:rPr>
      </w:pPr>
      <w:r w:rsidRPr="001A2264">
        <w:rPr>
          <w:szCs w:val="24"/>
        </w:rPr>
        <w:t>2010.gadā eksporta pieauguma pozitīvā ietekme uz iekšējo pieprasījumu var izrādīties spēcīgāka, nekā tas šobrīd tiek prognozēts.</w:t>
      </w:r>
    </w:p>
    <w:p w:rsidR="005F129B" w:rsidRPr="001A2264" w:rsidRDefault="005F129B" w:rsidP="005F129B">
      <w:pPr>
        <w:numPr>
          <w:ilvl w:val="0"/>
          <w:numId w:val="23"/>
        </w:numPr>
        <w:spacing w:after="120"/>
        <w:rPr>
          <w:szCs w:val="24"/>
        </w:rPr>
      </w:pPr>
      <w:r w:rsidRPr="001A2264">
        <w:rPr>
          <w:szCs w:val="24"/>
        </w:rPr>
        <w:t>Kreditēšanas apjomu straujāks pieaugums joprojām saglabājas kā pozitīvais risks, kas uzņēmējiem ļautu veikt papildus investīcijas, lai palielinātu ražošanas jaudas. Tādā veidā tiktu pozitīvi ietekmēti eksporta un investīciju apjomi. Tāpat kreditēšana var pozitīvi ietekmēt privāto patēriņu.</w:t>
      </w:r>
    </w:p>
    <w:p w:rsidR="005F129B" w:rsidRPr="001A2264" w:rsidRDefault="005F129B" w:rsidP="005F129B">
      <w:pPr>
        <w:numPr>
          <w:ilvl w:val="0"/>
          <w:numId w:val="23"/>
        </w:numPr>
        <w:spacing w:after="120"/>
        <w:rPr>
          <w:szCs w:val="24"/>
        </w:rPr>
      </w:pPr>
      <w:r w:rsidRPr="001A2264">
        <w:rPr>
          <w:szCs w:val="24"/>
        </w:rPr>
        <w:t>Šobrīd eksporta pieauguma pamatā ir ne tikai pieprasījuma pieaugums tirdzniecības partnervalstīs, bet arī Latvijas eksporta daļas pieaugums šajās valstīs, ko nosaka uzlabota konkurētspēja. Turpinoties šādai tendencei, eksporta pieaugums varētu būt straujāks, nekā tas šobrīd tiek prognozēts.</w:t>
      </w:r>
    </w:p>
    <w:p w:rsidR="005F129B" w:rsidRPr="001A2264" w:rsidRDefault="005F129B" w:rsidP="005F129B">
      <w:pPr>
        <w:spacing w:after="120"/>
        <w:rPr>
          <w:szCs w:val="24"/>
        </w:rPr>
      </w:pPr>
    </w:p>
    <w:p w:rsidR="005118D3" w:rsidRDefault="005118D3">
      <w:pPr>
        <w:jc w:val="left"/>
        <w:rPr>
          <w:rFonts w:eastAsia="Calibri"/>
          <w:b/>
          <w:szCs w:val="24"/>
          <w:lang w:eastAsia="lv-LV"/>
        </w:rPr>
      </w:pPr>
      <w:r>
        <w:rPr>
          <w:b/>
        </w:rPr>
        <w:br w:type="page"/>
      </w:r>
    </w:p>
    <w:p w:rsidR="00654557" w:rsidRPr="001A2264" w:rsidRDefault="00654557" w:rsidP="005F129B">
      <w:pPr>
        <w:pStyle w:val="ListParagraph"/>
        <w:numPr>
          <w:ilvl w:val="0"/>
          <w:numId w:val="21"/>
        </w:numPr>
        <w:jc w:val="center"/>
        <w:rPr>
          <w:b/>
        </w:rPr>
      </w:pPr>
      <w:r w:rsidRPr="001A2264">
        <w:rPr>
          <w:b/>
        </w:rPr>
        <w:lastRenderedPageBreak/>
        <w:t>Analīze par 2011. gadā plānotajiem nodokļu ieņēmumiem un faktiski saņemtajiem, galvenie iemesli novirzēm un secinājumi.</w:t>
      </w:r>
    </w:p>
    <w:p w:rsidR="00654557" w:rsidRPr="001A2264" w:rsidRDefault="00654557" w:rsidP="00654557">
      <w:pPr>
        <w:ind w:firstLine="720"/>
        <w:rPr>
          <w:i/>
          <w:szCs w:val="24"/>
        </w:rPr>
      </w:pPr>
    </w:p>
    <w:p w:rsidR="005118D3" w:rsidRPr="00DE76AF" w:rsidRDefault="003C27AE" w:rsidP="005118D3">
      <w:pPr>
        <w:jc w:val="right"/>
        <w:rPr>
          <w:szCs w:val="24"/>
        </w:rPr>
      </w:pPr>
      <w:r w:rsidRPr="00DE76AF">
        <w:rPr>
          <w:szCs w:val="24"/>
        </w:rPr>
        <w:t>2</w:t>
      </w:r>
      <w:r w:rsidR="005118D3" w:rsidRPr="00DE76AF">
        <w:rPr>
          <w:szCs w:val="24"/>
        </w:rPr>
        <w:t>. tabula</w:t>
      </w:r>
    </w:p>
    <w:p w:rsidR="005118D3" w:rsidRDefault="005118D3" w:rsidP="005F129B">
      <w:pPr>
        <w:jc w:val="center"/>
        <w:rPr>
          <w:b/>
          <w:szCs w:val="24"/>
        </w:rPr>
      </w:pPr>
    </w:p>
    <w:p w:rsidR="005F129B" w:rsidRDefault="005F129B" w:rsidP="005F129B">
      <w:pPr>
        <w:jc w:val="center"/>
        <w:rPr>
          <w:b/>
          <w:szCs w:val="24"/>
        </w:rPr>
      </w:pPr>
      <w:r w:rsidRPr="001A2264">
        <w:rPr>
          <w:b/>
          <w:szCs w:val="24"/>
        </w:rPr>
        <w:t xml:space="preserve">Nodokļu ieņēmumi 2011. gadā, </w:t>
      </w:r>
      <w:proofErr w:type="spellStart"/>
      <w:r w:rsidRPr="001A2264">
        <w:rPr>
          <w:b/>
          <w:szCs w:val="24"/>
        </w:rPr>
        <w:t>milj</w:t>
      </w:r>
      <w:proofErr w:type="spellEnd"/>
      <w:r w:rsidRPr="001A2264">
        <w:rPr>
          <w:b/>
          <w:szCs w:val="24"/>
        </w:rPr>
        <w:t>. latu</w:t>
      </w:r>
    </w:p>
    <w:p w:rsidR="005118D3" w:rsidRPr="001A2264" w:rsidRDefault="005118D3" w:rsidP="005F129B">
      <w:pPr>
        <w:jc w:val="center"/>
        <w:rPr>
          <w:b/>
          <w:szCs w:val="24"/>
        </w:rPr>
      </w:pPr>
    </w:p>
    <w:tbl>
      <w:tblPr>
        <w:tblStyle w:val="TableGrid"/>
        <w:tblW w:w="8658" w:type="dxa"/>
        <w:tblInd w:w="108" w:type="dxa"/>
        <w:tblLook w:val="04A0" w:firstRow="1" w:lastRow="0" w:firstColumn="1" w:lastColumn="0" w:noHBand="0" w:noVBand="1"/>
      </w:tblPr>
      <w:tblGrid>
        <w:gridCol w:w="2985"/>
        <w:gridCol w:w="1493"/>
        <w:gridCol w:w="1344"/>
        <w:gridCol w:w="1343"/>
        <w:gridCol w:w="1493"/>
      </w:tblGrid>
      <w:tr w:rsidR="005F129B" w:rsidRPr="00400C6A" w:rsidTr="00BD658F">
        <w:trPr>
          <w:trHeight w:val="222"/>
        </w:trPr>
        <w:tc>
          <w:tcPr>
            <w:tcW w:w="2985" w:type="dxa"/>
            <w:vMerge w:val="restart"/>
            <w:vAlign w:val="center"/>
          </w:tcPr>
          <w:p w:rsidR="005F129B" w:rsidRPr="00400C6A" w:rsidRDefault="005F129B" w:rsidP="004E37DB">
            <w:pPr>
              <w:jc w:val="left"/>
              <w:rPr>
                <w:sz w:val="20"/>
              </w:rPr>
            </w:pPr>
            <w:r w:rsidRPr="00400C6A">
              <w:rPr>
                <w:sz w:val="20"/>
              </w:rPr>
              <w:t>Nosaukums</w:t>
            </w:r>
          </w:p>
        </w:tc>
        <w:tc>
          <w:tcPr>
            <w:tcW w:w="1493" w:type="dxa"/>
            <w:vMerge w:val="restart"/>
            <w:vAlign w:val="center"/>
          </w:tcPr>
          <w:p w:rsidR="005F129B" w:rsidRPr="00400C6A" w:rsidRDefault="005F129B" w:rsidP="004E37DB">
            <w:pPr>
              <w:jc w:val="left"/>
              <w:rPr>
                <w:sz w:val="20"/>
              </w:rPr>
            </w:pPr>
            <w:r w:rsidRPr="00400C6A">
              <w:rPr>
                <w:sz w:val="20"/>
              </w:rPr>
              <w:t xml:space="preserve">4 </w:t>
            </w:r>
            <w:proofErr w:type="spellStart"/>
            <w:r w:rsidRPr="00400C6A">
              <w:rPr>
                <w:sz w:val="20"/>
              </w:rPr>
              <w:t>mēn</w:t>
            </w:r>
            <w:proofErr w:type="spellEnd"/>
            <w:r w:rsidRPr="00400C6A">
              <w:rPr>
                <w:sz w:val="20"/>
              </w:rPr>
              <w:t>. plāns</w:t>
            </w:r>
          </w:p>
        </w:tc>
        <w:tc>
          <w:tcPr>
            <w:tcW w:w="1344" w:type="dxa"/>
            <w:vMerge w:val="restart"/>
            <w:vAlign w:val="center"/>
          </w:tcPr>
          <w:p w:rsidR="005F129B" w:rsidRPr="00400C6A" w:rsidRDefault="005F129B" w:rsidP="004E37DB">
            <w:pPr>
              <w:jc w:val="left"/>
              <w:rPr>
                <w:sz w:val="20"/>
              </w:rPr>
            </w:pPr>
            <w:r w:rsidRPr="00400C6A">
              <w:rPr>
                <w:sz w:val="20"/>
              </w:rPr>
              <w:t xml:space="preserve">4 </w:t>
            </w:r>
            <w:proofErr w:type="spellStart"/>
            <w:r w:rsidRPr="00400C6A">
              <w:rPr>
                <w:sz w:val="20"/>
              </w:rPr>
              <w:t>mēn</w:t>
            </w:r>
            <w:proofErr w:type="spellEnd"/>
            <w:r w:rsidRPr="00400C6A">
              <w:rPr>
                <w:sz w:val="20"/>
              </w:rPr>
              <w:t>. izpilde</w:t>
            </w:r>
          </w:p>
        </w:tc>
        <w:tc>
          <w:tcPr>
            <w:tcW w:w="2836" w:type="dxa"/>
            <w:gridSpan w:val="2"/>
            <w:vAlign w:val="center"/>
          </w:tcPr>
          <w:p w:rsidR="005F129B" w:rsidRPr="00400C6A" w:rsidRDefault="005F129B" w:rsidP="004E37DB">
            <w:pPr>
              <w:jc w:val="center"/>
              <w:rPr>
                <w:sz w:val="20"/>
              </w:rPr>
            </w:pPr>
            <w:r w:rsidRPr="00400C6A">
              <w:rPr>
                <w:sz w:val="20"/>
              </w:rPr>
              <w:t xml:space="preserve">4 </w:t>
            </w:r>
            <w:proofErr w:type="spellStart"/>
            <w:r w:rsidRPr="00400C6A">
              <w:rPr>
                <w:sz w:val="20"/>
              </w:rPr>
              <w:t>mēn</w:t>
            </w:r>
            <w:proofErr w:type="spellEnd"/>
            <w:r w:rsidRPr="00400C6A">
              <w:rPr>
                <w:sz w:val="20"/>
              </w:rPr>
              <w:t>. plāna izpilde</w:t>
            </w:r>
          </w:p>
        </w:tc>
      </w:tr>
      <w:tr w:rsidR="005F129B" w:rsidRPr="00400C6A" w:rsidTr="00BD658F">
        <w:trPr>
          <w:trHeight w:val="147"/>
        </w:trPr>
        <w:tc>
          <w:tcPr>
            <w:tcW w:w="2985" w:type="dxa"/>
            <w:vMerge/>
          </w:tcPr>
          <w:p w:rsidR="005F129B" w:rsidRPr="00400C6A" w:rsidRDefault="005F129B" w:rsidP="004E37DB">
            <w:pPr>
              <w:rPr>
                <w:sz w:val="20"/>
              </w:rPr>
            </w:pPr>
          </w:p>
        </w:tc>
        <w:tc>
          <w:tcPr>
            <w:tcW w:w="1493" w:type="dxa"/>
            <w:vMerge/>
            <w:vAlign w:val="center"/>
          </w:tcPr>
          <w:p w:rsidR="005F129B" w:rsidRPr="00400C6A" w:rsidRDefault="005F129B" w:rsidP="004E37DB">
            <w:pPr>
              <w:jc w:val="center"/>
              <w:rPr>
                <w:sz w:val="20"/>
              </w:rPr>
            </w:pPr>
          </w:p>
        </w:tc>
        <w:tc>
          <w:tcPr>
            <w:tcW w:w="1344" w:type="dxa"/>
            <w:vMerge/>
            <w:vAlign w:val="center"/>
          </w:tcPr>
          <w:p w:rsidR="005F129B" w:rsidRPr="00400C6A" w:rsidRDefault="005F129B" w:rsidP="004E37DB">
            <w:pPr>
              <w:jc w:val="center"/>
              <w:rPr>
                <w:sz w:val="20"/>
              </w:rPr>
            </w:pPr>
          </w:p>
        </w:tc>
        <w:tc>
          <w:tcPr>
            <w:tcW w:w="1343" w:type="dxa"/>
            <w:vAlign w:val="center"/>
          </w:tcPr>
          <w:p w:rsidR="005F129B" w:rsidRPr="00400C6A" w:rsidRDefault="005F129B" w:rsidP="004E37DB">
            <w:pPr>
              <w:jc w:val="center"/>
              <w:rPr>
                <w:sz w:val="20"/>
              </w:rPr>
            </w:pPr>
            <w:r w:rsidRPr="00400C6A">
              <w:rPr>
                <w:sz w:val="20"/>
              </w:rPr>
              <w:t>Starpība</w:t>
            </w:r>
          </w:p>
        </w:tc>
        <w:tc>
          <w:tcPr>
            <w:tcW w:w="1493" w:type="dxa"/>
            <w:vAlign w:val="center"/>
          </w:tcPr>
          <w:p w:rsidR="005F129B" w:rsidRPr="00400C6A" w:rsidRDefault="005F129B" w:rsidP="004E37DB">
            <w:pPr>
              <w:jc w:val="center"/>
              <w:rPr>
                <w:sz w:val="20"/>
              </w:rPr>
            </w:pPr>
            <w:r w:rsidRPr="00400C6A">
              <w:rPr>
                <w:sz w:val="20"/>
              </w:rPr>
              <w:t>%</w:t>
            </w:r>
          </w:p>
        </w:tc>
      </w:tr>
      <w:tr w:rsidR="005F129B" w:rsidRPr="00400C6A" w:rsidTr="00BD658F">
        <w:trPr>
          <w:trHeight w:val="460"/>
        </w:trPr>
        <w:tc>
          <w:tcPr>
            <w:tcW w:w="2985" w:type="dxa"/>
          </w:tcPr>
          <w:p w:rsidR="005F129B" w:rsidRPr="00400C6A" w:rsidRDefault="005F129B" w:rsidP="004E37DB">
            <w:pPr>
              <w:rPr>
                <w:sz w:val="20"/>
              </w:rPr>
            </w:pPr>
            <w:r w:rsidRPr="00400C6A">
              <w:rPr>
                <w:sz w:val="20"/>
              </w:rPr>
              <w:t>Sociālās apdrošināšanas iemaksas*</w:t>
            </w:r>
          </w:p>
        </w:tc>
        <w:tc>
          <w:tcPr>
            <w:tcW w:w="1493" w:type="dxa"/>
          </w:tcPr>
          <w:p w:rsidR="005F129B" w:rsidRPr="00400C6A" w:rsidRDefault="005F129B" w:rsidP="004E37DB">
            <w:pPr>
              <w:rPr>
                <w:sz w:val="20"/>
              </w:rPr>
            </w:pPr>
            <w:r w:rsidRPr="00400C6A">
              <w:rPr>
                <w:sz w:val="20"/>
              </w:rPr>
              <w:t>396,5</w:t>
            </w:r>
          </w:p>
        </w:tc>
        <w:tc>
          <w:tcPr>
            <w:tcW w:w="1344" w:type="dxa"/>
          </w:tcPr>
          <w:p w:rsidR="005F129B" w:rsidRPr="00400C6A" w:rsidRDefault="005F129B" w:rsidP="004E37DB">
            <w:pPr>
              <w:rPr>
                <w:sz w:val="20"/>
              </w:rPr>
            </w:pPr>
            <w:r w:rsidRPr="00400C6A">
              <w:rPr>
                <w:sz w:val="20"/>
              </w:rPr>
              <w:t>395,6</w:t>
            </w:r>
          </w:p>
        </w:tc>
        <w:tc>
          <w:tcPr>
            <w:tcW w:w="1343" w:type="dxa"/>
          </w:tcPr>
          <w:p w:rsidR="005F129B" w:rsidRPr="00400C6A" w:rsidRDefault="005F129B" w:rsidP="004E37DB">
            <w:pPr>
              <w:rPr>
                <w:sz w:val="20"/>
              </w:rPr>
            </w:pPr>
            <w:r w:rsidRPr="00400C6A">
              <w:rPr>
                <w:sz w:val="20"/>
              </w:rPr>
              <w:t>-0,8</w:t>
            </w:r>
          </w:p>
        </w:tc>
        <w:tc>
          <w:tcPr>
            <w:tcW w:w="1493" w:type="dxa"/>
          </w:tcPr>
          <w:p w:rsidR="005F129B" w:rsidRPr="00400C6A" w:rsidRDefault="005F129B" w:rsidP="004E37DB">
            <w:pPr>
              <w:rPr>
                <w:sz w:val="20"/>
              </w:rPr>
            </w:pPr>
            <w:r w:rsidRPr="00400C6A">
              <w:rPr>
                <w:sz w:val="20"/>
              </w:rPr>
              <w:t>99,8</w:t>
            </w:r>
          </w:p>
        </w:tc>
      </w:tr>
      <w:tr w:rsidR="005F129B" w:rsidRPr="00400C6A" w:rsidTr="00BD658F">
        <w:trPr>
          <w:trHeight w:val="222"/>
        </w:trPr>
        <w:tc>
          <w:tcPr>
            <w:tcW w:w="2985" w:type="dxa"/>
          </w:tcPr>
          <w:p w:rsidR="005F129B" w:rsidRPr="00400C6A" w:rsidRDefault="005F129B" w:rsidP="004E37DB">
            <w:pPr>
              <w:rPr>
                <w:sz w:val="20"/>
              </w:rPr>
            </w:pPr>
            <w:r w:rsidRPr="00400C6A">
              <w:rPr>
                <w:sz w:val="20"/>
              </w:rPr>
              <w:t>Iedzīvotāju ienākuma nodoklis</w:t>
            </w:r>
          </w:p>
        </w:tc>
        <w:tc>
          <w:tcPr>
            <w:tcW w:w="1493" w:type="dxa"/>
          </w:tcPr>
          <w:p w:rsidR="005F129B" w:rsidRPr="00400C6A" w:rsidRDefault="005F129B" w:rsidP="004E37DB">
            <w:pPr>
              <w:rPr>
                <w:sz w:val="20"/>
              </w:rPr>
            </w:pPr>
            <w:r w:rsidRPr="00400C6A">
              <w:rPr>
                <w:sz w:val="20"/>
              </w:rPr>
              <w:t>243,6</w:t>
            </w:r>
          </w:p>
        </w:tc>
        <w:tc>
          <w:tcPr>
            <w:tcW w:w="1344" w:type="dxa"/>
          </w:tcPr>
          <w:p w:rsidR="005F129B" w:rsidRPr="00400C6A" w:rsidRDefault="005F129B" w:rsidP="004E37DB">
            <w:pPr>
              <w:rPr>
                <w:sz w:val="20"/>
              </w:rPr>
            </w:pPr>
            <w:r w:rsidRPr="00400C6A">
              <w:rPr>
                <w:sz w:val="20"/>
              </w:rPr>
              <w:t>250,0</w:t>
            </w:r>
          </w:p>
        </w:tc>
        <w:tc>
          <w:tcPr>
            <w:tcW w:w="1343" w:type="dxa"/>
          </w:tcPr>
          <w:p w:rsidR="005F129B" w:rsidRPr="00400C6A" w:rsidRDefault="005F129B" w:rsidP="004E37DB">
            <w:pPr>
              <w:rPr>
                <w:sz w:val="20"/>
              </w:rPr>
            </w:pPr>
            <w:r w:rsidRPr="00400C6A">
              <w:rPr>
                <w:sz w:val="20"/>
              </w:rPr>
              <w:t>6,4</w:t>
            </w:r>
          </w:p>
        </w:tc>
        <w:tc>
          <w:tcPr>
            <w:tcW w:w="1493" w:type="dxa"/>
          </w:tcPr>
          <w:p w:rsidR="005F129B" w:rsidRPr="00400C6A" w:rsidRDefault="005F129B" w:rsidP="004E37DB">
            <w:pPr>
              <w:rPr>
                <w:sz w:val="20"/>
              </w:rPr>
            </w:pPr>
            <w:r w:rsidRPr="00400C6A">
              <w:rPr>
                <w:sz w:val="20"/>
              </w:rPr>
              <w:t>102,6</w:t>
            </w:r>
          </w:p>
        </w:tc>
      </w:tr>
      <w:tr w:rsidR="005F129B" w:rsidRPr="00400C6A" w:rsidTr="00BD658F">
        <w:trPr>
          <w:trHeight w:val="238"/>
        </w:trPr>
        <w:tc>
          <w:tcPr>
            <w:tcW w:w="2985" w:type="dxa"/>
          </w:tcPr>
          <w:p w:rsidR="005F129B" w:rsidRPr="00400C6A" w:rsidRDefault="005F129B" w:rsidP="004E37DB">
            <w:pPr>
              <w:rPr>
                <w:sz w:val="20"/>
              </w:rPr>
            </w:pPr>
            <w:r w:rsidRPr="00400C6A">
              <w:rPr>
                <w:sz w:val="20"/>
              </w:rPr>
              <w:t>Pievienotās vērtības nodoklis</w:t>
            </w:r>
          </w:p>
        </w:tc>
        <w:tc>
          <w:tcPr>
            <w:tcW w:w="1493" w:type="dxa"/>
          </w:tcPr>
          <w:p w:rsidR="005F129B" w:rsidRPr="00400C6A" w:rsidRDefault="005F129B" w:rsidP="004E37DB">
            <w:pPr>
              <w:rPr>
                <w:sz w:val="20"/>
              </w:rPr>
            </w:pPr>
            <w:r w:rsidRPr="00400C6A">
              <w:rPr>
                <w:sz w:val="20"/>
              </w:rPr>
              <w:t>281,4</w:t>
            </w:r>
          </w:p>
        </w:tc>
        <w:tc>
          <w:tcPr>
            <w:tcW w:w="1344" w:type="dxa"/>
          </w:tcPr>
          <w:p w:rsidR="005F129B" w:rsidRPr="00400C6A" w:rsidRDefault="005F129B" w:rsidP="004E37DB">
            <w:pPr>
              <w:rPr>
                <w:sz w:val="20"/>
              </w:rPr>
            </w:pPr>
            <w:r w:rsidRPr="00400C6A">
              <w:rPr>
                <w:sz w:val="20"/>
              </w:rPr>
              <w:t>284,4</w:t>
            </w:r>
          </w:p>
        </w:tc>
        <w:tc>
          <w:tcPr>
            <w:tcW w:w="1343" w:type="dxa"/>
          </w:tcPr>
          <w:p w:rsidR="005F129B" w:rsidRPr="00400C6A" w:rsidRDefault="005F129B" w:rsidP="004E37DB">
            <w:pPr>
              <w:rPr>
                <w:sz w:val="20"/>
              </w:rPr>
            </w:pPr>
            <w:r w:rsidRPr="00400C6A">
              <w:rPr>
                <w:sz w:val="20"/>
              </w:rPr>
              <w:t>3,0</w:t>
            </w:r>
          </w:p>
        </w:tc>
        <w:tc>
          <w:tcPr>
            <w:tcW w:w="1493" w:type="dxa"/>
          </w:tcPr>
          <w:p w:rsidR="005F129B" w:rsidRPr="00400C6A" w:rsidRDefault="005F129B" w:rsidP="004E37DB">
            <w:pPr>
              <w:rPr>
                <w:sz w:val="20"/>
              </w:rPr>
            </w:pPr>
            <w:r w:rsidRPr="00400C6A">
              <w:rPr>
                <w:sz w:val="20"/>
              </w:rPr>
              <w:t>101,1</w:t>
            </w:r>
          </w:p>
        </w:tc>
      </w:tr>
      <w:tr w:rsidR="005F129B" w:rsidRPr="00400C6A" w:rsidTr="00BD658F">
        <w:trPr>
          <w:trHeight w:val="222"/>
        </w:trPr>
        <w:tc>
          <w:tcPr>
            <w:tcW w:w="2985" w:type="dxa"/>
          </w:tcPr>
          <w:p w:rsidR="005F129B" w:rsidRPr="00400C6A" w:rsidRDefault="005F129B" w:rsidP="004E37DB">
            <w:pPr>
              <w:rPr>
                <w:sz w:val="20"/>
              </w:rPr>
            </w:pPr>
            <w:r w:rsidRPr="00400C6A">
              <w:rPr>
                <w:sz w:val="20"/>
              </w:rPr>
              <w:t>Akcīzes nodoklis</w:t>
            </w:r>
          </w:p>
        </w:tc>
        <w:tc>
          <w:tcPr>
            <w:tcW w:w="1493" w:type="dxa"/>
          </w:tcPr>
          <w:p w:rsidR="005F129B" w:rsidRPr="00400C6A" w:rsidRDefault="005F129B" w:rsidP="004E37DB">
            <w:pPr>
              <w:rPr>
                <w:sz w:val="20"/>
              </w:rPr>
            </w:pPr>
            <w:r w:rsidRPr="00400C6A">
              <w:rPr>
                <w:sz w:val="20"/>
              </w:rPr>
              <w:t>142,3</w:t>
            </w:r>
          </w:p>
        </w:tc>
        <w:tc>
          <w:tcPr>
            <w:tcW w:w="1344" w:type="dxa"/>
          </w:tcPr>
          <w:p w:rsidR="005F129B" w:rsidRPr="00400C6A" w:rsidRDefault="005F129B" w:rsidP="004E37DB">
            <w:pPr>
              <w:rPr>
                <w:sz w:val="20"/>
              </w:rPr>
            </w:pPr>
            <w:r w:rsidRPr="00400C6A">
              <w:rPr>
                <w:sz w:val="20"/>
              </w:rPr>
              <w:t>141,7</w:t>
            </w:r>
          </w:p>
        </w:tc>
        <w:tc>
          <w:tcPr>
            <w:tcW w:w="1343" w:type="dxa"/>
          </w:tcPr>
          <w:p w:rsidR="005F129B" w:rsidRPr="00400C6A" w:rsidRDefault="005F129B" w:rsidP="004E37DB">
            <w:pPr>
              <w:rPr>
                <w:sz w:val="20"/>
              </w:rPr>
            </w:pPr>
            <w:r w:rsidRPr="00400C6A">
              <w:rPr>
                <w:sz w:val="20"/>
              </w:rPr>
              <w:t>-0,6</w:t>
            </w:r>
          </w:p>
        </w:tc>
        <w:tc>
          <w:tcPr>
            <w:tcW w:w="1493" w:type="dxa"/>
          </w:tcPr>
          <w:p w:rsidR="005F129B" w:rsidRPr="00400C6A" w:rsidRDefault="005F129B" w:rsidP="004E37DB">
            <w:pPr>
              <w:rPr>
                <w:sz w:val="20"/>
              </w:rPr>
            </w:pPr>
            <w:r w:rsidRPr="00400C6A">
              <w:rPr>
                <w:sz w:val="20"/>
              </w:rPr>
              <w:t>99,5</w:t>
            </w:r>
          </w:p>
        </w:tc>
      </w:tr>
      <w:tr w:rsidR="005F129B" w:rsidRPr="00400C6A" w:rsidTr="00BD658F">
        <w:trPr>
          <w:trHeight w:val="238"/>
        </w:trPr>
        <w:tc>
          <w:tcPr>
            <w:tcW w:w="2985" w:type="dxa"/>
          </w:tcPr>
          <w:p w:rsidR="005F129B" w:rsidRPr="00400C6A" w:rsidRDefault="005F129B" w:rsidP="004E37DB">
            <w:pPr>
              <w:rPr>
                <w:b/>
                <w:sz w:val="20"/>
              </w:rPr>
            </w:pPr>
            <w:r w:rsidRPr="00400C6A">
              <w:rPr>
                <w:b/>
                <w:sz w:val="20"/>
              </w:rPr>
              <w:t>Nodokļu ieņēmumi kopā</w:t>
            </w:r>
          </w:p>
        </w:tc>
        <w:tc>
          <w:tcPr>
            <w:tcW w:w="1493" w:type="dxa"/>
          </w:tcPr>
          <w:p w:rsidR="005F129B" w:rsidRPr="00400C6A" w:rsidRDefault="005F129B" w:rsidP="004E37DB">
            <w:pPr>
              <w:rPr>
                <w:sz w:val="20"/>
              </w:rPr>
            </w:pPr>
            <w:r w:rsidRPr="00400C6A">
              <w:rPr>
                <w:sz w:val="20"/>
              </w:rPr>
              <w:t>1184,9</w:t>
            </w:r>
          </w:p>
        </w:tc>
        <w:tc>
          <w:tcPr>
            <w:tcW w:w="1344" w:type="dxa"/>
          </w:tcPr>
          <w:p w:rsidR="005F129B" w:rsidRPr="00400C6A" w:rsidRDefault="005F129B" w:rsidP="004E37DB">
            <w:pPr>
              <w:rPr>
                <w:sz w:val="20"/>
              </w:rPr>
            </w:pPr>
            <w:r w:rsidRPr="00400C6A">
              <w:rPr>
                <w:sz w:val="20"/>
              </w:rPr>
              <w:t>1198,8</w:t>
            </w:r>
          </w:p>
        </w:tc>
        <w:tc>
          <w:tcPr>
            <w:tcW w:w="1343" w:type="dxa"/>
          </w:tcPr>
          <w:p w:rsidR="005F129B" w:rsidRPr="00400C6A" w:rsidRDefault="005F129B" w:rsidP="004E37DB">
            <w:pPr>
              <w:rPr>
                <w:sz w:val="20"/>
              </w:rPr>
            </w:pPr>
            <w:r w:rsidRPr="00400C6A">
              <w:rPr>
                <w:sz w:val="20"/>
              </w:rPr>
              <w:t>13,8</w:t>
            </w:r>
          </w:p>
        </w:tc>
        <w:tc>
          <w:tcPr>
            <w:tcW w:w="1493" w:type="dxa"/>
          </w:tcPr>
          <w:p w:rsidR="005F129B" w:rsidRPr="00400C6A" w:rsidRDefault="005F129B" w:rsidP="004E37DB">
            <w:pPr>
              <w:rPr>
                <w:sz w:val="20"/>
              </w:rPr>
            </w:pPr>
            <w:r w:rsidRPr="00400C6A">
              <w:rPr>
                <w:sz w:val="20"/>
              </w:rPr>
              <w:t>101,2</w:t>
            </w:r>
          </w:p>
        </w:tc>
      </w:tr>
    </w:tbl>
    <w:p w:rsidR="005F129B" w:rsidRPr="001A2264" w:rsidRDefault="005F129B" w:rsidP="005F129B">
      <w:pPr>
        <w:rPr>
          <w:szCs w:val="24"/>
        </w:rPr>
      </w:pPr>
      <w:r w:rsidRPr="001A2264">
        <w:rPr>
          <w:szCs w:val="24"/>
        </w:rPr>
        <w:t>*ieskaitot iemaksas valsts fondēto pensiju shēmā</w:t>
      </w:r>
    </w:p>
    <w:p w:rsidR="005F129B" w:rsidRPr="001A2264" w:rsidRDefault="005F129B" w:rsidP="005F129B">
      <w:pPr>
        <w:ind w:firstLine="720"/>
        <w:rPr>
          <w:szCs w:val="24"/>
          <w:lang w:eastAsia="lv-LV"/>
        </w:rPr>
      </w:pPr>
    </w:p>
    <w:p w:rsidR="005F129B" w:rsidRPr="001A2264" w:rsidRDefault="005F129B" w:rsidP="005F129B">
      <w:pPr>
        <w:ind w:firstLine="720"/>
        <w:rPr>
          <w:szCs w:val="24"/>
          <w:lang w:eastAsia="lv-LV"/>
        </w:rPr>
      </w:pPr>
      <w:r w:rsidRPr="001A2264">
        <w:rPr>
          <w:szCs w:val="24"/>
          <w:lang w:eastAsia="lv-LV"/>
        </w:rPr>
        <w:t>Kopumā nodokļu ieņēmumu (ieskaitot iemaksas valsts fondēto pensiju shēmā) plāna izpilde 2011.gada aprīlī un 4 mēnešos tiek vērtēta kā pozitīva.</w:t>
      </w:r>
    </w:p>
    <w:p w:rsidR="005F129B" w:rsidRPr="001A2264" w:rsidRDefault="005F129B" w:rsidP="005F129B">
      <w:pPr>
        <w:ind w:firstLine="720"/>
        <w:rPr>
          <w:szCs w:val="24"/>
          <w:lang w:eastAsia="lv-LV"/>
        </w:rPr>
      </w:pPr>
      <w:r w:rsidRPr="001A2264">
        <w:rPr>
          <w:szCs w:val="24"/>
          <w:lang w:eastAsia="lv-LV"/>
        </w:rPr>
        <w:t xml:space="preserve">2011.gada aprīlī kopējie nodokļu ieņēmumi bija 321,4 milj. latu, kas ir </w:t>
      </w:r>
      <w:r w:rsidR="00882C07">
        <w:rPr>
          <w:szCs w:val="24"/>
          <w:lang w:eastAsia="lv-LV"/>
        </w:rPr>
        <w:t xml:space="preserve">par </w:t>
      </w:r>
      <w:r w:rsidRPr="001A2264">
        <w:rPr>
          <w:szCs w:val="24"/>
          <w:lang w:eastAsia="lv-LV"/>
        </w:rPr>
        <w:t>14,5 milj. latu jeb 4,7% vairāk nekā plānots aprīlī. Galvenās nodokļu ieņēmumu plāna pārpildes bija iedzīvotāju ienākuma nodokļa ieņēmumiem (par 6,4 milj. latu jeb 10,6%), uzņēmumu ienākuma nodoklim (par 5,9 milj. latu jeb 57,5%), kā arī pievienotās vērtības nodokļa ieņēmumiem (par 3,0 milj. latu jeb 3,7%).</w:t>
      </w:r>
    </w:p>
    <w:p w:rsidR="005F129B" w:rsidRPr="001A2264" w:rsidRDefault="005F129B" w:rsidP="005F129B">
      <w:pPr>
        <w:ind w:firstLine="720"/>
        <w:rPr>
          <w:szCs w:val="24"/>
          <w:lang w:eastAsia="lv-LV"/>
        </w:rPr>
      </w:pPr>
      <w:r w:rsidRPr="001A2264">
        <w:rPr>
          <w:szCs w:val="24"/>
          <w:lang w:eastAsia="lv-LV"/>
        </w:rPr>
        <w:t>Kopējie nodokļu ieņēmumi 2011.gada 4 mēnešos iekasēti 1198,8 milj. latu</w:t>
      </w:r>
      <w:r w:rsidR="00882C07">
        <w:rPr>
          <w:szCs w:val="24"/>
          <w:lang w:eastAsia="lv-LV"/>
        </w:rPr>
        <w:t xml:space="preserve"> apmērā</w:t>
      </w:r>
      <w:r w:rsidRPr="001A2264">
        <w:rPr>
          <w:szCs w:val="24"/>
          <w:lang w:eastAsia="lv-LV"/>
        </w:rPr>
        <w:t xml:space="preserve">, kas </w:t>
      </w:r>
      <w:r w:rsidR="00882C07">
        <w:rPr>
          <w:szCs w:val="24"/>
          <w:lang w:eastAsia="lv-LV"/>
        </w:rPr>
        <w:t>sastāda</w:t>
      </w:r>
      <w:r w:rsidR="00882C07" w:rsidRPr="001A2264">
        <w:rPr>
          <w:szCs w:val="24"/>
          <w:lang w:eastAsia="lv-LV"/>
        </w:rPr>
        <w:t xml:space="preserve"> </w:t>
      </w:r>
      <w:r w:rsidRPr="001A2264">
        <w:rPr>
          <w:szCs w:val="24"/>
          <w:lang w:eastAsia="lv-LV"/>
        </w:rPr>
        <w:t xml:space="preserve">101,2 % no plānotā. </w:t>
      </w:r>
    </w:p>
    <w:p w:rsidR="005F129B" w:rsidRPr="001A2264" w:rsidRDefault="005F129B" w:rsidP="005F129B">
      <w:pPr>
        <w:ind w:firstLine="720"/>
        <w:rPr>
          <w:szCs w:val="24"/>
          <w:lang w:eastAsia="lv-LV"/>
        </w:rPr>
      </w:pPr>
      <w:r w:rsidRPr="001A2264">
        <w:rPr>
          <w:szCs w:val="24"/>
          <w:lang w:eastAsia="lv-LV"/>
        </w:rPr>
        <w:t xml:space="preserve">Valsts budžetā no pievienotās vērtības nodokļa šā gada pirmajos četros mēnešos saņemti 284,4 milj. latu (101,1% </w:t>
      </w:r>
      <w:r w:rsidR="00882C07">
        <w:rPr>
          <w:szCs w:val="24"/>
          <w:lang w:eastAsia="lv-LV"/>
        </w:rPr>
        <w:t>salīdzinājumā ar</w:t>
      </w:r>
      <w:r w:rsidR="00882C07" w:rsidRPr="001A2264">
        <w:rPr>
          <w:szCs w:val="24"/>
          <w:lang w:eastAsia="lv-LV"/>
        </w:rPr>
        <w:t xml:space="preserve"> </w:t>
      </w:r>
      <w:r w:rsidRPr="001A2264">
        <w:rPr>
          <w:szCs w:val="24"/>
          <w:lang w:eastAsia="lv-LV"/>
        </w:rPr>
        <w:t xml:space="preserve">plānu), no uzņēmumu ienākuma nodokļa – 50,4  </w:t>
      </w:r>
      <w:proofErr w:type="spellStart"/>
      <w:r w:rsidRPr="001A2264">
        <w:rPr>
          <w:szCs w:val="24"/>
          <w:lang w:eastAsia="lv-LV"/>
        </w:rPr>
        <w:t>milj. latu</w:t>
      </w:r>
      <w:proofErr w:type="spellEnd"/>
      <w:r w:rsidRPr="001A2264">
        <w:rPr>
          <w:szCs w:val="24"/>
          <w:lang w:eastAsia="lv-LV"/>
        </w:rPr>
        <w:t xml:space="preserve"> (113,2% </w:t>
      </w:r>
      <w:r w:rsidR="00882C07">
        <w:rPr>
          <w:szCs w:val="24"/>
          <w:lang w:eastAsia="lv-LV"/>
        </w:rPr>
        <w:t>salīdzinājumā ar</w:t>
      </w:r>
      <w:r w:rsidR="00882C07" w:rsidRPr="001A2264">
        <w:rPr>
          <w:szCs w:val="24"/>
          <w:lang w:eastAsia="lv-LV"/>
        </w:rPr>
        <w:t xml:space="preserve"> </w:t>
      </w:r>
      <w:r w:rsidRPr="001A2264">
        <w:rPr>
          <w:szCs w:val="24"/>
          <w:lang w:eastAsia="lv-LV"/>
        </w:rPr>
        <w:t xml:space="preserve">plānu), no akcīzes nodokļa – 141,7 milj. latu (99,5% </w:t>
      </w:r>
      <w:r w:rsidR="00882C07">
        <w:rPr>
          <w:szCs w:val="24"/>
          <w:lang w:eastAsia="lv-LV"/>
        </w:rPr>
        <w:t xml:space="preserve">no </w:t>
      </w:r>
      <w:r w:rsidR="00882C07" w:rsidRPr="001A2264">
        <w:rPr>
          <w:szCs w:val="24"/>
          <w:lang w:eastAsia="lv-LV"/>
        </w:rPr>
        <w:t xml:space="preserve"> plān</w:t>
      </w:r>
      <w:r w:rsidR="00882C07">
        <w:rPr>
          <w:szCs w:val="24"/>
          <w:lang w:eastAsia="lv-LV"/>
        </w:rPr>
        <w:t>otā</w:t>
      </w:r>
      <w:r w:rsidRPr="001A2264">
        <w:rPr>
          <w:szCs w:val="24"/>
          <w:lang w:eastAsia="lv-LV"/>
        </w:rPr>
        <w:t xml:space="preserve">). Sociālās apdrošināšanas iemaksas (ieskaitot iemaksas valsts fondēto pensiju shēmā) iekasētas 395,6 milj. latu apmērā, kas </w:t>
      </w:r>
      <w:r w:rsidR="00882C07">
        <w:rPr>
          <w:szCs w:val="24"/>
          <w:lang w:eastAsia="lv-LV"/>
        </w:rPr>
        <w:t>sastāda</w:t>
      </w:r>
      <w:r w:rsidR="00882C07" w:rsidRPr="001A2264">
        <w:rPr>
          <w:szCs w:val="24"/>
          <w:lang w:eastAsia="lv-LV"/>
        </w:rPr>
        <w:t xml:space="preserve"> </w:t>
      </w:r>
      <w:r w:rsidRPr="001A2264">
        <w:rPr>
          <w:szCs w:val="24"/>
          <w:lang w:eastAsia="lv-LV"/>
        </w:rPr>
        <w:t xml:space="preserve">99,8% </w:t>
      </w:r>
      <w:r w:rsidR="00882C07">
        <w:rPr>
          <w:szCs w:val="24"/>
          <w:lang w:eastAsia="lv-LV"/>
        </w:rPr>
        <w:t>no</w:t>
      </w:r>
      <w:r w:rsidR="00882C07" w:rsidRPr="001A2264">
        <w:rPr>
          <w:szCs w:val="24"/>
          <w:lang w:eastAsia="lv-LV"/>
        </w:rPr>
        <w:t xml:space="preserve"> </w:t>
      </w:r>
      <w:r w:rsidRPr="001A2264">
        <w:rPr>
          <w:szCs w:val="24"/>
          <w:lang w:eastAsia="lv-LV"/>
        </w:rPr>
        <w:t>plānot</w:t>
      </w:r>
      <w:r w:rsidR="00882C07">
        <w:rPr>
          <w:szCs w:val="24"/>
          <w:lang w:eastAsia="lv-LV"/>
        </w:rPr>
        <w:t>ā</w:t>
      </w:r>
      <w:r w:rsidRPr="001A2264">
        <w:rPr>
          <w:szCs w:val="24"/>
          <w:lang w:eastAsia="lv-LV"/>
        </w:rPr>
        <w:t xml:space="preserve">. </w:t>
      </w:r>
    </w:p>
    <w:p w:rsidR="005F129B" w:rsidRPr="001A2264" w:rsidRDefault="005F129B" w:rsidP="005F129B">
      <w:pPr>
        <w:spacing w:before="120"/>
        <w:ind w:firstLine="720"/>
        <w:rPr>
          <w:szCs w:val="24"/>
        </w:rPr>
      </w:pPr>
      <w:r w:rsidRPr="001A2264">
        <w:rPr>
          <w:b/>
          <w:szCs w:val="24"/>
        </w:rPr>
        <w:t>Pievienotās vērtības nodokļa</w:t>
      </w:r>
      <w:r w:rsidRPr="001A2264">
        <w:rPr>
          <w:szCs w:val="24"/>
        </w:rPr>
        <w:t xml:space="preserve"> </w:t>
      </w:r>
      <w:r w:rsidRPr="001A2264">
        <w:rPr>
          <w:b/>
          <w:szCs w:val="24"/>
        </w:rPr>
        <w:t xml:space="preserve">ieņēmumi </w:t>
      </w:r>
      <w:r w:rsidRPr="001A2264">
        <w:rPr>
          <w:szCs w:val="24"/>
        </w:rPr>
        <w:t xml:space="preserve">2011.gada aprīlī bija 85,0 milj. latu, kas par 3,0 milj. latu jeb 3,7% pārsniedza plānotos ieņēmumus. Pievienotās vērtības nodokļa atmaksas sasniedza 40,4 milj. latu (kas arī tika plānots). Salīdzinot ar 2010.gada aprīli pievienotās vērtības nodokļa ieņēmumi iekasēti par 12,4 milj. latu jeb 17,2% vairāk. Pēc operatīvās informācijas ieņēmumu pieaugumu nodrošināja pievienotās vērtības nodokļa kopējās darījumu vērtības un budžetā iemaksājamās summas par 2011.gada martu un 1. ceturksni palielinājums. Pēc pievienotās vērtības nodokļa deklarāciju datiem, </w:t>
      </w:r>
      <w:r w:rsidRPr="001A2264">
        <w:rPr>
          <w:bCs/>
          <w:szCs w:val="24"/>
        </w:rPr>
        <w:t>kopējā darījumu vērtība pārskata periodā, salīdzinot ar attiecīgo periodu pērn, palielinājusies par 13,6 procentiem</w:t>
      </w:r>
      <w:r w:rsidRPr="001A2264">
        <w:rPr>
          <w:szCs w:val="24"/>
        </w:rPr>
        <w:t>.</w:t>
      </w:r>
    </w:p>
    <w:p w:rsidR="005F129B" w:rsidRPr="001A2264" w:rsidRDefault="005F129B" w:rsidP="005F129B">
      <w:pPr>
        <w:spacing w:before="120"/>
        <w:ind w:firstLine="720"/>
        <w:rPr>
          <w:szCs w:val="24"/>
        </w:rPr>
      </w:pPr>
      <w:r w:rsidRPr="001A2264">
        <w:rPr>
          <w:szCs w:val="24"/>
        </w:rPr>
        <w:t xml:space="preserve">Savukārt 2011.gada 4 mēnešos pievienotās vērtības nodokļa ieņēmumi, salīdzinot ar 2010.gada attiecīgo periodu, ir palielinājušies par  15,8 milj. latu jeb 5,9 procentiem. Pievienotās vērtības nodokļa plāna izpilde </w:t>
      </w:r>
      <w:proofErr w:type="spellStart"/>
      <w:r w:rsidRPr="001A2264">
        <w:rPr>
          <w:szCs w:val="24"/>
        </w:rPr>
        <w:t>š.g</w:t>
      </w:r>
      <w:proofErr w:type="spellEnd"/>
      <w:r w:rsidRPr="001A2264">
        <w:rPr>
          <w:szCs w:val="24"/>
        </w:rPr>
        <w:t xml:space="preserve">. 4 mēnešos ir 101,1%, ko galvenokārt ietekmēja janvāra plāna pārpilde par 31,4 procentiem. </w:t>
      </w:r>
    </w:p>
    <w:p w:rsidR="005F129B" w:rsidRPr="001A2264" w:rsidRDefault="005F129B" w:rsidP="005F129B">
      <w:pPr>
        <w:spacing w:before="120"/>
        <w:ind w:firstLine="720"/>
        <w:rPr>
          <w:szCs w:val="24"/>
        </w:rPr>
      </w:pPr>
      <w:r w:rsidRPr="001A2264">
        <w:rPr>
          <w:szCs w:val="24"/>
        </w:rPr>
        <w:t xml:space="preserve">Ievērojamo pievienotās vērtības nodokļa ieņēmumu pieaugumu janvārī ietekmēja kopējās darījumu vērtības un budžetā iemaksājamās summas par 2010.gada decembri (viens no ekonomiski aktīvākajiem gada mēnešiem mazumtirdzniecības apgrozījuma ziņā), 2. pusgadu un 4. ceturksni. Janvāra plāna pārpildi ietekmēja ievērojamās pievienotās vērtības nodokļa bruto iemaksas, kas sasniedza 141,1 milj. latu (2010.gada vidējais rādītājs bija 107,1 milj. latu, ar pieaugošu tendenci gada otrajā pusē), kā arī salīdzinoši nelielās pievienotās vērtības nodokļa atmaksas 41,0 milj. latu (salīdzinoši 2010.gada novembrī un decembrī tika atmaksāti attiecīgi 54,0 milj. latu un 59,7 milj. latu). Savukārt, kā informēja Valsts ieņēmumu </w:t>
      </w:r>
      <w:r w:rsidRPr="001A2264">
        <w:rPr>
          <w:szCs w:val="24"/>
        </w:rPr>
        <w:lastRenderedPageBreak/>
        <w:t xml:space="preserve">dienests, daļa no janvārī paredzētajām pievienotās vērtības nodokļa pārmaksu atmaksām tika veiktas jau 2010. gada decembrī. </w:t>
      </w:r>
    </w:p>
    <w:p w:rsidR="005F129B" w:rsidRPr="001A2264" w:rsidRDefault="005F129B" w:rsidP="005F129B">
      <w:pPr>
        <w:spacing w:before="120"/>
        <w:ind w:firstLine="709"/>
        <w:rPr>
          <w:szCs w:val="24"/>
        </w:rPr>
      </w:pPr>
      <w:r w:rsidRPr="001A2264">
        <w:rPr>
          <w:szCs w:val="24"/>
        </w:rPr>
        <w:t xml:space="preserve">Saskaņā ar grozījumiem „Par valsts budžetu 2011.gadam” 2011. gadā pievienotās vērtības nodokļa ieņēmumi tiek prognozēti 972,1 milj. latu apmērā, </w:t>
      </w:r>
      <w:proofErr w:type="spellStart"/>
      <w:r w:rsidRPr="001A2264">
        <w:rPr>
          <w:szCs w:val="24"/>
        </w:rPr>
        <w:t>t.i</w:t>
      </w:r>
      <w:proofErr w:type="spellEnd"/>
      <w:r w:rsidRPr="001A2264">
        <w:rPr>
          <w:szCs w:val="24"/>
        </w:rPr>
        <w:t xml:space="preserve">., par 3,5% vairāk nekā plānots. Turpmākajos mēnešos pievienotās vērtības nodokļa atmaksas tiek prognozētas vidēji 40,0 milj. latu apmērā.  </w:t>
      </w:r>
    </w:p>
    <w:p w:rsidR="005F129B" w:rsidRPr="001A2264" w:rsidRDefault="005F129B" w:rsidP="005F129B">
      <w:pPr>
        <w:spacing w:before="120"/>
        <w:ind w:firstLine="709"/>
        <w:rPr>
          <w:szCs w:val="24"/>
        </w:rPr>
      </w:pPr>
      <w:r w:rsidRPr="001A2264">
        <w:rPr>
          <w:b/>
          <w:szCs w:val="24"/>
        </w:rPr>
        <w:t>Kopējie akcīzes nodokļa ieņēmumi</w:t>
      </w:r>
      <w:r w:rsidRPr="001A2264">
        <w:rPr>
          <w:szCs w:val="24"/>
        </w:rPr>
        <w:t xml:space="preserve"> 2011.gada četros mēnešos bija 141,7 milj. latu, kas salīdzinājumā ar 2010. gada četriem mēnešiem ir par 2,6 milj. latu jeb par 1,8% mazāk. Akcīzes nodokļa ieņēmumu 2011.gada četru mēnešu plāna izpilde bija 99,5 procenti.</w:t>
      </w:r>
    </w:p>
    <w:p w:rsidR="005F129B" w:rsidRPr="001A2264" w:rsidRDefault="005F129B" w:rsidP="005F129B">
      <w:pPr>
        <w:ind w:firstLine="709"/>
        <w:rPr>
          <w:szCs w:val="24"/>
        </w:rPr>
      </w:pPr>
      <w:r w:rsidRPr="001A2264">
        <w:rPr>
          <w:szCs w:val="24"/>
        </w:rPr>
        <w:tab/>
        <w:t xml:space="preserve">Analizējot akcīzes nodokļa ieņēmumus pa veidiem var secināt, ka 2011.gada četru mēnešu plāns nav izpildīts akcīzes nodokļa ieņēmumiem no naftas produktiem 1,6 milj. latu apmērā un tabakas izstrādājumiem 0,5 milj. latu apmērā. Pārējām akcīzes nodokļa grupām ir vērojama plāna izpilde vai neliela pārpilde, lielākā no alkoholiskiem dzērieniem 0,9 milj. latu apmērā un alus 0,4 milj. latu apmērā. </w:t>
      </w:r>
    </w:p>
    <w:p w:rsidR="005F129B" w:rsidRPr="001A2264" w:rsidRDefault="005F129B" w:rsidP="005F129B">
      <w:pPr>
        <w:ind w:firstLine="709"/>
        <w:rPr>
          <w:szCs w:val="24"/>
        </w:rPr>
      </w:pPr>
      <w:r w:rsidRPr="001A2264">
        <w:rPr>
          <w:szCs w:val="24"/>
        </w:rPr>
        <w:t>Akcīzes nodokļa ieņēmumu no naftas produktiem plāna neizpilde galvenokārt skaidrojama ar to, ka:</w:t>
      </w:r>
    </w:p>
    <w:p w:rsidR="005F129B" w:rsidRPr="001A2264" w:rsidRDefault="005F129B" w:rsidP="005F129B">
      <w:pPr>
        <w:tabs>
          <w:tab w:val="left" w:pos="1134"/>
        </w:tabs>
        <w:ind w:firstLine="709"/>
        <w:rPr>
          <w:szCs w:val="24"/>
        </w:rPr>
      </w:pPr>
      <w:r w:rsidRPr="001A2264">
        <w:rPr>
          <w:szCs w:val="24"/>
        </w:rPr>
        <w:t>1)</w:t>
      </w:r>
      <w:r w:rsidRPr="001A2264">
        <w:rPr>
          <w:szCs w:val="24"/>
        </w:rPr>
        <w:tab/>
        <w:t>patēriņam nodoto naftas produktu apjoms ir zemāks nekā tika prognozēts (šī gada pirmajos mēnešos, salīdzinot ar 2010.gada atbilstošo periodu, tas ir par 7% zemāks, savukārt benzīna patēriņš samazinājies par 10%);</w:t>
      </w:r>
    </w:p>
    <w:p w:rsidR="005F129B" w:rsidRPr="001A2264" w:rsidRDefault="005F129B" w:rsidP="005F129B">
      <w:pPr>
        <w:tabs>
          <w:tab w:val="left" w:pos="1134"/>
        </w:tabs>
        <w:ind w:firstLine="709"/>
        <w:rPr>
          <w:szCs w:val="24"/>
        </w:rPr>
      </w:pPr>
      <w:r w:rsidRPr="001A2264">
        <w:rPr>
          <w:szCs w:val="24"/>
        </w:rPr>
        <w:t>2)</w:t>
      </w:r>
      <w:r w:rsidRPr="001A2264">
        <w:rPr>
          <w:szCs w:val="24"/>
        </w:rPr>
        <w:tab/>
        <w:t>Valsts ieņēmumu dienests regulāri piešķir nodokļu maksātājiem nodokļu samaksas termiņu pagarinājumus (janvārī pieprasīti pagarinājumi par 1,4 milj. latu, februārī par 1,0 milj. latu un martā par 1,6 milj. latu).</w:t>
      </w:r>
    </w:p>
    <w:p w:rsidR="005F129B" w:rsidRPr="001A2264" w:rsidRDefault="005F129B" w:rsidP="005F129B">
      <w:pPr>
        <w:ind w:firstLine="709"/>
        <w:rPr>
          <w:szCs w:val="24"/>
        </w:rPr>
      </w:pPr>
      <w:r w:rsidRPr="001A2264">
        <w:rPr>
          <w:szCs w:val="24"/>
        </w:rPr>
        <w:t>Akcīzes nodokļa ieņēmumu no naftas produktiem izpilde 2011.gada četros mēnešos ir par 6,8 milj. latu jeb par 7,9% mazāka salīdzinājumā ar 2010.gada četriem mēnešiem.</w:t>
      </w:r>
    </w:p>
    <w:p w:rsidR="005F129B" w:rsidRPr="001A2264" w:rsidRDefault="005F129B" w:rsidP="005F129B">
      <w:pPr>
        <w:ind w:firstLine="709"/>
        <w:rPr>
          <w:szCs w:val="24"/>
        </w:rPr>
      </w:pPr>
      <w:r w:rsidRPr="001A2264">
        <w:rPr>
          <w:szCs w:val="24"/>
        </w:rPr>
        <w:t>Savukārt akcīzes nodokļa ieņēmumu no tabakas izstrādājumiem plāna neizpilde galvenokārt skaidrojama ar to, ka likumā „Par pievienotās vērtības nodokli” tika noteikts pārejas periods, kas deva iespēju tirgotājiem pirmos mēnešus realizēt cigaretes ar veco (21%) pievienotās vērtības nodokļa likmi, kā rezultātā janvārī patēriņam nodotais cigarešu apjoms par 84% pārsniedza 2010. gada janvāra rādītāju. Tā kā tirgus tika piepildīts, februārī un martā samazinājās patēriņam nodoto cigarešu apjoms, kā rezultātā ieņēmumi martā un aprīlī samazinājās. Akcīzes nodokļa ieņēmumu no tabakas izstrādājumiem izpilde 2011. gada četros mēnešos ir par 3,1 milj. latu jeb par 12,0% vairāk salīdzinājumā ar 2010. gada četriem mēnešiem, kas skaidrojams ar to, ka patēriņam nodotais cigarešu apjoms šī gada pirmajā ceturksnī ir par 18% lielāks nekā iepriekšējā gadā.</w:t>
      </w:r>
    </w:p>
    <w:p w:rsidR="005F129B" w:rsidRPr="001A2264" w:rsidRDefault="005F129B" w:rsidP="005F129B">
      <w:pPr>
        <w:spacing w:before="120"/>
        <w:ind w:firstLine="720"/>
        <w:rPr>
          <w:szCs w:val="24"/>
        </w:rPr>
      </w:pPr>
      <w:r w:rsidRPr="001A2264">
        <w:rPr>
          <w:b/>
          <w:szCs w:val="24"/>
        </w:rPr>
        <w:t>Iedzīvotāju ienākuma nodokļa ieņēmumi</w:t>
      </w:r>
      <w:r w:rsidRPr="001A2264">
        <w:rPr>
          <w:szCs w:val="24"/>
        </w:rPr>
        <w:t xml:space="preserve"> 2011.gada aprīlī bija 67,0 milj. latu, kas par 6,4 milj. latu jeb 10,6% pārsniedza plānotos ieņēmumus. Savukārt 2011.gada 4 mēnešos iedzīvotāju ienākuma nodokļa ieņēmumu plāna pārpilde sasniedza 2,6 procentus. Salīdzinājumā ar iepriekšējā gada 4 mēnešiem iedzīvotāju ienākuma nodokļa ieņēmumi samazinājušies par 1,2 milj. latu jeb 0,5 procentiem.</w:t>
      </w:r>
    </w:p>
    <w:p w:rsidR="005F129B" w:rsidRPr="001A2264" w:rsidRDefault="005F129B" w:rsidP="005F129B">
      <w:pPr>
        <w:spacing w:before="120"/>
        <w:ind w:firstLine="720"/>
        <w:rPr>
          <w:szCs w:val="24"/>
        </w:rPr>
      </w:pPr>
      <w:r w:rsidRPr="001A2264">
        <w:rPr>
          <w:szCs w:val="24"/>
        </w:rPr>
        <w:t xml:space="preserve">2011.gada aprīlī </w:t>
      </w:r>
      <w:r w:rsidRPr="001A2264">
        <w:rPr>
          <w:b/>
          <w:szCs w:val="24"/>
        </w:rPr>
        <w:t>sociālās apdrošināšanas iemaksu ieņēmumi</w:t>
      </w:r>
      <w:r w:rsidRPr="001A2264">
        <w:rPr>
          <w:szCs w:val="24"/>
        </w:rPr>
        <w:t xml:space="preserve"> bija 102,8 milj. latu, tajā skaitā valsts speciālajā budžetā 96,5 milj. latu un valsts fondēto pensiju shēmā 6,3 milj. latu. Aprīlī bija vērojama neliela plāna neizpilde </w:t>
      </w:r>
      <w:r w:rsidRPr="001A2264">
        <w:rPr>
          <w:b/>
          <w:szCs w:val="24"/>
        </w:rPr>
        <w:t>sociālās apdrošināšanas iemaksu</w:t>
      </w:r>
      <w:r w:rsidRPr="001A2264">
        <w:rPr>
          <w:szCs w:val="24"/>
        </w:rPr>
        <w:t xml:space="preserve"> ieņēmumos 0,2 milj. latu jeb 0,2% apmērā. Tāpat 4 mēnešos sociālās apdrošināšanas iemaksu ieņēmumi par 0,2% atpaliek no plānotajiem, tai skaitā sociālās apdrošināšanas budžetā ieskaitāmie ieņēmumi par 0,1%, taču valsts fondēto pensiju shēmā ieskaitāmie ieņēmumi pārsniedz plānotos par 0,7 procentiem. Salīdzinot ar 2010.gada atbilstošo periodu, sociālās apdrošināšanas iemaksu ieņēmumi 2011.gada 4 mēnešos pieauguši par 29,9 milj. latu jeb 8,2 procentiem.</w:t>
      </w:r>
    </w:p>
    <w:p w:rsidR="005F129B" w:rsidRPr="001A2264" w:rsidRDefault="005F129B" w:rsidP="005F129B">
      <w:pPr>
        <w:spacing w:before="120"/>
        <w:ind w:firstLine="720"/>
        <w:rPr>
          <w:szCs w:val="24"/>
        </w:rPr>
      </w:pPr>
      <w:r w:rsidRPr="001A2264">
        <w:rPr>
          <w:szCs w:val="24"/>
        </w:rPr>
        <w:t xml:space="preserve">Darba samaksas nodokļu ieņēmumu plāna pārpilde liecina, ka darba samaksas fonda pieaugums varētu būt lielāks nekā tika prognozēts, sagatavojot 2011.gada ieņēmumu </w:t>
      </w:r>
      <w:r w:rsidRPr="001A2264">
        <w:rPr>
          <w:szCs w:val="24"/>
        </w:rPr>
        <w:lastRenderedPageBreak/>
        <w:t xml:space="preserve">prognozes likumam „Par valsts budžetu 2011.gadā”. Sagatavojot prognozes likumam „Par valsts budžetu 2011.gadam” darba samaksas fonda pieaugums 2011. gadā, salīdzinot ar 2010.gadu, tika prognozēts ar 1,7% pieaugumu. Savukārt saskaņā ar atjaunoto makroekonomiskās attīstības scenāriju, pamatojoties uz kuru ir sagatavotas prognozes grozījumiem likumā „Par valsts budžetu 2011.gadam”, darba samaksas fonda pieaugums tiek prognozēts 3,3% apmērā. </w:t>
      </w:r>
    </w:p>
    <w:p w:rsidR="005F129B" w:rsidRPr="001A2264" w:rsidRDefault="005F129B" w:rsidP="005F129B">
      <w:pPr>
        <w:ind w:firstLine="709"/>
        <w:rPr>
          <w:szCs w:val="24"/>
        </w:rPr>
      </w:pPr>
      <w:r w:rsidRPr="001A2264">
        <w:rPr>
          <w:szCs w:val="24"/>
        </w:rPr>
        <w:t xml:space="preserve">Saskaņā ar Valsts ieņēmumu dienesta informāciju darba ņēmēju skaits 2011.gada februārī, salīdzinot ar 2010.gada atbilstošo periodu, ir pieaudzis par 0,6%, savukārt darba samaksa 2011.gada divos mēnešos ir pieaugusi par 4,5% salīdzinājumā ar iepriekšējā gadu atbilstošo periodu. </w:t>
      </w:r>
    </w:p>
    <w:p w:rsidR="005F129B" w:rsidRPr="001A2264" w:rsidRDefault="005F129B" w:rsidP="005F129B">
      <w:pPr>
        <w:ind w:firstLine="720"/>
        <w:rPr>
          <w:szCs w:val="24"/>
        </w:rPr>
      </w:pPr>
      <w:r w:rsidRPr="001A2264">
        <w:rPr>
          <w:szCs w:val="24"/>
        </w:rPr>
        <w:t xml:space="preserve">Analizējot iedzīvotāju ienākuma nodokļa izpildi, kā pozitīvs faktors jāmin arī tas, ka nodokļa plāna pārpildes rezultātā pašvaldībām 2011.gada </w:t>
      </w:r>
      <w:r w:rsidR="00882C07">
        <w:rPr>
          <w:szCs w:val="24"/>
        </w:rPr>
        <w:t>četros</w:t>
      </w:r>
      <w:r w:rsidR="00882C07" w:rsidRPr="001A2264">
        <w:rPr>
          <w:szCs w:val="24"/>
        </w:rPr>
        <w:t> </w:t>
      </w:r>
      <w:r w:rsidR="00882C07">
        <w:rPr>
          <w:szCs w:val="24"/>
        </w:rPr>
        <w:t xml:space="preserve"> </w:t>
      </w:r>
      <w:r w:rsidRPr="001A2264">
        <w:rPr>
          <w:szCs w:val="24"/>
        </w:rPr>
        <w:t xml:space="preserve">mēnešos nebija jākompensē iedzīvotāju ienākuma nodokļa plāna neizpilde. </w:t>
      </w:r>
    </w:p>
    <w:p w:rsidR="005F129B" w:rsidRPr="001A2264" w:rsidRDefault="005F129B" w:rsidP="005F129B">
      <w:pPr>
        <w:ind w:firstLine="720"/>
        <w:rPr>
          <w:szCs w:val="24"/>
        </w:rPr>
      </w:pPr>
      <w:r w:rsidRPr="001A2264">
        <w:rPr>
          <w:szCs w:val="24"/>
        </w:rPr>
        <w:t xml:space="preserve">Saskaņā ar grozījumiem „Par valsts budžetu 2011.gadam” 2011.gadā iedzīvotāju ienākuma nodokļa ieņēmumi tiek plānoti 739,4 milj. latu apmērā, </w:t>
      </w:r>
      <w:proofErr w:type="spellStart"/>
      <w:r w:rsidRPr="001A2264">
        <w:rPr>
          <w:szCs w:val="24"/>
        </w:rPr>
        <w:t>t.i</w:t>
      </w:r>
      <w:proofErr w:type="spellEnd"/>
      <w:r w:rsidRPr="001A2264">
        <w:rPr>
          <w:szCs w:val="24"/>
        </w:rPr>
        <w:t xml:space="preserve">., par 2,7% vairāk nekā sākotnēji plānots likumā „Par valsts budžetu 2011.gadam". Savukārt sociālās apdrošināšanas iemaksas 2011.gadā tiek plānotas 1 256,8 milj. latu apmērā, </w:t>
      </w:r>
      <w:proofErr w:type="spellStart"/>
      <w:r w:rsidRPr="001A2264">
        <w:rPr>
          <w:szCs w:val="24"/>
        </w:rPr>
        <w:t>t.i</w:t>
      </w:r>
      <w:proofErr w:type="spellEnd"/>
      <w:r w:rsidRPr="001A2264">
        <w:rPr>
          <w:szCs w:val="24"/>
        </w:rPr>
        <w:t>., par 1,2% vairāk nekā sākotnēji plānots.</w:t>
      </w:r>
    </w:p>
    <w:p w:rsidR="005F129B" w:rsidRPr="001A2264" w:rsidRDefault="005F129B" w:rsidP="005F129B">
      <w:pPr>
        <w:ind w:firstLine="720"/>
        <w:rPr>
          <w:szCs w:val="24"/>
        </w:rPr>
      </w:pPr>
      <w:r w:rsidRPr="001A2264">
        <w:rPr>
          <w:b/>
          <w:szCs w:val="24"/>
        </w:rPr>
        <w:t xml:space="preserve">Uzņēmumu ienākuma nodokļa ieņēmumi </w:t>
      </w:r>
      <w:r w:rsidRPr="001A2264">
        <w:rPr>
          <w:szCs w:val="24"/>
        </w:rPr>
        <w:t xml:space="preserve">2011.gada četros mēnešos bija 50,4 milj. latu, kas ir par 1,2 milj. latu jeb 2,3% mazāk nekā 2010.gada atbilstošajā periodā. Uzņēmuma ienākuma nodokļa ieņēmumi gan 2011.gada aprīlī, gan 4 mēnešos pārsniedza plānotos ieņēmumus, attiecīgi pārpildot plānu par 57,5% aprīlī un par 13,2% četros mēnešos. Aprīlī uzņēmuma ienākuma nodokļa ieņēmumi tika iekasēti 16,1 milj. latu apmērā, kas pārsniedza plānotos ieņēmumus par 5,9 milj. latu. </w:t>
      </w:r>
    </w:p>
    <w:p w:rsidR="005F129B" w:rsidRPr="001A2264" w:rsidRDefault="005F129B" w:rsidP="005F129B">
      <w:pPr>
        <w:spacing w:before="120"/>
        <w:rPr>
          <w:szCs w:val="24"/>
        </w:rPr>
      </w:pPr>
      <w:r w:rsidRPr="001A2264">
        <w:rPr>
          <w:szCs w:val="24"/>
        </w:rPr>
        <w:tab/>
        <w:t xml:space="preserve">Kopumā, sagatavojot priekšlikumus grozījumiem likumā „Par valsts budžetu 2011.gadam”,  kopējie nodokļu ieņēmumi 2011.gadā tiek prognozēti 3 777,9 </w:t>
      </w:r>
      <w:proofErr w:type="spellStart"/>
      <w:r w:rsidRPr="001A2264">
        <w:rPr>
          <w:szCs w:val="24"/>
        </w:rPr>
        <w:t>milj</w:t>
      </w:r>
      <w:proofErr w:type="spellEnd"/>
      <w:r w:rsidRPr="001A2264">
        <w:rPr>
          <w:szCs w:val="24"/>
        </w:rPr>
        <w:t xml:space="preserve">. latu apmērā, </w:t>
      </w:r>
      <w:proofErr w:type="spellStart"/>
      <w:r w:rsidRPr="001A2264">
        <w:rPr>
          <w:szCs w:val="24"/>
        </w:rPr>
        <w:t>t.i</w:t>
      </w:r>
      <w:proofErr w:type="spellEnd"/>
      <w:r w:rsidRPr="001A2264">
        <w:rPr>
          <w:szCs w:val="24"/>
        </w:rPr>
        <w:t xml:space="preserve">., par 97,1 </w:t>
      </w:r>
      <w:proofErr w:type="spellStart"/>
      <w:r w:rsidRPr="001A2264">
        <w:rPr>
          <w:szCs w:val="24"/>
        </w:rPr>
        <w:t>milj</w:t>
      </w:r>
      <w:proofErr w:type="spellEnd"/>
      <w:r w:rsidRPr="001A2264">
        <w:rPr>
          <w:szCs w:val="24"/>
        </w:rPr>
        <w:t xml:space="preserve">. latu jeb 2,6% vairāk nekā plānots.  </w:t>
      </w:r>
    </w:p>
    <w:p w:rsidR="005F129B" w:rsidRPr="001A2264" w:rsidRDefault="005F129B" w:rsidP="00654557">
      <w:pPr>
        <w:ind w:firstLine="720"/>
        <w:rPr>
          <w:i/>
          <w:szCs w:val="24"/>
        </w:rPr>
      </w:pPr>
    </w:p>
    <w:p w:rsidR="005F129B" w:rsidRPr="001A2264" w:rsidRDefault="005F129B" w:rsidP="00654557">
      <w:pPr>
        <w:ind w:firstLine="720"/>
        <w:rPr>
          <w:i/>
          <w:szCs w:val="24"/>
        </w:rPr>
      </w:pPr>
    </w:p>
    <w:p w:rsidR="00654557" w:rsidRPr="001A2264" w:rsidRDefault="00654557" w:rsidP="005F129B">
      <w:pPr>
        <w:pStyle w:val="ListParagraph"/>
        <w:numPr>
          <w:ilvl w:val="0"/>
          <w:numId w:val="21"/>
        </w:numPr>
        <w:jc w:val="center"/>
        <w:rPr>
          <w:b/>
        </w:rPr>
      </w:pPr>
      <w:r w:rsidRPr="001A2264">
        <w:rPr>
          <w:b/>
        </w:rPr>
        <w:t>Informācija par paredzamo budžeta ieņēmumu apjomu 2012.gadā</w:t>
      </w:r>
      <w:r w:rsidR="00D4252A">
        <w:rPr>
          <w:b/>
        </w:rPr>
        <w:t>,</w:t>
      </w:r>
      <w:r w:rsidR="00D4252A" w:rsidRPr="001A2264">
        <w:rPr>
          <w:b/>
        </w:rPr>
        <w:t xml:space="preserve"> </w:t>
      </w:r>
      <w:r w:rsidRPr="001A2264">
        <w:rPr>
          <w:b/>
        </w:rPr>
        <w:t>tai skaitā plānotajām izmaiņām nodokļu likumdošanā.</w:t>
      </w:r>
    </w:p>
    <w:p w:rsidR="00654557" w:rsidRPr="001A2264" w:rsidRDefault="00654557" w:rsidP="00654557">
      <w:pPr>
        <w:ind w:firstLine="720"/>
        <w:rPr>
          <w:i/>
          <w:szCs w:val="24"/>
        </w:rPr>
      </w:pPr>
    </w:p>
    <w:p w:rsidR="005118D3" w:rsidRDefault="005F129B" w:rsidP="002527BB">
      <w:pPr>
        <w:ind w:firstLine="720"/>
        <w:rPr>
          <w:szCs w:val="24"/>
        </w:rPr>
      </w:pPr>
      <w:r w:rsidRPr="001A2264">
        <w:rPr>
          <w:szCs w:val="24"/>
        </w:rPr>
        <w:t>2012.gadā kopējie nodokļu ieņēmumi tiek prognozēti 3931,9 milj. latu apmērā, kas ir par 4,1% vairāk nekā plānots iekasēt 2011.gadā saskaņā ar grozījumiem likumā „Par valsts budžetu 2011.gadam".</w:t>
      </w:r>
    </w:p>
    <w:p w:rsidR="005118D3" w:rsidRPr="001A2264" w:rsidRDefault="003C27AE" w:rsidP="005118D3">
      <w:pPr>
        <w:ind w:firstLine="720"/>
        <w:jc w:val="right"/>
        <w:rPr>
          <w:szCs w:val="24"/>
        </w:rPr>
      </w:pPr>
      <w:r>
        <w:rPr>
          <w:szCs w:val="24"/>
        </w:rPr>
        <w:t>3</w:t>
      </w:r>
      <w:r w:rsidR="005118D3">
        <w:rPr>
          <w:szCs w:val="24"/>
        </w:rPr>
        <w:t>. tabula</w:t>
      </w:r>
    </w:p>
    <w:p w:rsidR="005F129B" w:rsidRPr="001A2264" w:rsidRDefault="005F129B" w:rsidP="005F129B">
      <w:pPr>
        <w:jc w:val="center"/>
        <w:rPr>
          <w:b/>
          <w:szCs w:val="24"/>
        </w:rPr>
      </w:pPr>
    </w:p>
    <w:p w:rsidR="005F129B" w:rsidRPr="001A2264" w:rsidRDefault="005F129B" w:rsidP="005F129B">
      <w:pPr>
        <w:jc w:val="center"/>
        <w:rPr>
          <w:b/>
          <w:szCs w:val="24"/>
        </w:rPr>
      </w:pPr>
      <w:r w:rsidRPr="001A2264">
        <w:rPr>
          <w:b/>
          <w:szCs w:val="24"/>
        </w:rPr>
        <w:t xml:space="preserve">Nodokļu ieņēmumi 2011. un 2012.gadā, </w:t>
      </w:r>
      <w:proofErr w:type="spellStart"/>
      <w:r w:rsidRPr="001A2264">
        <w:rPr>
          <w:b/>
          <w:szCs w:val="24"/>
        </w:rPr>
        <w:t>milj</w:t>
      </w:r>
      <w:proofErr w:type="spellEnd"/>
      <w:r w:rsidRPr="001A2264">
        <w:rPr>
          <w:b/>
          <w:szCs w:val="24"/>
        </w:rPr>
        <w:t>. latu</w:t>
      </w:r>
    </w:p>
    <w:tbl>
      <w:tblPr>
        <w:tblW w:w="8804" w:type="dxa"/>
        <w:tblLook w:val="04A0" w:firstRow="1" w:lastRow="0" w:firstColumn="1" w:lastColumn="0" w:noHBand="0" w:noVBand="1"/>
      </w:tblPr>
      <w:tblGrid>
        <w:gridCol w:w="3417"/>
        <w:gridCol w:w="1418"/>
        <w:gridCol w:w="1134"/>
        <w:gridCol w:w="1559"/>
        <w:gridCol w:w="1276"/>
      </w:tblGrid>
      <w:tr w:rsidR="005F129B" w:rsidRPr="00400C6A" w:rsidTr="004E37DB">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29B" w:rsidRPr="00400C6A" w:rsidRDefault="005F129B" w:rsidP="004E37DB">
            <w:pPr>
              <w:jc w:val="center"/>
              <w:rPr>
                <w:b/>
                <w:bCs/>
                <w:color w:val="000000"/>
                <w:sz w:val="20"/>
                <w:lang w:eastAsia="lv-LV"/>
              </w:rPr>
            </w:pPr>
            <w:r w:rsidRPr="00400C6A">
              <w:rPr>
                <w:b/>
                <w:bCs/>
                <w:color w:val="000000"/>
                <w:sz w:val="20"/>
                <w:lang w:eastAsia="lv-LV"/>
              </w:rPr>
              <w:t>Ieņēmumu veids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F129B" w:rsidRPr="00400C6A" w:rsidRDefault="005F129B" w:rsidP="004E37DB">
            <w:pPr>
              <w:rPr>
                <w:b/>
                <w:bCs/>
                <w:color w:val="000000"/>
                <w:sz w:val="20"/>
                <w:lang w:eastAsia="lv-LV"/>
              </w:rPr>
            </w:pPr>
            <w:r w:rsidRPr="00400C6A">
              <w:rPr>
                <w:b/>
                <w:bCs/>
                <w:color w:val="000000"/>
                <w:sz w:val="20"/>
                <w:lang w:eastAsia="lv-LV"/>
              </w:rPr>
              <w:t>2011. gads</w:t>
            </w:r>
            <w:r w:rsidRPr="00400C6A">
              <w:rPr>
                <w:rStyle w:val="FootnoteReference"/>
                <w:rFonts w:ascii="Times New Roman" w:hAnsi="Times New Roman"/>
                <w:b/>
                <w:bCs/>
                <w:color w:val="000000"/>
                <w:lang w:eastAsia="lv-LV"/>
              </w:rPr>
              <w:footnoteReference w:id="1"/>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129B" w:rsidRPr="00400C6A" w:rsidRDefault="005F129B" w:rsidP="004E37DB">
            <w:pPr>
              <w:jc w:val="left"/>
              <w:rPr>
                <w:b/>
                <w:bCs/>
                <w:color w:val="000000"/>
                <w:sz w:val="20"/>
                <w:lang w:eastAsia="lv-LV"/>
              </w:rPr>
            </w:pPr>
            <w:r w:rsidRPr="00400C6A">
              <w:rPr>
                <w:b/>
                <w:bCs/>
                <w:color w:val="000000"/>
                <w:sz w:val="20"/>
                <w:lang w:eastAsia="lv-LV"/>
              </w:rPr>
              <w:t>2012. gads</w:t>
            </w:r>
            <w:r w:rsidRPr="00400C6A">
              <w:rPr>
                <w:rStyle w:val="FootnoteReference"/>
                <w:rFonts w:ascii="Times New Roman" w:hAnsi="Times New Roman"/>
                <w:b/>
                <w:bCs/>
                <w:color w:val="000000"/>
                <w:lang w:eastAsia="lv-LV"/>
              </w:rPr>
              <w:footnoteReference w:id="2"/>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F129B" w:rsidRPr="00400C6A" w:rsidRDefault="005F129B" w:rsidP="004E37DB">
            <w:pPr>
              <w:jc w:val="left"/>
              <w:rPr>
                <w:b/>
                <w:bCs/>
                <w:color w:val="000000"/>
                <w:sz w:val="20"/>
                <w:lang w:eastAsia="lv-LV"/>
              </w:rPr>
            </w:pPr>
            <w:r w:rsidRPr="00400C6A">
              <w:rPr>
                <w:b/>
                <w:bCs/>
                <w:color w:val="000000"/>
                <w:sz w:val="20"/>
                <w:lang w:eastAsia="lv-LV"/>
              </w:rPr>
              <w:t xml:space="preserve">2012 - 2011, </w:t>
            </w:r>
            <w:proofErr w:type="spellStart"/>
            <w:r w:rsidRPr="00400C6A">
              <w:rPr>
                <w:b/>
                <w:bCs/>
                <w:color w:val="000000"/>
                <w:sz w:val="20"/>
                <w:lang w:eastAsia="lv-LV"/>
              </w:rPr>
              <w:t>milj</w:t>
            </w:r>
            <w:proofErr w:type="spellEnd"/>
            <w:r w:rsidRPr="00400C6A">
              <w:rPr>
                <w:b/>
                <w:bCs/>
                <w:color w:val="000000"/>
                <w:sz w:val="20"/>
                <w:lang w:eastAsia="lv-LV"/>
              </w:rPr>
              <w:t>. latu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129B" w:rsidRPr="00400C6A" w:rsidRDefault="005F129B" w:rsidP="004E37DB">
            <w:pPr>
              <w:jc w:val="left"/>
              <w:rPr>
                <w:b/>
                <w:bCs/>
                <w:color w:val="000000"/>
                <w:sz w:val="20"/>
                <w:lang w:eastAsia="lv-LV"/>
              </w:rPr>
            </w:pPr>
            <w:r w:rsidRPr="00400C6A">
              <w:rPr>
                <w:b/>
                <w:bCs/>
                <w:color w:val="000000"/>
                <w:sz w:val="20"/>
                <w:lang w:eastAsia="lv-LV"/>
              </w:rPr>
              <w:t>2012 - 2011, %</w:t>
            </w:r>
          </w:p>
        </w:tc>
      </w:tr>
      <w:tr w:rsidR="005F129B" w:rsidRPr="00400C6A" w:rsidTr="004E37D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F129B" w:rsidRPr="00400C6A" w:rsidRDefault="005F129B" w:rsidP="004E37DB">
            <w:pPr>
              <w:jc w:val="left"/>
              <w:rPr>
                <w:color w:val="000000"/>
                <w:sz w:val="20"/>
                <w:lang w:eastAsia="lv-LV"/>
              </w:rPr>
            </w:pPr>
            <w:r w:rsidRPr="00400C6A">
              <w:rPr>
                <w:color w:val="000000"/>
                <w:sz w:val="20"/>
                <w:lang w:eastAsia="lv-LV"/>
              </w:rPr>
              <w:t>Pievienotās vērtības nodoklis</w:t>
            </w:r>
          </w:p>
        </w:tc>
        <w:tc>
          <w:tcPr>
            <w:tcW w:w="1418"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jc w:val="center"/>
              <w:rPr>
                <w:color w:val="000000"/>
                <w:sz w:val="20"/>
                <w:lang w:eastAsia="lv-LV"/>
              </w:rPr>
            </w:pPr>
            <w:r w:rsidRPr="00400C6A">
              <w:rPr>
                <w:color w:val="000000"/>
                <w:sz w:val="20"/>
                <w:lang w:eastAsia="lv-LV"/>
              </w:rPr>
              <w:t>972,1</w:t>
            </w:r>
          </w:p>
        </w:tc>
        <w:tc>
          <w:tcPr>
            <w:tcW w:w="1134"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1 017,8</w:t>
            </w:r>
          </w:p>
        </w:tc>
        <w:tc>
          <w:tcPr>
            <w:tcW w:w="1559"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45,7</w:t>
            </w:r>
          </w:p>
        </w:tc>
        <w:tc>
          <w:tcPr>
            <w:tcW w:w="1276"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4,7%</w:t>
            </w:r>
          </w:p>
        </w:tc>
      </w:tr>
      <w:tr w:rsidR="005F129B" w:rsidRPr="00400C6A" w:rsidTr="004E37D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F129B" w:rsidRPr="00400C6A" w:rsidRDefault="005F129B" w:rsidP="004E37DB">
            <w:pPr>
              <w:jc w:val="left"/>
              <w:rPr>
                <w:color w:val="000000"/>
                <w:sz w:val="20"/>
                <w:lang w:eastAsia="lv-LV"/>
              </w:rPr>
            </w:pPr>
            <w:r w:rsidRPr="00400C6A">
              <w:rPr>
                <w:color w:val="000000"/>
                <w:sz w:val="20"/>
                <w:lang w:eastAsia="lv-LV"/>
              </w:rPr>
              <w:t>Uzņēmumu ienākuma nodoklis</w:t>
            </w:r>
          </w:p>
        </w:tc>
        <w:tc>
          <w:tcPr>
            <w:tcW w:w="1418"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jc w:val="center"/>
              <w:rPr>
                <w:color w:val="000000"/>
                <w:sz w:val="20"/>
                <w:lang w:eastAsia="lv-LV"/>
              </w:rPr>
            </w:pPr>
            <w:r w:rsidRPr="00400C6A">
              <w:rPr>
                <w:color w:val="000000"/>
                <w:sz w:val="20"/>
                <w:lang w:eastAsia="lv-LV"/>
              </w:rPr>
              <w:t>121,3</w:t>
            </w:r>
          </w:p>
        </w:tc>
        <w:tc>
          <w:tcPr>
            <w:tcW w:w="1134"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126,2</w:t>
            </w:r>
          </w:p>
        </w:tc>
        <w:tc>
          <w:tcPr>
            <w:tcW w:w="1559"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4,9</w:t>
            </w:r>
          </w:p>
        </w:tc>
        <w:tc>
          <w:tcPr>
            <w:tcW w:w="1276"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4,0%</w:t>
            </w:r>
          </w:p>
        </w:tc>
      </w:tr>
      <w:tr w:rsidR="005F129B" w:rsidRPr="00400C6A" w:rsidTr="004E37D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F129B" w:rsidRPr="00400C6A" w:rsidRDefault="005F129B" w:rsidP="004E37DB">
            <w:pPr>
              <w:jc w:val="left"/>
              <w:rPr>
                <w:color w:val="000000"/>
                <w:sz w:val="20"/>
                <w:lang w:eastAsia="lv-LV"/>
              </w:rPr>
            </w:pPr>
            <w:r w:rsidRPr="00400C6A">
              <w:rPr>
                <w:color w:val="000000"/>
                <w:sz w:val="20"/>
                <w:lang w:eastAsia="lv-LV"/>
              </w:rPr>
              <w:t>Iedzīvotāju ienākuma nodoklis</w:t>
            </w:r>
          </w:p>
        </w:tc>
        <w:tc>
          <w:tcPr>
            <w:tcW w:w="1418"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jc w:val="center"/>
              <w:rPr>
                <w:color w:val="000000"/>
                <w:sz w:val="20"/>
                <w:lang w:eastAsia="lv-LV"/>
              </w:rPr>
            </w:pPr>
            <w:r w:rsidRPr="00400C6A">
              <w:rPr>
                <w:color w:val="000000"/>
                <w:sz w:val="20"/>
                <w:lang w:eastAsia="lv-LV"/>
              </w:rPr>
              <w:t>739,4</w:t>
            </w:r>
          </w:p>
        </w:tc>
        <w:tc>
          <w:tcPr>
            <w:tcW w:w="1134"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761,9</w:t>
            </w:r>
          </w:p>
        </w:tc>
        <w:tc>
          <w:tcPr>
            <w:tcW w:w="1559"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22,5</w:t>
            </w:r>
          </w:p>
        </w:tc>
        <w:tc>
          <w:tcPr>
            <w:tcW w:w="1276"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3,0%</w:t>
            </w:r>
          </w:p>
        </w:tc>
      </w:tr>
      <w:tr w:rsidR="005F129B" w:rsidRPr="00400C6A" w:rsidTr="004E37D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F129B" w:rsidRPr="00400C6A" w:rsidRDefault="005F129B" w:rsidP="004E37DB">
            <w:pPr>
              <w:jc w:val="left"/>
              <w:rPr>
                <w:color w:val="000000"/>
                <w:sz w:val="20"/>
                <w:lang w:eastAsia="lv-LV"/>
              </w:rPr>
            </w:pPr>
            <w:r w:rsidRPr="00400C6A">
              <w:rPr>
                <w:color w:val="000000"/>
                <w:sz w:val="20"/>
                <w:lang w:eastAsia="lv-LV"/>
              </w:rPr>
              <w:t>Sociālās apdrošināšanas iemaksas</w:t>
            </w:r>
            <w:r w:rsidRPr="00400C6A">
              <w:rPr>
                <w:rStyle w:val="FootnoteReference"/>
                <w:rFonts w:ascii="Times New Roman" w:hAnsi="Times New Roman"/>
                <w:color w:val="000000"/>
                <w:lang w:eastAsia="lv-LV"/>
              </w:rPr>
              <w:footnoteReference w:id="3"/>
            </w:r>
          </w:p>
        </w:tc>
        <w:tc>
          <w:tcPr>
            <w:tcW w:w="1418"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1 256,8</w:t>
            </w:r>
          </w:p>
        </w:tc>
        <w:tc>
          <w:tcPr>
            <w:tcW w:w="1134"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1 294,3</w:t>
            </w:r>
          </w:p>
        </w:tc>
        <w:tc>
          <w:tcPr>
            <w:tcW w:w="1559"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37,5</w:t>
            </w:r>
          </w:p>
        </w:tc>
        <w:tc>
          <w:tcPr>
            <w:tcW w:w="1276"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3,0%</w:t>
            </w:r>
          </w:p>
        </w:tc>
      </w:tr>
      <w:tr w:rsidR="005F129B" w:rsidRPr="00400C6A" w:rsidTr="004E37D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F129B" w:rsidRPr="00400C6A" w:rsidRDefault="005F129B" w:rsidP="004E37DB">
            <w:pPr>
              <w:jc w:val="left"/>
              <w:rPr>
                <w:color w:val="000000"/>
                <w:sz w:val="20"/>
                <w:lang w:eastAsia="lv-LV"/>
              </w:rPr>
            </w:pPr>
            <w:r w:rsidRPr="00400C6A">
              <w:rPr>
                <w:color w:val="000000"/>
                <w:sz w:val="20"/>
                <w:lang w:eastAsia="lv-LV"/>
              </w:rPr>
              <w:t>Muitas nodoklis</w:t>
            </w:r>
          </w:p>
        </w:tc>
        <w:tc>
          <w:tcPr>
            <w:tcW w:w="1418"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jc w:val="center"/>
              <w:rPr>
                <w:color w:val="000000"/>
                <w:sz w:val="20"/>
                <w:lang w:eastAsia="lv-LV"/>
              </w:rPr>
            </w:pPr>
            <w:r w:rsidRPr="00400C6A">
              <w:rPr>
                <w:color w:val="000000"/>
                <w:sz w:val="20"/>
                <w:lang w:eastAsia="lv-LV"/>
              </w:rPr>
              <w:t>19,3</w:t>
            </w:r>
          </w:p>
        </w:tc>
        <w:tc>
          <w:tcPr>
            <w:tcW w:w="1134"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20,6</w:t>
            </w:r>
          </w:p>
        </w:tc>
        <w:tc>
          <w:tcPr>
            <w:tcW w:w="1559"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1,3</w:t>
            </w:r>
          </w:p>
        </w:tc>
        <w:tc>
          <w:tcPr>
            <w:tcW w:w="1276"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6,5%</w:t>
            </w:r>
          </w:p>
        </w:tc>
      </w:tr>
      <w:tr w:rsidR="005F129B" w:rsidRPr="00400C6A" w:rsidTr="004E37D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F129B" w:rsidRPr="00400C6A" w:rsidRDefault="005F129B" w:rsidP="004E37DB">
            <w:pPr>
              <w:jc w:val="left"/>
              <w:rPr>
                <w:color w:val="000000"/>
                <w:sz w:val="20"/>
                <w:lang w:eastAsia="lv-LV"/>
              </w:rPr>
            </w:pPr>
            <w:r w:rsidRPr="00400C6A">
              <w:rPr>
                <w:color w:val="000000"/>
                <w:sz w:val="20"/>
                <w:lang w:eastAsia="lv-LV"/>
              </w:rPr>
              <w:t>Akcīzes nodoklis</w:t>
            </w:r>
          </w:p>
        </w:tc>
        <w:tc>
          <w:tcPr>
            <w:tcW w:w="1418"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jc w:val="center"/>
              <w:rPr>
                <w:color w:val="000000"/>
                <w:sz w:val="20"/>
                <w:lang w:eastAsia="lv-LV"/>
              </w:rPr>
            </w:pPr>
            <w:r w:rsidRPr="00400C6A">
              <w:rPr>
                <w:color w:val="000000"/>
                <w:sz w:val="20"/>
                <w:lang w:eastAsia="lv-LV"/>
              </w:rPr>
              <w:t>476,2</w:t>
            </w:r>
          </w:p>
        </w:tc>
        <w:tc>
          <w:tcPr>
            <w:tcW w:w="1134"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508,6</w:t>
            </w:r>
          </w:p>
        </w:tc>
        <w:tc>
          <w:tcPr>
            <w:tcW w:w="1559"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32,3</w:t>
            </w:r>
          </w:p>
        </w:tc>
        <w:tc>
          <w:tcPr>
            <w:tcW w:w="1276"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6,8%</w:t>
            </w:r>
          </w:p>
        </w:tc>
      </w:tr>
      <w:tr w:rsidR="005F129B" w:rsidRPr="00400C6A" w:rsidTr="004E37D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F129B" w:rsidRPr="00400C6A" w:rsidRDefault="005F129B" w:rsidP="004E37DB">
            <w:pPr>
              <w:jc w:val="left"/>
              <w:rPr>
                <w:color w:val="000000"/>
                <w:sz w:val="20"/>
                <w:lang w:eastAsia="lv-LV"/>
              </w:rPr>
            </w:pPr>
            <w:r w:rsidRPr="00400C6A">
              <w:rPr>
                <w:color w:val="000000"/>
                <w:sz w:val="20"/>
                <w:lang w:eastAsia="lv-LV"/>
              </w:rPr>
              <w:t>Vieglo auto un motociklu nodoklis</w:t>
            </w:r>
          </w:p>
        </w:tc>
        <w:tc>
          <w:tcPr>
            <w:tcW w:w="1418"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jc w:val="center"/>
              <w:rPr>
                <w:color w:val="000000"/>
                <w:sz w:val="20"/>
                <w:lang w:eastAsia="lv-LV"/>
              </w:rPr>
            </w:pPr>
            <w:r w:rsidRPr="00400C6A">
              <w:rPr>
                <w:color w:val="000000"/>
                <w:sz w:val="20"/>
                <w:lang w:eastAsia="lv-LV"/>
              </w:rPr>
              <w:t>4,0</w:t>
            </w:r>
          </w:p>
        </w:tc>
        <w:tc>
          <w:tcPr>
            <w:tcW w:w="1134"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4,2</w:t>
            </w:r>
          </w:p>
        </w:tc>
        <w:tc>
          <w:tcPr>
            <w:tcW w:w="1559"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0,2</w:t>
            </w:r>
          </w:p>
        </w:tc>
        <w:tc>
          <w:tcPr>
            <w:tcW w:w="1276"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4,8%</w:t>
            </w:r>
          </w:p>
        </w:tc>
      </w:tr>
      <w:tr w:rsidR="005F129B" w:rsidRPr="00400C6A" w:rsidTr="004E37D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F129B" w:rsidRPr="00400C6A" w:rsidRDefault="005F129B" w:rsidP="004E37DB">
            <w:pPr>
              <w:jc w:val="left"/>
              <w:rPr>
                <w:color w:val="000000"/>
                <w:sz w:val="20"/>
                <w:lang w:eastAsia="lv-LV"/>
              </w:rPr>
            </w:pPr>
            <w:r w:rsidRPr="00400C6A">
              <w:rPr>
                <w:color w:val="000000"/>
                <w:sz w:val="20"/>
                <w:lang w:eastAsia="lv-LV"/>
              </w:rPr>
              <w:lastRenderedPageBreak/>
              <w:t>Transportlīdzekļu ekspluatācijas nodoklis</w:t>
            </w:r>
          </w:p>
        </w:tc>
        <w:tc>
          <w:tcPr>
            <w:tcW w:w="1418"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jc w:val="center"/>
              <w:rPr>
                <w:color w:val="000000"/>
                <w:sz w:val="20"/>
                <w:lang w:eastAsia="lv-LV"/>
              </w:rPr>
            </w:pPr>
            <w:r w:rsidRPr="00400C6A">
              <w:rPr>
                <w:color w:val="000000"/>
                <w:sz w:val="20"/>
                <w:lang w:eastAsia="lv-LV"/>
              </w:rPr>
              <w:t>45,3</w:t>
            </w:r>
          </w:p>
        </w:tc>
        <w:tc>
          <w:tcPr>
            <w:tcW w:w="1134"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46,1</w:t>
            </w:r>
          </w:p>
        </w:tc>
        <w:tc>
          <w:tcPr>
            <w:tcW w:w="1559"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0,8</w:t>
            </w:r>
          </w:p>
        </w:tc>
        <w:tc>
          <w:tcPr>
            <w:tcW w:w="1276"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1,7%</w:t>
            </w:r>
          </w:p>
        </w:tc>
      </w:tr>
      <w:tr w:rsidR="005F129B" w:rsidRPr="00400C6A" w:rsidTr="004E37D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F129B" w:rsidRPr="00400C6A" w:rsidRDefault="005F129B" w:rsidP="004E37DB">
            <w:pPr>
              <w:jc w:val="left"/>
              <w:rPr>
                <w:color w:val="000000"/>
                <w:sz w:val="20"/>
                <w:lang w:eastAsia="lv-LV"/>
              </w:rPr>
            </w:pPr>
            <w:r w:rsidRPr="00400C6A">
              <w:rPr>
                <w:color w:val="000000"/>
                <w:sz w:val="20"/>
                <w:lang w:eastAsia="lv-LV"/>
              </w:rPr>
              <w:t>Uzņēmumu transportlīdzekļu nodoklis</w:t>
            </w:r>
          </w:p>
        </w:tc>
        <w:tc>
          <w:tcPr>
            <w:tcW w:w="1418"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jc w:val="center"/>
              <w:rPr>
                <w:color w:val="000000"/>
                <w:sz w:val="20"/>
                <w:lang w:eastAsia="lv-LV"/>
              </w:rPr>
            </w:pPr>
            <w:r w:rsidRPr="00400C6A">
              <w:rPr>
                <w:color w:val="000000"/>
                <w:sz w:val="20"/>
                <w:lang w:eastAsia="lv-LV"/>
              </w:rPr>
              <w:t>17,0</w:t>
            </w:r>
          </w:p>
        </w:tc>
        <w:tc>
          <w:tcPr>
            <w:tcW w:w="1134"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17,0</w:t>
            </w:r>
          </w:p>
        </w:tc>
        <w:tc>
          <w:tcPr>
            <w:tcW w:w="1559"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0,0</w:t>
            </w:r>
          </w:p>
        </w:tc>
        <w:tc>
          <w:tcPr>
            <w:tcW w:w="1276"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0,0%</w:t>
            </w:r>
          </w:p>
        </w:tc>
      </w:tr>
      <w:tr w:rsidR="005F129B" w:rsidRPr="00400C6A" w:rsidTr="004E37D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F129B" w:rsidRPr="00400C6A" w:rsidRDefault="005F129B" w:rsidP="004E37DB">
            <w:pPr>
              <w:jc w:val="left"/>
              <w:rPr>
                <w:color w:val="000000"/>
                <w:sz w:val="20"/>
                <w:lang w:eastAsia="lv-LV"/>
              </w:rPr>
            </w:pPr>
            <w:r w:rsidRPr="00400C6A">
              <w:rPr>
                <w:color w:val="000000"/>
                <w:sz w:val="20"/>
                <w:lang w:eastAsia="lv-LV"/>
              </w:rPr>
              <w:t>Elektroenerģijas nodoklis</w:t>
            </w:r>
          </w:p>
        </w:tc>
        <w:tc>
          <w:tcPr>
            <w:tcW w:w="1418"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jc w:val="center"/>
              <w:rPr>
                <w:color w:val="000000"/>
                <w:sz w:val="20"/>
                <w:lang w:eastAsia="lv-LV"/>
              </w:rPr>
            </w:pPr>
            <w:r w:rsidRPr="00400C6A">
              <w:rPr>
                <w:color w:val="000000"/>
                <w:sz w:val="20"/>
                <w:lang w:eastAsia="lv-LV"/>
              </w:rPr>
              <w:t>0,6</w:t>
            </w:r>
          </w:p>
        </w:tc>
        <w:tc>
          <w:tcPr>
            <w:tcW w:w="1134"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jc w:val="center"/>
              <w:rPr>
                <w:color w:val="000000"/>
                <w:sz w:val="20"/>
                <w:lang w:eastAsia="lv-LV"/>
              </w:rPr>
            </w:pPr>
            <w:r w:rsidRPr="00400C6A">
              <w:rPr>
                <w:color w:val="000000"/>
                <w:sz w:val="20"/>
                <w:lang w:eastAsia="lv-LV"/>
              </w:rPr>
              <w:t>0,7</w:t>
            </w:r>
          </w:p>
        </w:tc>
        <w:tc>
          <w:tcPr>
            <w:tcW w:w="1559"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0,0</w:t>
            </w:r>
          </w:p>
        </w:tc>
        <w:tc>
          <w:tcPr>
            <w:tcW w:w="1276"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1,6%</w:t>
            </w:r>
          </w:p>
        </w:tc>
      </w:tr>
      <w:tr w:rsidR="005F129B" w:rsidRPr="00400C6A" w:rsidTr="004E37D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F129B" w:rsidRPr="00400C6A" w:rsidRDefault="005F129B" w:rsidP="004E37DB">
            <w:pPr>
              <w:jc w:val="left"/>
              <w:rPr>
                <w:color w:val="000000"/>
                <w:sz w:val="20"/>
                <w:lang w:eastAsia="lv-LV"/>
              </w:rPr>
            </w:pPr>
            <w:r w:rsidRPr="00400C6A">
              <w:rPr>
                <w:color w:val="000000"/>
                <w:sz w:val="20"/>
                <w:lang w:eastAsia="lv-LV"/>
              </w:rPr>
              <w:t>Dabas resursu nodoklis</w:t>
            </w:r>
          </w:p>
        </w:tc>
        <w:tc>
          <w:tcPr>
            <w:tcW w:w="1418"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jc w:val="center"/>
              <w:rPr>
                <w:color w:val="000000"/>
                <w:sz w:val="20"/>
                <w:lang w:eastAsia="lv-LV"/>
              </w:rPr>
            </w:pPr>
            <w:r w:rsidRPr="00400C6A">
              <w:rPr>
                <w:color w:val="000000"/>
                <w:sz w:val="20"/>
                <w:lang w:eastAsia="lv-LV"/>
              </w:rPr>
              <w:t>10,3</w:t>
            </w:r>
          </w:p>
        </w:tc>
        <w:tc>
          <w:tcPr>
            <w:tcW w:w="1134"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13,7</w:t>
            </w:r>
          </w:p>
        </w:tc>
        <w:tc>
          <w:tcPr>
            <w:tcW w:w="1559"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3,3</w:t>
            </w:r>
          </w:p>
        </w:tc>
        <w:tc>
          <w:tcPr>
            <w:tcW w:w="1276"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32,0%</w:t>
            </w:r>
          </w:p>
        </w:tc>
      </w:tr>
      <w:tr w:rsidR="005F129B" w:rsidRPr="00400C6A" w:rsidTr="004E37D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F129B" w:rsidRPr="00400C6A" w:rsidRDefault="005F129B" w:rsidP="004E37DB">
            <w:pPr>
              <w:jc w:val="left"/>
              <w:rPr>
                <w:color w:val="000000"/>
                <w:sz w:val="20"/>
                <w:lang w:eastAsia="lv-LV"/>
              </w:rPr>
            </w:pPr>
            <w:r w:rsidRPr="00400C6A">
              <w:rPr>
                <w:color w:val="000000"/>
                <w:sz w:val="20"/>
                <w:lang w:eastAsia="lv-LV"/>
              </w:rPr>
              <w:t>Izložu un azartspēļu nodoklis</w:t>
            </w:r>
          </w:p>
        </w:tc>
        <w:tc>
          <w:tcPr>
            <w:tcW w:w="1418"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jc w:val="center"/>
              <w:rPr>
                <w:color w:val="000000"/>
                <w:sz w:val="20"/>
                <w:lang w:eastAsia="lv-LV"/>
              </w:rPr>
            </w:pPr>
            <w:r w:rsidRPr="00400C6A">
              <w:rPr>
                <w:color w:val="000000"/>
                <w:sz w:val="20"/>
                <w:lang w:eastAsia="lv-LV"/>
              </w:rPr>
              <w:t>16,0</w:t>
            </w:r>
          </w:p>
        </w:tc>
        <w:tc>
          <w:tcPr>
            <w:tcW w:w="1134"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18,4</w:t>
            </w:r>
          </w:p>
        </w:tc>
        <w:tc>
          <w:tcPr>
            <w:tcW w:w="1559"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2,4</w:t>
            </w:r>
          </w:p>
        </w:tc>
        <w:tc>
          <w:tcPr>
            <w:tcW w:w="1276" w:type="dxa"/>
            <w:tcBorders>
              <w:top w:val="nil"/>
              <w:left w:val="nil"/>
              <w:bottom w:val="single" w:sz="4" w:space="0" w:color="auto"/>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14,9%</w:t>
            </w:r>
          </w:p>
        </w:tc>
      </w:tr>
      <w:tr w:rsidR="005F129B" w:rsidRPr="00400C6A" w:rsidTr="004E37DB">
        <w:trPr>
          <w:trHeight w:val="315"/>
        </w:trPr>
        <w:tc>
          <w:tcPr>
            <w:tcW w:w="3417" w:type="dxa"/>
            <w:tcBorders>
              <w:top w:val="nil"/>
              <w:left w:val="single" w:sz="4" w:space="0" w:color="auto"/>
              <w:bottom w:val="nil"/>
              <w:right w:val="single" w:sz="4" w:space="0" w:color="auto"/>
            </w:tcBorders>
            <w:shd w:val="clear" w:color="auto" w:fill="auto"/>
            <w:noWrap/>
            <w:vAlign w:val="bottom"/>
            <w:hideMark/>
          </w:tcPr>
          <w:p w:rsidR="005F129B" w:rsidRPr="00400C6A" w:rsidRDefault="005F129B" w:rsidP="004E37DB">
            <w:pPr>
              <w:jc w:val="left"/>
              <w:rPr>
                <w:color w:val="000000"/>
                <w:sz w:val="20"/>
                <w:lang w:eastAsia="lv-LV"/>
              </w:rPr>
            </w:pPr>
            <w:r w:rsidRPr="00400C6A">
              <w:rPr>
                <w:color w:val="000000"/>
                <w:sz w:val="20"/>
                <w:lang w:eastAsia="lv-LV"/>
              </w:rPr>
              <w:t>Nekustamā īpašuma nodoklis</w:t>
            </w:r>
          </w:p>
        </w:tc>
        <w:tc>
          <w:tcPr>
            <w:tcW w:w="1418" w:type="dxa"/>
            <w:tcBorders>
              <w:top w:val="nil"/>
              <w:left w:val="nil"/>
              <w:bottom w:val="nil"/>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99,5</w:t>
            </w:r>
          </w:p>
        </w:tc>
        <w:tc>
          <w:tcPr>
            <w:tcW w:w="1134" w:type="dxa"/>
            <w:tcBorders>
              <w:top w:val="nil"/>
              <w:left w:val="nil"/>
              <w:bottom w:val="nil"/>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102,7</w:t>
            </w:r>
          </w:p>
        </w:tc>
        <w:tc>
          <w:tcPr>
            <w:tcW w:w="1559" w:type="dxa"/>
            <w:tcBorders>
              <w:top w:val="nil"/>
              <w:left w:val="nil"/>
              <w:bottom w:val="nil"/>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3,2</w:t>
            </w:r>
          </w:p>
        </w:tc>
        <w:tc>
          <w:tcPr>
            <w:tcW w:w="1276" w:type="dxa"/>
            <w:tcBorders>
              <w:top w:val="nil"/>
              <w:left w:val="nil"/>
              <w:bottom w:val="nil"/>
              <w:right w:val="single" w:sz="4" w:space="0" w:color="auto"/>
            </w:tcBorders>
            <w:shd w:val="clear" w:color="auto" w:fill="auto"/>
            <w:noWrap/>
            <w:vAlign w:val="bottom"/>
            <w:hideMark/>
          </w:tcPr>
          <w:p w:rsidR="005F129B" w:rsidRPr="00400C6A" w:rsidRDefault="005F129B" w:rsidP="004E37DB">
            <w:pPr>
              <w:rPr>
                <w:color w:val="000000"/>
                <w:sz w:val="20"/>
                <w:lang w:eastAsia="lv-LV"/>
              </w:rPr>
            </w:pPr>
            <w:r w:rsidRPr="00400C6A">
              <w:rPr>
                <w:color w:val="000000"/>
                <w:sz w:val="20"/>
                <w:lang w:eastAsia="lv-LV"/>
              </w:rPr>
              <w:t>3,2%</w:t>
            </w:r>
          </w:p>
        </w:tc>
      </w:tr>
      <w:tr w:rsidR="005F129B" w:rsidRPr="00400C6A" w:rsidTr="004E37DB">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29B" w:rsidRPr="00400C6A" w:rsidRDefault="005F129B" w:rsidP="004E37DB">
            <w:pPr>
              <w:jc w:val="left"/>
              <w:rPr>
                <w:b/>
                <w:bCs/>
                <w:color w:val="000000"/>
                <w:sz w:val="20"/>
                <w:lang w:eastAsia="lv-LV"/>
              </w:rPr>
            </w:pPr>
            <w:r w:rsidRPr="00400C6A">
              <w:rPr>
                <w:b/>
                <w:bCs/>
                <w:color w:val="000000"/>
                <w:sz w:val="20"/>
                <w:lang w:eastAsia="lv-LV"/>
              </w:rPr>
              <w:t>Nodokļu ieņēmumi kopā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129B" w:rsidRPr="00400C6A" w:rsidRDefault="005F129B" w:rsidP="004E37DB">
            <w:pPr>
              <w:rPr>
                <w:b/>
                <w:bCs/>
                <w:color w:val="000000"/>
                <w:sz w:val="20"/>
                <w:lang w:eastAsia="lv-LV"/>
              </w:rPr>
            </w:pPr>
            <w:r w:rsidRPr="00400C6A">
              <w:rPr>
                <w:b/>
                <w:bCs/>
                <w:color w:val="000000"/>
                <w:sz w:val="20"/>
                <w:lang w:eastAsia="lv-LV"/>
              </w:rPr>
              <w:t>3 777,9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129B" w:rsidRPr="00400C6A" w:rsidRDefault="005F129B" w:rsidP="004E37DB">
            <w:pPr>
              <w:rPr>
                <w:b/>
                <w:bCs/>
                <w:color w:val="000000"/>
                <w:sz w:val="20"/>
                <w:lang w:eastAsia="lv-LV"/>
              </w:rPr>
            </w:pPr>
            <w:r w:rsidRPr="00400C6A">
              <w:rPr>
                <w:b/>
                <w:bCs/>
                <w:color w:val="000000"/>
                <w:sz w:val="20"/>
                <w:lang w:eastAsia="lv-LV"/>
              </w:rPr>
              <w:t>3 931,9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129B" w:rsidRPr="00400C6A" w:rsidRDefault="005F129B" w:rsidP="004E37DB">
            <w:pPr>
              <w:rPr>
                <w:b/>
                <w:bCs/>
                <w:color w:val="000000"/>
                <w:sz w:val="20"/>
                <w:lang w:eastAsia="lv-LV"/>
              </w:rPr>
            </w:pPr>
            <w:r w:rsidRPr="00400C6A">
              <w:rPr>
                <w:b/>
                <w:bCs/>
                <w:color w:val="000000"/>
                <w:sz w:val="20"/>
                <w:lang w:eastAsia="lv-LV"/>
              </w:rPr>
              <w:t>154,0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F129B" w:rsidRPr="00400C6A" w:rsidRDefault="005F129B" w:rsidP="004E37DB">
            <w:pPr>
              <w:rPr>
                <w:b/>
                <w:bCs/>
                <w:color w:val="000000"/>
                <w:sz w:val="20"/>
                <w:lang w:eastAsia="lv-LV"/>
              </w:rPr>
            </w:pPr>
            <w:r w:rsidRPr="00400C6A">
              <w:rPr>
                <w:b/>
                <w:bCs/>
                <w:color w:val="000000"/>
                <w:sz w:val="20"/>
                <w:lang w:eastAsia="lv-LV"/>
              </w:rPr>
              <w:t>4,1%</w:t>
            </w:r>
          </w:p>
        </w:tc>
      </w:tr>
    </w:tbl>
    <w:p w:rsidR="002527BB" w:rsidRDefault="002527BB" w:rsidP="005F129B">
      <w:pPr>
        <w:spacing w:before="120"/>
        <w:ind w:firstLine="720"/>
        <w:rPr>
          <w:szCs w:val="24"/>
        </w:rPr>
      </w:pPr>
    </w:p>
    <w:p w:rsidR="005F129B" w:rsidRPr="001A2264" w:rsidRDefault="005F129B" w:rsidP="005F129B">
      <w:pPr>
        <w:spacing w:before="120"/>
        <w:ind w:firstLine="720"/>
        <w:rPr>
          <w:szCs w:val="24"/>
        </w:rPr>
      </w:pPr>
      <w:r w:rsidRPr="001A2264">
        <w:rPr>
          <w:szCs w:val="24"/>
        </w:rPr>
        <w:t>Sastādot bāzes prognozes 2012.gadam, tika ņemtas vērā makroekonomisko rādītāju - IKP, inflācijas, privātā patēriņa, darba samaksas un nodarbinātības prognozes, 2011. gada bāzes prognozes, kā arī 2012.gada bāzes prognozi ietekmējošie konsolidācijas pasākumi, kas noteikti grozījumos likumā „Par valsts budžetu 2011.gadam":</w:t>
      </w:r>
    </w:p>
    <w:p w:rsidR="005F129B" w:rsidRPr="001A2264" w:rsidRDefault="005F129B" w:rsidP="005F129B">
      <w:pPr>
        <w:pStyle w:val="ListParagraph"/>
        <w:numPr>
          <w:ilvl w:val="0"/>
          <w:numId w:val="24"/>
        </w:numPr>
        <w:spacing w:before="120" w:after="200" w:line="276" w:lineRule="auto"/>
        <w:contextualSpacing/>
        <w:jc w:val="both"/>
      </w:pPr>
      <w:r w:rsidRPr="001A2264">
        <w:t>akcīzes nodokļa likmes paaugstināšana benzīnam ar 2011.gada 1.jūniju no Ls 269 uz Ls 289 par 1000 litriem, lai akcīzes nodokļa apmēru tuvinātu akcīzes nodoklim Lietuvā un Igaunijā (fiskālā ietekme +7,1 milj. latu);</w:t>
      </w:r>
    </w:p>
    <w:p w:rsidR="005F129B" w:rsidRPr="001A2264" w:rsidRDefault="005F129B" w:rsidP="005F129B">
      <w:pPr>
        <w:pStyle w:val="ListParagraph"/>
        <w:numPr>
          <w:ilvl w:val="0"/>
          <w:numId w:val="24"/>
        </w:numPr>
        <w:spacing w:before="120" w:after="200" w:line="276" w:lineRule="auto"/>
        <w:contextualSpacing/>
        <w:jc w:val="both"/>
      </w:pPr>
      <w:r w:rsidRPr="001A2264">
        <w:t xml:space="preserve">ar 2011.gada 1.jūliju akcīzes nodokļa atvieglojuma samazināšana dīzeļdegvielai, kura tiek izmantota lauksaimniecības zemes apstrādei, nosakot  maksimālo litru apmēru, kas tiek atbrīvots no akcīzes nodokļa saimnieciskajā gadā, </w:t>
      </w:r>
      <w:proofErr w:type="spellStart"/>
      <w:r w:rsidRPr="001A2264">
        <w:t>t.i</w:t>
      </w:r>
      <w:proofErr w:type="spellEnd"/>
      <w:r w:rsidRPr="001A2264">
        <w:t>., 85 495 240 litri dīzeļdegvielas (fiskālā ietekme +4,2 milj. latu);</w:t>
      </w:r>
    </w:p>
    <w:p w:rsidR="005F129B" w:rsidRPr="001A2264" w:rsidRDefault="005F129B" w:rsidP="005F129B">
      <w:pPr>
        <w:pStyle w:val="ListParagraph"/>
        <w:numPr>
          <w:ilvl w:val="0"/>
          <w:numId w:val="24"/>
        </w:numPr>
        <w:spacing w:before="120" w:after="200" w:line="276" w:lineRule="auto"/>
        <w:contextualSpacing/>
        <w:jc w:val="both"/>
      </w:pPr>
      <w:r w:rsidRPr="001A2264">
        <w:t>likmes samazināšana no 15,6 uz 12 latiem par 1000 m</w:t>
      </w:r>
      <w:r w:rsidRPr="001A2264">
        <w:rPr>
          <w:vertAlign w:val="superscript"/>
        </w:rPr>
        <w:t>3</w:t>
      </w:r>
      <w:r w:rsidRPr="001A2264">
        <w:t xml:space="preserve"> dabasgāzei, kuru izmanto par kurināmo, un akcīzes nodokļa atvieglojumu dabasgāzei atcelšana, kas tika izmantota elektroenerģijas ražošanai ar 2011.gada 1.jūliju (fiskālā ietekme + 8,3 milj. latu);</w:t>
      </w:r>
    </w:p>
    <w:p w:rsidR="005F129B" w:rsidRPr="001A2264" w:rsidRDefault="005F129B" w:rsidP="005F129B">
      <w:pPr>
        <w:pStyle w:val="ListParagraph"/>
        <w:numPr>
          <w:ilvl w:val="0"/>
          <w:numId w:val="24"/>
        </w:numPr>
        <w:spacing w:before="120" w:after="200" w:line="276" w:lineRule="auto"/>
        <w:contextualSpacing/>
        <w:jc w:val="both"/>
      </w:pPr>
      <w:r w:rsidRPr="001A2264">
        <w:t>akcīzes nodokļa likmes stiprajiem alkoholiskajiem dzērieniem paaugstināšana no Ls 890 uz Ls 940 par 100 litriem absolūtā spirta no 2011. gada 1. jūnija (fiskālā ietekme +3,7 milj. latu);</w:t>
      </w:r>
    </w:p>
    <w:p w:rsidR="005F129B" w:rsidRPr="001A2264" w:rsidRDefault="005F129B" w:rsidP="005F129B">
      <w:pPr>
        <w:pStyle w:val="ListParagraph"/>
        <w:numPr>
          <w:ilvl w:val="0"/>
          <w:numId w:val="24"/>
        </w:numPr>
        <w:spacing w:before="120" w:after="200" w:line="276" w:lineRule="auto"/>
        <w:contextualSpacing/>
        <w:jc w:val="both"/>
      </w:pPr>
      <w:r w:rsidRPr="001A2264">
        <w:t>ar 2011.gada 1.jūliju akcīzes nodokļa likmes cigaretēm paaugstināšana no minimālā līmeņa 48 uz 52 latiem par 1000 cigaretēm, akcīzes nodokļa cigaretēm specifiskās likmes paaugstināšana no Ls 22,5 uz Ls 25 par 1000 cigaretēm, akcīzes nodokļa cigaretēm procentuālās likmes samazināšana no 34,5% uz 34% (fiskālā ietekme +7,1 milj. latu);</w:t>
      </w:r>
    </w:p>
    <w:p w:rsidR="005F129B" w:rsidRPr="001A2264" w:rsidRDefault="005F129B" w:rsidP="005F129B">
      <w:pPr>
        <w:pStyle w:val="ListParagraph"/>
        <w:numPr>
          <w:ilvl w:val="0"/>
          <w:numId w:val="24"/>
        </w:numPr>
        <w:spacing w:before="120" w:after="200" w:line="276" w:lineRule="auto"/>
        <w:contextualSpacing/>
        <w:jc w:val="both"/>
      </w:pPr>
      <w:r w:rsidRPr="001A2264">
        <w:t xml:space="preserve">akcīzes nodokļa likmes cigarellām paaugstināšanas līdz 50% no cigarešu minimālās akcīzes no Ls 24 uz Ls 26, ar 2011. gada 1. jūliju (fiskālā ietekme +49,2 tūkst. latu); </w:t>
      </w:r>
    </w:p>
    <w:p w:rsidR="005F129B" w:rsidRPr="001A2264" w:rsidRDefault="005F129B" w:rsidP="005F129B">
      <w:pPr>
        <w:pStyle w:val="ListParagraph"/>
        <w:numPr>
          <w:ilvl w:val="0"/>
          <w:numId w:val="24"/>
        </w:numPr>
        <w:spacing w:before="120" w:after="200" w:line="276" w:lineRule="auto"/>
        <w:contextualSpacing/>
        <w:jc w:val="both"/>
      </w:pPr>
      <w:r w:rsidRPr="001A2264">
        <w:t>akcīzes nodokļa likmes smēķējamai tabakai paaugstināšana no Ls 29 uz Ls 34 latiem par 1 kg ar 2011.gada 1.jūliju, (fiskālā ietekme +101,4 tūkst. latu);</w:t>
      </w:r>
    </w:p>
    <w:p w:rsidR="005F129B" w:rsidRPr="001A2264" w:rsidRDefault="005F129B" w:rsidP="005F129B">
      <w:pPr>
        <w:pStyle w:val="ListParagraph"/>
        <w:numPr>
          <w:ilvl w:val="0"/>
          <w:numId w:val="24"/>
        </w:numPr>
        <w:spacing w:before="120" w:after="200" w:line="276" w:lineRule="auto"/>
        <w:contextualSpacing/>
        <w:jc w:val="both"/>
      </w:pPr>
      <w:r w:rsidRPr="001A2264">
        <w:t>PVN samazinātās likmes atcelšana dabasgāzes piegādēm iedzīvotājiem no 12% uz 22% ar 2011.gada 1.jūliju (fiskālā ietekme +4,0 milj. latu);</w:t>
      </w:r>
    </w:p>
    <w:p w:rsidR="005F129B" w:rsidRPr="001A2264" w:rsidRDefault="005F129B" w:rsidP="005F129B">
      <w:pPr>
        <w:pStyle w:val="ListParagraph"/>
        <w:numPr>
          <w:ilvl w:val="0"/>
          <w:numId w:val="24"/>
        </w:numPr>
        <w:spacing w:before="120" w:after="200" w:line="276" w:lineRule="auto"/>
        <w:contextualSpacing/>
        <w:jc w:val="both"/>
      </w:pPr>
      <w:r w:rsidRPr="001A2264">
        <w:t>PVN samazinātās likmes medicīnisko ierīču piegādēm piemērošanas ierobežošana atbilstoši ES direktīvai ar 2011.gada 1.jūniju (fiskālā ietekme +3,0 milj. latu);</w:t>
      </w:r>
    </w:p>
    <w:p w:rsidR="005F129B" w:rsidRPr="001A2264" w:rsidRDefault="005F129B" w:rsidP="005F129B">
      <w:pPr>
        <w:pStyle w:val="ListParagraph"/>
        <w:numPr>
          <w:ilvl w:val="0"/>
          <w:numId w:val="24"/>
        </w:numPr>
        <w:spacing w:before="120" w:after="200" w:line="276" w:lineRule="auto"/>
        <w:contextualSpacing/>
        <w:jc w:val="both"/>
      </w:pPr>
      <w:r w:rsidRPr="001A2264">
        <w:t>PVN no akcīzes nodokļa likmju izmaiņām (fiskālā ietekme +5,8 milj. latu);</w:t>
      </w:r>
    </w:p>
    <w:p w:rsidR="005F129B" w:rsidRPr="001A2264" w:rsidRDefault="005F129B" w:rsidP="005F129B">
      <w:pPr>
        <w:pStyle w:val="ListParagraph"/>
        <w:numPr>
          <w:ilvl w:val="0"/>
          <w:numId w:val="24"/>
        </w:numPr>
        <w:spacing w:before="120" w:after="200" w:line="276" w:lineRule="auto"/>
        <w:contextualSpacing/>
        <w:jc w:val="both"/>
      </w:pPr>
      <w:r w:rsidRPr="001A2264">
        <w:t xml:space="preserve">ar 2011.gada 1.jūniju azartspēļu nodokļa likmes paaugstināšana no Ls 9 600 uz Ls 10 560 par ruletes (cilindriskā spēle) — par katru ruletes rotējošajai iekārtai pievienoto spēļu galdu, un kāršu un kauliņu spēles — par katru galdu gadā, kā arī azartspēļu nodokļa likmes paaugstināšana videospēlēm un mehāniskiem automātiem, </w:t>
      </w:r>
      <w:r w:rsidRPr="001A2264">
        <w:lastRenderedPageBreak/>
        <w:t>par katra automāta katru spēles vietu — Ls 1 680 uz Ls 1 920 gadā (fiskālā ietekme + 3,3 milj. latu).</w:t>
      </w:r>
    </w:p>
    <w:p w:rsidR="00F502F5" w:rsidRPr="00BD658F" w:rsidRDefault="00F502F5" w:rsidP="00BD658F">
      <w:pPr>
        <w:ind w:left="360"/>
        <w:rPr>
          <w:b/>
        </w:rPr>
      </w:pPr>
    </w:p>
    <w:p w:rsidR="00654557" w:rsidRDefault="00654557" w:rsidP="005F129B">
      <w:pPr>
        <w:pStyle w:val="ListParagraph"/>
        <w:numPr>
          <w:ilvl w:val="0"/>
          <w:numId w:val="21"/>
        </w:numPr>
        <w:jc w:val="center"/>
        <w:rPr>
          <w:b/>
        </w:rPr>
      </w:pPr>
      <w:r w:rsidRPr="001A2264">
        <w:rPr>
          <w:b/>
        </w:rPr>
        <w:t>2011.</w:t>
      </w:r>
      <w:r w:rsidR="00947E28" w:rsidRPr="001A2264">
        <w:rPr>
          <w:b/>
        </w:rPr>
        <w:t xml:space="preserve"> </w:t>
      </w:r>
      <w:r w:rsidRPr="001A2264">
        <w:rPr>
          <w:b/>
        </w:rPr>
        <w:t>gada valsts budžeta izpildes novērtējums, tai skaitā informācija par valsts budžeta institūcij</w:t>
      </w:r>
      <w:r w:rsidR="005118D3">
        <w:rPr>
          <w:b/>
        </w:rPr>
        <w:t>u parādiem</w:t>
      </w:r>
    </w:p>
    <w:p w:rsidR="005118D3" w:rsidRDefault="005118D3" w:rsidP="005118D3">
      <w:pPr>
        <w:jc w:val="center"/>
        <w:rPr>
          <w:b/>
        </w:rPr>
      </w:pPr>
    </w:p>
    <w:p w:rsidR="005118D3" w:rsidRPr="00FA1E04" w:rsidRDefault="00FA1E04" w:rsidP="00FA1E04">
      <w:pPr>
        <w:ind w:firstLine="720"/>
      </w:pPr>
      <w:r w:rsidRPr="00FA1E04">
        <w:t xml:space="preserve">2011.gada 4 mēnešos salīdzinot ar 2010.gada attiecīgo laika periodu ir vērojams, ka pamatbudžeta ieņēmumu apjoms ir samazinājies par 143,6 </w:t>
      </w:r>
      <w:proofErr w:type="spellStart"/>
      <w:r w:rsidRPr="00FA1E04">
        <w:t>milj</w:t>
      </w:r>
      <w:proofErr w:type="spellEnd"/>
      <w:r w:rsidRPr="00FA1E04">
        <w:t xml:space="preserve">. latu jeb 15,7%, bet izdevumu apjoms ir samazinājies pieaudzis par 23,9 </w:t>
      </w:r>
      <w:proofErr w:type="spellStart"/>
      <w:r w:rsidRPr="00FA1E04">
        <w:t>milj</w:t>
      </w:r>
      <w:proofErr w:type="spellEnd"/>
      <w:r w:rsidRPr="00FA1E04">
        <w:t>. latu jeb 2,5 procentiem.</w:t>
      </w:r>
    </w:p>
    <w:p w:rsidR="00FB24A3" w:rsidRDefault="00FB24A3" w:rsidP="00FB24A3">
      <w:pPr>
        <w:pStyle w:val="ListParagraph"/>
        <w:rPr>
          <w:b/>
        </w:rPr>
      </w:pPr>
    </w:p>
    <w:p w:rsidR="00FB24A3" w:rsidRPr="003C27AE" w:rsidRDefault="003C27AE" w:rsidP="00FB24A3">
      <w:pPr>
        <w:jc w:val="right"/>
      </w:pPr>
      <w:r w:rsidRPr="003C27AE">
        <w:t>4</w:t>
      </w:r>
      <w:r w:rsidR="00FB24A3" w:rsidRPr="003C27AE">
        <w:t>.</w:t>
      </w:r>
      <w:r w:rsidR="00F4729C">
        <w:t>1. </w:t>
      </w:r>
      <w:r w:rsidR="00FB24A3" w:rsidRPr="003C27AE">
        <w:t>tabula</w:t>
      </w:r>
    </w:p>
    <w:p w:rsidR="00FC7364" w:rsidRPr="003C27AE" w:rsidRDefault="00FC7364" w:rsidP="00FC7364">
      <w:pPr>
        <w:pStyle w:val="ListParagraph"/>
        <w:rPr>
          <w:b/>
        </w:rPr>
      </w:pPr>
    </w:p>
    <w:p w:rsidR="00654557" w:rsidRPr="003C27AE" w:rsidRDefault="00FC7364" w:rsidP="00FC7364">
      <w:pPr>
        <w:ind w:firstLine="720"/>
        <w:jc w:val="center"/>
        <w:rPr>
          <w:b/>
          <w:szCs w:val="24"/>
        </w:rPr>
      </w:pPr>
      <w:r w:rsidRPr="003C27AE">
        <w:rPr>
          <w:b/>
          <w:szCs w:val="24"/>
        </w:rPr>
        <w:t>Valsts budžeta izpildes 2010. un 2011.gadā</w:t>
      </w:r>
      <w:r w:rsidR="00FB24A3" w:rsidRPr="003C27AE">
        <w:rPr>
          <w:b/>
          <w:szCs w:val="24"/>
        </w:rPr>
        <w:t xml:space="preserve"> 4 mēnešos</w:t>
      </w:r>
      <w:r w:rsidRPr="003C27AE">
        <w:rPr>
          <w:b/>
          <w:szCs w:val="24"/>
        </w:rPr>
        <w:t xml:space="preserve"> salīdzinājums</w:t>
      </w:r>
      <w:r w:rsidR="00FB24A3" w:rsidRPr="003C27AE">
        <w:rPr>
          <w:b/>
          <w:szCs w:val="24"/>
        </w:rPr>
        <w:t xml:space="preserve">, </w:t>
      </w:r>
      <w:proofErr w:type="spellStart"/>
      <w:r w:rsidR="00FB24A3" w:rsidRPr="003C27AE">
        <w:rPr>
          <w:b/>
          <w:szCs w:val="24"/>
        </w:rPr>
        <w:t>milj</w:t>
      </w:r>
      <w:proofErr w:type="spellEnd"/>
      <w:r w:rsidR="00FB24A3" w:rsidRPr="003C27AE">
        <w:rPr>
          <w:b/>
          <w:szCs w:val="24"/>
        </w:rPr>
        <w:t>. latu</w:t>
      </w:r>
    </w:p>
    <w:p w:rsidR="00FC7364" w:rsidRDefault="00FC7364" w:rsidP="004E37DB">
      <w:pPr>
        <w:ind w:firstLine="720"/>
        <w:rPr>
          <w:szCs w:val="24"/>
        </w:rPr>
      </w:pPr>
    </w:p>
    <w:tbl>
      <w:tblPr>
        <w:tblW w:w="9361" w:type="dxa"/>
        <w:tblInd w:w="103" w:type="dxa"/>
        <w:tblLook w:val="04A0" w:firstRow="1" w:lastRow="0" w:firstColumn="1" w:lastColumn="0" w:noHBand="0" w:noVBand="1"/>
      </w:tblPr>
      <w:tblGrid>
        <w:gridCol w:w="4400"/>
        <w:gridCol w:w="1559"/>
        <w:gridCol w:w="1134"/>
        <w:gridCol w:w="1134"/>
        <w:gridCol w:w="1134"/>
      </w:tblGrid>
      <w:tr w:rsidR="00FB24A3" w:rsidRPr="00FB24A3" w:rsidTr="00DE76AF">
        <w:trPr>
          <w:trHeight w:val="136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b/>
                <w:bCs/>
                <w:sz w:val="20"/>
                <w:lang w:eastAsia="lv-LV"/>
              </w:rPr>
            </w:pPr>
            <w:r w:rsidRPr="00FB24A3">
              <w:rPr>
                <w:b/>
                <w:bCs/>
                <w:sz w:val="20"/>
                <w:lang w:eastAsia="lv-LV"/>
              </w:rPr>
              <w:t>Pamatbudžets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24A3" w:rsidRPr="00FB24A3" w:rsidRDefault="00FB24A3" w:rsidP="00FB24A3">
            <w:pPr>
              <w:jc w:val="center"/>
              <w:rPr>
                <w:b/>
                <w:bCs/>
                <w:sz w:val="20"/>
                <w:lang w:eastAsia="lv-LV"/>
              </w:rPr>
            </w:pPr>
            <w:r w:rsidRPr="00FB24A3">
              <w:rPr>
                <w:b/>
                <w:bCs/>
                <w:sz w:val="20"/>
                <w:lang w:eastAsia="lv-LV"/>
              </w:rPr>
              <w:t>Likumā "Par valsts budžetu 2011.gadam" apstiprinātais plāns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24A3" w:rsidRPr="00FB24A3" w:rsidRDefault="00FB24A3" w:rsidP="00FB24A3">
            <w:pPr>
              <w:jc w:val="center"/>
              <w:rPr>
                <w:b/>
                <w:bCs/>
                <w:sz w:val="20"/>
                <w:lang w:eastAsia="lv-LV"/>
              </w:rPr>
            </w:pPr>
            <w:r w:rsidRPr="00FB24A3">
              <w:rPr>
                <w:b/>
                <w:bCs/>
                <w:sz w:val="20"/>
                <w:lang w:eastAsia="lv-LV"/>
              </w:rPr>
              <w:t>2010.gadā (fakts)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24A3" w:rsidRPr="00FB24A3" w:rsidRDefault="00FB24A3" w:rsidP="00FB24A3">
            <w:pPr>
              <w:jc w:val="center"/>
              <w:rPr>
                <w:b/>
                <w:bCs/>
                <w:sz w:val="20"/>
                <w:lang w:eastAsia="lv-LV"/>
              </w:rPr>
            </w:pPr>
            <w:r w:rsidRPr="00FB24A3">
              <w:rPr>
                <w:b/>
                <w:bCs/>
                <w:sz w:val="20"/>
                <w:lang w:eastAsia="lv-LV"/>
              </w:rPr>
              <w:t>2011.gadā (fakts)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24A3" w:rsidRPr="00FB24A3" w:rsidRDefault="00FB24A3" w:rsidP="00FB24A3">
            <w:pPr>
              <w:jc w:val="center"/>
              <w:rPr>
                <w:i/>
                <w:iCs/>
                <w:sz w:val="20"/>
                <w:lang w:eastAsia="lv-LV"/>
              </w:rPr>
            </w:pPr>
            <w:r w:rsidRPr="00FB24A3">
              <w:rPr>
                <w:i/>
                <w:iCs/>
                <w:sz w:val="20"/>
                <w:lang w:eastAsia="lv-LV"/>
              </w:rPr>
              <w:t xml:space="preserve">pieaug.(+) / </w:t>
            </w:r>
            <w:proofErr w:type="spellStart"/>
            <w:r w:rsidRPr="00FB24A3">
              <w:rPr>
                <w:i/>
                <w:iCs/>
                <w:sz w:val="20"/>
                <w:lang w:eastAsia="lv-LV"/>
              </w:rPr>
              <w:t>samaz.(-)</w:t>
            </w:r>
            <w:proofErr w:type="spellEnd"/>
            <w:r w:rsidRPr="00FB24A3">
              <w:rPr>
                <w:i/>
                <w:iCs/>
                <w:sz w:val="20"/>
                <w:lang w:eastAsia="lv-LV"/>
              </w:rPr>
              <w:t xml:space="preserve">    (4-3)</w:t>
            </w:r>
          </w:p>
        </w:tc>
      </w:tr>
      <w:tr w:rsidR="00FB24A3" w:rsidRPr="00FB24A3" w:rsidTr="00DE76AF">
        <w:trPr>
          <w:trHeight w:val="165"/>
        </w:trPr>
        <w:tc>
          <w:tcPr>
            <w:tcW w:w="4400" w:type="dxa"/>
            <w:tcBorders>
              <w:top w:val="nil"/>
              <w:left w:val="single" w:sz="4" w:space="0" w:color="auto"/>
              <w:bottom w:val="nil"/>
              <w:right w:val="single" w:sz="4" w:space="0" w:color="auto"/>
            </w:tcBorders>
            <w:shd w:val="clear" w:color="auto" w:fill="auto"/>
            <w:noWrap/>
            <w:vAlign w:val="center"/>
            <w:hideMark/>
          </w:tcPr>
          <w:p w:rsidR="00FB24A3" w:rsidRPr="00FB24A3" w:rsidRDefault="00FB24A3" w:rsidP="00FB24A3">
            <w:pPr>
              <w:jc w:val="center"/>
              <w:rPr>
                <w:sz w:val="20"/>
                <w:lang w:eastAsia="lv-LV"/>
              </w:rPr>
            </w:pPr>
            <w:r w:rsidRPr="00FB24A3">
              <w:rPr>
                <w:sz w:val="20"/>
                <w:lang w:eastAsia="lv-LV"/>
              </w:rPr>
              <w:t>1</w:t>
            </w:r>
          </w:p>
        </w:tc>
        <w:tc>
          <w:tcPr>
            <w:tcW w:w="1559" w:type="dxa"/>
            <w:tcBorders>
              <w:top w:val="nil"/>
              <w:left w:val="nil"/>
              <w:bottom w:val="nil"/>
              <w:right w:val="single" w:sz="4" w:space="0" w:color="auto"/>
            </w:tcBorders>
            <w:shd w:val="clear" w:color="auto" w:fill="auto"/>
            <w:vAlign w:val="center"/>
            <w:hideMark/>
          </w:tcPr>
          <w:p w:rsidR="00FB24A3" w:rsidRPr="00FB24A3" w:rsidRDefault="00FB24A3" w:rsidP="00FB24A3">
            <w:pPr>
              <w:jc w:val="center"/>
              <w:rPr>
                <w:sz w:val="20"/>
                <w:lang w:eastAsia="lv-LV"/>
              </w:rPr>
            </w:pPr>
            <w:r w:rsidRPr="00FB24A3">
              <w:rPr>
                <w:sz w:val="20"/>
                <w:lang w:eastAsia="lv-LV"/>
              </w:rPr>
              <w:t>2</w:t>
            </w:r>
          </w:p>
        </w:tc>
        <w:tc>
          <w:tcPr>
            <w:tcW w:w="1134" w:type="dxa"/>
            <w:tcBorders>
              <w:top w:val="nil"/>
              <w:left w:val="nil"/>
              <w:bottom w:val="nil"/>
              <w:right w:val="single" w:sz="4" w:space="0" w:color="auto"/>
            </w:tcBorders>
            <w:shd w:val="clear" w:color="auto" w:fill="auto"/>
            <w:noWrap/>
            <w:vAlign w:val="center"/>
            <w:hideMark/>
          </w:tcPr>
          <w:p w:rsidR="00FB24A3" w:rsidRPr="00FB24A3" w:rsidRDefault="00FB24A3" w:rsidP="00FB24A3">
            <w:pPr>
              <w:jc w:val="center"/>
              <w:rPr>
                <w:sz w:val="20"/>
                <w:lang w:eastAsia="lv-LV"/>
              </w:rPr>
            </w:pPr>
            <w:r w:rsidRPr="00FB24A3">
              <w:rPr>
                <w:sz w:val="20"/>
                <w:lang w:eastAsia="lv-LV"/>
              </w:rPr>
              <w:t>3</w:t>
            </w:r>
          </w:p>
        </w:tc>
        <w:tc>
          <w:tcPr>
            <w:tcW w:w="1134" w:type="dxa"/>
            <w:tcBorders>
              <w:top w:val="nil"/>
              <w:left w:val="nil"/>
              <w:bottom w:val="nil"/>
              <w:right w:val="single" w:sz="4" w:space="0" w:color="auto"/>
            </w:tcBorders>
            <w:shd w:val="clear" w:color="auto" w:fill="auto"/>
            <w:noWrap/>
            <w:vAlign w:val="center"/>
            <w:hideMark/>
          </w:tcPr>
          <w:p w:rsidR="00FB24A3" w:rsidRPr="00FB24A3" w:rsidRDefault="00FB24A3" w:rsidP="00FB24A3">
            <w:pPr>
              <w:jc w:val="center"/>
              <w:rPr>
                <w:sz w:val="20"/>
                <w:lang w:eastAsia="lv-LV"/>
              </w:rPr>
            </w:pPr>
            <w:r w:rsidRPr="00FB24A3">
              <w:rPr>
                <w:sz w:val="20"/>
                <w:lang w:eastAsia="lv-LV"/>
              </w:rPr>
              <w:t>4</w:t>
            </w:r>
          </w:p>
        </w:tc>
        <w:tc>
          <w:tcPr>
            <w:tcW w:w="1134" w:type="dxa"/>
            <w:tcBorders>
              <w:top w:val="nil"/>
              <w:left w:val="nil"/>
              <w:bottom w:val="nil"/>
              <w:right w:val="single" w:sz="4" w:space="0" w:color="auto"/>
            </w:tcBorders>
            <w:shd w:val="clear" w:color="auto" w:fill="auto"/>
            <w:vAlign w:val="center"/>
            <w:hideMark/>
          </w:tcPr>
          <w:p w:rsidR="00FB24A3" w:rsidRPr="00FB24A3" w:rsidRDefault="00FB24A3" w:rsidP="00FB24A3">
            <w:pPr>
              <w:jc w:val="center"/>
              <w:rPr>
                <w:sz w:val="20"/>
                <w:lang w:eastAsia="lv-LV"/>
              </w:rPr>
            </w:pPr>
            <w:r w:rsidRPr="00FB24A3">
              <w:rPr>
                <w:sz w:val="20"/>
                <w:lang w:eastAsia="lv-LV"/>
              </w:rPr>
              <w:t>5</w:t>
            </w:r>
          </w:p>
        </w:tc>
      </w:tr>
      <w:tr w:rsidR="00FB24A3" w:rsidRPr="00FB24A3" w:rsidTr="00DE76AF">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b/>
                <w:bCs/>
                <w:sz w:val="20"/>
                <w:lang w:eastAsia="lv-LV"/>
              </w:rPr>
            </w:pPr>
            <w:r w:rsidRPr="00FB24A3">
              <w:rPr>
                <w:b/>
                <w:bCs/>
                <w:sz w:val="20"/>
                <w:lang w:eastAsia="lv-LV"/>
              </w:rPr>
              <w:t>IEŅĒMUMI KOPĀ</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B24A3" w:rsidRPr="00FB24A3" w:rsidRDefault="00FB24A3" w:rsidP="00FB24A3">
            <w:pPr>
              <w:jc w:val="center"/>
              <w:rPr>
                <w:b/>
                <w:bCs/>
                <w:sz w:val="20"/>
                <w:lang w:eastAsia="lv-LV"/>
              </w:rPr>
            </w:pPr>
            <w:r w:rsidRPr="00FB24A3">
              <w:rPr>
                <w:b/>
                <w:bCs/>
                <w:sz w:val="20"/>
                <w:lang w:eastAsia="lv-LV"/>
              </w:rPr>
              <w:t>3 058,5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24A3" w:rsidRPr="00FB24A3" w:rsidRDefault="00FB24A3" w:rsidP="00FB24A3">
            <w:pPr>
              <w:jc w:val="center"/>
              <w:rPr>
                <w:b/>
                <w:bCs/>
                <w:sz w:val="20"/>
                <w:lang w:eastAsia="lv-LV"/>
              </w:rPr>
            </w:pPr>
            <w:r w:rsidRPr="00FB24A3">
              <w:rPr>
                <w:b/>
                <w:bCs/>
                <w:sz w:val="20"/>
                <w:lang w:eastAsia="lv-LV"/>
              </w:rPr>
              <w:t>914,7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24A3" w:rsidRPr="00FB24A3" w:rsidRDefault="00FB24A3" w:rsidP="00FB24A3">
            <w:pPr>
              <w:jc w:val="center"/>
              <w:rPr>
                <w:b/>
                <w:bCs/>
                <w:sz w:val="20"/>
                <w:lang w:eastAsia="lv-LV"/>
              </w:rPr>
            </w:pPr>
            <w:r w:rsidRPr="00FB24A3">
              <w:rPr>
                <w:b/>
                <w:bCs/>
                <w:sz w:val="20"/>
                <w:lang w:eastAsia="lv-LV"/>
              </w:rPr>
              <w:t>771,0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24A3" w:rsidRPr="00FB24A3" w:rsidRDefault="00FB24A3" w:rsidP="00FB24A3">
            <w:pPr>
              <w:jc w:val="center"/>
              <w:rPr>
                <w:b/>
                <w:bCs/>
                <w:i/>
                <w:iCs/>
                <w:sz w:val="20"/>
                <w:lang w:eastAsia="lv-LV"/>
              </w:rPr>
            </w:pPr>
            <w:r w:rsidRPr="00FB24A3">
              <w:rPr>
                <w:b/>
                <w:bCs/>
                <w:i/>
                <w:iCs/>
                <w:sz w:val="20"/>
                <w:lang w:eastAsia="lv-LV"/>
              </w:rPr>
              <w:t>-143,6</w:t>
            </w:r>
          </w:p>
        </w:tc>
      </w:tr>
      <w:tr w:rsidR="00FB24A3" w:rsidRPr="00FB24A3" w:rsidTr="00DE76AF">
        <w:trPr>
          <w:trHeight w:val="27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left"/>
              <w:rPr>
                <w:b/>
                <w:bCs/>
                <w:sz w:val="20"/>
                <w:lang w:eastAsia="lv-LV"/>
              </w:rPr>
            </w:pPr>
            <w:r w:rsidRPr="00FB24A3">
              <w:rPr>
                <w:b/>
                <w:bCs/>
                <w:sz w:val="20"/>
                <w:lang w:eastAsia="lv-LV"/>
              </w:rPr>
              <w:t>1. Nodokļu ieņēmumi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1 807,2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526,0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551,2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i/>
                <w:iCs/>
                <w:sz w:val="20"/>
                <w:lang w:eastAsia="lv-LV"/>
              </w:rPr>
            </w:pPr>
            <w:r w:rsidRPr="00FB24A3">
              <w:rPr>
                <w:b/>
                <w:bCs/>
                <w:i/>
                <w:iCs/>
                <w:sz w:val="20"/>
                <w:lang w:eastAsia="lv-LV"/>
              </w:rPr>
              <w:t>25,2</w:t>
            </w:r>
          </w:p>
        </w:tc>
      </w:tr>
      <w:tr w:rsidR="00FB24A3" w:rsidRPr="00FB24A3" w:rsidTr="00DE76AF">
        <w:trPr>
          <w:trHeight w:val="27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left"/>
              <w:rPr>
                <w:b/>
                <w:bCs/>
                <w:sz w:val="20"/>
                <w:lang w:eastAsia="lv-LV"/>
              </w:rPr>
            </w:pPr>
            <w:r w:rsidRPr="00FB24A3">
              <w:rPr>
                <w:b/>
                <w:bCs/>
                <w:sz w:val="20"/>
                <w:lang w:eastAsia="lv-LV"/>
              </w:rPr>
              <w:t>2. Nenodokļu ieņēmumi</w:t>
            </w:r>
          </w:p>
        </w:tc>
        <w:tc>
          <w:tcPr>
            <w:tcW w:w="1559" w:type="dxa"/>
            <w:tcBorders>
              <w:top w:val="nil"/>
              <w:left w:val="nil"/>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293,0</w:t>
            </w:r>
          </w:p>
        </w:tc>
        <w:tc>
          <w:tcPr>
            <w:tcW w:w="1134" w:type="dxa"/>
            <w:tcBorders>
              <w:top w:val="nil"/>
              <w:left w:val="nil"/>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147,8</w:t>
            </w:r>
          </w:p>
        </w:tc>
        <w:tc>
          <w:tcPr>
            <w:tcW w:w="1134" w:type="dxa"/>
            <w:tcBorders>
              <w:top w:val="nil"/>
              <w:left w:val="nil"/>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69,1</w:t>
            </w:r>
          </w:p>
        </w:tc>
        <w:tc>
          <w:tcPr>
            <w:tcW w:w="1134" w:type="dxa"/>
            <w:tcBorders>
              <w:top w:val="nil"/>
              <w:left w:val="nil"/>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i/>
                <w:iCs/>
                <w:sz w:val="20"/>
                <w:lang w:eastAsia="lv-LV"/>
              </w:rPr>
            </w:pPr>
            <w:r w:rsidRPr="00FB24A3">
              <w:rPr>
                <w:b/>
                <w:bCs/>
                <w:i/>
                <w:iCs/>
                <w:sz w:val="20"/>
                <w:lang w:eastAsia="lv-LV"/>
              </w:rPr>
              <w:t>-78,7</w:t>
            </w:r>
          </w:p>
        </w:tc>
      </w:tr>
      <w:tr w:rsidR="00FB24A3" w:rsidRPr="00FB24A3" w:rsidTr="00DE76AF">
        <w:trPr>
          <w:trHeight w:val="52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left"/>
              <w:rPr>
                <w:b/>
                <w:bCs/>
                <w:sz w:val="20"/>
                <w:lang w:eastAsia="lv-LV"/>
              </w:rPr>
            </w:pPr>
            <w:r w:rsidRPr="00FB24A3">
              <w:rPr>
                <w:b/>
                <w:bCs/>
                <w:sz w:val="20"/>
                <w:lang w:eastAsia="lv-LV"/>
              </w:rPr>
              <w:t>3. Budžeta iestāžu ieņēmumi par sniegtajiem maksas pakalpojumiem</w:t>
            </w:r>
          </w:p>
        </w:tc>
        <w:tc>
          <w:tcPr>
            <w:tcW w:w="1559" w:type="dxa"/>
            <w:tcBorders>
              <w:top w:val="nil"/>
              <w:left w:val="nil"/>
              <w:bottom w:val="single" w:sz="4" w:space="0" w:color="auto"/>
              <w:right w:val="single" w:sz="4" w:space="0" w:color="auto"/>
            </w:tcBorders>
            <w:shd w:val="clear" w:color="auto" w:fill="auto"/>
            <w:vAlign w:val="bottom"/>
            <w:hideMark/>
          </w:tcPr>
          <w:p w:rsidR="00FB24A3" w:rsidRPr="00FB24A3" w:rsidRDefault="00FB24A3" w:rsidP="00FB24A3">
            <w:pPr>
              <w:jc w:val="center"/>
              <w:rPr>
                <w:b/>
                <w:bCs/>
                <w:sz w:val="20"/>
                <w:lang w:eastAsia="lv-LV"/>
              </w:rPr>
            </w:pPr>
            <w:r w:rsidRPr="00FB24A3">
              <w:rPr>
                <w:b/>
                <w:bCs/>
                <w:sz w:val="20"/>
                <w:lang w:eastAsia="lv-LV"/>
              </w:rPr>
              <w:t>61,5</w:t>
            </w:r>
          </w:p>
        </w:tc>
        <w:tc>
          <w:tcPr>
            <w:tcW w:w="1134" w:type="dxa"/>
            <w:tcBorders>
              <w:top w:val="nil"/>
              <w:left w:val="nil"/>
              <w:bottom w:val="single" w:sz="4" w:space="0" w:color="auto"/>
              <w:right w:val="single" w:sz="4" w:space="0" w:color="auto"/>
            </w:tcBorders>
            <w:shd w:val="clear" w:color="auto" w:fill="auto"/>
            <w:vAlign w:val="bottom"/>
            <w:hideMark/>
          </w:tcPr>
          <w:p w:rsidR="00FB24A3" w:rsidRPr="00FB24A3" w:rsidRDefault="00FB24A3" w:rsidP="00FB24A3">
            <w:pPr>
              <w:jc w:val="center"/>
              <w:rPr>
                <w:b/>
                <w:bCs/>
                <w:sz w:val="20"/>
                <w:lang w:eastAsia="lv-LV"/>
              </w:rPr>
            </w:pPr>
            <w:r w:rsidRPr="00FB24A3">
              <w:rPr>
                <w:b/>
                <w:bCs/>
                <w:sz w:val="20"/>
                <w:lang w:eastAsia="lv-LV"/>
              </w:rPr>
              <w:t>18,2</w:t>
            </w:r>
          </w:p>
        </w:tc>
        <w:tc>
          <w:tcPr>
            <w:tcW w:w="1134" w:type="dxa"/>
            <w:tcBorders>
              <w:top w:val="nil"/>
              <w:left w:val="nil"/>
              <w:bottom w:val="single" w:sz="4" w:space="0" w:color="auto"/>
              <w:right w:val="single" w:sz="4" w:space="0" w:color="auto"/>
            </w:tcBorders>
            <w:shd w:val="clear" w:color="auto" w:fill="auto"/>
            <w:vAlign w:val="bottom"/>
            <w:hideMark/>
          </w:tcPr>
          <w:p w:rsidR="00FB24A3" w:rsidRPr="00FB24A3" w:rsidRDefault="00FB24A3" w:rsidP="00FB24A3">
            <w:pPr>
              <w:jc w:val="center"/>
              <w:rPr>
                <w:b/>
                <w:bCs/>
                <w:sz w:val="20"/>
                <w:lang w:eastAsia="lv-LV"/>
              </w:rPr>
            </w:pPr>
            <w:r w:rsidRPr="00FB24A3">
              <w:rPr>
                <w:b/>
                <w:bCs/>
                <w:sz w:val="20"/>
                <w:lang w:eastAsia="lv-LV"/>
              </w:rPr>
              <w:t>18,9</w:t>
            </w:r>
          </w:p>
        </w:tc>
        <w:tc>
          <w:tcPr>
            <w:tcW w:w="1134" w:type="dxa"/>
            <w:tcBorders>
              <w:top w:val="nil"/>
              <w:left w:val="nil"/>
              <w:bottom w:val="single" w:sz="4" w:space="0" w:color="auto"/>
              <w:right w:val="single" w:sz="4" w:space="0" w:color="auto"/>
            </w:tcBorders>
            <w:shd w:val="clear" w:color="auto" w:fill="auto"/>
            <w:vAlign w:val="bottom"/>
            <w:hideMark/>
          </w:tcPr>
          <w:p w:rsidR="00FB24A3" w:rsidRPr="00FB24A3" w:rsidRDefault="00FB24A3" w:rsidP="00FB24A3">
            <w:pPr>
              <w:jc w:val="center"/>
              <w:rPr>
                <w:b/>
                <w:bCs/>
                <w:i/>
                <w:iCs/>
                <w:sz w:val="20"/>
                <w:lang w:eastAsia="lv-LV"/>
              </w:rPr>
            </w:pPr>
            <w:r w:rsidRPr="00FB24A3">
              <w:rPr>
                <w:b/>
                <w:bCs/>
                <w:i/>
                <w:iCs/>
                <w:sz w:val="20"/>
                <w:lang w:eastAsia="lv-LV"/>
              </w:rPr>
              <w:t>0,8</w:t>
            </w:r>
          </w:p>
        </w:tc>
      </w:tr>
      <w:tr w:rsidR="00FB24A3" w:rsidRPr="00FB24A3" w:rsidTr="00DE76AF">
        <w:trPr>
          <w:trHeight w:val="27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left"/>
              <w:rPr>
                <w:b/>
                <w:bCs/>
                <w:sz w:val="20"/>
                <w:lang w:eastAsia="lv-LV"/>
              </w:rPr>
            </w:pPr>
            <w:r w:rsidRPr="00FB24A3">
              <w:rPr>
                <w:b/>
                <w:bCs/>
                <w:sz w:val="20"/>
                <w:lang w:eastAsia="lv-LV"/>
              </w:rPr>
              <w:t>4.Ārvalstu finanšu palīdzība</w:t>
            </w:r>
          </w:p>
        </w:tc>
        <w:tc>
          <w:tcPr>
            <w:tcW w:w="1559" w:type="dxa"/>
            <w:tcBorders>
              <w:top w:val="nil"/>
              <w:left w:val="nil"/>
              <w:bottom w:val="single" w:sz="4" w:space="0" w:color="auto"/>
              <w:right w:val="single" w:sz="4" w:space="0" w:color="auto"/>
            </w:tcBorders>
            <w:shd w:val="clear" w:color="auto" w:fill="auto"/>
            <w:vAlign w:val="bottom"/>
            <w:hideMark/>
          </w:tcPr>
          <w:p w:rsidR="00FB24A3" w:rsidRPr="00FB24A3" w:rsidRDefault="00FB24A3" w:rsidP="00FB24A3">
            <w:pPr>
              <w:jc w:val="center"/>
              <w:rPr>
                <w:b/>
                <w:bCs/>
                <w:sz w:val="20"/>
                <w:lang w:eastAsia="lv-LV"/>
              </w:rPr>
            </w:pPr>
            <w:r w:rsidRPr="00FB24A3">
              <w:rPr>
                <w:b/>
                <w:bCs/>
                <w:sz w:val="20"/>
                <w:lang w:eastAsia="lv-LV"/>
              </w:rPr>
              <w:t>896,7</w:t>
            </w:r>
          </w:p>
        </w:tc>
        <w:tc>
          <w:tcPr>
            <w:tcW w:w="1134" w:type="dxa"/>
            <w:tcBorders>
              <w:top w:val="nil"/>
              <w:left w:val="nil"/>
              <w:bottom w:val="single" w:sz="4" w:space="0" w:color="auto"/>
              <w:right w:val="single" w:sz="4" w:space="0" w:color="auto"/>
            </w:tcBorders>
            <w:shd w:val="clear" w:color="auto" w:fill="auto"/>
            <w:vAlign w:val="bottom"/>
            <w:hideMark/>
          </w:tcPr>
          <w:p w:rsidR="00FB24A3" w:rsidRPr="00FB24A3" w:rsidRDefault="00FB24A3" w:rsidP="00FB24A3">
            <w:pPr>
              <w:jc w:val="center"/>
              <w:rPr>
                <w:b/>
                <w:bCs/>
                <w:sz w:val="20"/>
                <w:lang w:eastAsia="lv-LV"/>
              </w:rPr>
            </w:pPr>
            <w:r w:rsidRPr="00FB24A3">
              <w:rPr>
                <w:b/>
                <w:bCs/>
                <w:sz w:val="20"/>
                <w:lang w:eastAsia="lv-LV"/>
              </w:rPr>
              <w:t>222,7</w:t>
            </w:r>
          </w:p>
        </w:tc>
        <w:tc>
          <w:tcPr>
            <w:tcW w:w="1134" w:type="dxa"/>
            <w:tcBorders>
              <w:top w:val="nil"/>
              <w:left w:val="nil"/>
              <w:bottom w:val="single" w:sz="4" w:space="0" w:color="auto"/>
              <w:right w:val="single" w:sz="4" w:space="0" w:color="auto"/>
            </w:tcBorders>
            <w:shd w:val="clear" w:color="auto" w:fill="auto"/>
            <w:vAlign w:val="bottom"/>
            <w:hideMark/>
          </w:tcPr>
          <w:p w:rsidR="00FB24A3" w:rsidRPr="00FB24A3" w:rsidRDefault="00FB24A3" w:rsidP="00FB24A3">
            <w:pPr>
              <w:jc w:val="center"/>
              <w:rPr>
                <w:b/>
                <w:bCs/>
                <w:sz w:val="20"/>
                <w:lang w:eastAsia="lv-LV"/>
              </w:rPr>
            </w:pPr>
            <w:r w:rsidRPr="00FB24A3">
              <w:rPr>
                <w:b/>
                <w:bCs/>
                <w:sz w:val="20"/>
                <w:lang w:eastAsia="lv-LV"/>
              </w:rPr>
              <w:t>131,7</w:t>
            </w:r>
          </w:p>
        </w:tc>
        <w:tc>
          <w:tcPr>
            <w:tcW w:w="1134" w:type="dxa"/>
            <w:tcBorders>
              <w:top w:val="nil"/>
              <w:left w:val="nil"/>
              <w:bottom w:val="single" w:sz="4" w:space="0" w:color="auto"/>
              <w:right w:val="single" w:sz="4" w:space="0" w:color="auto"/>
            </w:tcBorders>
            <w:shd w:val="clear" w:color="auto" w:fill="auto"/>
            <w:vAlign w:val="bottom"/>
            <w:hideMark/>
          </w:tcPr>
          <w:p w:rsidR="00FB24A3" w:rsidRPr="00FB24A3" w:rsidRDefault="00FB24A3" w:rsidP="00FB24A3">
            <w:pPr>
              <w:jc w:val="center"/>
              <w:rPr>
                <w:b/>
                <w:bCs/>
                <w:i/>
                <w:iCs/>
                <w:sz w:val="20"/>
                <w:lang w:eastAsia="lv-LV"/>
              </w:rPr>
            </w:pPr>
            <w:r w:rsidRPr="00FB24A3">
              <w:rPr>
                <w:b/>
                <w:bCs/>
                <w:i/>
                <w:iCs/>
                <w:sz w:val="20"/>
                <w:lang w:eastAsia="lv-LV"/>
              </w:rPr>
              <w:t>-90,9</w:t>
            </w:r>
          </w:p>
        </w:tc>
      </w:tr>
      <w:tr w:rsidR="00FB24A3" w:rsidRPr="00FB24A3" w:rsidTr="00DE76AF">
        <w:trPr>
          <w:trHeight w:val="27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b/>
                <w:bCs/>
                <w:sz w:val="20"/>
                <w:lang w:eastAsia="lv-LV"/>
              </w:rPr>
            </w:pPr>
            <w:r w:rsidRPr="00FB24A3">
              <w:rPr>
                <w:b/>
                <w:bCs/>
                <w:sz w:val="20"/>
                <w:lang w:eastAsia="lv-LV"/>
              </w:rPr>
              <w:t>IZDEVUMI KOPĀ</w:t>
            </w:r>
          </w:p>
        </w:tc>
        <w:tc>
          <w:tcPr>
            <w:tcW w:w="1559" w:type="dxa"/>
            <w:tcBorders>
              <w:top w:val="nil"/>
              <w:left w:val="nil"/>
              <w:bottom w:val="single" w:sz="4" w:space="0" w:color="auto"/>
              <w:right w:val="nil"/>
            </w:tcBorders>
            <w:shd w:val="clear" w:color="auto" w:fill="auto"/>
            <w:noWrap/>
            <w:vAlign w:val="center"/>
            <w:hideMark/>
          </w:tcPr>
          <w:p w:rsidR="00FB24A3" w:rsidRPr="00FB24A3" w:rsidRDefault="00FB24A3" w:rsidP="00FB24A3">
            <w:pPr>
              <w:jc w:val="center"/>
              <w:rPr>
                <w:b/>
                <w:bCs/>
                <w:sz w:val="20"/>
                <w:lang w:eastAsia="lv-LV"/>
              </w:rPr>
            </w:pPr>
            <w:r w:rsidRPr="00FB24A3">
              <w:rPr>
                <w:b/>
                <w:bCs/>
                <w:sz w:val="20"/>
                <w:lang w:eastAsia="lv-LV"/>
              </w:rPr>
              <w:t>3346,6</w:t>
            </w:r>
          </w:p>
        </w:tc>
        <w:tc>
          <w:tcPr>
            <w:tcW w:w="1134" w:type="dxa"/>
            <w:tcBorders>
              <w:top w:val="nil"/>
              <w:left w:val="single" w:sz="4" w:space="0" w:color="auto"/>
              <w:bottom w:val="single" w:sz="4" w:space="0" w:color="auto"/>
              <w:right w:val="nil"/>
            </w:tcBorders>
            <w:shd w:val="clear" w:color="auto" w:fill="auto"/>
            <w:noWrap/>
            <w:vAlign w:val="center"/>
            <w:hideMark/>
          </w:tcPr>
          <w:p w:rsidR="00FB24A3" w:rsidRPr="00FB24A3" w:rsidRDefault="00FB24A3" w:rsidP="00FB24A3">
            <w:pPr>
              <w:jc w:val="center"/>
              <w:rPr>
                <w:b/>
                <w:bCs/>
                <w:sz w:val="20"/>
                <w:lang w:eastAsia="lv-LV"/>
              </w:rPr>
            </w:pPr>
            <w:r w:rsidRPr="00FB24A3">
              <w:rPr>
                <w:b/>
                <w:bCs/>
                <w:sz w:val="20"/>
                <w:lang w:eastAsia="lv-LV"/>
              </w:rPr>
              <w:t>945,7</w:t>
            </w:r>
          </w:p>
        </w:tc>
        <w:tc>
          <w:tcPr>
            <w:tcW w:w="1134" w:type="dxa"/>
            <w:tcBorders>
              <w:top w:val="nil"/>
              <w:left w:val="single" w:sz="4" w:space="0" w:color="auto"/>
              <w:bottom w:val="single" w:sz="4" w:space="0" w:color="auto"/>
              <w:right w:val="nil"/>
            </w:tcBorders>
            <w:shd w:val="clear" w:color="auto" w:fill="auto"/>
            <w:noWrap/>
            <w:vAlign w:val="center"/>
            <w:hideMark/>
          </w:tcPr>
          <w:p w:rsidR="00FB24A3" w:rsidRPr="00FB24A3" w:rsidRDefault="00FB24A3" w:rsidP="00FB24A3">
            <w:pPr>
              <w:jc w:val="center"/>
              <w:rPr>
                <w:b/>
                <w:bCs/>
                <w:sz w:val="20"/>
                <w:lang w:eastAsia="lv-LV"/>
              </w:rPr>
            </w:pPr>
            <w:r w:rsidRPr="00FB24A3">
              <w:rPr>
                <w:b/>
                <w:bCs/>
                <w:sz w:val="20"/>
                <w:lang w:eastAsia="lv-LV"/>
              </w:rPr>
              <w:t>969,5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b/>
                <w:bCs/>
                <w:i/>
                <w:iCs/>
                <w:sz w:val="20"/>
                <w:lang w:eastAsia="lv-LV"/>
              </w:rPr>
            </w:pPr>
            <w:r w:rsidRPr="00FB24A3">
              <w:rPr>
                <w:b/>
                <w:bCs/>
                <w:i/>
                <w:iCs/>
                <w:sz w:val="20"/>
                <w:lang w:eastAsia="lv-LV"/>
              </w:rPr>
              <w:t>23,9</w:t>
            </w:r>
          </w:p>
        </w:tc>
      </w:tr>
      <w:tr w:rsidR="00FB24A3" w:rsidRPr="00FB24A3" w:rsidTr="00DE76AF">
        <w:trPr>
          <w:trHeight w:val="27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left"/>
              <w:rPr>
                <w:b/>
                <w:bCs/>
                <w:sz w:val="20"/>
                <w:lang w:eastAsia="lv-LV"/>
              </w:rPr>
            </w:pPr>
            <w:r w:rsidRPr="00FB24A3">
              <w:rPr>
                <w:b/>
                <w:bCs/>
                <w:sz w:val="20"/>
                <w:lang w:eastAsia="lv-LV"/>
              </w:rPr>
              <w:t>Uzturēšanas izdevumi</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2925,2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913,2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905,1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i/>
                <w:iCs/>
                <w:sz w:val="20"/>
                <w:lang w:eastAsia="lv-LV"/>
              </w:rPr>
            </w:pPr>
            <w:r w:rsidRPr="00FB24A3">
              <w:rPr>
                <w:b/>
                <w:bCs/>
                <w:i/>
                <w:iCs/>
                <w:sz w:val="20"/>
                <w:lang w:eastAsia="lv-LV"/>
              </w:rPr>
              <w:t>-8,1</w:t>
            </w:r>
          </w:p>
        </w:tc>
      </w:tr>
      <w:tr w:rsidR="00FB24A3" w:rsidRPr="00FB24A3" w:rsidTr="00DE76AF">
        <w:trPr>
          <w:trHeight w:val="27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left"/>
              <w:rPr>
                <w:b/>
                <w:bCs/>
                <w:sz w:val="20"/>
                <w:lang w:eastAsia="lv-LV"/>
              </w:rPr>
            </w:pPr>
            <w:r w:rsidRPr="00FB24A3">
              <w:rPr>
                <w:b/>
                <w:bCs/>
                <w:sz w:val="20"/>
                <w:lang w:eastAsia="lv-LV"/>
              </w:rPr>
              <w:t>1. Kārtējie izdevumi</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867,1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245,0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248,0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i/>
                <w:iCs/>
                <w:sz w:val="20"/>
                <w:lang w:eastAsia="lv-LV"/>
              </w:rPr>
            </w:pPr>
            <w:r w:rsidRPr="00FB24A3">
              <w:rPr>
                <w:b/>
                <w:bCs/>
                <w:i/>
                <w:iCs/>
                <w:sz w:val="20"/>
                <w:lang w:eastAsia="lv-LV"/>
              </w:rPr>
              <w:t>2,9</w:t>
            </w:r>
          </w:p>
        </w:tc>
      </w:tr>
      <w:tr w:rsidR="00FB24A3" w:rsidRPr="00FB24A3" w:rsidTr="00DE76AF">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left"/>
              <w:rPr>
                <w:sz w:val="20"/>
                <w:lang w:eastAsia="lv-LV"/>
              </w:rPr>
            </w:pPr>
            <w:r w:rsidRPr="00FB24A3">
              <w:rPr>
                <w:sz w:val="20"/>
                <w:lang w:eastAsia="lv-LV"/>
              </w:rPr>
              <w:t xml:space="preserve">      Atlīdzība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sz w:val="20"/>
                <w:lang w:eastAsia="lv-LV"/>
              </w:rPr>
            </w:pPr>
            <w:r w:rsidRPr="00FB24A3">
              <w:rPr>
                <w:sz w:val="20"/>
                <w:lang w:eastAsia="lv-LV"/>
              </w:rPr>
              <w:t>481,2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sz w:val="20"/>
                <w:lang w:eastAsia="lv-LV"/>
              </w:rPr>
            </w:pPr>
            <w:r w:rsidRPr="00FB24A3">
              <w:rPr>
                <w:sz w:val="20"/>
                <w:lang w:eastAsia="lv-LV"/>
              </w:rPr>
              <w:t>142,4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sz w:val="20"/>
                <w:lang w:eastAsia="lv-LV"/>
              </w:rPr>
            </w:pPr>
            <w:r w:rsidRPr="00FB24A3">
              <w:rPr>
                <w:sz w:val="20"/>
                <w:lang w:eastAsia="lv-LV"/>
              </w:rPr>
              <w:t>140,2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i/>
                <w:iCs/>
                <w:sz w:val="20"/>
                <w:lang w:eastAsia="lv-LV"/>
              </w:rPr>
            </w:pPr>
            <w:r w:rsidRPr="00FB24A3">
              <w:rPr>
                <w:i/>
                <w:iCs/>
                <w:sz w:val="20"/>
                <w:lang w:eastAsia="lv-LV"/>
              </w:rPr>
              <w:t>-2,2</w:t>
            </w:r>
          </w:p>
        </w:tc>
      </w:tr>
      <w:tr w:rsidR="00FB24A3" w:rsidRPr="00FB24A3" w:rsidTr="00DE76AF">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left"/>
              <w:rPr>
                <w:sz w:val="20"/>
                <w:lang w:eastAsia="lv-LV"/>
              </w:rPr>
            </w:pPr>
            <w:r w:rsidRPr="00FB24A3">
              <w:rPr>
                <w:sz w:val="20"/>
                <w:lang w:eastAsia="lv-LV"/>
              </w:rPr>
              <w:t xml:space="preserve">      Preces un pakalpojumi</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sz w:val="20"/>
                <w:lang w:eastAsia="lv-LV"/>
              </w:rPr>
            </w:pPr>
            <w:r w:rsidRPr="00FB24A3">
              <w:rPr>
                <w:sz w:val="20"/>
                <w:lang w:eastAsia="lv-LV"/>
              </w:rPr>
              <w:t>385,9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sz w:val="20"/>
                <w:lang w:eastAsia="lv-LV"/>
              </w:rPr>
            </w:pPr>
            <w:r w:rsidRPr="00FB24A3">
              <w:rPr>
                <w:sz w:val="20"/>
                <w:lang w:eastAsia="lv-LV"/>
              </w:rPr>
              <w:t>102,6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sz w:val="20"/>
                <w:lang w:eastAsia="lv-LV"/>
              </w:rPr>
            </w:pPr>
            <w:r w:rsidRPr="00FB24A3">
              <w:rPr>
                <w:sz w:val="20"/>
                <w:lang w:eastAsia="lv-LV"/>
              </w:rPr>
              <w:t>107,8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i/>
                <w:iCs/>
                <w:sz w:val="20"/>
                <w:lang w:eastAsia="lv-LV"/>
              </w:rPr>
            </w:pPr>
            <w:r w:rsidRPr="00FB24A3">
              <w:rPr>
                <w:i/>
                <w:iCs/>
                <w:sz w:val="20"/>
                <w:lang w:eastAsia="lv-LV"/>
              </w:rPr>
              <w:t>5,2</w:t>
            </w:r>
          </w:p>
        </w:tc>
      </w:tr>
      <w:tr w:rsidR="00FB24A3" w:rsidRPr="00FB24A3" w:rsidTr="00DE76AF">
        <w:trPr>
          <w:trHeight w:val="27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left"/>
              <w:rPr>
                <w:b/>
                <w:bCs/>
                <w:sz w:val="20"/>
                <w:lang w:eastAsia="lv-LV"/>
              </w:rPr>
            </w:pPr>
            <w:r w:rsidRPr="00FB24A3">
              <w:rPr>
                <w:b/>
                <w:bCs/>
                <w:sz w:val="20"/>
                <w:lang w:eastAsia="lv-LV"/>
              </w:rPr>
              <w:t>2. Procentu izdevumi</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223,7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122,1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127,5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i/>
                <w:iCs/>
                <w:sz w:val="20"/>
                <w:lang w:eastAsia="lv-LV"/>
              </w:rPr>
            </w:pPr>
            <w:r w:rsidRPr="00FB24A3">
              <w:rPr>
                <w:b/>
                <w:bCs/>
                <w:i/>
                <w:iCs/>
                <w:sz w:val="20"/>
                <w:lang w:eastAsia="lv-LV"/>
              </w:rPr>
              <w:t>5,4</w:t>
            </w:r>
          </w:p>
        </w:tc>
      </w:tr>
      <w:tr w:rsidR="00FB24A3" w:rsidRPr="00FB24A3" w:rsidTr="00DE76AF">
        <w:trPr>
          <w:trHeight w:val="27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left"/>
              <w:rPr>
                <w:b/>
                <w:bCs/>
                <w:sz w:val="20"/>
                <w:lang w:eastAsia="lv-LV"/>
              </w:rPr>
            </w:pPr>
            <w:r w:rsidRPr="00FB24A3">
              <w:rPr>
                <w:b/>
                <w:bCs/>
                <w:sz w:val="20"/>
                <w:lang w:eastAsia="lv-LV"/>
              </w:rPr>
              <w:t>3. Subsīdijas, dotācijas un sociālie pabalsti</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1155,0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329,4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301,6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i/>
                <w:iCs/>
                <w:sz w:val="20"/>
                <w:lang w:eastAsia="lv-LV"/>
              </w:rPr>
            </w:pPr>
            <w:r w:rsidRPr="00FB24A3">
              <w:rPr>
                <w:b/>
                <w:bCs/>
                <w:i/>
                <w:iCs/>
                <w:sz w:val="20"/>
                <w:lang w:eastAsia="lv-LV"/>
              </w:rPr>
              <w:t>-27,8</w:t>
            </w:r>
          </w:p>
        </w:tc>
      </w:tr>
      <w:tr w:rsidR="00FB24A3" w:rsidRPr="00FB24A3" w:rsidTr="00DE76AF">
        <w:trPr>
          <w:trHeight w:val="25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left"/>
              <w:rPr>
                <w:sz w:val="20"/>
                <w:lang w:eastAsia="lv-LV"/>
              </w:rPr>
            </w:pPr>
            <w:r w:rsidRPr="00FB24A3">
              <w:rPr>
                <w:sz w:val="20"/>
                <w:lang w:eastAsia="lv-LV"/>
              </w:rPr>
              <w:t xml:space="preserve">      Subsīdijas un dotācijas</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center"/>
              <w:rPr>
                <w:sz w:val="20"/>
                <w:lang w:eastAsia="lv-LV"/>
              </w:rPr>
            </w:pPr>
            <w:r w:rsidRPr="00FB24A3">
              <w:rPr>
                <w:sz w:val="20"/>
                <w:lang w:eastAsia="lv-LV"/>
              </w:rPr>
              <w:t>1027,1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center"/>
              <w:rPr>
                <w:sz w:val="20"/>
                <w:lang w:eastAsia="lv-LV"/>
              </w:rPr>
            </w:pPr>
            <w:r w:rsidRPr="00FB24A3">
              <w:rPr>
                <w:sz w:val="20"/>
                <w:lang w:eastAsia="lv-LV"/>
              </w:rPr>
              <w:t>282,5</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center"/>
              <w:rPr>
                <w:sz w:val="20"/>
                <w:lang w:eastAsia="lv-LV"/>
              </w:rPr>
            </w:pPr>
            <w:r w:rsidRPr="00FB24A3">
              <w:rPr>
                <w:sz w:val="20"/>
                <w:lang w:eastAsia="lv-LV"/>
              </w:rPr>
              <w:t>255,9</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center"/>
              <w:rPr>
                <w:i/>
                <w:iCs/>
                <w:sz w:val="20"/>
                <w:lang w:eastAsia="lv-LV"/>
              </w:rPr>
            </w:pPr>
            <w:r w:rsidRPr="00FB24A3">
              <w:rPr>
                <w:i/>
                <w:iCs/>
                <w:sz w:val="20"/>
                <w:lang w:eastAsia="lv-LV"/>
              </w:rPr>
              <w:t>-26,6</w:t>
            </w:r>
          </w:p>
        </w:tc>
      </w:tr>
      <w:tr w:rsidR="00FB24A3" w:rsidRPr="00FB24A3" w:rsidTr="00DE76AF">
        <w:trPr>
          <w:trHeight w:val="255"/>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left"/>
              <w:rPr>
                <w:sz w:val="20"/>
                <w:lang w:eastAsia="lv-LV"/>
              </w:rPr>
            </w:pPr>
            <w:r w:rsidRPr="00FB24A3">
              <w:rPr>
                <w:sz w:val="20"/>
                <w:lang w:eastAsia="lv-LV"/>
              </w:rPr>
              <w:t xml:space="preserve">      Sociālie pabalsti</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sz w:val="20"/>
                <w:lang w:eastAsia="lv-LV"/>
              </w:rPr>
            </w:pPr>
            <w:r w:rsidRPr="00FB24A3">
              <w:rPr>
                <w:sz w:val="20"/>
                <w:lang w:eastAsia="lv-LV"/>
              </w:rPr>
              <w:t>127,9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sz w:val="20"/>
                <w:lang w:eastAsia="lv-LV"/>
              </w:rPr>
            </w:pPr>
            <w:r w:rsidRPr="00FB24A3">
              <w:rPr>
                <w:sz w:val="20"/>
                <w:lang w:eastAsia="lv-LV"/>
              </w:rPr>
              <w:t>46,9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sz w:val="20"/>
                <w:lang w:eastAsia="lv-LV"/>
              </w:rPr>
            </w:pPr>
            <w:r w:rsidRPr="00FB24A3">
              <w:rPr>
                <w:sz w:val="20"/>
                <w:lang w:eastAsia="lv-LV"/>
              </w:rPr>
              <w:t>45,7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i/>
                <w:iCs/>
                <w:sz w:val="20"/>
                <w:lang w:eastAsia="lv-LV"/>
              </w:rPr>
            </w:pPr>
            <w:r w:rsidRPr="00FB24A3">
              <w:rPr>
                <w:i/>
                <w:iCs/>
                <w:sz w:val="20"/>
                <w:lang w:eastAsia="lv-LV"/>
              </w:rPr>
              <w:t>-1,2</w:t>
            </w:r>
          </w:p>
        </w:tc>
      </w:tr>
      <w:tr w:rsidR="00FB24A3" w:rsidRPr="00FB24A3" w:rsidTr="00DE76AF">
        <w:trPr>
          <w:trHeight w:val="27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left"/>
              <w:rPr>
                <w:b/>
                <w:bCs/>
                <w:sz w:val="20"/>
                <w:lang w:eastAsia="lv-LV"/>
              </w:rPr>
            </w:pPr>
            <w:r w:rsidRPr="00FB24A3">
              <w:rPr>
                <w:b/>
                <w:bCs/>
                <w:sz w:val="20"/>
                <w:lang w:eastAsia="lv-LV"/>
              </w:rPr>
              <w:t>4. Kārtējie maksājumi EK budžetā un starptautiskā sadarbība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154,0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55,4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56,4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i/>
                <w:iCs/>
                <w:sz w:val="20"/>
                <w:lang w:eastAsia="lv-LV"/>
              </w:rPr>
            </w:pPr>
            <w:r w:rsidRPr="00FB24A3">
              <w:rPr>
                <w:b/>
                <w:bCs/>
                <w:i/>
                <w:iCs/>
                <w:sz w:val="20"/>
                <w:lang w:eastAsia="lv-LV"/>
              </w:rPr>
              <w:t>1,0</w:t>
            </w:r>
          </w:p>
        </w:tc>
      </w:tr>
      <w:tr w:rsidR="00FB24A3" w:rsidRPr="00FB24A3" w:rsidTr="00DE76AF">
        <w:trPr>
          <w:trHeight w:val="25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left"/>
              <w:rPr>
                <w:sz w:val="20"/>
                <w:lang w:eastAsia="lv-LV"/>
              </w:rPr>
            </w:pPr>
            <w:r w:rsidRPr="00FB24A3">
              <w:rPr>
                <w:sz w:val="20"/>
                <w:lang w:eastAsia="lv-LV"/>
              </w:rPr>
              <w:t xml:space="preserve">      Kārtējie maksājumi EK budžetā</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center"/>
              <w:rPr>
                <w:sz w:val="20"/>
                <w:lang w:eastAsia="lv-LV"/>
              </w:rPr>
            </w:pPr>
            <w:r w:rsidRPr="00FB24A3">
              <w:rPr>
                <w:sz w:val="20"/>
                <w:lang w:eastAsia="lv-LV"/>
              </w:rPr>
              <w:t>131,0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center"/>
              <w:rPr>
                <w:sz w:val="20"/>
                <w:lang w:eastAsia="lv-LV"/>
              </w:rPr>
            </w:pPr>
            <w:r w:rsidRPr="00FB24A3">
              <w:rPr>
                <w:sz w:val="20"/>
                <w:lang w:eastAsia="lv-LV"/>
              </w:rPr>
              <w:t>50,8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center"/>
              <w:rPr>
                <w:sz w:val="20"/>
                <w:lang w:eastAsia="lv-LV"/>
              </w:rPr>
            </w:pPr>
            <w:r w:rsidRPr="00FB24A3">
              <w:rPr>
                <w:sz w:val="20"/>
                <w:lang w:eastAsia="lv-LV"/>
              </w:rPr>
              <w:t>50,1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center"/>
              <w:rPr>
                <w:i/>
                <w:iCs/>
                <w:sz w:val="20"/>
                <w:lang w:eastAsia="lv-LV"/>
              </w:rPr>
            </w:pPr>
            <w:r w:rsidRPr="00FB24A3">
              <w:rPr>
                <w:i/>
                <w:iCs/>
                <w:sz w:val="20"/>
                <w:lang w:eastAsia="lv-LV"/>
              </w:rPr>
              <w:t>-0,7</w:t>
            </w:r>
          </w:p>
        </w:tc>
      </w:tr>
      <w:tr w:rsidR="00FB24A3" w:rsidRPr="00FB24A3" w:rsidTr="00DE76AF">
        <w:trPr>
          <w:trHeight w:val="25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left"/>
              <w:rPr>
                <w:sz w:val="20"/>
                <w:lang w:eastAsia="lv-LV"/>
              </w:rPr>
            </w:pPr>
            <w:r w:rsidRPr="00FB24A3">
              <w:rPr>
                <w:sz w:val="20"/>
                <w:lang w:eastAsia="lv-LV"/>
              </w:rPr>
              <w:t xml:space="preserve">      Starptautiskā sadarbība</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center"/>
              <w:rPr>
                <w:sz w:val="20"/>
                <w:lang w:eastAsia="lv-LV"/>
              </w:rPr>
            </w:pPr>
            <w:r w:rsidRPr="00FB24A3">
              <w:rPr>
                <w:sz w:val="20"/>
                <w:lang w:eastAsia="lv-LV"/>
              </w:rPr>
              <w:t>23,0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center"/>
              <w:rPr>
                <w:sz w:val="20"/>
                <w:lang w:eastAsia="lv-LV"/>
              </w:rPr>
            </w:pPr>
            <w:r w:rsidRPr="00FB24A3">
              <w:rPr>
                <w:sz w:val="20"/>
                <w:lang w:eastAsia="lv-LV"/>
              </w:rPr>
              <w:t>4,6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center"/>
              <w:rPr>
                <w:sz w:val="20"/>
                <w:lang w:eastAsia="lv-LV"/>
              </w:rPr>
            </w:pPr>
            <w:r w:rsidRPr="00FB24A3">
              <w:rPr>
                <w:sz w:val="20"/>
                <w:lang w:eastAsia="lv-LV"/>
              </w:rPr>
              <w:t>6,3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FB24A3" w:rsidRPr="00FB24A3" w:rsidRDefault="00FB24A3" w:rsidP="00FB24A3">
            <w:pPr>
              <w:jc w:val="center"/>
              <w:rPr>
                <w:i/>
                <w:iCs/>
                <w:sz w:val="20"/>
                <w:lang w:eastAsia="lv-LV"/>
              </w:rPr>
            </w:pPr>
            <w:r w:rsidRPr="00FB24A3">
              <w:rPr>
                <w:i/>
                <w:iCs/>
                <w:sz w:val="20"/>
                <w:lang w:eastAsia="lv-LV"/>
              </w:rPr>
              <w:t>1,7</w:t>
            </w:r>
          </w:p>
        </w:tc>
      </w:tr>
      <w:tr w:rsidR="00FB24A3" w:rsidRPr="00FB24A3" w:rsidTr="00DE76AF">
        <w:trPr>
          <w:trHeight w:val="27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left"/>
              <w:rPr>
                <w:b/>
                <w:bCs/>
                <w:sz w:val="20"/>
                <w:lang w:eastAsia="lv-LV"/>
              </w:rPr>
            </w:pPr>
            <w:r w:rsidRPr="00FB24A3">
              <w:rPr>
                <w:b/>
                <w:bCs/>
                <w:sz w:val="20"/>
                <w:lang w:eastAsia="lv-LV"/>
              </w:rPr>
              <w:t>5. Uzturēšanas izdevumu transferti</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525,4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161,3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171,5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i/>
                <w:iCs/>
                <w:sz w:val="20"/>
                <w:lang w:eastAsia="lv-LV"/>
              </w:rPr>
            </w:pPr>
            <w:r w:rsidRPr="00FB24A3">
              <w:rPr>
                <w:b/>
                <w:bCs/>
                <w:i/>
                <w:iCs/>
                <w:sz w:val="20"/>
                <w:lang w:eastAsia="lv-LV"/>
              </w:rPr>
              <w:t>10,2</w:t>
            </w:r>
          </w:p>
        </w:tc>
      </w:tr>
      <w:tr w:rsidR="00FB24A3" w:rsidRPr="00FB24A3" w:rsidTr="00DE76AF">
        <w:trPr>
          <w:trHeight w:val="25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left"/>
              <w:rPr>
                <w:sz w:val="20"/>
                <w:lang w:eastAsia="lv-LV"/>
              </w:rPr>
            </w:pPr>
            <w:r w:rsidRPr="00FB24A3">
              <w:rPr>
                <w:sz w:val="20"/>
                <w:lang w:eastAsia="lv-LV"/>
              </w:rPr>
              <w:t xml:space="preserve">      Valsts budžeta uzturēšanas izdevumu transferti</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sz w:val="20"/>
                <w:lang w:eastAsia="lv-LV"/>
              </w:rPr>
            </w:pPr>
            <w:r w:rsidRPr="00FB24A3">
              <w:rPr>
                <w:sz w:val="20"/>
                <w:lang w:eastAsia="lv-LV"/>
              </w:rPr>
              <w:t>15,2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sz w:val="20"/>
                <w:lang w:eastAsia="lv-LV"/>
              </w:rPr>
            </w:pPr>
            <w:r w:rsidRPr="00FB24A3">
              <w:rPr>
                <w:sz w:val="20"/>
                <w:lang w:eastAsia="lv-LV"/>
              </w:rPr>
              <w:t>5,8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sz w:val="20"/>
                <w:lang w:eastAsia="lv-LV"/>
              </w:rPr>
            </w:pPr>
            <w:r w:rsidRPr="00FB24A3">
              <w:rPr>
                <w:sz w:val="20"/>
                <w:lang w:eastAsia="lv-LV"/>
              </w:rPr>
              <w:t>5,0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i/>
                <w:iCs/>
                <w:sz w:val="20"/>
                <w:lang w:eastAsia="lv-LV"/>
              </w:rPr>
            </w:pPr>
            <w:r w:rsidRPr="00FB24A3">
              <w:rPr>
                <w:i/>
                <w:iCs/>
                <w:sz w:val="20"/>
                <w:lang w:eastAsia="lv-LV"/>
              </w:rPr>
              <w:t>-0,8</w:t>
            </w:r>
          </w:p>
        </w:tc>
      </w:tr>
      <w:tr w:rsidR="00FB24A3" w:rsidRPr="00FB24A3" w:rsidTr="00DE76AF">
        <w:trPr>
          <w:trHeight w:val="25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left"/>
              <w:rPr>
                <w:sz w:val="20"/>
                <w:lang w:eastAsia="lv-LV"/>
              </w:rPr>
            </w:pPr>
            <w:r w:rsidRPr="00FB24A3">
              <w:rPr>
                <w:sz w:val="20"/>
                <w:lang w:eastAsia="lv-LV"/>
              </w:rPr>
              <w:t xml:space="preserve">      Mērķdotācijas pašvaldību budžetiem</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sz w:val="20"/>
                <w:lang w:eastAsia="lv-LV"/>
              </w:rPr>
            </w:pPr>
            <w:r w:rsidRPr="00FB24A3">
              <w:rPr>
                <w:sz w:val="20"/>
                <w:lang w:eastAsia="lv-LV"/>
              </w:rPr>
              <w:t>271,2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sz w:val="20"/>
                <w:lang w:eastAsia="lv-LV"/>
              </w:rPr>
            </w:pPr>
            <w:r w:rsidRPr="00FB24A3">
              <w:rPr>
                <w:sz w:val="20"/>
                <w:lang w:eastAsia="lv-LV"/>
              </w:rPr>
              <w:t>88,9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sz w:val="20"/>
                <w:lang w:eastAsia="lv-LV"/>
              </w:rPr>
            </w:pPr>
            <w:r w:rsidRPr="00FB24A3">
              <w:rPr>
                <w:sz w:val="20"/>
                <w:lang w:eastAsia="lv-LV"/>
              </w:rPr>
              <w:t>94,1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i/>
                <w:iCs/>
                <w:sz w:val="20"/>
                <w:lang w:eastAsia="lv-LV"/>
              </w:rPr>
            </w:pPr>
            <w:r w:rsidRPr="00FB24A3">
              <w:rPr>
                <w:i/>
                <w:iCs/>
                <w:sz w:val="20"/>
                <w:lang w:eastAsia="lv-LV"/>
              </w:rPr>
              <w:t>5,1</w:t>
            </w:r>
          </w:p>
        </w:tc>
      </w:tr>
      <w:tr w:rsidR="00FB24A3" w:rsidRPr="00FB24A3" w:rsidTr="00DE76AF">
        <w:trPr>
          <w:trHeight w:val="25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left"/>
              <w:rPr>
                <w:sz w:val="20"/>
                <w:lang w:eastAsia="lv-LV"/>
              </w:rPr>
            </w:pPr>
            <w:r w:rsidRPr="00FB24A3">
              <w:rPr>
                <w:sz w:val="20"/>
                <w:lang w:eastAsia="lv-LV"/>
              </w:rPr>
              <w:t xml:space="preserve">      Dotācijas un citi transferti pašvaldību budžetiem</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sz w:val="20"/>
                <w:lang w:eastAsia="lv-LV"/>
              </w:rPr>
            </w:pPr>
            <w:r w:rsidRPr="00FB24A3">
              <w:rPr>
                <w:sz w:val="20"/>
                <w:lang w:eastAsia="lv-LV"/>
              </w:rPr>
              <w:t>239,1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sz w:val="20"/>
                <w:lang w:eastAsia="lv-LV"/>
              </w:rPr>
            </w:pPr>
            <w:r w:rsidRPr="00FB24A3">
              <w:rPr>
                <w:sz w:val="20"/>
                <w:lang w:eastAsia="lv-LV"/>
              </w:rPr>
              <w:t>66,6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sz w:val="20"/>
                <w:lang w:eastAsia="lv-LV"/>
              </w:rPr>
            </w:pPr>
            <w:r w:rsidRPr="00FB24A3">
              <w:rPr>
                <w:sz w:val="20"/>
                <w:lang w:eastAsia="lv-LV"/>
              </w:rPr>
              <w:t>72,5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i/>
                <w:iCs/>
                <w:sz w:val="20"/>
                <w:lang w:eastAsia="lv-LV"/>
              </w:rPr>
            </w:pPr>
            <w:r w:rsidRPr="00FB24A3">
              <w:rPr>
                <w:i/>
                <w:iCs/>
                <w:sz w:val="20"/>
                <w:lang w:eastAsia="lv-LV"/>
              </w:rPr>
              <w:t>5,9</w:t>
            </w:r>
          </w:p>
        </w:tc>
      </w:tr>
      <w:tr w:rsidR="00FB24A3" w:rsidRPr="00FB24A3" w:rsidTr="00DE76AF">
        <w:trPr>
          <w:trHeight w:val="27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left"/>
              <w:rPr>
                <w:b/>
                <w:bCs/>
                <w:sz w:val="20"/>
                <w:lang w:eastAsia="lv-LV"/>
              </w:rPr>
            </w:pPr>
            <w:r w:rsidRPr="00FB24A3">
              <w:rPr>
                <w:b/>
                <w:bCs/>
                <w:sz w:val="20"/>
                <w:lang w:eastAsia="lv-LV"/>
              </w:rPr>
              <w:t>Kapitālie izdevumi</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421,4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64,5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i/>
                <w:iCs/>
                <w:sz w:val="20"/>
                <w:lang w:eastAsia="lv-LV"/>
              </w:rPr>
            </w:pPr>
            <w:r w:rsidRPr="00FB24A3">
              <w:rPr>
                <w:b/>
                <w:bCs/>
                <w:i/>
                <w:iCs/>
                <w:sz w:val="20"/>
                <w:lang w:eastAsia="lv-LV"/>
              </w:rPr>
              <w:t>32,0</w:t>
            </w:r>
          </w:p>
        </w:tc>
      </w:tr>
      <w:tr w:rsidR="00FB24A3" w:rsidRPr="00FB24A3" w:rsidTr="00DE76AF">
        <w:trPr>
          <w:trHeight w:val="27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left"/>
              <w:rPr>
                <w:b/>
                <w:bCs/>
                <w:sz w:val="20"/>
                <w:lang w:eastAsia="lv-LV"/>
              </w:rPr>
            </w:pPr>
            <w:r w:rsidRPr="00FB24A3">
              <w:rPr>
                <w:b/>
                <w:bCs/>
                <w:sz w:val="20"/>
                <w:lang w:eastAsia="lv-LV"/>
              </w:rPr>
              <w:t>1. Pamatkapitāla veidošana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324,7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21,4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50,3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i/>
                <w:iCs/>
                <w:sz w:val="20"/>
                <w:lang w:eastAsia="lv-LV"/>
              </w:rPr>
            </w:pPr>
            <w:r w:rsidRPr="00FB24A3">
              <w:rPr>
                <w:b/>
                <w:bCs/>
                <w:i/>
                <w:iCs/>
                <w:sz w:val="20"/>
                <w:lang w:eastAsia="lv-LV"/>
              </w:rPr>
              <w:t>28,9</w:t>
            </w:r>
          </w:p>
        </w:tc>
      </w:tr>
      <w:tr w:rsidR="00FB24A3" w:rsidRPr="00FB24A3" w:rsidTr="00DE76AF">
        <w:trPr>
          <w:trHeight w:val="27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left"/>
              <w:rPr>
                <w:b/>
                <w:bCs/>
                <w:sz w:val="20"/>
                <w:lang w:eastAsia="lv-LV"/>
              </w:rPr>
            </w:pPr>
            <w:r w:rsidRPr="00FB24A3">
              <w:rPr>
                <w:b/>
                <w:bCs/>
                <w:sz w:val="20"/>
                <w:lang w:eastAsia="lv-LV"/>
              </w:rPr>
              <w:t>2. Kapitālo izdevumu transferti, mērķdotācijas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96,7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11,1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sz w:val="20"/>
                <w:lang w:eastAsia="lv-LV"/>
              </w:rPr>
            </w:pPr>
            <w:r w:rsidRPr="00FB24A3">
              <w:rPr>
                <w:b/>
                <w:bCs/>
                <w:sz w:val="20"/>
                <w:lang w:eastAsia="lv-LV"/>
              </w:rPr>
              <w:t>14,2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24A3" w:rsidRPr="00FB24A3" w:rsidRDefault="00FB24A3" w:rsidP="00FB24A3">
            <w:pPr>
              <w:jc w:val="center"/>
              <w:rPr>
                <w:b/>
                <w:bCs/>
                <w:i/>
                <w:iCs/>
                <w:sz w:val="20"/>
                <w:lang w:eastAsia="lv-LV"/>
              </w:rPr>
            </w:pPr>
            <w:r w:rsidRPr="00FB24A3">
              <w:rPr>
                <w:b/>
                <w:bCs/>
                <w:i/>
                <w:iCs/>
                <w:sz w:val="20"/>
                <w:lang w:eastAsia="lv-LV"/>
              </w:rPr>
              <w:t>3,1</w:t>
            </w:r>
          </w:p>
        </w:tc>
      </w:tr>
      <w:tr w:rsidR="00FB24A3" w:rsidRPr="00FB24A3" w:rsidTr="00DE76AF">
        <w:trPr>
          <w:trHeight w:val="25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FB24A3" w:rsidRPr="00FB24A3" w:rsidRDefault="00FB24A3" w:rsidP="00FB24A3">
            <w:pPr>
              <w:jc w:val="center"/>
              <w:rPr>
                <w:b/>
                <w:bCs/>
                <w:sz w:val="20"/>
                <w:lang w:eastAsia="lv-LV"/>
              </w:rPr>
            </w:pPr>
            <w:r w:rsidRPr="00FB24A3">
              <w:rPr>
                <w:b/>
                <w:bCs/>
                <w:sz w:val="20"/>
                <w:lang w:eastAsia="lv-LV"/>
              </w:rPr>
              <w:t>PAMATBUDŽETA FINANSIĀLĀ BILANCE</w:t>
            </w:r>
          </w:p>
        </w:tc>
        <w:tc>
          <w:tcPr>
            <w:tcW w:w="1559" w:type="dxa"/>
            <w:tcBorders>
              <w:top w:val="nil"/>
              <w:left w:val="nil"/>
              <w:bottom w:val="single" w:sz="4" w:space="0" w:color="auto"/>
              <w:right w:val="single" w:sz="4" w:space="0" w:color="auto"/>
            </w:tcBorders>
            <w:shd w:val="clear" w:color="auto" w:fill="auto"/>
            <w:noWrap/>
            <w:vAlign w:val="center"/>
            <w:hideMark/>
          </w:tcPr>
          <w:p w:rsidR="00FB24A3" w:rsidRPr="00FB24A3" w:rsidRDefault="00FB24A3" w:rsidP="00FB24A3">
            <w:pPr>
              <w:jc w:val="center"/>
              <w:rPr>
                <w:b/>
                <w:bCs/>
                <w:sz w:val="20"/>
                <w:lang w:eastAsia="lv-LV"/>
              </w:rPr>
            </w:pPr>
            <w:r w:rsidRPr="00FB24A3">
              <w:rPr>
                <w:b/>
                <w:bCs/>
                <w:sz w:val="20"/>
                <w:lang w:eastAsia="lv-LV"/>
              </w:rPr>
              <w:t>-288,1</w:t>
            </w:r>
          </w:p>
        </w:tc>
        <w:tc>
          <w:tcPr>
            <w:tcW w:w="1134" w:type="dxa"/>
            <w:tcBorders>
              <w:top w:val="nil"/>
              <w:left w:val="nil"/>
              <w:bottom w:val="single" w:sz="4" w:space="0" w:color="auto"/>
              <w:right w:val="single" w:sz="4" w:space="0" w:color="auto"/>
            </w:tcBorders>
            <w:shd w:val="clear" w:color="auto" w:fill="auto"/>
            <w:noWrap/>
            <w:vAlign w:val="center"/>
            <w:hideMark/>
          </w:tcPr>
          <w:p w:rsidR="00FB24A3" w:rsidRPr="00FB24A3" w:rsidRDefault="00FB24A3" w:rsidP="00FB24A3">
            <w:pPr>
              <w:jc w:val="center"/>
              <w:rPr>
                <w:b/>
                <w:bCs/>
                <w:sz w:val="20"/>
                <w:lang w:eastAsia="lv-LV"/>
              </w:rPr>
            </w:pPr>
            <w:r w:rsidRPr="00FB24A3">
              <w:rPr>
                <w:b/>
                <w:bCs/>
                <w:sz w:val="20"/>
                <w:lang w:eastAsia="lv-LV"/>
              </w:rPr>
              <w:t>-31,0</w:t>
            </w:r>
          </w:p>
        </w:tc>
        <w:tc>
          <w:tcPr>
            <w:tcW w:w="1134" w:type="dxa"/>
            <w:tcBorders>
              <w:top w:val="nil"/>
              <w:left w:val="nil"/>
              <w:bottom w:val="single" w:sz="4" w:space="0" w:color="auto"/>
              <w:right w:val="single" w:sz="4" w:space="0" w:color="auto"/>
            </w:tcBorders>
            <w:shd w:val="clear" w:color="auto" w:fill="auto"/>
            <w:noWrap/>
            <w:vAlign w:val="center"/>
            <w:hideMark/>
          </w:tcPr>
          <w:p w:rsidR="00FB24A3" w:rsidRPr="00FB24A3" w:rsidRDefault="00FB24A3" w:rsidP="00FB24A3">
            <w:pPr>
              <w:jc w:val="center"/>
              <w:rPr>
                <w:b/>
                <w:bCs/>
                <w:sz w:val="20"/>
                <w:lang w:eastAsia="lv-LV"/>
              </w:rPr>
            </w:pPr>
            <w:r w:rsidRPr="00FB24A3">
              <w:rPr>
                <w:b/>
                <w:bCs/>
                <w:sz w:val="20"/>
                <w:lang w:eastAsia="lv-LV"/>
              </w:rPr>
              <w:t>-198,5</w:t>
            </w:r>
          </w:p>
        </w:tc>
        <w:tc>
          <w:tcPr>
            <w:tcW w:w="1134" w:type="dxa"/>
            <w:tcBorders>
              <w:top w:val="nil"/>
              <w:left w:val="nil"/>
              <w:bottom w:val="single" w:sz="4" w:space="0" w:color="auto"/>
              <w:right w:val="single" w:sz="4" w:space="0" w:color="auto"/>
            </w:tcBorders>
            <w:shd w:val="clear" w:color="auto" w:fill="auto"/>
            <w:noWrap/>
            <w:vAlign w:val="center"/>
            <w:hideMark/>
          </w:tcPr>
          <w:p w:rsidR="00FB24A3" w:rsidRPr="00FB24A3" w:rsidRDefault="00FB24A3" w:rsidP="00FB24A3">
            <w:pPr>
              <w:jc w:val="center"/>
              <w:rPr>
                <w:b/>
                <w:bCs/>
                <w:sz w:val="20"/>
                <w:lang w:eastAsia="lv-LV"/>
              </w:rPr>
            </w:pPr>
            <w:r w:rsidRPr="00FB24A3">
              <w:rPr>
                <w:b/>
                <w:bCs/>
                <w:sz w:val="20"/>
                <w:lang w:eastAsia="lv-LV"/>
              </w:rPr>
              <w:t>-167,5</w:t>
            </w:r>
          </w:p>
        </w:tc>
      </w:tr>
    </w:tbl>
    <w:p w:rsidR="00FB24A3" w:rsidRDefault="00FC7364">
      <w:pPr>
        <w:jc w:val="left"/>
        <w:rPr>
          <w:szCs w:val="24"/>
        </w:rPr>
      </w:pPr>
      <w:r>
        <w:rPr>
          <w:szCs w:val="24"/>
        </w:rPr>
        <w:t xml:space="preserve"> </w:t>
      </w:r>
    </w:p>
    <w:p w:rsidR="00804421" w:rsidRDefault="00804421">
      <w:pPr>
        <w:jc w:val="left"/>
        <w:rPr>
          <w:szCs w:val="24"/>
        </w:rPr>
      </w:pPr>
    </w:p>
    <w:p w:rsidR="00693D44" w:rsidRDefault="000A54C4" w:rsidP="00B85B24">
      <w:pPr>
        <w:spacing w:after="120"/>
        <w:ind w:firstLine="720"/>
        <w:rPr>
          <w:szCs w:val="24"/>
        </w:rPr>
      </w:pPr>
      <w:r w:rsidRPr="00B85B24">
        <w:rPr>
          <w:szCs w:val="24"/>
        </w:rPr>
        <w:t xml:space="preserve">Pamatbudžeta nodokļu ieņēmumu salīdzinājums starp 2011.gada </w:t>
      </w:r>
      <w:r w:rsidR="00F502F5">
        <w:rPr>
          <w:szCs w:val="24"/>
        </w:rPr>
        <w:t>četriem</w:t>
      </w:r>
      <w:r w:rsidR="00F502F5" w:rsidRPr="00B85B24">
        <w:rPr>
          <w:szCs w:val="24"/>
        </w:rPr>
        <w:t xml:space="preserve"> </w:t>
      </w:r>
      <w:r w:rsidRPr="00B85B24">
        <w:rPr>
          <w:szCs w:val="24"/>
        </w:rPr>
        <w:t xml:space="preserve">mēnešiem un iepriekšējā gada atbilstošo periodu ir sniegts iepriekšējās nodaļās. Attiecībā uz 2011.gada </w:t>
      </w:r>
      <w:r w:rsidR="00F502F5">
        <w:rPr>
          <w:szCs w:val="24"/>
        </w:rPr>
        <w:t>četros</w:t>
      </w:r>
      <w:r w:rsidR="00F502F5" w:rsidRPr="00B85B24">
        <w:rPr>
          <w:szCs w:val="24"/>
        </w:rPr>
        <w:t xml:space="preserve"> </w:t>
      </w:r>
      <w:r w:rsidRPr="00B85B24">
        <w:rPr>
          <w:szCs w:val="24"/>
        </w:rPr>
        <w:t>mēnešos vērojamo straujo samazinājumu ārvals</w:t>
      </w:r>
      <w:r w:rsidR="00B85B24" w:rsidRPr="00B85B24">
        <w:rPr>
          <w:szCs w:val="24"/>
        </w:rPr>
        <w:t>tu finanšu palīdzības ieņēmumos</w:t>
      </w:r>
      <w:r w:rsidR="009A4B58">
        <w:rPr>
          <w:szCs w:val="24"/>
        </w:rPr>
        <w:t xml:space="preserve">, </w:t>
      </w:r>
      <w:r w:rsidR="009A4B58">
        <w:rPr>
          <w:szCs w:val="24"/>
        </w:rPr>
        <w:lastRenderedPageBreak/>
        <w:t>vēršam uzmanību uz to, ka, s</w:t>
      </w:r>
      <w:r w:rsidR="00693D44" w:rsidRPr="00B85B24">
        <w:rPr>
          <w:szCs w:val="24"/>
        </w:rPr>
        <w:t xml:space="preserve">aņemot EK audita par Revīzijas iestādes darbu Latvijā ziņojuma projektu ar norādi uz iespējamiem būtiskiem trūkumiem vadības un kontroles sistēmā un </w:t>
      </w:r>
      <w:r w:rsidR="009A4B58" w:rsidRPr="00B85B24">
        <w:rPr>
          <w:szCs w:val="24"/>
        </w:rPr>
        <w:t>pārrunājot</w:t>
      </w:r>
      <w:r w:rsidR="009A4B58">
        <w:rPr>
          <w:szCs w:val="24"/>
        </w:rPr>
        <w:t xml:space="preserve"> to </w:t>
      </w:r>
      <w:r w:rsidR="00693D44" w:rsidRPr="00B85B24">
        <w:rPr>
          <w:szCs w:val="24"/>
        </w:rPr>
        <w:t xml:space="preserve">ar EK, Latvija izvēlējās rīcību uz laiku pārtraukt izdevumu deklarēšanu un maksājumu pieteikumu iesniegšanu Kohēzijas fonda un Eiropas reģionālās attīstības fonda finansēto programmu ietvaros. Attiecīgi Latvijai kavēti maksājumi no EK un nepieciešamie ieņēmumi </w:t>
      </w:r>
      <w:r w:rsidR="00B85B24" w:rsidRPr="00B85B24">
        <w:rPr>
          <w:szCs w:val="24"/>
        </w:rPr>
        <w:t>budžetā par veiktiem izdevumiem.</w:t>
      </w:r>
    </w:p>
    <w:p w:rsidR="00804421" w:rsidRDefault="00F4729C" w:rsidP="005118D3">
      <w:pPr>
        <w:ind w:firstLine="720"/>
        <w:rPr>
          <w:szCs w:val="24"/>
        </w:rPr>
      </w:pPr>
      <w:r>
        <w:rPr>
          <w:szCs w:val="24"/>
        </w:rPr>
        <w:t>Analizējot 4</w:t>
      </w:r>
      <w:r w:rsidR="00804421">
        <w:rPr>
          <w:szCs w:val="24"/>
        </w:rPr>
        <w:t>.</w:t>
      </w:r>
      <w:r>
        <w:rPr>
          <w:szCs w:val="24"/>
        </w:rPr>
        <w:t>1. </w:t>
      </w:r>
      <w:r w:rsidR="00804421">
        <w:rPr>
          <w:szCs w:val="24"/>
        </w:rPr>
        <w:t xml:space="preserve">tabulā sniegto informāciju var secināt, ka lielākās izmaiņas pamatbudžeta izdevumos 2011.gada </w:t>
      </w:r>
      <w:r w:rsidR="0042405B">
        <w:rPr>
          <w:szCs w:val="24"/>
        </w:rPr>
        <w:t xml:space="preserve">četros mēnešos </w:t>
      </w:r>
      <w:r w:rsidR="00804421">
        <w:rPr>
          <w:szCs w:val="24"/>
        </w:rPr>
        <w:t xml:space="preserve">salīdzinot ar 2010.gada </w:t>
      </w:r>
      <w:r w:rsidR="0042405B">
        <w:rPr>
          <w:szCs w:val="24"/>
        </w:rPr>
        <w:t xml:space="preserve">četriem </w:t>
      </w:r>
      <w:r w:rsidR="00804421">
        <w:rPr>
          <w:szCs w:val="24"/>
        </w:rPr>
        <w:t>mēnešiem ir vērojamas</w:t>
      </w:r>
      <w:r w:rsidR="00252040">
        <w:rPr>
          <w:szCs w:val="24"/>
        </w:rPr>
        <w:t xml:space="preserve"> </w:t>
      </w:r>
      <w:r w:rsidR="000A54C4">
        <w:rPr>
          <w:szCs w:val="24"/>
        </w:rPr>
        <w:t xml:space="preserve">sekojošās </w:t>
      </w:r>
      <w:r w:rsidR="00252040">
        <w:rPr>
          <w:szCs w:val="24"/>
        </w:rPr>
        <w:t>pamatbudžeta izdevumu pozīcijās</w:t>
      </w:r>
      <w:r w:rsidR="000A54C4">
        <w:rPr>
          <w:szCs w:val="24"/>
        </w:rPr>
        <w:t>:</w:t>
      </w:r>
    </w:p>
    <w:p w:rsidR="00252040" w:rsidRDefault="00252040">
      <w:pPr>
        <w:jc w:val="left"/>
        <w:rPr>
          <w:szCs w:val="24"/>
        </w:rPr>
      </w:pPr>
    </w:p>
    <w:p w:rsidR="00252040" w:rsidRPr="00701176" w:rsidRDefault="00252040" w:rsidP="00252040">
      <w:pPr>
        <w:pStyle w:val="ListParagraph"/>
        <w:numPr>
          <w:ilvl w:val="0"/>
          <w:numId w:val="30"/>
        </w:numPr>
        <w:spacing w:after="120" w:line="276" w:lineRule="auto"/>
        <w:contextualSpacing/>
        <w:jc w:val="both"/>
      </w:pPr>
      <w:r w:rsidRPr="00701176">
        <w:t>Atlīdzība</w:t>
      </w:r>
    </w:p>
    <w:p w:rsidR="00252040" w:rsidRDefault="00252040" w:rsidP="00252040">
      <w:pPr>
        <w:spacing w:after="120"/>
        <w:ind w:firstLine="720"/>
        <w:rPr>
          <w:szCs w:val="24"/>
        </w:rPr>
      </w:pPr>
      <w:r w:rsidRPr="007A3D84">
        <w:rPr>
          <w:szCs w:val="24"/>
        </w:rPr>
        <w:t>Šajā izdevumu pozīcijā 2011.gada janvārī</w:t>
      </w:r>
      <w:r w:rsidR="00701176">
        <w:rPr>
          <w:szCs w:val="24"/>
        </w:rPr>
        <w:t xml:space="preserve"> bija</w:t>
      </w:r>
      <w:r w:rsidRPr="007A3D84">
        <w:rPr>
          <w:szCs w:val="24"/>
        </w:rPr>
        <w:t xml:space="preserve"> novērojams samazinājums par 5,9 </w:t>
      </w:r>
      <w:proofErr w:type="spellStart"/>
      <w:r w:rsidRPr="007A3D84">
        <w:rPr>
          <w:szCs w:val="24"/>
        </w:rPr>
        <w:t>milj</w:t>
      </w:r>
      <w:proofErr w:type="spellEnd"/>
      <w:r w:rsidRPr="007A3D84">
        <w:rPr>
          <w:szCs w:val="24"/>
        </w:rPr>
        <w:t>. latu salīdzinot ar iepriekšējā gada attiecīgo periodu, kas ir daļēji izskaidrojams ar to, ka dažas valsts budžeta iestādes izmaksāja atalgojumus par janvāri jau 2010.gada decembra beigās</w:t>
      </w:r>
      <w:r w:rsidR="00701176">
        <w:rPr>
          <w:szCs w:val="24"/>
        </w:rPr>
        <w:t xml:space="preserve">. 2011.gada </w:t>
      </w:r>
      <w:r w:rsidR="0042405B">
        <w:rPr>
          <w:szCs w:val="24"/>
        </w:rPr>
        <w:t xml:space="preserve">četros </w:t>
      </w:r>
      <w:r w:rsidR="00701176">
        <w:rPr>
          <w:szCs w:val="24"/>
        </w:rPr>
        <w:t xml:space="preserve">mēnešos salīdzinot ar 2010.gada atbilstošo periodu joprojām vērojami zemāki izdevumi </w:t>
      </w:r>
      <w:r w:rsidR="005118D3">
        <w:rPr>
          <w:szCs w:val="24"/>
        </w:rPr>
        <w:t>atalgojumam</w:t>
      </w:r>
      <w:r w:rsidR="00701176">
        <w:rPr>
          <w:szCs w:val="24"/>
        </w:rPr>
        <w:t>.</w:t>
      </w:r>
      <w:r w:rsidRPr="007A3D84">
        <w:rPr>
          <w:szCs w:val="24"/>
        </w:rPr>
        <w:t xml:space="preserve"> </w:t>
      </w:r>
    </w:p>
    <w:p w:rsidR="000A54C4" w:rsidRDefault="000A54C4" w:rsidP="000A54C4">
      <w:pPr>
        <w:pStyle w:val="ListParagraph"/>
        <w:numPr>
          <w:ilvl w:val="0"/>
          <w:numId w:val="30"/>
        </w:numPr>
        <w:spacing w:after="120"/>
      </w:pPr>
      <w:r>
        <w:t>Procentu izdevumi</w:t>
      </w:r>
    </w:p>
    <w:p w:rsidR="00701176" w:rsidRDefault="00701176" w:rsidP="00701176">
      <w:pPr>
        <w:ind w:firstLine="720"/>
      </w:pPr>
      <w:r>
        <w:t xml:space="preserve">2011.gadā pirmajos četros mēnešos salīdzinot ar iepriekšēja gada atbilstošo periodu ir mainījusies procentu izdevumu struktūra, </w:t>
      </w:r>
      <w:proofErr w:type="spellStart"/>
      <w:r>
        <w:t>t.i</w:t>
      </w:r>
      <w:proofErr w:type="spellEnd"/>
      <w:r>
        <w:t xml:space="preserve">. par 19,7 </w:t>
      </w:r>
      <w:proofErr w:type="spellStart"/>
      <w:r>
        <w:t>milj.latu</w:t>
      </w:r>
      <w:proofErr w:type="spellEnd"/>
      <w:r>
        <w:t xml:space="preserve"> samazinājušies procentu maksājumi VSAA par Valsts kasē izvietotajiem depozītiem un kontu atlikumiem, bet par 26,1 </w:t>
      </w:r>
      <w:proofErr w:type="spellStart"/>
      <w:r>
        <w:t>milj.latu</w:t>
      </w:r>
      <w:proofErr w:type="spellEnd"/>
      <w:r>
        <w:t xml:space="preserve"> palielinājušies procentu maksājumi par ārējā parāda saistībām, ko noteica saņemtie aizdevumi starptautiskā aizņēmuma programmas ietvaros.</w:t>
      </w:r>
    </w:p>
    <w:p w:rsidR="000A54C4" w:rsidRDefault="000A54C4" w:rsidP="000A54C4">
      <w:pPr>
        <w:pStyle w:val="ListParagraph"/>
        <w:numPr>
          <w:ilvl w:val="0"/>
          <w:numId w:val="30"/>
        </w:numPr>
        <w:spacing w:after="120"/>
      </w:pPr>
      <w:r>
        <w:t>Subsīdijas un dotācijas</w:t>
      </w:r>
    </w:p>
    <w:p w:rsidR="00B85B24" w:rsidRPr="00B85B24" w:rsidRDefault="00701176" w:rsidP="00B85B24">
      <w:pPr>
        <w:spacing w:after="120"/>
        <w:ind w:firstLine="720"/>
        <w:rPr>
          <w:szCs w:val="24"/>
        </w:rPr>
      </w:pPr>
      <w:r w:rsidRPr="00B85B24">
        <w:rPr>
          <w:szCs w:val="24"/>
        </w:rPr>
        <w:t xml:space="preserve">Lielākais kritums </w:t>
      </w:r>
      <w:r w:rsidR="005118D3" w:rsidRPr="00B85B24">
        <w:rPr>
          <w:szCs w:val="24"/>
        </w:rPr>
        <w:t>šajā izdevumu pozīcijā</w:t>
      </w:r>
      <w:r w:rsidR="0042405B">
        <w:rPr>
          <w:szCs w:val="24"/>
        </w:rPr>
        <w:t xml:space="preserve"> </w:t>
      </w:r>
      <w:r w:rsidR="005118D3" w:rsidRPr="00B85B24">
        <w:rPr>
          <w:szCs w:val="24"/>
        </w:rPr>
        <w:t xml:space="preserve"> 2011.gada</w:t>
      </w:r>
      <w:r w:rsidR="00D87369" w:rsidRPr="00B85B24">
        <w:rPr>
          <w:szCs w:val="24"/>
        </w:rPr>
        <w:t xml:space="preserve"> </w:t>
      </w:r>
      <w:r w:rsidR="0042405B">
        <w:rPr>
          <w:szCs w:val="24"/>
        </w:rPr>
        <w:t>pirmajos četros</w:t>
      </w:r>
      <w:r w:rsidR="0042405B" w:rsidRPr="00B85B24">
        <w:rPr>
          <w:szCs w:val="24"/>
        </w:rPr>
        <w:t xml:space="preserve"> </w:t>
      </w:r>
      <w:r w:rsidR="00D87369" w:rsidRPr="00B85B24">
        <w:rPr>
          <w:szCs w:val="24"/>
        </w:rPr>
        <w:t>mēnešos bija vērojams</w:t>
      </w:r>
      <w:r w:rsidR="005118D3" w:rsidRPr="00B85B24">
        <w:rPr>
          <w:szCs w:val="24"/>
        </w:rPr>
        <w:t xml:space="preserve"> janvārī</w:t>
      </w:r>
      <w:r w:rsidR="0042405B">
        <w:rPr>
          <w:szCs w:val="24"/>
        </w:rPr>
        <w:t xml:space="preserve">, kad izdevumi samazinājās </w:t>
      </w:r>
      <w:r w:rsidRPr="00B85B24">
        <w:rPr>
          <w:szCs w:val="24"/>
        </w:rPr>
        <w:t xml:space="preserve">par 18,9 </w:t>
      </w:r>
      <w:proofErr w:type="spellStart"/>
      <w:r w:rsidRPr="00B85B24">
        <w:rPr>
          <w:szCs w:val="24"/>
        </w:rPr>
        <w:t>milj</w:t>
      </w:r>
      <w:proofErr w:type="spellEnd"/>
      <w:r w:rsidRPr="00B85B24">
        <w:rPr>
          <w:szCs w:val="24"/>
        </w:rPr>
        <w:t>.</w:t>
      </w:r>
      <w:r w:rsidR="00D87369" w:rsidRPr="00B85B24">
        <w:rPr>
          <w:szCs w:val="24"/>
        </w:rPr>
        <w:t xml:space="preserve"> </w:t>
      </w:r>
      <w:r w:rsidRPr="00B85B24">
        <w:rPr>
          <w:szCs w:val="24"/>
        </w:rPr>
        <w:t xml:space="preserve">latu </w:t>
      </w:r>
      <w:r w:rsidR="005118D3" w:rsidRPr="00B85B24">
        <w:rPr>
          <w:szCs w:val="24"/>
        </w:rPr>
        <w:t xml:space="preserve">un februārī  - par 9,2 </w:t>
      </w:r>
      <w:proofErr w:type="spellStart"/>
      <w:r w:rsidR="005118D3" w:rsidRPr="00B85B24">
        <w:rPr>
          <w:szCs w:val="24"/>
        </w:rPr>
        <w:t>milj</w:t>
      </w:r>
      <w:proofErr w:type="spellEnd"/>
      <w:r w:rsidR="005118D3" w:rsidRPr="00B85B24">
        <w:rPr>
          <w:szCs w:val="24"/>
        </w:rPr>
        <w:t>.</w:t>
      </w:r>
      <w:r w:rsidR="00D87369" w:rsidRPr="00B85B24">
        <w:rPr>
          <w:szCs w:val="24"/>
        </w:rPr>
        <w:t xml:space="preserve"> </w:t>
      </w:r>
      <w:r w:rsidR="005118D3" w:rsidRPr="00B85B24">
        <w:rPr>
          <w:szCs w:val="24"/>
        </w:rPr>
        <w:t>latu</w:t>
      </w:r>
      <w:r w:rsidR="00F4729C">
        <w:rPr>
          <w:szCs w:val="24"/>
        </w:rPr>
        <w:t>,</w:t>
      </w:r>
      <w:r w:rsidR="005118D3" w:rsidRPr="00B85B24">
        <w:rPr>
          <w:szCs w:val="24"/>
        </w:rPr>
        <w:t xml:space="preserve"> </w:t>
      </w:r>
      <w:r w:rsidR="00B85B24">
        <w:rPr>
          <w:szCs w:val="24"/>
        </w:rPr>
        <w:t>s</w:t>
      </w:r>
      <w:r w:rsidR="00B85B24" w:rsidRPr="00B85B24">
        <w:rPr>
          <w:szCs w:val="24"/>
        </w:rPr>
        <w:t xml:space="preserve">alīdzinot ar 2010. gada attiecīgo periodu. Izdevumu samazinājums </w:t>
      </w:r>
      <w:r w:rsidR="004266CD">
        <w:rPr>
          <w:szCs w:val="24"/>
        </w:rPr>
        <w:t xml:space="preserve">radās saistībā ar </w:t>
      </w:r>
      <w:r w:rsidR="00B85B24" w:rsidRPr="00B85B24">
        <w:rPr>
          <w:szCs w:val="24"/>
        </w:rPr>
        <w:t>budžeta izdevumu samazinājumu, kā arī ar to, ka 2010.gada beigās Eiropas Savienības fondu līdzfinansēto projektu un pasāku</w:t>
      </w:r>
      <w:r w:rsidR="00B85B24" w:rsidRPr="00B85B24">
        <w:rPr>
          <w:szCs w:val="24"/>
        </w:rPr>
        <w:softHyphen/>
        <w:t>mu ietvaros lauksaimniekiem avansā tika izmaksāts vienotais platības maksājums, papildu valsts tiešie maksājumi, īpašais atbalsts par pienu un atbalsts mazāk labvēlīgajiem apvidiem</w:t>
      </w:r>
      <w:r w:rsidR="004266CD">
        <w:rPr>
          <w:szCs w:val="24"/>
        </w:rPr>
        <w:t>.</w:t>
      </w:r>
      <w:r w:rsidR="00B85B24" w:rsidRPr="00B85B24">
        <w:rPr>
          <w:szCs w:val="24"/>
        </w:rPr>
        <w:t xml:space="preserve">. </w:t>
      </w:r>
    </w:p>
    <w:p w:rsidR="00252040" w:rsidRPr="00701176" w:rsidRDefault="00252040" w:rsidP="00B85B24">
      <w:pPr>
        <w:pStyle w:val="ListParagraph"/>
        <w:numPr>
          <w:ilvl w:val="0"/>
          <w:numId w:val="30"/>
        </w:numPr>
        <w:spacing w:after="120"/>
      </w:pPr>
      <w:r w:rsidRPr="00701176">
        <w:t xml:space="preserve">Kapitālie izdevumi. </w:t>
      </w:r>
    </w:p>
    <w:p w:rsidR="00252040" w:rsidRDefault="00252040" w:rsidP="00701176">
      <w:pPr>
        <w:spacing w:after="120"/>
        <w:ind w:firstLine="720"/>
        <w:rPr>
          <w:szCs w:val="24"/>
        </w:rPr>
      </w:pPr>
      <w:r w:rsidRPr="007A3D84">
        <w:rPr>
          <w:szCs w:val="24"/>
        </w:rPr>
        <w:t>2011.gada</w:t>
      </w:r>
      <w:r w:rsidR="00701176">
        <w:rPr>
          <w:szCs w:val="24"/>
        </w:rPr>
        <w:t xml:space="preserve"> </w:t>
      </w:r>
      <w:r w:rsidR="00E53C83">
        <w:rPr>
          <w:szCs w:val="24"/>
        </w:rPr>
        <w:t xml:space="preserve">pirmajos četros </w:t>
      </w:r>
      <w:r w:rsidR="00701176">
        <w:rPr>
          <w:szCs w:val="24"/>
        </w:rPr>
        <w:t xml:space="preserve">mēnešos novērotais izdevumu pieaugums kapitālajiem izdevumiem salīdzinot ar 2010.gada </w:t>
      </w:r>
      <w:r w:rsidR="00E53C83">
        <w:rPr>
          <w:szCs w:val="24"/>
        </w:rPr>
        <w:t xml:space="preserve">četriem </w:t>
      </w:r>
      <w:r w:rsidR="00701176">
        <w:rPr>
          <w:szCs w:val="24"/>
        </w:rPr>
        <w:t xml:space="preserve">mēnešiem pamatā izskaidrojams ar </w:t>
      </w:r>
      <w:proofErr w:type="spellStart"/>
      <w:r w:rsidR="00701176">
        <w:rPr>
          <w:szCs w:val="24"/>
        </w:rPr>
        <w:t>š.g</w:t>
      </w:r>
      <w:proofErr w:type="spellEnd"/>
      <w:r w:rsidR="00701176">
        <w:rPr>
          <w:szCs w:val="24"/>
        </w:rPr>
        <w:t>.</w:t>
      </w:r>
      <w:r w:rsidRPr="007A3D84">
        <w:rPr>
          <w:szCs w:val="24"/>
        </w:rPr>
        <w:t xml:space="preserve"> janvārī Satiksmes ministrija </w:t>
      </w:r>
      <w:r w:rsidR="00E53C83">
        <w:rPr>
          <w:szCs w:val="24"/>
        </w:rPr>
        <w:t>veikto</w:t>
      </w:r>
      <w:r w:rsidR="00E53C83" w:rsidRPr="007A3D84">
        <w:rPr>
          <w:szCs w:val="24"/>
        </w:rPr>
        <w:t xml:space="preserve"> </w:t>
      </w:r>
      <w:r w:rsidRPr="007A3D84">
        <w:rPr>
          <w:szCs w:val="24"/>
        </w:rPr>
        <w:t xml:space="preserve">ES fondu līdzekļu atmaksu 18,2 </w:t>
      </w:r>
      <w:proofErr w:type="spellStart"/>
      <w:r w:rsidRPr="007A3D84">
        <w:rPr>
          <w:szCs w:val="24"/>
        </w:rPr>
        <w:t>milj.latu</w:t>
      </w:r>
      <w:proofErr w:type="spellEnd"/>
      <w:r w:rsidRPr="007A3D84">
        <w:rPr>
          <w:szCs w:val="24"/>
        </w:rPr>
        <w:t xml:space="preserve"> apmērā VAS „Latvijas valsts ceļi”, kas iepriekš minētās summas apmērā atmaksājusi valsts budžeta aizdevumu. </w:t>
      </w:r>
    </w:p>
    <w:p w:rsidR="00701176" w:rsidRDefault="00F4729C" w:rsidP="00D87369">
      <w:pPr>
        <w:spacing w:after="120"/>
        <w:ind w:firstLine="720"/>
        <w:jc w:val="right"/>
        <w:rPr>
          <w:szCs w:val="24"/>
        </w:rPr>
      </w:pPr>
      <w:r>
        <w:rPr>
          <w:szCs w:val="24"/>
        </w:rPr>
        <w:t>4.2</w:t>
      </w:r>
      <w:r w:rsidR="00D87369">
        <w:rPr>
          <w:szCs w:val="24"/>
        </w:rPr>
        <w:t>.</w:t>
      </w:r>
      <w:r>
        <w:rPr>
          <w:szCs w:val="24"/>
        </w:rPr>
        <w:t> </w:t>
      </w:r>
      <w:r w:rsidR="00D87369">
        <w:rPr>
          <w:szCs w:val="24"/>
        </w:rPr>
        <w:t>tabula</w:t>
      </w:r>
    </w:p>
    <w:p w:rsidR="00D87369" w:rsidRPr="003C27AE" w:rsidRDefault="00D87369" w:rsidP="00D87369">
      <w:pPr>
        <w:spacing w:after="120"/>
        <w:ind w:firstLine="720"/>
        <w:jc w:val="center"/>
        <w:rPr>
          <w:b/>
          <w:szCs w:val="24"/>
        </w:rPr>
      </w:pPr>
      <w:r w:rsidRPr="003C27AE">
        <w:rPr>
          <w:b/>
          <w:szCs w:val="24"/>
        </w:rPr>
        <w:t xml:space="preserve">Valsts speciālā budžeta izpilde 2011.gada </w:t>
      </w:r>
      <w:r w:rsidR="00CB2865">
        <w:rPr>
          <w:b/>
          <w:szCs w:val="24"/>
        </w:rPr>
        <w:t>četros</w:t>
      </w:r>
      <w:r w:rsidR="00CB2865" w:rsidRPr="003C27AE">
        <w:rPr>
          <w:b/>
          <w:szCs w:val="24"/>
        </w:rPr>
        <w:t xml:space="preserve"> </w:t>
      </w:r>
      <w:r w:rsidRPr="003C27AE">
        <w:rPr>
          <w:b/>
          <w:szCs w:val="24"/>
        </w:rPr>
        <w:t>mēnešos</w:t>
      </w:r>
    </w:p>
    <w:p w:rsidR="00252040" w:rsidRDefault="00252040">
      <w:pPr>
        <w:jc w:val="left"/>
        <w:rPr>
          <w:szCs w:val="24"/>
        </w:rPr>
      </w:pPr>
    </w:p>
    <w:tbl>
      <w:tblPr>
        <w:tblW w:w="8925" w:type="dxa"/>
        <w:tblInd w:w="103" w:type="dxa"/>
        <w:tblLook w:val="04A0" w:firstRow="1" w:lastRow="0" w:firstColumn="1" w:lastColumn="0" w:noHBand="0" w:noVBand="1"/>
      </w:tblPr>
      <w:tblGrid>
        <w:gridCol w:w="4295"/>
        <w:gridCol w:w="1395"/>
        <w:gridCol w:w="1078"/>
        <w:gridCol w:w="1078"/>
        <w:gridCol w:w="1079"/>
      </w:tblGrid>
      <w:tr w:rsidR="00804421" w:rsidRPr="00804421" w:rsidTr="00E52CAF">
        <w:trPr>
          <w:trHeight w:val="1275"/>
        </w:trPr>
        <w:tc>
          <w:tcPr>
            <w:tcW w:w="4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421" w:rsidRPr="00804421" w:rsidRDefault="00804421" w:rsidP="00804421">
            <w:pPr>
              <w:jc w:val="center"/>
              <w:rPr>
                <w:b/>
                <w:bCs/>
                <w:sz w:val="20"/>
                <w:lang w:eastAsia="lv-LV"/>
              </w:rPr>
            </w:pPr>
            <w:r w:rsidRPr="00804421">
              <w:rPr>
                <w:b/>
                <w:bCs/>
                <w:sz w:val="20"/>
                <w:lang w:eastAsia="lv-LV"/>
              </w:rPr>
              <w:t xml:space="preserve">Speciālais budžets (ar zied. un </w:t>
            </w:r>
            <w:proofErr w:type="spellStart"/>
            <w:r w:rsidRPr="00804421">
              <w:rPr>
                <w:b/>
                <w:bCs/>
                <w:sz w:val="20"/>
                <w:lang w:eastAsia="lv-LV"/>
              </w:rPr>
              <w:t>dāv</w:t>
            </w:r>
            <w:proofErr w:type="spellEnd"/>
            <w:r w:rsidRPr="00804421">
              <w:rPr>
                <w:b/>
                <w:bCs/>
                <w:sz w:val="20"/>
                <w:lang w:eastAsia="lv-LV"/>
              </w:rPr>
              <w:t>.)</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04421" w:rsidRPr="00804421" w:rsidRDefault="00804421" w:rsidP="00804421">
            <w:pPr>
              <w:jc w:val="center"/>
              <w:rPr>
                <w:b/>
                <w:bCs/>
                <w:sz w:val="20"/>
                <w:lang w:eastAsia="lv-LV"/>
              </w:rPr>
            </w:pPr>
            <w:r w:rsidRPr="00804421">
              <w:rPr>
                <w:b/>
                <w:bCs/>
                <w:sz w:val="20"/>
                <w:lang w:eastAsia="lv-LV"/>
              </w:rPr>
              <w:t>Likumā "Par valsts budžetu 2011.gadam" apstiprinātais plāns</w:t>
            </w:r>
            <w:r w:rsidRPr="00804421">
              <w:rPr>
                <w:b/>
                <w:bCs/>
                <w:color w:val="FF3333"/>
                <w:sz w:val="20"/>
                <w:lang w:eastAsia="lv-LV"/>
              </w:rPr>
              <w:t>*</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804421" w:rsidRPr="00804421" w:rsidRDefault="00804421" w:rsidP="00804421">
            <w:pPr>
              <w:jc w:val="center"/>
              <w:rPr>
                <w:b/>
                <w:bCs/>
                <w:sz w:val="20"/>
                <w:lang w:eastAsia="lv-LV"/>
              </w:rPr>
            </w:pPr>
            <w:r w:rsidRPr="00804421">
              <w:rPr>
                <w:b/>
                <w:bCs/>
                <w:sz w:val="20"/>
                <w:lang w:eastAsia="lv-LV"/>
              </w:rPr>
              <w:t>2010.gadā (fakts)</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804421" w:rsidRPr="00804421" w:rsidRDefault="00804421" w:rsidP="00804421">
            <w:pPr>
              <w:jc w:val="center"/>
              <w:rPr>
                <w:b/>
                <w:bCs/>
                <w:sz w:val="20"/>
                <w:lang w:eastAsia="lv-LV"/>
              </w:rPr>
            </w:pPr>
            <w:r w:rsidRPr="00804421">
              <w:rPr>
                <w:b/>
                <w:bCs/>
                <w:sz w:val="20"/>
                <w:lang w:eastAsia="lv-LV"/>
              </w:rPr>
              <w:t>2011.gadā (fakts)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804421" w:rsidRPr="00804421" w:rsidRDefault="00804421" w:rsidP="00804421">
            <w:pPr>
              <w:jc w:val="center"/>
              <w:rPr>
                <w:i/>
                <w:iCs/>
                <w:sz w:val="20"/>
                <w:lang w:eastAsia="lv-LV"/>
              </w:rPr>
            </w:pPr>
            <w:r w:rsidRPr="00804421">
              <w:rPr>
                <w:i/>
                <w:iCs/>
                <w:sz w:val="20"/>
                <w:lang w:eastAsia="lv-LV"/>
              </w:rPr>
              <w:t xml:space="preserve">pieaug.(+) / </w:t>
            </w:r>
            <w:proofErr w:type="spellStart"/>
            <w:r w:rsidRPr="00804421">
              <w:rPr>
                <w:i/>
                <w:iCs/>
                <w:sz w:val="20"/>
                <w:lang w:eastAsia="lv-LV"/>
              </w:rPr>
              <w:t>samaz.(-)</w:t>
            </w:r>
            <w:proofErr w:type="spellEnd"/>
            <w:r w:rsidRPr="00804421">
              <w:rPr>
                <w:i/>
                <w:iCs/>
                <w:sz w:val="20"/>
                <w:lang w:eastAsia="lv-LV"/>
              </w:rPr>
              <w:t xml:space="preserve">    (4-3)</w:t>
            </w:r>
          </w:p>
        </w:tc>
      </w:tr>
      <w:tr w:rsidR="00804421" w:rsidRPr="00804421" w:rsidTr="00E52CAF">
        <w:trPr>
          <w:trHeight w:val="255"/>
        </w:trPr>
        <w:tc>
          <w:tcPr>
            <w:tcW w:w="4295" w:type="dxa"/>
            <w:tcBorders>
              <w:top w:val="nil"/>
              <w:left w:val="single" w:sz="4" w:space="0" w:color="auto"/>
              <w:bottom w:val="nil"/>
              <w:right w:val="single" w:sz="4" w:space="0" w:color="auto"/>
            </w:tcBorders>
            <w:shd w:val="clear" w:color="auto" w:fill="auto"/>
            <w:noWrap/>
            <w:vAlign w:val="center"/>
            <w:hideMark/>
          </w:tcPr>
          <w:p w:rsidR="00804421" w:rsidRPr="00804421" w:rsidRDefault="00804421" w:rsidP="00804421">
            <w:pPr>
              <w:jc w:val="center"/>
              <w:rPr>
                <w:sz w:val="20"/>
                <w:lang w:eastAsia="lv-LV"/>
              </w:rPr>
            </w:pPr>
            <w:r w:rsidRPr="00804421">
              <w:rPr>
                <w:sz w:val="20"/>
                <w:lang w:eastAsia="lv-LV"/>
              </w:rPr>
              <w:t>1</w:t>
            </w:r>
          </w:p>
        </w:tc>
        <w:tc>
          <w:tcPr>
            <w:tcW w:w="1395" w:type="dxa"/>
            <w:tcBorders>
              <w:top w:val="nil"/>
              <w:left w:val="nil"/>
              <w:bottom w:val="nil"/>
              <w:right w:val="single" w:sz="4" w:space="0" w:color="auto"/>
            </w:tcBorders>
            <w:shd w:val="clear" w:color="auto" w:fill="auto"/>
            <w:vAlign w:val="center"/>
            <w:hideMark/>
          </w:tcPr>
          <w:p w:rsidR="00804421" w:rsidRPr="00804421" w:rsidRDefault="00804421" w:rsidP="00804421">
            <w:pPr>
              <w:jc w:val="center"/>
              <w:rPr>
                <w:sz w:val="20"/>
                <w:lang w:eastAsia="lv-LV"/>
              </w:rPr>
            </w:pPr>
            <w:r w:rsidRPr="00804421">
              <w:rPr>
                <w:sz w:val="20"/>
                <w:lang w:eastAsia="lv-LV"/>
              </w:rPr>
              <w:t>2</w:t>
            </w:r>
          </w:p>
        </w:tc>
        <w:tc>
          <w:tcPr>
            <w:tcW w:w="1078" w:type="dxa"/>
            <w:tcBorders>
              <w:top w:val="nil"/>
              <w:left w:val="nil"/>
              <w:bottom w:val="nil"/>
              <w:right w:val="single" w:sz="4" w:space="0" w:color="auto"/>
            </w:tcBorders>
            <w:shd w:val="clear" w:color="auto" w:fill="auto"/>
            <w:noWrap/>
            <w:vAlign w:val="center"/>
            <w:hideMark/>
          </w:tcPr>
          <w:p w:rsidR="00804421" w:rsidRPr="00804421" w:rsidRDefault="00804421" w:rsidP="00804421">
            <w:pPr>
              <w:jc w:val="center"/>
              <w:rPr>
                <w:sz w:val="20"/>
                <w:lang w:eastAsia="lv-LV"/>
              </w:rPr>
            </w:pPr>
            <w:r w:rsidRPr="00804421">
              <w:rPr>
                <w:sz w:val="20"/>
                <w:lang w:eastAsia="lv-LV"/>
              </w:rPr>
              <w:t>3</w:t>
            </w:r>
          </w:p>
        </w:tc>
        <w:tc>
          <w:tcPr>
            <w:tcW w:w="1078" w:type="dxa"/>
            <w:tcBorders>
              <w:top w:val="nil"/>
              <w:left w:val="nil"/>
              <w:bottom w:val="nil"/>
              <w:right w:val="single" w:sz="4" w:space="0" w:color="auto"/>
            </w:tcBorders>
            <w:shd w:val="clear" w:color="auto" w:fill="auto"/>
            <w:noWrap/>
            <w:vAlign w:val="center"/>
            <w:hideMark/>
          </w:tcPr>
          <w:p w:rsidR="00804421" w:rsidRPr="00804421" w:rsidRDefault="00804421" w:rsidP="00804421">
            <w:pPr>
              <w:jc w:val="center"/>
              <w:rPr>
                <w:sz w:val="20"/>
                <w:lang w:eastAsia="lv-LV"/>
              </w:rPr>
            </w:pPr>
            <w:r w:rsidRPr="00804421">
              <w:rPr>
                <w:sz w:val="20"/>
                <w:lang w:eastAsia="lv-LV"/>
              </w:rPr>
              <w:t>4</w:t>
            </w:r>
          </w:p>
        </w:tc>
        <w:tc>
          <w:tcPr>
            <w:tcW w:w="1079" w:type="dxa"/>
            <w:tcBorders>
              <w:top w:val="nil"/>
              <w:left w:val="nil"/>
              <w:bottom w:val="nil"/>
              <w:right w:val="single" w:sz="4" w:space="0" w:color="auto"/>
            </w:tcBorders>
            <w:shd w:val="clear" w:color="auto" w:fill="auto"/>
            <w:vAlign w:val="center"/>
            <w:hideMark/>
          </w:tcPr>
          <w:p w:rsidR="00804421" w:rsidRPr="00804421" w:rsidRDefault="00804421" w:rsidP="00804421">
            <w:pPr>
              <w:jc w:val="center"/>
              <w:rPr>
                <w:sz w:val="20"/>
                <w:lang w:eastAsia="lv-LV"/>
              </w:rPr>
            </w:pPr>
            <w:r w:rsidRPr="00804421">
              <w:rPr>
                <w:sz w:val="20"/>
                <w:lang w:eastAsia="lv-LV"/>
              </w:rPr>
              <w:t>5</w:t>
            </w:r>
          </w:p>
        </w:tc>
      </w:tr>
      <w:tr w:rsidR="00804421" w:rsidRPr="00804421" w:rsidTr="00E52CAF">
        <w:trPr>
          <w:trHeight w:val="270"/>
        </w:trPr>
        <w:tc>
          <w:tcPr>
            <w:tcW w:w="4295" w:type="dxa"/>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804421" w:rsidRPr="00804421" w:rsidRDefault="00804421" w:rsidP="00804421">
            <w:pPr>
              <w:jc w:val="center"/>
              <w:rPr>
                <w:b/>
                <w:bCs/>
                <w:sz w:val="20"/>
                <w:lang w:eastAsia="lv-LV"/>
              </w:rPr>
            </w:pPr>
            <w:r w:rsidRPr="00804421">
              <w:rPr>
                <w:b/>
                <w:bCs/>
                <w:sz w:val="20"/>
                <w:lang w:eastAsia="lv-LV"/>
              </w:rPr>
              <w:t>IEŅĒMUMI KOPĀ</w:t>
            </w:r>
          </w:p>
        </w:tc>
        <w:tc>
          <w:tcPr>
            <w:tcW w:w="1395" w:type="dxa"/>
            <w:tcBorders>
              <w:top w:val="single" w:sz="4" w:space="0" w:color="auto"/>
              <w:left w:val="nil"/>
              <w:bottom w:val="single" w:sz="4" w:space="0" w:color="auto"/>
              <w:right w:val="single" w:sz="4" w:space="0" w:color="auto"/>
            </w:tcBorders>
            <w:shd w:val="clear" w:color="000000" w:fill="CCCCFF"/>
            <w:noWrap/>
            <w:vAlign w:val="center"/>
            <w:hideMark/>
          </w:tcPr>
          <w:p w:rsidR="00804421" w:rsidRPr="00804421" w:rsidRDefault="00804421" w:rsidP="00804421">
            <w:pPr>
              <w:jc w:val="right"/>
              <w:rPr>
                <w:b/>
                <w:bCs/>
                <w:sz w:val="20"/>
                <w:lang w:eastAsia="lv-LV"/>
              </w:rPr>
            </w:pPr>
            <w:r w:rsidRPr="00804421">
              <w:rPr>
                <w:b/>
                <w:bCs/>
                <w:sz w:val="20"/>
                <w:lang w:eastAsia="lv-LV"/>
              </w:rPr>
              <w:t>1 217,843</w:t>
            </w:r>
          </w:p>
        </w:tc>
        <w:tc>
          <w:tcPr>
            <w:tcW w:w="1078" w:type="dxa"/>
            <w:tcBorders>
              <w:top w:val="single" w:sz="4" w:space="0" w:color="auto"/>
              <w:left w:val="nil"/>
              <w:bottom w:val="single" w:sz="4" w:space="0" w:color="auto"/>
              <w:right w:val="single" w:sz="4" w:space="0" w:color="auto"/>
            </w:tcBorders>
            <w:shd w:val="clear" w:color="000000" w:fill="CCCCFF"/>
            <w:noWrap/>
            <w:vAlign w:val="center"/>
            <w:hideMark/>
          </w:tcPr>
          <w:p w:rsidR="00804421" w:rsidRPr="00804421" w:rsidRDefault="00804421" w:rsidP="00804421">
            <w:pPr>
              <w:jc w:val="right"/>
              <w:rPr>
                <w:b/>
                <w:bCs/>
                <w:sz w:val="20"/>
                <w:lang w:eastAsia="lv-LV"/>
              </w:rPr>
            </w:pPr>
            <w:r w:rsidRPr="00804421">
              <w:rPr>
                <w:b/>
                <w:bCs/>
                <w:sz w:val="20"/>
                <w:lang w:eastAsia="lv-LV"/>
              </w:rPr>
              <w:t>374,142</w:t>
            </w:r>
          </w:p>
        </w:tc>
        <w:tc>
          <w:tcPr>
            <w:tcW w:w="1078" w:type="dxa"/>
            <w:tcBorders>
              <w:top w:val="single" w:sz="4" w:space="0" w:color="auto"/>
              <w:left w:val="nil"/>
              <w:bottom w:val="single" w:sz="4" w:space="0" w:color="auto"/>
              <w:right w:val="single" w:sz="4" w:space="0" w:color="auto"/>
            </w:tcBorders>
            <w:shd w:val="clear" w:color="000000" w:fill="CCCCFF"/>
            <w:noWrap/>
            <w:vAlign w:val="center"/>
            <w:hideMark/>
          </w:tcPr>
          <w:p w:rsidR="00804421" w:rsidRPr="00804421" w:rsidRDefault="00804421" w:rsidP="00804421">
            <w:pPr>
              <w:jc w:val="right"/>
              <w:rPr>
                <w:b/>
                <w:bCs/>
                <w:sz w:val="20"/>
                <w:lang w:eastAsia="lv-LV"/>
              </w:rPr>
            </w:pPr>
            <w:r w:rsidRPr="00804421">
              <w:rPr>
                <w:b/>
                <w:bCs/>
                <w:sz w:val="20"/>
                <w:lang w:eastAsia="lv-LV"/>
              </w:rPr>
              <w:t>383,820</w:t>
            </w:r>
          </w:p>
        </w:tc>
        <w:tc>
          <w:tcPr>
            <w:tcW w:w="1079" w:type="dxa"/>
            <w:tcBorders>
              <w:top w:val="single" w:sz="4" w:space="0" w:color="auto"/>
              <w:left w:val="nil"/>
              <w:bottom w:val="single" w:sz="4" w:space="0" w:color="auto"/>
              <w:right w:val="single" w:sz="4" w:space="0" w:color="auto"/>
            </w:tcBorders>
            <w:shd w:val="clear" w:color="000000" w:fill="CCCCFF"/>
            <w:noWrap/>
            <w:vAlign w:val="center"/>
            <w:hideMark/>
          </w:tcPr>
          <w:p w:rsidR="00804421" w:rsidRPr="00804421" w:rsidRDefault="00804421" w:rsidP="00804421">
            <w:pPr>
              <w:jc w:val="right"/>
              <w:rPr>
                <w:b/>
                <w:bCs/>
                <w:i/>
                <w:iCs/>
                <w:sz w:val="20"/>
                <w:lang w:eastAsia="lv-LV"/>
              </w:rPr>
            </w:pPr>
            <w:r w:rsidRPr="00804421">
              <w:rPr>
                <w:b/>
                <w:bCs/>
                <w:i/>
                <w:iCs/>
                <w:sz w:val="20"/>
                <w:lang w:eastAsia="lv-LV"/>
              </w:rPr>
              <w:t xml:space="preserve">9,678 </w:t>
            </w:r>
          </w:p>
        </w:tc>
      </w:tr>
      <w:tr w:rsidR="00804421" w:rsidRPr="00804421" w:rsidTr="00E52CAF">
        <w:trPr>
          <w:trHeight w:val="510"/>
        </w:trPr>
        <w:tc>
          <w:tcPr>
            <w:tcW w:w="4295" w:type="dxa"/>
            <w:tcBorders>
              <w:top w:val="single" w:sz="4" w:space="0" w:color="auto"/>
              <w:left w:val="single" w:sz="4" w:space="0" w:color="auto"/>
              <w:bottom w:val="single" w:sz="4" w:space="0" w:color="auto"/>
              <w:right w:val="single" w:sz="4" w:space="0" w:color="auto"/>
            </w:tcBorders>
            <w:shd w:val="clear" w:color="000000" w:fill="DEEAF2"/>
            <w:hideMark/>
          </w:tcPr>
          <w:p w:rsidR="00804421" w:rsidRPr="00804421" w:rsidRDefault="00804421" w:rsidP="00804421">
            <w:pPr>
              <w:jc w:val="left"/>
              <w:rPr>
                <w:i/>
                <w:iCs/>
                <w:sz w:val="20"/>
                <w:lang w:eastAsia="lv-LV"/>
              </w:rPr>
            </w:pPr>
            <w:proofErr w:type="spellStart"/>
            <w:r w:rsidRPr="00804421">
              <w:rPr>
                <w:i/>
                <w:iCs/>
                <w:sz w:val="20"/>
                <w:lang w:eastAsia="lv-LV"/>
              </w:rPr>
              <w:t>t.sk</w:t>
            </w:r>
            <w:proofErr w:type="spellEnd"/>
            <w:r w:rsidRPr="00804421">
              <w:rPr>
                <w:i/>
                <w:iCs/>
                <w:sz w:val="20"/>
                <w:lang w:eastAsia="lv-LV"/>
              </w:rPr>
              <w:t>. procentu ieņēmumi par VSAA depozītiem un kontu atlikumiem</w:t>
            </w:r>
          </w:p>
        </w:tc>
        <w:tc>
          <w:tcPr>
            <w:tcW w:w="1395" w:type="dxa"/>
            <w:tcBorders>
              <w:top w:val="single" w:sz="4" w:space="0" w:color="auto"/>
              <w:left w:val="nil"/>
              <w:bottom w:val="single" w:sz="4" w:space="0" w:color="auto"/>
              <w:right w:val="single" w:sz="4" w:space="0" w:color="auto"/>
            </w:tcBorders>
            <w:shd w:val="clear" w:color="000000" w:fill="DEEAF2"/>
            <w:noWrap/>
            <w:vAlign w:val="center"/>
            <w:hideMark/>
          </w:tcPr>
          <w:p w:rsidR="00804421" w:rsidRPr="00804421" w:rsidRDefault="00804421" w:rsidP="00804421">
            <w:pPr>
              <w:jc w:val="right"/>
              <w:rPr>
                <w:b/>
                <w:bCs/>
                <w:sz w:val="20"/>
                <w:lang w:eastAsia="lv-LV"/>
              </w:rPr>
            </w:pPr>
            <w:r w:rsidRPr="00804421">
              <w:rPr>
                <w:b/>
                <w:bCs/>
                <w:sz w:val="20"/>
                <w:lang w:eastAsia="lv-LV"/>
              </w:rPr>
              <w:t>8,609</w:t>
            </w:r>
          </w:p>
        </w:tc>
        <w:tc>
          <w:tcPr>
            <w:tcW w:w="1078" w:type="dxa"/>
            <w:tcBorders>
              <w:top w:val="single" w:sz="4" w:space="0" w:color="auto"/>
              <w:left w:val="nil"/>
              <w:bottom w:val="single" w:sz="4" w:space="0" w:color="auto"/>
              <w:right w:val="single" w:sz="4" w:space="0" w:color="auto"/>
            </w:tcBorders>
            <w:shd w:val="clear" w:color="000000" w:fill="DEEAF2"/>
            <w:noWrap/>
            <w:vAlign w:val="center"/>
            <w:hideMark/>
          </w:tcPr>
          <w:p w:rsidR="00804421" w:rsidRPr="00804421" w:rsidRDefault="00804421" w:rsidP="00804421">
            <w:pPr>
              <w:jc w:val="right"/>
              <w:rPr>
                <w:b/>
                <w:bCs/>
                <w:sz w:val="20"/>
                <w:lang w:eastAsia="lv-LV"/>
              </w:rPr>
            </w:pPr>
            <w:r w:rsidRPr="00804421">
              <w:rPr>
                <w:b/>
                <w:bCs/>
                <w:sz w:val="20"/>
                <w:lang w:eastAsia="lv-LV"/>
              </w:rPr>
              <w:t>22,603</w:t>
            </w:r>
          </w:p>
        </w:tc>
        <w:tc>
          <w:tcPr>
            <w:tcW w:w="1078" w:type="dxa"/>
            <w:tcBorders>
              <w:top w:val="single" w:sz="4" w:space="0" w:color="auto"/>
              <w:left w:val="nil"/>
              <w:bottom w:val="single" w:sz="4" w:space="0" w:color="auto"/>
              <w:right w:val="single" w:sz="4" w:space="0" w:color="auto"/>
            </w:tcBorders>
            <w:shd w:val="clear" w:color="000000" w:fill="DEEAF2"/>
            <w:noWrap/>
            <w:vAlign w:val="center"/>
            <w:hideMark/>
          </w:tcPr>
          <w:p w:rsidR="00804421" w:rsidRPr="00804421" w:rsidRDefault="00804421" w:rsidP="00804421">
            <w:pPr>
              <w:jc w:val="right"/>
              <w:rPr>
                <w:b/>
                <w:bCs/>
                <w:sz w:val="20"/>
                <w:lang w:eastAsia="lv-LV"/>
              </w:rPr>
            </w:pPr>
            <w:r w:rsidRPr="00804421">
              <w:rPr>
                <w:b/>
                <w:bCs/>
                <w:sz w:val="20"/>
                <w:lang w:eastAsia="lv-LV"/>
              </w:rPr>
              <w:t>2,871</w:t>
            </w:r>
          </w:p>
        </w:tc>
        <w:tc>
          <w:tcPr>
            <w:tcW w:w="1079" w:type="dxa"/>
            <w:tcBorders>
              <w:top w:val="single" w:sz="4" w:space="0" w:color="auto"/>
              <w:left w:val="nil"/>
              <w:bottom w:val="single" w:sz="4" w:space="0" w:color="auto"/>
              <w:right w:val="single" w:sz="4" w:space="0" w:color="auto"/>
            </w:tcBorders>
            <w:shd w:val="clear" w:color="000000" w:fill="DEEAF2"/>
            <w:noWrap/>
            <w:vAlign w:val="center"/>
            <w:hideMark/>
          </w:tcPr>
          <w:p w:rsidR="00804421" w:rsidRPr="00804421" w:rsidRDefault="00804421" w:rsidP="00804421">
            <w:pPr>
              <w:jc w:val="right"/>
              <w:rPr>
                <w:b/>
                <w:bCs/>
                <w:i/>
                <w:iCs/>
                <w:sz w:val="20"/>
                <w:lang w:eastAsia="lv-LV"/>
              </w:rPr>
            </w:pPr>
            <w:r w:rsidRPr="00804421">
              <w:rPr>
                <w:b/>
                <w:bCs/>
                <w:i/>
                <w:iCs/>
                <w:sz w:val="20"/>
                <w:lang w:eastAsia="lv-LV"/>
              </w:rPr>
              <w:t xml:space="preserve">-19,731 </w:t>
            </w:r>
          </w:p>
        </w:tc>
      </w:tr>
      <w:tr w:rsidR="00804421" w:rsidRPr="00804421" w:rsidTr="00E52CAF">
        <w:trPr>
          <w:trHeight w:val="540"/>
        </w:trPr>
        <w:tc>
          <w:tcPr>
            <w:tcW w:w="4295" w:type="dxa"/>
            <w:tcBorders>
              <w:top w:val="nil"/>
              <w:left w:val="single" w:sz="4" w:space="0" w:color="auto"/>
              <w:bottom w:val="single" w:sz="4" w:space="0" w:color="auto"/>
              <w:right w:val="single" w:sz="4" w:space="0" w:color="auto"/>
            </w:tcBorders>
            <w:shd w:val="clear" w:color="000000" w:fill="DEEAF2"/>
            <w:hideMark/>
          </w:tcPr>
          <w:p w:rsidR="00804421" w:rsidRPr="00804421" w:rsidRDefault="00804421" w:rsidP="00804421">
            <w:pPr>
              <w:jc w:val="left"/>
              <w:rPr>
                <w:b/>
                <w:bCs/>
                <w:sz w:val="20"/>
                <w:lang w:eastAsia="lv-LV"/>
              </w:rPr>
            </w:pPr>
            <w:r w:rsidRPr="00804421">
              <w:rPr>
                <w:b/>
                <w:bCs/>
                <w:sz w:val="20"/>
                <w:lang w:eastAsia="lv-LV"/>
              </w:rPr>
              <w:lastRenderedPageBreak/>
              <w:t xml:space="preserve">IEŅĒMUMI </w:t>
            </w:r>
            <w:r w:rsidRPr="00804421">
              <w:rPr>
                <w:b/>
                <w:bCs/>
                <w:i/>
                <w:iCs/>
                <w:sz w:val="20"/>
                <w:lang w:eastAsia="lv-LV"/>
              </w:rPr>
              <w:t>bez procentu ieņēmumiem par VSAA depozītiem un kontu atlikumiem</w:t>
            </w:r>
          </w:p>
        </w:tc>
        <w:tc>
          <w:tcPr>
            <w:tcW w:w="1395" w:type="dxa"/>
            <w:tcBorders>
              <w:top w:val="single" w:sz="4" w:space="0" w:color="auto"/>
              <w:left w:val="nil"/>
              <w:bottom w:val="single" w:sz="4" w:space="0" w:color="auto"/>
              <w:right w:val="single" w:sz="4" w:space="0" w:color="auto"/>
            </w:tcBorders>
            <w:shd w:val="clear" w:color="000000" w:fill="DEEAF2"/>
            <w:noWrap/>
            <w:vAlign w:val="center"/>
            <w:hideMark/>
          </w:tcPr>
          <w:p w:rsidR="00804421" w:rsidRPr="00804421" w:rsidRDefault="00804421" w:rsidP="00804421">
            <w:pPr>
              <w:jc w:val="right"/>
              <w:rPr>
                <w:b/>
                <w:bCs/>
                <w:sz w:val="20"/>
                <w:lang w:eastAsia="lv-LV"/>
              </w:rPr>
            </w:pPr>
            <w:r w:rsidRPr="00804421">
              <w:rPr>
                <w:b/>
                <w:bCs/>
                <w:sz w:val="20"/>
                <w:lang w:eastAsia="lv-LV"/>
              </w:rPr>
              <w:t>1 209,234</w:t>
            </w:r>
          </w:p>
        </w:tc>
        <w:tc>
          <w:tcPr>
            <w:tcW w:w="1078" w:type="dxa"/>
            <w:tcBorders>
              <w:top w:val="single" w:sz="4" w:space="0" w:color="auto"/>
              <w:left w:val="nil"/>
              <w:bottom w:val="single" w:sz="4" w:space="0" w:color="auto"/>
              <w:right w:val="single" w:sz="4" w:space="0" w:color="auto"/>
            </w:tcBorders>
            <w:shd w:val="clear" w:color="000000" w:fill="DEEAF2"/>
            <w:noWrap/>
            <w:vAlign w:val="center"/>
            <w:hideMark/>
          </w:tcPr>
          <w:p w:rsidR="00804421" w:rsidRPr="00804421" w:rsidRDefault="00804421" w:rsidP="00804421">
            <w:pPr>
              <w:jc w:val="right"/>
              <w:rPr>
                <w:b/>
                <w:bCs/>
                <w:sz w:val="20"/>
                <w:lang w:eastAsia="lv-LV"/>
              </w:rPr>
            </w:pPr>
            <w:r w:rsidRPr="00804421">
              <w:rPr>
                <w:b/>
                <w:bCs/>
                <w:sz w:val="20"/>
                <w:lang w:eastAsia="lv-LV"/>
              </w:rPr>
              <w:t>351,539</w:t>
            </w:r>
          </w:p>
        </w:tc>
        <w:tc>
          <w:tcPr>
            <w:tcW w:w="1078" w:type="dxa"/>
            <w:tcBorders>
              <w:top w:val="single" w:sz="4" w:space="0" w:color="auto"/>
              <w:left w:val="nil"/>
              <w:bottom w:val="single" w:sz="4" w:space="0" w:color="auto"/>
              <w:right w:val="single" w:sz="4" w:space="0" w:color="auto"/>
            </w:tcBorders>
            <w:shd w:val="clear" w:color="000000" w:fill="DEEAF2"/>
            <w:noWrap/>
            <w:vAlign w:val="center"/>
            <w:hideMark/>
          </w:tcPr>
          <w:p w:rsidR="00804421" w:rsidRPr="00804421" w:rsidRDefault="00804421" w:rsidP="00804421">
            <w:pPr>
              <w:jc w:val="right"/>
              <w:rPr>
                <w:b/>
                <w:bCs/>
                <w:sz w:val="20"/>
                <w:lang w:eastAsia="lv-LV"/>
              </w:rPr>
            </w:pPr>
            <w:r w:rsidRPr="00804421">
              <w:rPr>
                <w:b/>
                <w:bCs/>
                <w:sz w:val="20"/>
                <w:lang w:eastAsia="lv-LV"/>
              </w:rPr>
              <w:t>380,949</w:t>
            </w:r>
          </w:p>
        </w:tc>
        <w:tc>
          <w:tcPr>
            <w:tcW w:w="1079" w:type="dxa"/>
            <w:tcBorders>
              <w:top w:val="single" w:sz="4" w:space="0" w:color="auto"/>
              <w:left w:val="nil"/>
              <w:bottom w:val="single" w:sz="4" w:space="0" w:color="auto"/>
              <w:right w:val="single" w:sz="4" w:space="0" w:color="auto"/>
            </w:tcBorders>
            <w:shd w:val="clear" w:color="000000" w:fill="DEEAF2"/>
            <w:noWrap/>
            <w:vAlign w:val="center"/>
            <w:hideMark/>
          </w:tcPr>
          <w:p w:rsidR="00804421" w:rsidRPr="00804421" w:rsidRDefault="00804421" w:rsidP="00804421">
            <w:pPr>
              <w:jc w:val="right"/>
              <w:rPr>
                <w:b/>
                <w:bCs/>
                <w:i/>
                <w:iCs/>
                <w:sz w:val="20"/>
                <w:lang w:eastAsia="lv-LV"/>
              </w:rPr>
            </w:pPr>
            <w:r w:rsidRPr="00804421">
              <w:rPr>
                <w:b/>
                <w:bCs/>
                <w:i/>
                <w:iCs/>
                <w:sz w:val="20"/>
                <w:lang w:eastAsia="lv-LV"/>
              </w:rPr>
              <w:t xml:space="preserve">29,410 </w:t>
            </w:r>
          </w:p>
        </w:tc>
      </w:tr>
      <w:tr w:rsidR="00804421" w:rsidRPr="00804421" w:rsidTr="00E52CAF">
        <w:trPr>
          <w:trHeight w:val="330"/>
        </w:trPr>
        <w:tc>
          <w:tcPr>
            <w:tcW w:w="4295" w:type="dxa"/>
            <w:tcBorders>
              <w:top w:val="nil"/>
              <w:left w:val="single" w:sz="4" w:space="0" w:color="auto"/>
              <w:bottom w:val="single" w:sz="4" w:space="0" w:color="auto"/>
              <w:right w:val="nil"/>
            </w:tcBorders>
            <w:shd w:val="clear" w:color="000000" w:fill="CCCCFF"/>
            <w:noWrap/>
            <w:vAlign w:val="center"/>
            <w:hideMark/>
          </w:tcPr>
          <w:p w:rsidR="00804421" w:rsidRPr="00804421" w:rsidRDefault="00804421" w:rsidP="00804421">
            <w:pPr>
              <w:jc w:val="center"/>
              <w:rPr>
                <w:b/>
                <w:bCs/>
                <w:sz w:val="20"/>
                <w:lang w:eastAsia="lv-LV"/>
              </w:rPr>
            </w:pPr>
            <w:r w:rsidRPr="00804421">
              <w:rPr>
                <w:b/>
                <w:bCs/>
                <w:sz w:val="20"/>
                <w:lang w:eastAsia="lv-LV"/>
              </w:rPr>
              <w:t>IZDEVUMI KOPĀ</w:t>
            </w:r>
          </w:p>
        </w:tc>
        <w:tc>
          <w:tcPr>
            <w:tcW w:w="1395" w:type="dxa"/>
            <w:tcBorders>
              <w:top w:val="nil"/>
              <w:left w:val="single" w:sz="4" w:space="0" w:color="auto"/>
              <w:bottom w:val="single" w:sz="4" w:space="0" w:color="auto"/>
              <w:right w:val="nil"/>
            </w:tcBorders>
            <w:shd w:val="clear" w:color="000000" w:fill="CCCCFF"/>
            <w:noWrap/>
            <w:vAlign w:val="center"/>
            <w:hideMark/>
          </w:tcPr>
          <w:p w:rsidR="00804421" w:rsidRPr="00804421" w:rsidRDefault="00804421" w:rsidP="00804421">
            <w:pPr>
              <w:jc w:val="right"/>
              <w:rPr>
                <w:b/>
                <w:bCs/>
                <w:sz w:val="20"/>
                <w:lang w:eastAsia="lv-LV"/>
              </w:rPr>
            </w:pPr>
            <w:r w:rsidRPr="00804421">
              <w:rPr>
                <w:b/>
                <w:bCs/>
                <w:sz w:val="20"/>
                <w:lang w:eastAsia="lv-LV"/>
              </w:rPr>
              <w:t>1 423,321</w:t>
            </w:r>
          </w:p>
        </w:tc>
        <w:tc>
          <w:tcPr>
            <w:tcW w:w="1078" w:type="dxa"/>
            <w:tcBorders>
              <w:top w:val="nil"/>
              <w:left w:val="single" w:sz="4" w:space="0" w:color="auto"/>
              <w:bottom w:val="single" w:sz="4" w:space="0" w:color="auto"/>
              <w:right w:val="nil"/>
            </w:tcBorders>
            <w:shd w:val="clear" w:color="000000" w:fill="CCCCFF"/>
            <w:noWrap/>
            <w:vAlign w:val="center"/>
            <w:hideMark/>
          </w:tcPr>
          <w:p w:rsidR="00804421" w:rsidRPr="00804421" w:rsidRDefault="00804421" w:rsidP="00804421">
            <w:pPr>
              <w:jc w:val="right"/>
              <w:rPr>
                <w:b/>
                <w:bCs/>
                <w:sz w:val="20"/>
                <w:lang w:eastAsia="lv-LV"/>
              </w:rPr>
            </w:pPr>
            <w:r w:rsidRPr="00804421">
              <w:rPr>
                <w:b/>
                <w:bCs/>
                <w:sz w:val="20"/>
                <w:lang w:eastAsia="lv-LV"/>
              </w:rPr>
              <w:t>589,144</w:t>
            </w:r>
          </w:p>
        </w:tc>
        <w:tc>
          <w:tcPr>
            <w:tcW w:w="1078" w:type="dxa"/>
            <w:tcBorders>
              <w:top w:val="nil"/>
              <w:left w:val="single" w:sz="4" w:space="0" w:color="auto"/>
              <w:bottom w:val="single" w:sz="4" w:space="0" w:color="auto"/>
              <w:right w:val="nil"/>
            </w:tcBorders>
            <w:shd w:val="clear" w:color="000000" w:fill="CCCCFF"/>
            <w:noWrap/>
            <w:vAlign w:val="center"/>
            <w:hideMark/>
          </w:tcPr>
          <w:p w:rsidR="00804421" w:rsidRPr="00804421" w:rsidRDefault="00804421" w:rsidP="00804421">
            <w:pPr>
              <w:jc w:val="right"/>
              <w:rPr>
                <w:b/>
                <w:bCs/>
                <w:sz w:val="20"/>
                <w:lang w:eastAsia="lv-LV"/>
              </w:rPr>
            </w:pPr>
            <w:r w:rsidRPr="00804421">
              <w:rPr>
                <w:b/>
                <w:bCs/>
                <w:sz w:val="20"/>
                <w:lang w:eastAsia="lv-LV"/>
              </w:rPr>
              <w:t>463,511</w:t>
            </w:r>
          </w:p>
        </w:tc>
        <w:tc>
          <w:tcPr>
            <w:tcW w:w="1079" w:type="dxa"/>
            <w:tcBorders>
              <w:top w:val="nil"/>
              <w:left w:val="single" w:sz="4" w:space="0" w:color="auto"/>
              <w:bottom w:val="single" w:sz="4" w:space="0" w:color="auto"/>
              <w:right w:val="single" w:sz="4" w:space="0" w:color="auto"/>
            </w:tcBorders>
            <w:shd w:val="clear" w:color="000000" w:fill="CCCCFF"/>
            <w:noWrap/>
            <w:vAlign w:val="center"/>
            <w:hideMark/>
          </w:tcPr>
          <w:p w:rsidR="00804421" w:rsidRPr="00804421" w:rsidRDefault="00804421" w:rsidP="00804421">
            <w:pPr>
              <w:jc w:val="right"/>
              <w:rPr>
                <w:b/>
                <w:bCs/>
                <w:i/>
                <w:iCs/>
                <w:sz w:val="20"/>
                <w:lang w:eastAsia="lv-LV"/>
              </w:rPr>
            </w:pPr>
            <w:r w:rsidRPr="00804421">
              <w:rPr>
                <w:b/>
                <w:bCs/>
                <w:i/>
                <w:iCs/>
                <w:sz w:val="20"/>
                <w:lang w:eastAsia="lv-LV"/>
              </w:rPr>
              <w:t>-125,632</w:t>
            </w:r>
          </w:p>
        </w:tc>
      </w:tr>
      <w:tr w:rsidR="00804421" w:rsidRPr="00804421" w:rsidTr="00E52CAF">
        <w:trPr>
          <w:trHeight w:val="330"/>
        </w:trPr>
        <w:tc>
          <w:tcPr>
            <w:tcW w:w="4295" w:type="dxa"/>
            <w:tcBorders>
              <w:top w:val="nil"/>
              <w:left w:val="single" w:sz="4" w:space="0" w:color="auto"/>
              <w:bottom w:val="single" w:sz="4" w:space="0" w:color="auto"/>
              <w:right w:val="nil"/>
            </w:tcBorders>
            <w:shd w:val="clear" w:color="000000" w:fill="CCCCFF"/>
            <w:noWrap/>
            <w:vAlign w:val="center"/>
            <w:hideMark/>
          </w:tcPr>
          <w:p w:rsidR="00804421" w:rsidRPr="00804421" w:rsidRDefault="00804421" w:rsidP="00804421">
            <w:pPr>
              <w:jc w:val="center"/>
              <w:rPr>
                <w:b/>
                <w:bCs/>
                <w:sz w:val="20"/>
                <w:lang w:eastAsia="lv-LV"/>
              </w:rPr>
            </w:pPr>
            <w:r w:rsidRPr="00804421">
              <w:rPr>
                <w:b/>
                <w:bCs/>
                <w:sz w:val="20"/>
                <w:lang w:eastAsia="lv-LV"/>
              </w:rPr>
              <w:t>SPECIĀLĀ BUDŽETA FINANSIĀLĀ BILANCE</w:t>
            </w:r>
          </w:p>
        </w:tc>
        <w:tc>
          <w:tcPr>
            <w:tcW w:w="1395" w:type="dxa"/>
            <w:tcBorders>
              <w:top w:val="nil"/>
              <w:left w:val="single" w:sz="4" w:space="0" w:color="auto"/>
              <w:bottom w:val="single" w:sz="4" w:space="0" w:color="auto"/>
              <w:right w:val="nil"/>
            </w:tcBorders>
            <w:shd w:val="clear" w:color="000000" w:fill="CCCCFF"/>
            <w:noWrap/>
            <w:vAlign w:val="center"/>
            <w:hideMark/>
          </w:tcPr>
          <w:p w:rsidR="00804421" w:rsidRPr="00804421" w:rsidRDefault="00804421" w:rsidP="00804421">
            <w:pPr>
              <w:jc w:val="right"/>
              <w:rPr>
                <w:b/>
                <w:bCs/>
                <w:sz w:val="20"/>
                <w:lang w:eastAsia="lv-LV"/>
              </w:rPr>
            </w:pPr>
            <w:r w:rsidRPr="00804421">
              <w:rPr>
                <w:b/>
                <w:bCs/>
                <w:sz w:val="20"/>
                <w:lang w:eastAsia="lv-LV"/>
              </w:rPr>
              <w:t>-205,478</w:t>
            </w:r>
          </w:p>
        </w:tc>
        <w:tc>
          <w:tcPr>
            <w:tcW w:w="1078" w:type="dxa"/>
            <w:tcBorders>
              <w:top w:val="nil"/>
              <w:left w:val="single" w:sz="4" w:space="0" w:color="auto"/>
              <w:bottom w:val="single" w:sz="4" w:space="0" w:color="auto"/>
              <w:right w:val="nil"/>
            </w:tcBorders>
            <w:shd w:val="clear" w:color="000000" w:fill="CCCCFF"/>
            <w:noWrap/>
            <w:vAlign w:val="center"/>
            <w:hideMark/>
          </w:tcPr>
          <w:p w:rsidR="00804421" w:rsidRPr="00804421" w:rsidRDefault="00804421" w:rsidP="00804421">
            <w:pPr>
              <w:jc w:val="right"/>
              <w:rPr>
                <w:b/>
                <w:bCs/>
                <w:sz w:val="20"/>
                <w:lang w:eastAsia="lv-LV"/>
              </w:rPr>
            </w:pPr>
            <w:r w:rsidRPr="00804421">
              <w:rPr>
                <w:b/>
                <w:bCs/>
                <w:sz w:val="20"/>
                <w:lang w:eastAsia="lv-LV"/>
              </w:rPr>
              <w:t>-215,002</w:t>
            </w:r>
          </w:p>
        </w:tc>
        <w:tc>
          <w:tcPr>
            <w:tcW w:w="1078" w:type="dxa"/>
            <w:tcBorders>
              <w:top w:val="nil"/>
              <w:left w:val="single" w:sz="4" w:space="0" w:color="auto"/>
              <w:bottom w:val="single" w:sz="4" w:space="0" w:color="auto"/>
              <w:right w:val="nil"/>
            </w:tcBorders>
            <w:shd w:val="clear" w:color="000000" w:fill="CCCCFF"/>
            <w:noWrap/>
            <w:vAlign w:val="center"/>
            <w:hideMark/>
          </w:tcPr>
          <w:p w:rsidR="00804421" w:rsidRPr="00804421" w:rsidRDefault="00804421" w:rsidP="00804421">
            <w:pPr>
              <w:jc w:val="right"/>
              <w:rPr>
                <w:b/>
                <w:bCs/>
                <w:sz w:val="20"/>
                <w:lang w:eastAsia="lv-LV"/>
              </w:rPr>
            </w:pPr>
            <w:r w:rsidRPr="00804421">
              <w:rPr>
                <w:b/>
                <w:bCs/>
                <w:sz w:val="20"/>
                <w:lang w:eastAsia="lv-LV"/>
              </w:rPr>
              <w:t>-79,691</w:t>
            </w:r>
          </w:p>
        </w:tc>
        <w:tc>
          <w:tcPr>
            <w:tcW w:w="1079" w:type="dxa"/>
            <w:tcBorders>
              <w:top w:val="nil"/>
              <w:left w:val="single" w:sz="4" w:space="0" w:color="auto"/>
              <w:bottom w:val="single" w:sz="4" w:space="0" w:color="auto"/>
              <w:right w:val="single" w:sz="4" w:space="0" w:color="auto"/>
            </w:tcBorders>
            <w:shd w:val="clear" w:color="000000" w:fill="CCCCFF"/>
            <w:noWrap/>
            <w:vAlign w:val="center"/>
            <w:hideMark/>
          </w:tcPr>
          <w:p w:rsidR="00804421" w:rsidRPr="00804421" w:rsidRDefault="00804421" w:rsidP="00804421">
            <w:pPr>
              <w:jc w:val="right"/>
              <w:rPr>
                <w:b/>
                <w:bCs/>
                <w:i/>
                <w:iCs/>
                <w:sz w:val="20"/>
                <w:lang w:eastAsia="lv-LV"/>
              </w:rPr>
            </w:pPr>
            <w:r w:rsidRPr="00804421">
              <w:rPr>
                <w:b/>
                <w:bCs/>
                <w:i/>
                <w:iCs/>
                <w:sz w:val="20"/>
                <w:lang w:eastAsia="lv-LV"/>
              </w:rPr>
              <w:t>135,311</w:t>
            </w:r>
          </w:p>
        </w:tc>
      </w:tr>
    </w:tbl>
    <w:p w:rsidR="00D87369" w:rsidRDefault="00D87369">
      <w:pPr>
        <w:jc w:val="left"/>
        <w:rPr>
          <w:szCs w:val="24"/>
        </w:rPr>
      </w:pPr>
    </w:p>
    <w:p w:rsidR="008F7E5F" w:rsidRDefault="00D87369" w:rsidP="008F7E5F">
      <w:pPr>
        <w:spacing w:before="120"/>
        <w:ind w:firstLine="720"/>
        <w:rPr>
          <w:szCs w:val="24"/>
        </w:rPr>
      </w:pPr>
      <w:r>
        <w:rPr>
          <w:szCs w:val="24"/>
        </w:rPr>
        <w:t xml:space="preserve">Valsts speciālā budžeta ieņēmumu </w:t>
      </w:r>
      <w:r w:rsidR="008F7E5F">
        <w:rPr>
          <w:szCs w:val="24"/>
        </w:rPr>
        <w:t>pieaugums</w:t>
      </w:r>
      <w:r>
        <w:rPr>
          <w:szCs w:val="24"/>
        </w:rPr>
        <w:t xml:space="preserve"> 2011.gada </w:t>
      </w:r>
      <w:r w:rsidR="00CB2865">
        <w:rPr>
          <w:szCs w:val="24"/>
        </w:rPr>
        <w:t xml:space="preserve">četros </w:t>
      </w:r>
      <w:r w:rsidR="008F7E5F">
        <w:rPr>
          <w:szCs w:val="24"/>
        </w:rPr>
        <w:t>mēnešos</w:t>
      </w:r>
      <w:r w:rsidR="00F4729C">
        <w:rPr>
          <w:szCs w:val="24"/>
        </w:rPr>
        <w:t>,</w:t>
      </w:r>
      <w:r w:rsidR="008F7E5F">
        <w:rPr>
          <w:szCs w:val="24"/>
        </w:rPr>
        <w:t xml:space="preserve"> salīdzinot ar 2010.gada atbilstošo periodu</w:t>
      </w:r>
      <w:r w:rsidR="00F4729C">
        <w:rPr>
          <w:szCs w:val="24"/>
        </w:rPr>
        <w:t>,</w:t>
      </w:r>
      <w:r w:rsidR="008F7E5F">
        <w:rPr>
          <w:szCs w:val="24"/>
        </w:rPr>
        <w:t xml:space="preserve"> bija par 9,7 </w:t>
      </w:r>
      <w:proofErr w:type="spellStart"/>
      <w:r w:rsidR="008F7E5F">
        <w:rPr>
          <w:szCs w:val="24"/>
        </w:rPr>
        <w:t>milj</w:t>
      </w:r>
      <w:proofErr w:type="spellEnd"/>
      <w:r w:rsidR="008F7E5F">
        <w:rPr>
          <w:szCs w:val="24"/>
        </w:rPr>
        <w:t>. latu. Procentu ieņēmumu</w:t>
      </w:r>
      <w:r w:rsidR="008F7E5F" w:rsidRPr="008F7E5F">
        <w:rPr>
          <w:szCs w:val="24"/>
        </w:rPr>
        <w:t xml:space="preserve"> par VSAA depozītiem un kontu atlikumiem</w:t>
      </w:r>
      <w:r w:rsidR="008F7E5F">
        <w:rPr>
          <w:szCs w:val="24"/>
        </w:rPr>
        <w:t xml:space="preserve"> samazinājums pamatā izskaidrojams ar brīvo naudas līdzekļu samazinājumu valsts speciālajā budžetā, ko ir iespējams izvietot Valsts kasē kā depozītus, turpretī pārējo  ieņēmumu pieaugums par 29,4 </w:t>
      </w:r>
      <w:proofErr w:type="spellStart"/>
      <w:r w:rsidR="008F7E5F">
        <w:rPr>
          <w:szCs w:val="24"/>
        </w:rPr>
        <w:t>milj</w:t>
      </w:r>
      <w:proofErr w:type="spellEnd"/>
      <w:r w:rsidR="008F7E5F">
        <w:rPr>
          <w:szCs w:val="24"/>
        </w:rPr>
        <w:t xml:space="preserve">. latu 2011.gada </w:t>
      </w:r>
      <w:r w:rsidR="00CB2865">
        <w:rPr>
          <w:szCs w:val="24"/>
        </w:rPr>
        <w:t xml:space="preserve">četros </w:t>
      </w:r>
      <w:r w:rsidR="008F7E5F">
        <w:rPr>
          <w:szCs w:val="24"/>
        </w:rPr>
        <w:t>mēnešos s</w:t>
      </w:r>
      <w:r w:rsidR="008F7E5F" w:rsidRPr="001A2264">
        <w:rPr>
          <w:szCs w:val="24"/>
        </w:rPr>
        <w:t>alīdzinot ar 2010. gada atbilstošo periodu,</w:t>
      </w:r>
      <w:r w:rsidR="008F7E5F">
        <w:rPr>
          <w:szCs w:val="24"/>
        </w:rPr>
        <w:t xml:space="preserve"> ir izskaidrojams ar</w:t>
      </w:r>
      <w:r w:rsidR="008F7E5F" w:rsidRPr="001A2264">
        <w:rPr>
          <w:szCs w:val="24"/>
        </w:rPr>
        <w:t xml:space="preserve"> sociālās</w:t>
      </w:r>
      <w:r w:rsidR="008F7E5F">
        <w:rPr>
          <w:szCs w:val="24"/>
        </w:rPr>
        <w:t xml:space="preserve"> apdrošināšanas iemaksu ieņēmumu palielinājumu.</w:t>
      </w:r>
    </w:p>
    <w:p w:rsidR="00BA6F51" w:rsidRDefault="00BA6F51" w:rsidP="00BA6F51">
      <w:pPr>
        <w:spacing w:before="120"/>
        <w:ind w:firstLine="720"/>
        <w:rPr>
          <w:szCs w:val="24"/>
        </w:rPr>
      </w:pPr>
      <w:r>
        <w:rPr>
          <w:szCs w:val="24"/>
        </w:rPr>
        <w:t xml:space="preserve">Valsts speciālā budžeta izdevumu samazinājums 2011.gada </w:t>
      </w:r>
      <w:r w:rsidR="00CB2865">
        <w:rPr>
          <w:szCs w:val="24"/>
        </w:rPr>
        <w:t xml:space="preserve">četros </w:t>
      </w:r>
      <w:r>
        <w:rPr>
          <w:szCs w:val="24"/>
        </w:rPr>
        <w:t>mēnešos</w:t>
      </w:r>
      <w:r w:rsidR="00F4729C">
        <w:rPr>
          <w:szCs w:val="24"/>
        </w:rPr>
        <w:t>,</w:t>
      </w:r>
      <w:r>
        <w:rPr>
          <w:szCs w:val="24"/>
        </w:rPr>
        <w:t xml:space="preserve"> salīdzinot ar 2010.gada </w:t>
      </w:r>
      <w:proofErr w:type="spellStart"/>
      <w:r w:rsidR="00CB2865">
        <w:rPr>
          <w:szCs w:val="24"/>
        </w:rPr>
        <w:t>četriem</w:t>
      </w:r>
      <w:r>
        <w:rPr>
          <w:szCs w:val="24"/>
        </w:rPr>
        <w:t>mēnešiem</w:t>
      </w:r>
      <w:proofErr w:type="spellEnd"/>
      <w:r w:rsidR="00F4729C">
        <w:rPr>
          <w:szCs w:val="24"/>
        </w:rPr>
        <w:t>,</w:t>
      </w:r>
      <w:r>
        <w:rPr>
          <w:szCs w:val="24"/>
        </w:rPr>
        <w:t xml:space="preserve"> samazinājās par 125,6 </w:t>
      </w:r>
      <w:proofErr w:type="spellStart"/>
      <w:r>
        <w:rPr>
          <w:szCs w:val="24"/>
        </w:rPr>
        <w:t>milj</w:t>
      </w:r>
      <w:proofErr w:type="spellEnd"/>
      <w:r>
        <w:rPr>
          <w:szCs w:val="24"/>
        </w:rPr>
        <w:t xml:space="preserve">. latu, kas ir pamatojams ar: </w:t>
      </w:r>
    </w:p>
    <w:p w:rsidR="00BA6F51" w:rsidRPr="00BA6F51" w:rsidRDefault="00BA6F51" w:rsidP="00BA6F51">
      <w:pPr>
        <w:numPr>
          <w:ilvl w:val="0"/>
          <w:numId w:val="31"/>
        </w:numPr>
        <w:spacing w:after="120"/>
        <w:ind w:left="1077" w:hanging="357"/>
        <w:rPr>
          <w:szCs w:val="28"/>
        </w:rPr>
      </w:pPr>
      <w:r w:rsidRPr="00BA6F51">
        <w:rPr>
          <w:szCs w:val="28"/>
        </w:rPr>
        <w:t>vecuma un izdienas pensijas saņēmēju skaita samazināšanos kā arī izdevumu palielinājumu 2010.gadā Satversmes tiesas sprieduma īstenošanai, lai 2010.gada marta beigās nodrošinātu no 01.07.2009. līdz 31.01.2010. ieturēto vecuma un izdienas pensiju izmaksu;</w:t>
      </w:r>
    </w:p>
    <w:p w:rsidR="00BA6F51" w:rsidRPr="00BA6F51" w:rsidRDefault="00BA6F51" w:rsidP="00BA6F51">
      <w:pPr>
        <w:numPr>
          <w:ilvl w:val="0"/>
          <w:numId w:val="31"/>
        </w:numPr>
        <w:spacing w:after="120"/>
        <w:ind w:left="1077" w:hanging="357"/>
        <w:rPr>
          <w:szCs w:val="28"/>
        </w:rPr>
      </w:pPr>
      <w:r w:rsidRPr="00BA6F51">
        <w:rPr>
          <w:szCs w:val="28"/>
        </w:rPr>
        <w:t>bezdarbnieka pabalstu saņēmē</w:t>
      </w:r>
      <w:r>
        <w:rPr>
          <w:szCs w:val="28"/>
        </w:rPr>
        <w:t>ju skaita un apmēra samazināšano</w:t>
      </w:r>
      <w:r w:rsidRPr="00BA6F51">
        <w:rPr>
          <w:szCs w:val="28"/>
        </w:rPr>
        <w:t>s</w:t>
      </w:r>
      <w:r>
        <w:rPr>
          <w:szCs w:val="28"/>
        </w:rPr>
        <w:t>, ko ir ietekmējis ekonomiskās aktivitātes pieaugums</w:t>
      </w:r>
      <w:r w:rsidRPr="00BA6F51">
        <w:rPr>
          <w:szCs w:val="28"/>
        </w:rPr>
        <w:t>;</w:t>
      </w:r>
    </w:p>
    <w:p w:rsidR="00BA6F51" w:rsidRPr="00BA6F51" w:rsidRDefault="00BA6F51" w:rsidP="00BA6F51">
      <w:pPr>
        <w:numPr>
          <w:ilvl w:val="0"/>
          <w:numId w:val="31"/>
        </w:numPr>
        <w:spacing w:after="120"/>
        <w:ind w:left="1077" w:hanging="357"/>
        <w:rPr>
          <w:szCs w:val="28"/>
        </w:rPr>
      </w:pPr>
      <w:r w:rsidRPr="00BA6F51">
        <w:rPr>
          <w:szCs w:val="28"/>
        </w:rPr>
        <w:t>vecāku, maternitātes un paternitātes pabalsta saņēmēju skai</w:t>
      </w:r>
      <w:r>
        <w:rPr>
          <w:szCs w:val="28"/>
        </w:rPr>
        <w:t>ta un vidējā apmēra samazināšano</w:t>
      </w:r>
      <w:r w:rsidRPr="00BA6F51">
        <w:rPr>
          <w:szCs w:val="28"/>
        </w:rPr>
        <w:t xml:space="preserve">s saistībā ar izmaiņām likumdošanā, kā arī saistībā ar </w:t>
      </w:r>
      <w:r w:rsidRPr="00BA6F51">
        <w:rPr>
          <w:snapToGrid w:val="0"/>
          <w:szCs w:val="28"/>
        </w:rPr>
        <w:t>dzimstības līmeņa un vidējās apdrošināšanas iemaksu algas samazināšanos</w:t>
      </w:r>
      <w:r w:rsidRPr="00BA6F51">
        <w:rPr>
          <w:szCs w:val="28"/>
        </w:rPr>
        <w:t>;</w:t>
      </w:r>
    </w:p>
    <w:p w:rsidR="00BA6F51" w:rsidRPr="00BA6F51" w:rsidRDefault="00BA6F51" w:rsidP="00BA6F51">
      <w:pPr>
        <w:numPr>
          <w:ilvl w:val="0"/>
          <w:numId w:val="31"/>
        </w:numPr>
        <w:spacing w:after="120"/>
        <w:ind w:left="1077" w:hanging="357"/>
        <w:rPr>
          <w:szCs w:val="28"/>
        </w:rPr>
      </w:pPr>
      <w:r w:rsidRPr="00BA6F51">
        <w:rPr>
          <w:szCs w:val="28"/>
        </w:rPr>
        <w:t>slimības pabalstu saņēmēju skaita un vidējā apmēr</w:t>
      </w:r>
      <w:r>
        <w:rPr>
          <w:szCs w:val="28"/>
        </w:rPr>
        <w:t>a samazināšano</w:t>
      </w:r>
      <w:r w:rsidRPr="00BA6F51">
        <w:rPr>
          <w:szCs w:val="28"/>
        </w:rPr>
        <w:t>s.</w:t>
      </w:r>
    </w:p>
    <w:p w:rsidR="00FC7364" w:rsidRDefault="008F7E5F" w:rsidP="002355D8">
      <w:pPr>
        <w:ind w:firstLine="720"/>
        <w:jc w:val="right"/>
        <w:rPr>
          <w:szCs w:val="24"/>
        </w:rPr>
      </w:pPr>
      <w:r w:rsidRPr="008F7E5F">
        <w:rPr>
          <w:szCs w:val="24"/>
        </w:rPr>
        <w:t xml:space="preserve"> </w:t>
      </w:r>
      <w:r w:rsidR="00F4729C">
        <w:rPr>
          <w:szCs w:val="24"/>
        </w:rPr>
        <w:t>4.3</w:t>
      </w:r>
      <w:r w:rsidR="00701176">
        <w:rPr>
          <w:szCs w:val="24"/>
        </w:rPr>
        <w:t>. tabula</w:t>
      </w:r>
    </w:p>
    <w:p w:rsidR="009242A7" w:rsidRPr="003C27AE" w:rsidRDefault="009242A7" w:rsidP="00701176">
      <w:pPr>
        <w:jc w:val="center"/>
        <w:rPr>
          <w:b/>
          <w:szCs w:val="24"/>
        </w:rPr>
      </w:pPr>
    </w:p>
    <w:p w:rsidR="00701176" w:rsidRPr="003C27AE" w:rsidRDefault="008D010F" w:rsidP="005118D3">
      <w:pPr>
        <w:jc w:val="center"/>
        <w:rPr>
          <w:b/>
          <w:szCs w:val="24"/>
        </w:rPr>
      </w:pPr>
      <w:r w:rsidRPr="003C27AE">
        <w:rPr>
          <w:b/>
          <w:szCs w:val="24"/>
        </w:rPr>
        <w:t>Iedzīvotāju ienākuma nodokļa izpilde</w:t>
      </w:r>
      <w:r w:rsidR="00B85B24" w:rsidRPr="003C27AE">
        <w:rPr>
          <w:b/>
          <w:szCs w:val="24"/>
        </w:rPr>
        <w:t xml:space="preserve"> un prognoze</w:t>
      </w:r>
      <w:r w:rsidRPr="003C27AE">
        <w:rPr>
          <w:b/>
          <w:szCs w:val="24"/>
        </w:rPr>
        <w:t xml:space="preserve"> pašvaldību budžetos 2011.gada </w:t>
      </w:r>
      <w:r w:rsidR="00CB2865">
        <w:rPr>
          <w:b/>
          <w:szCs w:val="24"/>
        </w:rPr>
        <w:t>četros</w:t>
      </w:r>
      <w:r w:rsidR="00CB2865" w:rsidRPr="003C27AE">
        <w:rPr>
          <w:b/>
          <w:szCs w:val="24"/>
        </w:rPr>
        <w:t xml:space="preserve"> </w:t>
      </w:r>
      <w:r w:rsidRPr="003C27AE">
        <w:rPr>
          <w:b/>
          <w:szCs w:val="24"/>
        </w:rPr>
        <w:t>mēnešos</w:t>
      </w:r>
    </w:p>
    <w:p w:rsidR="00701176" w:rsidRDefault="00701176" w:rsidP="00632C66">
      <w:pPr>
        <w:rPr>
          <w:szCs w:val="24"/>
        </w:rPr>
      </w:pPr>
    </w:p>
    <w:tbl>
      <w:tblPr>
        <w:tblW w:w="9194" w:type="dxa"/>
        <w:tblInd w:w="93" w:type="dxa"/>
        <w:tblLook w:val="04A0" w:firstRow="1" w:lastRow="0" w:firstColumn="1" w:lastColumn="0" w:noHBand="0" w:noVBand="1"/>
      </w:tblPr>
      <w:tblGrid>
        <w:gridCol w:w="1290"/>
        <w:gridCol w:w="1135"/>
        <w:gridCol w:w="1418"/>
        <w:gridCol w:w="1275"/>
        <w:gridCol w:w="1909"/>
        <w:gridCol w:w="950"/>
        <w:gridCol w:w="1217"/>
      </w:tblGrid>
      <w:tr w:rsidR="00632C66" w:rsidRPr="00632C66" w:rsidTr="00632C66">
        <w:trPr>
          <w:trHeight w:val="94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C66" w:rsidRPr="00632C66" w:rsidRDefault="00632C66" w:rsidP="00632C66">
            <w:pPr>
              <w:jc w:val="center"/>
              <w:rPr>
                <w:b/>
                <w:bCs/>
                <w:color w:val="000000"/>
                <w:szCs w:val="24"/>
                <w:lang w:eastAsia="lv-LV"/>
              </w:rPr>
            </w:pPr>
            <w:r w:rsidRPr="00632C66">
              <w:rPr>
                <w:b/>
                <w:bCs/>
                <w:color w:val="000000"/>
                <w:szCs w:val="24"/>
                <w:lang w:eastAsia="lv-LV"/>
              </w:rPr>
              <w:t>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32C66" w:rsidRPr="00632C66" w:rsidRDefault="00632C66" w:rsidP="00632C66">
            <w:pPr>
              <w:jc w:val="center"/>
              <w:rPr>
                <w:color w:val="000000"/>
                <w:szCs w:val="24"/>
                <w:lang w:eastAsia="lv-LV"/>
              </w:rPr>
            </w:pPr>
            <w:r w:rsidRPr="00632C66">
              <w:rPr>
                <w:color w:val="000000"/>
                <w:szCs w:val="24"/>
                <w:lang w:eastAsia="lv-LV"/>
              </w:rPr>
              <w:t xml:space="preserve">VKSK prognoze 2011.g.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2C66" w:rsidRPr="00632C66" w:rsidRDefault="00632C66" w:rsidP="00632C66">
            <w:pPr>
              <w:jc w:val="center"/>
              <w:rPr>
                <w:color w:val="000000"/>
                <w:szCs w:val="24"/>
                <w:lang w:eastAsia="lv-LV"/>
              </w:rPr>
            </w:pPr>
            <w:r w:rsidRPr="00632C66">
              <w:rPr>
                <w:color w:val="000000"/>
                <w:szCs w:val="24"/>
                <w:lang w:eastAsia="lv-LV"/>
              </w:rPr>
              <w:t xml:space="preserve"> Garantētie 96% no prognozes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32C66" w:rsidRPr="00632C66" w:rsidRDefault="00632C66" w:rsidP="00632C66">
            <w:pPr>
              <w:jc w:val="center"/>
              <w:rPr>
                <w:color w:val="000000"/>
                <w:szCs w:val="24"/>
                <w:lang w:eastAsia="lv-LV"/>
              </w:rPr>
            </w:pPr>
            <w:r w:rsidRPr="00632C66">
              <w:rPr>
                <w:color w:val="000000"/>
                <w:szCs w:val="24"/>
                <w:lang w:eastAsia="lv-LV"/>
              </w:rPr>
              <w:t xml:space="preserve"> Izpilde no gada sākuma </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632C66" w:rsidRPr="00632C66" w:rsidRDefault="00632C66" w:rsidP="00632C66">
            <w:pPr>
              <w:jc w:val="center"/>
              <w:rPr>
                <w:color w:val="000000"/>
                <w:szCs w:val="24"/>
                <w:lang w:eastAsia="lv-LV"/>
              </w:rPr>
            </w:pPr>
            <w:r w:rsidRPr="00632C66">
              <w:rPr>
                <w:color w:val="000000"/>
                <w:szCs w:val="24"/>
                <w:lang w:eastAsia="lv-LV"/>
              </w:rPr>
              <w:t xml:space="preserve">Starpība (izpilde/garantēto daļu)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632C66" w:rsidRPr="00632C66" w:rsidRDefault="00632C66" w:rsidP="00632C66">
            <w:pPr>
              <w:jc w:val="center"/>
              <w:rPr>
                <w:color w:val="000000"/>
                <w:szCs w:val="24"/>
                <w:lang w:eastAsia="lv-LV"/>
              </w:rPr>
            </w:pPr>
            <w:r w:rsidRPr="00632C66">
              <w:rPr>
                <w:color w:val="000000"/>
                <w:szCs w:val="24"/>
                <w:lang w:eastAsia="lv-LV"/>
              </w:rPr>
              <w:t xml:space="preserve">% no kopējās </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632C66" w:rsidRPr="00632C66" w:rsidRDefault="00632C66" w:rsidP="00632C66">
            <w:pPr>
              <w:jc w:val="center"/>
              <w:rPr>
                <w:color w:val="000000"/>
                <w:szCs w:val="24"/>
                <w:lang w:eastAsia="lv-LV"/>
              </w:rPr>
            </w:pPr>
            <w:r w:rsidRPr="00632C66">
              <w:rPr>
                <w:color w:val="000000"/>
                <w:szCs w:val="24"/>
                <w:lang w:eastAsia="lv-LV"/>
              </w:rPr>
              <w:t>% no 96%</w:t>
            </w:r>
          </w:p>
        </w:tc>
      </w:tr>
      <w:tr w:rsidR="00632C66" w:rsidRPr="00632C66" w:rsidTr="00632C66">
        <w:trPr>
          <w:trHeight w:val="315"/>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rsidR="00632C66" w:rsidRPr="00632C66" w:rsidRDefault="00632C66" w:rsidP="00632C66">
            <w:pPr>
              <w:jc w:val="left"/>
              <w:rPr>
                <w:color w:val="000000"/>
                <w:szCs w:val="24"/>
                <w:lang w:eastAsia="lv-LV"/>
              </w:rPr>
            </w:pPr>
            <w:r w:rsidRPr="00632C66">
              <w:rPr>
                <w:color w:val="000000"/>
                <w:szCs w:val="24"/>
                <w:lang w:eastAsia="lv-LV"/>
              </w:rPr>
              <w:t>1 mēnesis</w:t>
            </w:r>
          </w:p>
        </w:tc>
        <w:tc>
          <w:tcPr>
            <w:tcW w:w="1135"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24,4</w:t>
            </w:r>
          </w:p>
        </w:tc>
        <w:tc>
          <w:tcPr>
            <w:tcW w:w="1418"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23,5</w:t>
            </w:r>
          </w:p>
        </w:tc>
        <w:tc>
          <w:tcPr>
            <w:tcW w:w="1275"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30,4</w:t>
            </w:r>
          </w:p>
        </w:tc>
        <w:tc>
          <w:tcPr>
            <w:tcW w:w="1909"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7,0</w:t>
            </w:r>
          </w:p>
        </w:tc>
        <w:tc>
          <w:tcPr>
            <w:tcW w:w="950"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124,5</w:t>
            </w:r>
          </w:p>
        </w:tc>
        <w:tc>
          <w:tcPr>
            <w:tcW w:w="1217"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129,7</w:t>
            </w:r>
          </w:p>
        </w:tc>
      </w:tr>
      <w:tr w:rsidR="00632C66" w:rsidRPr="00632C66" w:rsidTr="00632C66">
        <w:trPr>
          <w:trHeight w:val="315"/>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632C66" w:rsidRPr="00632C66" w:rsidRDefault="00632C66" w:rsidP="00632C66">
            <w:pPr>
              <w:jc w:val="left"/>
              <w:rPr>
                <w:color w:val="000000"/>
                <w:szCs w:val="24"/>
                <w:lang w:eastAsia="lv-LV"/>
              </w:rPr>
            </w:pPr>
            <w:r w:rsidRPr="00632C66">
              <w:rPr>
                <w:color w:val="000000"/>
                <w:szCs w:val="24"/>
                <w:lang w:eastAsia="lv-LV"/>
              </w:rPr>
              <w:t xml:space="preserve">2 mēneši </w:t>
            </w:r>
          </w:p>
        </w:tc>
        <w:tc>
          <w:tcPr>
            <w:tcW w:w="1135"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48,9</w:t>
            </w:r>
          </w:p>
        </w:tc>
        <w:tc>
          <w:tcPr>
            <w:tcW w:w="1418"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46,9</w:t>
            </w:r>
          </w:p>
        </w:tc>
        <w:tc>
          <w:tcPr>
            <w:tcW w:w="1275"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63,1</w:t>
            </w:r>
          </w:p>
        </w:tc>
        <w:tc>
          <w:tcPr>
            <w:tcW w:w="1909"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16,2</w:t>
            </w:r>
          </w:p>
        </w:tc>
        <w:tc>
          <w:tcPr>
            <w:tcW w:w="950"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129,2</w:t>
            </w:r>
          </w:p>
        </w:tc>
        <w:tc>
          <w:tcPr>
            <w:tcW w:w="1217"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134,6</w:t>
            </w:r>
          </w:p>
        </w:tc>
      </w:tr>
      <w:tr w:rsidR="00632C66" w:rsidRPr="00632C66" w:rsidTr="00632C66">
        <w:trPr>
          <w:trHeight w:val="315"/>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rsidR="00632C66" w:rsidRPr="00632C66" w:rsidRDefault="00632C66" w:rsidP="00632C66">
            <w:pPr>
              <w:jc w:val="left"/>
              <w:rPr>
                <w:color w:val="000000"/>
                <w:szCs w:val="24"/>
                <w:lang w:eastAsia="lv-LV"/>
              </w:rPr>
            </w:pPr>
            <w:r w:rsidRPr="00632C66">
              <w:rPr>
                <w:color w:val="000000"/>
                <w:szCs w:val="24"/>
                <w:lang w:eastAsia="lv-LV"/>
              </w:rPr>
              <w:t xml:space="preserve">3 mēneši </w:t>
            </w:r>
          </w:p>
        </w:tc>
        <w:tc>
          <w:tcPr>
            <w:tcW w:w="1135"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73,3</w:t>
            </w:r>
          </w:p>
        </w:tc>
        <w:tc>
          <w:tcPr>
            <w:tcW w:w="1418"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70,4</w:t>
            </w:r>
          </w:p>
        </w:tc>
        <w:tc>
          <w:tcPr>
            <w:tcW w:w="1275"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95,0</w:t>
            </w:r>
          </w:p>
        </w:tc>
        <w:tc>
          <w:tcPr>
            <w:tcW w:w="1909"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24,6</w:t>
            </w:r>
          </w:p>
        </w:tc>
        <w:tc>
          <w:tcPr>
            <w:tcW w:w="950"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129,6</w:t>
            </w:r>
          </w:p>
        </w:tc>
        <w:tc>
          <w:tcPr>
            <w:tcW w:w="1217"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135,0</w:t>
            </w:r>
          </w:p>
        </w:tc>
      </w:tr>
      <w:tr w:rsidR="00632C66" w:rsidRPr="00632C66" w:rsidTr="00632C66">
        <w:trPr>
          <w:trHeight w:val="315"/>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rsidR="00632C66" w:rsidRPr="00632C66" w:rsidRDefault="00632C66" w:rsidP="00632C66">
            <w:pPr>
              <w:jc w:val="left"/>
              <w:rPr>
                <w:color w:val="000000"/>
                <w:szCs w:val="24"/>
                <w:lang w:eastAsia="lv-LV"/>
              </w:rPr>
            </w:pPr>
            <w:r w:rsidRPr="00632C66">
              <w:rPr>
                <w:color w:val="000000"/>
                <w:szCs w:val="24"/>
                <w:lang w:eastAsia="lv-LV"/>
              </w:rPr>
              <w:t>4.mēneši</w:t>
            </w:r>
          </w:p>
        </w:tc>
        <w:tc>
          <w:tcPr>
            <w:tcW w:w="1135"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102,6</w:t>
            </w:r>
          </w:p>
        </w:tc>
        <w:tc>
          <w:tcPr>
            <w:tcW w:w="1418"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98,5</w:t>
            </w:r>
          </w:p>
        </w:tc>
        <w:tc>
          <w:tcPr>
            <w:tcW w:w="1275"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128,4</w:t>
            </w:r>
          </w:p>
        </w:tc>
        <w:tc>
          <w:tcPr>
            <w:tcW w:w="1909"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29,9</w:t>
            </w:r>
          </w:p>
        </w:tc>
        <w:tc>
          <w:tcPr>
            <w:tcW w:w="950"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125,2</w:t>
            </w:r>
          </w:p>
        </w:tc>
        <w:tc>
          <w:tcPr>
            <w:tcW w:w="1217" w:type="dxa"/>
            <w:tcBorders>
              <w:top w:val="nil"/>
              <w:left w:val="nil"/>
              <w:bottom w:val="single" w:sz="4" w:space="0" w:color="auto"/>
              <w:right w:val="single" w:sz="4" w:space="0" w:color="auto"/>
            </w:tcBorders>
            <w:shd w:val="clear" w:color="auto" w:fill="auto"/>
            <w:noWrap/>
            <w:vAlign w:val="center"/>
            <w:hideMark/>
          </w:tcPr>
          <w:p w:rsidR="00632C66" w:rsidRPr="00632C66" w:rsidRDefault="00632C66" w:rsidP="00632C66">
            <w:pPr>
              <w:jc w:val="right"/>
              <w:rPr>
                <w:color w:val="000000"/>
                <w:szCs w:val="24"/>
                <w:lang w:eastAsia="lv-LV"/>
              </w:rPr>
            </w:pPr>
            <w:r w:rsidRPr="00632C66">
              <w:rPr>
                <w:color w:val="000000"/>
                <w:szCs w:val="24"/>
                <w:lang w:eastAsia="lv-LV"/>
              </w:rPr>
              <w:t>130,4</w:t>
            </w:r>
          </w:p>
        </w:tc>
      </w:tr>
    </w:tbl>
    <w:p w:rsidR="009242A7" w:rsidRDefault="009242A7" w:rsidP="00632C66">
      <w:pPr>
        <w:rPr>
          <w:rFonts w:eastAsiaTheme="minorHAnsi"/>
          <w:szCs w:val="24"/>
        </w:rPr>
      </w:pPr>
    </w:p>
    <w:p w:rsidR="009242A7" w:rsidRDefault="00701176" w:rsidP="00701176">
      <w:pPr>
        <w:ind w:firstLine="720"/>
        <w:rPr>
          <w:szCs w:val="24"/>
        </w:rPr>
      </w:pPr>
      <w:r>
        <w:rPr>
          <w:szCs w:val="24"/>
        </w:rPr>
        <w:t>I</w:t>
      </w:r>
      <w:r w:rsidR="009242A7">
        <w:rPr>
          <w:szCs w:val="24"/>
        </w:rPr>
        <w:t xml:space="preserve">zvērtējot ienākuma nodokļa ieņēmumu </w:t>
      </w:r>
      <w:r w:rsidR="00CB2865">
        <w:rPr>
          <w:szCs w:val="24"/>
        </w:rPr>
        <w:t xml:space="preserve">četru </w:t>
      </w:r>
      <w:r w:rsidR="009242A7">
        <w:rPr>
          <w:szCs w:val="24"/>
        </w:rPr>
        <w:t>mēnešu</w:t>
      </w:r>
      <w:r w:rsidR="009242A7">
        <w:rPr>
          <w:color w:val="1F497D"/>
          <w:szCs w:val="24"/>
        </w:rPr>
        <w:t xml:space="preserve"> </w:t>
      </w:r>
      <w:r w:rsidR="009242A7">
        <w:rPr>
          <w:szCs w:val="24"/>
        </w:rPr>
        <w:t xml:space="preserve">izpildi pret </w:t>
      </w:r>
      <w:r w:rsidR="00CB2865">
        <w:rPr>
          <w:szCs w:val="24"/>
        </w:rPr>
        <w:t xml:space="preserve">četru </w:t>
      </w:r>
      <w:r w:rsidR="009242A7">
        <w:rPr>
          <w:szCs w:val="24"/>
        </w:rPr>
        <w:t xml:space="preserve">mēnešu plānu, </w:t>
      </w:r>
      <w:r w:rsidR="00CB2865">
        <w:rPr>
          <w:szCs w:val="24"/>
        </w:rPr>
        <w:t xml:space="preserve">var secināt, ka </w:t>
      </w:r>
      <w:r w:rsidR="009242A7">
        <w:rPr>
          <w:szCs w:val="24"/>
        </w:rPr>
        <w:t>iedzīvotāju ienākuma nodokļa ieņēmumu faktiskā izpilde</w:t>
      </w:r>
      <w:r w:rsidR="00CB2865">
        <w:rPr>
          <w:szCs w:val="24"/>
        </w:rPr>
        <w:t xml:space="preserve"> būtiski </w:t>
      </w:r>
      <w:r w:rsidR="009242A7">
        <w:rPr>
          <w:szCs w:val="24"/>
        </w:rPr>
        <w:t xml:space="preserve"> pārsniedz plānoto ieņēmumu apmēru, tai daļai, ko pašvaldības saņem caur Valsts kases sadales kontu (VKSK). Līdz ar to pašvaldības 2011.gada </w:t>
      </w:r>
      <w:r w:rsidR="00CB2865">
        <w:rPr>
          <w:szCs w:val="24"/>
        </w:rPr>
        <w:t xml:space="preserve">četros </w:t>
      </w:r>
      <w:r w:rsidR="009242A7">
        <w:rPr>
          <w:szCs w:val="24"/>
        </w:rPr>
        <w:t xml:space="preserve">mēnešos ir saņēmušas par 25,8 </w:t>
      </w:r>
      <w:proofErr w:type="spellStart"/>
      <w:r w:rsidR="009242A7">
        <w:rPr>
          <w:szCs w:val="24"/>
        </w:rPr>
        <w:t>milj</w:t>
      </w:r>
      <w:proofErr w:type="spellEnd"/>
      <w:r w:rsidR="009242A7">
        <w:rPr>
          <w:szCs w:val="24"/>
        </w:rPr>
        <w:t xml:space="preserve">. latu  lielākus iedzīvotāju ienākuma nodokļa ieņēmumus </w:t>
      </w:r>
      <w:r w:rsidR="00CB2865">
        <w:rPr>
          <w:szCs w:val="24"/>
        </w:rPr>
        <w:t>kā sākotnēji tika plānots,</w:t>
      </w:r>
      <w:r w:rsidR="009242A7">
        <w:rPr>
          <w:szCs w:val="24"/>
        </w:rPr>
        <w:t xml:space="preserve"> un nav </w:t>
      </w:r>
      <w:r w:rsidR="00CB2865">
        <w:rPr>
          <w:szCs w:val="24"/>
        </w:rPr>
        <w:t xml:space="preserve">nepieciešams veikt </w:t>
      </w:r>
      <w:r w:rsidR="009242A7">
        <w:rPr>
          <w:szCs w:val="24"/>
        </w:rPr>
        <w:t>šī nodokļa neizpildes  </w:t>
      </w:r>
      <w:r w:rsidR="00CB2865">
        <w:rPr>
          <w:szCs w:val="24"/>
        </w:rPr>
        <w:t>kompensāciju</w:t>
      </w:r>
      <w:r w:rsidR="009242A7">
        <w:rPr>
          <w:szCs w:val="24"/>
        </w:rPr>
        <w:t xml:space="preserve">. </w:t>
      </w:r>
    </w:p>
    <w:p w:rsidR="009242A7" w:rsidRDefault="009242A7" w:rsidP="00632C66">
      <w:pPr>
        <w:rPr>
          <w:szCs w:val="24"/>
        </w:rPr>
      </w:pPr>
    </w:p>
    <w:p w:rsidR="00701176" w:rsidRDefault="00701176" w:rsidP="00701176">
      <w:pPr>
        <w:ind w:firstLine="720"/>
        <w:rPr>
          <w:szCs w:val="24"/>
        </w:rPr>
      </w:pPr>
      <w:r w:rsidRPr="00701176">
        <w:rPr>
          <w:szCs w:val="24"/>
        </w:rPr>
        <w:t xml:space="preserve">Pēc pašvaldību mēneša pārskatiem par budžeta izpildi uz 31.03.2011. ir redzams, ka pašvaldībām 1.ceturksnī bija 41,9 </w:t>
      </w:r>
      <w:proofErr w:type="spellStart"/>
      <w:r w:rsidRPr="00701176">
        <w:rPr>
          <w:szCs w:val="24"/>
        </w:rPr>
        <w:t>milj</w:t>
      </w:r>
      <w:proofErr w:type="spellEnd"/>
      <w:r w:rsidRPr="00701176">
        <w:rPr>
          <w:szCs w:val="24"/>
        </w:rPr>
        <w:t>. latu pārpalikums, kā arī ir pieaudzis naudas līdzekļu atlikums uz perioda beigām, kas ir izskaidrojams ar  </w:t>
      </w:r>
      <w:r>
        <w:rPr>
          <w:szCs w:val="24"/>
        </w:rPr>
        <w:t>iedzīvotāju ienākuma</w:t>
      </w:r>
      <w:r w:rsidRPr="00701176">
        <w:rPr>
          <w:szCs w:val="24"/>
        </w:rPr>
        <w:t xml:space="preserve"> nodokļa izpildi. </w:t>
      </w:r>
    </w:p>
    <w:p w:rsidR="005118D3" w:rsidRDefault="005118D3" w:rsidP="00701176">
      <w:pPr>
        <w:ind w:firstLine="720"/>
        <w:rPr>
          <w:szCs w:val="24"/>
        </w:rPr>
      </w:pPr>
    </w:p>
    <w:p w:rsidR="005118D3" w:rsidRPr="00701176" w:rsidRDefault="005118D3" w:rsidP="005118D3">
      <w:pPr>
        <w:ind w:firstLine="720"/>
        <w:jc w:val="center"/>
        <w:rPr>
          <w:rFonts w:ascii="Calibri" w:hAnsi="Calibri" w:cs="Calibri"/>
          <w:sz w:val="22"/>
          <w:szCs w:val="22"/>
        </w:rPr>
      </w:pPr>
    </w:p>
    <w:p w:rsidR="005118D3" w:rsidRPr="005118D3" w:rsidRDefault="005118D3" w:rsidP="005118D3">
      <w:pPr>
        <w:jc w:val="center"/>
        <w:rPr>
          <w:b/>
          <w:szCs w:val="24"/>
        </w:rPr>
      </w:pPr>
      <w:r w:rsidRPr="005118D3">
        <w:rPr>
          <w:b/>
          <w:szCs w:val="24"/>
        </w:rPr>
        <w:t>2011.gada konsolidētā kopbudžeta izpildes novērtējums</w:t>
      </w:r>
    </w:p>
    <w:p w:rsidR="005118D3" w:rsidRDefault="005118D3">
      <w:pPr>
        <w:jc w:val="left"/>
        <w:rPr>
          <w:szCs w:val="24"/>
        </w:rPr>
      </w:pPr>
    </w:p>
    <w:p w:rsidR="005F129B" w:rsidRPr="001A2264" w:rsidRDefault="005F129B" w:rsidP="004E37DB">
      <w:pPr>
        <w:ind w:firstLine="720"/>
        <w:rPr>
          <w:szCs w:val="24"/>
        </w:rPr>
      </w:pPr>
      <w:r w:rsidRPr="001A2264">
        <w:rPr>
          <w:szCs w:val="24"/>
        </w:rPr>
        <w:t>2010.gada 21.decembrī Saeima pieņēma 2011.gada budžetu, kas paredzēja vispārējās valdības budžeta deficīta apmēru 5,4% apmērā no IKP, kas ir krietni zem noteiktā budžeta deficīta mērķa 6,0% no IKP. 2011.gada 14.aprīlī Saeimā tika apstiprināts 2011.gada budžets ar grozījumiem, vispārējās valdības budžeta deficītu samazinot līdz 4,2% no IKP.</w:t>
      </w:r>
      <w:r w:rsidR="004E37DB" w:rsidRPr="001A2264">
        <w:rPr>
          <w:szCs w:val="24"/>
        </w:rPr>
        <w:t xml:space="preserve"> </w:t>
      </w:r>
      <w:r w:rsidRPr="001A2264">
        <w:rPr>
          <w:szCs w:val="24"/>
        </w:rPr>
        <w:t xml:space="preserve">Tomēr ņemot vērā budžeta likumā iekļautās normas par iespēju nepieciešamības gadījumā veikt papildus </w:t>
      </w:r>
      <w:r w:rsidR="00F304C7" w:rsidRPr="001A2264">
        <w:rPr>
          <w:szCs w:val="24"/>
        </w:rPr>
        <w:t>apropriācij</w:t>
      </w:r>
      <w:r w:rsidR="00F304C7">
        <w:rPr>
          <w:szCs w:val="24"/>
        </w:rPr>
        <w:t>u</w:t>
      </w:r>
      <w:r w:rsidR="00F304C7" w:rsidRPr="001A2264">
        <w:rPr>
          <w:szCs w:val="24"/>
        </w:rPr>
        <w:t xml:space="preserve"> </w:t>
      </w:r>
      <w:r w:rsidRPr="001A2264">
        <w:rPr>
          <w:szCs w:val="24"/>
        </w:rPr>
        <w:t xml:space="preserve">palielināšanu neparedzētiem gadījumiem, budžeta deficīta novērtējums 2011.gadam ir 4,5% no IKP. </w:t>
      </w:r>
    </w:p>
    <w:p w:rsidR="00BC028A" w:rsidRPr="001A2264" w:rsidRDefault="004E37DB" w:rsidP="00F4729C">
      <w:pPr>
        <w:ind w:firstLine="720"/>
        <w:rPr>
          <w:szCs w:val="24"/>
        </w:rPr>
      </w:pPr>
      <w:r w:rsidRPr="001A2264">
        <w:rPr>
          <w:szCs w:val="24"/>
        </w:rPr>
        <w:t>Papildus fiskālās konsolidācijas pasākumi 2</w:t>
      </w:r>
      <w:r w:rsidR="00BC028A" w:rsidRPr="001A2264">
        <w:rPr>
          <w:szCs w:val="24"/>
        </w:rPr>
        <w:t xml:space="preserve">011.gada budžetā </w:t>
      </w:r>
      <w:r w:rsidRPr="001A2264">
        <w:rPr>
          <w:szCs w:val="24"/>
        </w:rPr>
        <w:t>tika</w:t>
      </w:r>
      <w:r w:rsidR="00BC028A" w:rsidRPr="001A2264">
        <w:rPr>
          <w:szCs w:val="24"/>
        </w:rPr>
        <w:t xml:space="preserve"> realizēt</w:t>
      </w:r>
      <w:r w:rsidRPr="001A2264">
        <w:rPr>
          <w:szCs w:val="24"/>
        </w:rPr>
        <w:t>i</w:t>
      </w:r>
      <w:r w:rsidR="00BC028A" w:rsidRPr="001A2264">
        <w:rPr>
          <w:szCs w:val="24"/>
        </w:rPr>
        <w:t xml:space="preserve">, lai </w:t>
      </w:r>
      <w:r w:rsidRPr="001A2264">
        <w:rPr>
          <w:szCs w:val="24"/>
        </w:rPr>
        <w:t>turpinātu uzlabot</w:t>
      </w:r>
      <w:r w:rsidR="00BC028A" w:rsidRPr="001A2264">
        <w:rPr>
          <w:szCs w:val="24"/>
        </w:rPr>
        <w:t xml:space="preserve"> finanšu tirgu un investoru uzticību Latvijas kredītspējai un ilgtspējai,</w:t>
      </w:r>
      <w:r w:rsidRPr="001A2264">
        <w:rPr>
          <w:szCs w:val="24"/>
        </w:rPr>
        <w:t xml:space="preserve"> kā arī nodrošinātu</w:t>
      </w:r>
      <w:r w:rsidR="00BC028A" w:rsidRPr="001A2264">
        <w:rPr>
          <w:szCs w:val="24"/>
        </w:rPr>
        <w:t xml:space="preserve"> Latvijas </w:t>
      </w:r>
      <w:r w:rsidR="00F304C7" w:rsidRPr="001A2264">
        <w:rPr>
          <w:szCs w:val="24"/>
        </w:rPr>
        <w:t>kredītreiting</w:t>
      </w:r>
      <w:r w:rsidR="00F304C7">
        <w:rPr>
          <w:szCs w:val="24"/>
        </w:rPr>
        <w:t>a</w:t>
      </w:r>
      <w:r w:rsidR="00F304C7" w:rsidRPr="001A2264">
        <w:rPr>
          <w:szCs w:val="24"/>
        </w:rPr>
        <w:t xml:space="preserve"> uzlabošan</w:t>
      </w:r>
      <w:r w:rsidR="00F304C7">
        <w:rPr>
          <w:szCs w:val="24"/>
        </w:rPr>
        <w:t>os</w:t>
      </w:r>
      <w:r w:rsidRPr="001A2264">
        <w:rPr>
          <w:szCs w:val="24"/>
        </w:rPr>
        <w:t>.</w:t>
      </w:r>
      <w:r w:rsidR="00BC028A" w:rsidRPr="001A2264">
        <w:rPr>
          <w:szCs w:val="24"/>
        </w:rPr>
        <w:t xml:space="preserve"> </w:t>
      </w:r>
      <w:r w:rsidR="00F304C7">
        <w:rPr>
          <w:szCs w:val="24"/>
        </w:rPr>
        <w:t>Vienlaicīgi</w:t>
      </w:r>
      <w:r w:rsidRPr="001A2264">
        <w:rPr>
          <w:szCs w:val="24"/>
        </w:rPr>
        <w:t xml:space="preserve"> veiktā fiskālā konsolidācija</w:t>
      </w:r>
      <w:r w:rsidR="00BC028A" w:rsidRPr="001A2264">
        <w:rPr>
          <w:szCs w:val="24"/>
        </w:rPr>
        <w:t xml:space="preserve"> </w:t>
      </w:r>
      <w:r w:rsidRPr="001A2264">
        <w:rPr>
          <w:szCs w:val="24"/>
        </w:rPr>
        <w:t>ierobe</w:t>
      </w:r>
      <w:r w:rsidRPr="001A2264">
        <w:rPr>
          <w:szCs w:val="24"/>
        </w:rPr>
        <w:softHyphen/>
        <w:t>žo</w:t>
      </w:r>
      <w:r w:rsidR="00BC028A" w:rsidRPr="001A2264">
        <w:rPr>
          <w:szCs w:val="24"/>
        </w:rPr>
        <w:t xml:space="preserve"> valsts nepieciešamību aizņemties, tādejādi mazinot par aizņēmumiem maksājamo procentu slogu, kā arī </w:t>
      </w:r>
      <w:r w:rsidRPr="001A2264">
        <w:rPr>
          <w:szCs w:val="24"/>
        </w:rPr>
        <w:t>stiprina</w:t>
      </w:r>
      <w:r w:rsidR="00BC028A" w:rsidRPr="001A2264">
        <w:rPr>
          <w:szCs w:val="24"/>
        </w:rPr>
        <w:t xml:space="preserve"> pārliecību par Latviju kā drošu un prognozējamu vidi uzņēmējdarbībai un investīcijām</w:t>
      </w:r>
      <w:r w:rsidRPr="001A2264">
        <w:rPr>
          <w:szCs w:val="24"/>
        </w:rPr>
        <w:t>, kas</w:t>
      </w:r>
      <w:r w:rsidR="00BC028A" w:rsidRPr="001A2264">
        <w:rPr>
          <w:szCs w:val="24"/>
        </w:rPr>
        <w:t xml:space="preserve"> ir būtisks priekšnosacījums ekonomi</w:t>
      </w:r>
      <w:r w:rsidRPr="001A2264">
        <w:rPr>
          <w:szCs w:val="24"/>
        </w:rPr>
        <w:t>kas attīstības nodroši</w:t>
      </w:r>
      <w:r w:rsidRPr="001A2264">
        <w:rPr>
          <w:szCs w:val="24"/>
        </w:rPr>
        <w:softHyphen/>
        <w:t>nāšanai.</w:t>
      </w:r>
    </w:p>
    <w:p w:rsidR="00061454" w:rsidRPr="001A2264" w:rsidRDefault="005F129B" w:rsidP="005F129B">
      <w:pPr>
        <w:autoSpaceDE w:val="0"/>
        <w:autoSpaceDN w:val="0"/>
        <w:adjustRightInd w:val="0"/>
        <w:ind w:firstLine="720"/>
        <w:rPr>
          <w:szCs w:val="24"/>
        </w:rPr>
      </w:pPr>
      <w:r w:rsidRPr="001A2264">
        <w:rPr>
          <w:szCs w:val="24"/>
        </w:rPr>
        <w:t>Lai sasniegtu 2011.gada budžeta deficīta mērķi,</w:t>
      </w:r>
      <w:r w:rsidR="00061454" w:rsidRPr="001A2264">
        <w:rPr>
          <w:szCs w:val="24"/>
        </w:rPr>
        <w:t xml:space="preserve"> kopumā</w:t>
      </w:r>
      <w:r w:rsidRPr="001A2264">
        <w:rPr>
          <w:szCs w:val="24"/>
        </w:rPr>
        <w:t xml:space="preserve"> tika veikta konsolidācija</w:t>
      </w:r>
      <w:r w:rsidR="00F4729C">
        <w:rPr>
          <w:szCs w:val="24"/>
        </w:rPr>
        <w:t xml:space="preserve"> aptuveni</w:t>
      </w:r>
      <w:r w:rsidRPr="001A2264">
        <w:rPr>
          <w:szCs w:val="24"/>
        </w:rPr>
        <w:t xml:space="preserve"> 350 </w:t>
      </w:r>
      <w:proofErr w:type="spellStart"/>
      <w:r w:rsidRPr="001A2264">
        <w:rPr>
          <w:szCs w:val="24"/>
        </w:rPr>
        <w:t>milj</w:t>
      </w:r>
      <w:proofErr w:type="spellEnd"/>
      <w:r w:rsidRPr="001A2264">
        <w:rPr>
          <w:szCs w:val="24"/>
        </w:rPr>
        <w:t xml:space="preserve">. latu apmērā Saeimai gan apstiprinot valsts budžetu 2011.gadam 2010.gada decembrī, gan arī </w:t>
      </w:r>
      <w:r w:rsidR="00061454" w:rsidRPr="001A2264">
        <w:rPr>
          <w:szCs w:val="24"/>
        </w:rPr>
        <w:t>pieņemot</w:t>
      </w:r>
      <w:r w:rsidRPr="001A2264">
        <w:rPr>
          <w:szCs w:val="24"/>
        </w:rPr>
        <w:t xml:space="preserve"> 2011</w:t>
      </w:r>
      <w:r w:rsidR="004E2E8C">
        <w:rPr>
          <w:szCs w:val="24"/>
        </w:rPr>
        <w:t>.gada budžeta grozījumus 2011.gada 14.</w:t>
      </w:r>
      <w:r w:rsidRPr="001A2264">
        <w:rPr>
          <w:szCs w:val="24"/>
        </w:rPr>
        <w:t>aprīlī.</w:t>
      </w:r>
    </w:p>
    <w:p w:rsidR="00674425" w:rsidRDefault="004E2E8C" w:rsidP="00674425">
      <w:pPr>
        <w:spacing w:after="120"/>
        <w:ind w:firstLine="720"/>
        <w:rPr>
          <w:szCs w:val="24"/>
        </w:rPr>
      </w:pPr>
      <w:r>
        <w:rPr>
          <w:szCs w:val="24"/>
        </w:rPr>
        <w:t>4.4</w:t>
      </w:r>
      <w:r w:rsidR="00674425">
        <w:rPr>
          <w:szCs w:val="24"/>
        </w:rPr>
        <w:t>.</w:t>
      </w:r>
      <w:r>
        <w:rPr>
          <w:szCs w:val="24"/>
        </w:rPr>
        <w:t> </w:t>
      </w:r>
      <w:r w:rsidR="00674425">
        <w:rPr>
          <w:szCs w:val="24"/>
        </w:rPr>
        <w:t xml:space="preserve">tabulā ir atspoguļots 2011.gada budžeta izpildes novērtējums. Valsts pamatbudžeta un valsts speciālā budžeta ieņēmumu, izdevumu un budžeta deficīta apjoms ir noteikts saskaņā ar </w:t>
      </w:r>
      <w:r w:rsidR="00674425" w:rsidRPr="00674425">
        <w:rPr>
          <w:szCs w:val="24"/>
        </w:rPr>
        <w:t>grozījumiem likumā "Par valsts budžetu 2011.gadam</w:t>
      </w:r>
      <w:r w:rsidR="00674425">
        <w:rPr>
          <w:szCs w:val="24"/>
        </w:rPr>
        <w:t>”, ko Saeimā apstiprināja 2011.gada 14.aprīlī.</w:t>
      </w:r>
    </w:p>
    <w:p w:rsidR="00674425" w:rsidRDefault="004E2E8C" w:rsidP="00674425">
      <w:pPr>
        <w:spacing w:after="120"/>
        <w:ind w:firstLine="720"/>
        <w:rPr>
          <w:szCs w:val="24"/>
        </w:rPr>
      </w:pPr>
      <w:r>
        <w:rPr>
          <w:szCs w:val="24"/>
        </w:rPr>
        <w:t>No valsts budžeta daļēji finansēto a</w:t>
      </w:r>
      <w:r w:rsidR="00674425">
        <w:rPr>
          <w:szCs w:val="24"/>
        </w:rPr>
        <w:t>tvasināto</w:t>
      </w:r>
      <w:r>
        <w:rPr>
          <w:szCs w:val="24"/>
        </w:rPr>
        <w:t xml:space="preserve"> publisko personu</w:t>
      </w:r>
      <w:r w:rsidR="00674425">
        <w:rPr>
          <w:szCs w:val="24"/>
        </w:rPr>
        <w:t xml:space="preserve"> un budžeta nefinansēto iestāžu pārpalikuma samazinājums 2011.gada beigās salīdzinot ar 2010.gadu tiek prognozēts sakarā ar izdevumu pie</w:t>
      </w:r>
      <w:r w:rsidR="00FA1E04">
        <w:rPr>
          <w:szCs w:val="24"/>
        </w:rPr>
        <w:t>augumu ar E</w:t>
      </w:r>
      <w:r w:rsidR="00674425">
        <w:rPr>
          <w:szCs w:val="24"/>
        </w:rPr>
        <w:t>S fondiem saistītajiem izdevumiem, kā arī ieņēmumu samazinājumu, kas saistīts ar transferta samazinājumu no valsts pamatbudžeta.</w:t>
      </w:r>
    </w:p>
    <w:p w:rsidR="00674425" w:rsidRDefault="00FA1E04" w:rsidP="00674425">
      <w:pPr>
        <w:spacing w:after="120"/>
        <w:ind w:firstLine="720"/>
        <w:rPr>
          <w:szCs w:val="24"/>
        </w:rPr>
      </w:pPr>
      <w:r>
        <w:rPr>
          <w:szCs w:val="24"/>
        </w:rPr>
        <w:t xml:space="preserve">Arī pašvaldību budžetos 2011.gadā tiek prognozēts papildu izdevumu pieaugums ar ES fondiem saistītajiem izdevumiem, kā arī mazāk nodokļu, nenodokļu un citu pašu ieņēmumu apjoms, kas izskaidro prognozēto deficītu 18,6 </w:t>
      </w:r>
      <w:proofErr w:type="spellStart"/>
      <w:r>
        <w:rPr>
          <w:szCs w:val="24"/>
        </w:rPr>
        <w:t>milj</w:t>
      </w:r>
      <w:proofErr w:type="spellEnd"/>
      <w:r>
        <w:rPr>
          <w:szCs w:val="24"/>
        </w:rPr>
        <w:t>. latu apmērā.</w:t>
      </w:r>
    </w:p>
    <w:p w:rsidR="00FA1E04" w:rsidRDefault="00FA1E04" w:rsidP="00674425">
      <w:pPr>
        <w:spacing w:after="120"/>
        <w:ind w:firstLine="720"/>
        <w:rPr>
          <w:szCs w:val="24"/>
        </w:rPr>
      </w:pPr>
      <w:r>
        <w:rPr>
          <w:szCs w:val="24"/>
        </w:rPr>
        <w:t xml:space="preserve">Vēršam uzmanību, ka Finanšu ministrijas </w:t>
      </w:r>
      <w:r w:rsidR="004E2E8C">
        <w:rPr>
          <w:szCs w:val="24"/>
        </w:rPr>
        <w:t>novērtējums</w:t>
      </w:r>
      <w:r>
        <w:rPr>
          <w:szCs w:val="24"/>
        </w:rPr>
        <w:t xml:space="preserve"> attiecībā uz </w:t>
      </w:r>
      <w:r w:rsidR="004E2E8C">
        <w:rPr>
          <w:szCs w:val="24"/>
        </w:rPr>
        <w:t xml:space="preserve">no valsts budžeta daļēji finansēto </w:t>
      </w:r>
      <w:r>
        <w:rPr>
          <w:szCs w:val="24"/>
        </w:rPr>
        <w:t>atvasināto</w:t>
      </w:r>
      <w:r w:rsidR="004E2E8C" w:rsidRPr="004E2E8C">
        <w:rPr>
          <w:szCs w:val="24"/>
        </w:rPr>
        <w:t xml:space="preserve"> </w:t>
      </w:r>
      <w:r w:rsidR="004E2E8C">
        <w:rPr>
          <w:szCs w:val="24"/>
        </w:rPr>
        <w:t>publisko personu</w:t>
      </w:r>
      <w:r>
        <w:rPr>
          <w:szCs w:val="24"/>
        </w:rPr>
        <w:t xml:space="preserve"> un budžeta nefinansēto iestāžu, kā arī pašvaldību budžetiem var tikt mainītas saskaņā ar faktiskajām budžeta izpildes tendenču izmaiņām. </w:t>
      </w:r>
    </w:p>
    <w:p w:rsidR="009E1865" w:rsidRDefault="009E1865" w:rsidP="00423777">
      <w:pPr>
        <w:spacing w:after="120"/>
        <w:rPr>
          <w:szCs w:val="24"/>
        </w:rPr>
      </w:pPr>
      <w:r>
        <w:rPr>
          <w:szCs w:val="24"/>
        </w:rPr>
        <w:tab/>
      </w:r>
      <w:r w:rsidRPr="001A2264">
        <w:rPr>
          <w:szCs w:val="24"/>
        </w:rPr>
        <w:t>Veicot fiskālās konsolidācijas pasākumus 2,6% apmērā no IKP un paredzot 2011.gada valsts budžeta likuma grozījumos tiesību normu par iespēju nepieciešamības gadījumā veikt papildus apropriācijas palielināšanu neparedzētiem gadījumiem 0,2% no IKP apmērā</w:t>
      </w:r>
      <w:r>
        <w:rPr>
          <w:szCs w:val="24"/>
        </w:rPr>
        <w:t>,</w:t>
      </w:r>
      <w:r w:rsidRPr="001A2264">
        <w:rPr>
          <w:szCs w:val="24"/>
        </w:rPr>
        <w:t xml:space="preserve"> kā arī drošības rezervi neparedzētiem izdevumiem 0,1% no IKP, Latvija ir izveidojusi fiskālo telpu 1,</w:t>
      </w:r>
      <w:r>
        <w:rPr>
          <w:szCs w:val="24"/>
        </w:rPr>
        <w:t>5</w:t>
      </w:r>
      <w:r w:rsidRPr="001A2264">
        <w:rPr>
          <w:szCs w:val="24"/>
        </w:rPr>
        <w:t>% no IKP apmērā, lai pēc iespējas labāk nodrošinātos pret iespējamajiem fiskālajiem, ekonomiskajiem un sociālajiem riskiem, un tādējādi veicinot vispārējās valdības budžeta deficīta mērķu sasniegšanu.</w:t>
      </w:r>
    </w:p>
    <w:p w:rsidR="00675D59" w:rsidRPr="001A2264" w:rsidRDefault="003C27AE" w:rsidP="00675D59">
      <w:pPr>
        <w:spacing w:after="120"/>
        <w:jc w:val="right"/>
        <w:rPr>
          <w:szCs w:val="24"/>
        </w:rPr>
      </w:pPr>
      <w:r>
        <w:rPr>
          <w:szCs w:val="24"/>
        </w:rPr>
        <w:t>4.</w:t>
      </w:r>
      <w:r w:rsidR="004E2E8C">
        <w:rPr>
          <w:szCs w:val="24"/>
        </w:rPr>
        <w:t>4</w:t>
      </w:r>
      <w:r w:rsidR="00675D59" w:rsidRPr="001A2264">
        <w:rPr>
          <w:szCs w:val="24"/>
        </w:rPr>
        <w:t>.tabula</w:t>
      </w:r>
    </w:p>
    <w:p w:rsidR="00675D59" w:rsidRPr="003C27AE" w:rsidRDefault="00675D59" w:rsidP="00675D59">
      <w:pPr>
        <w:spacing w:after="120"/>
        <w:jc w:val="center"/>
        <w:rPr>
          <w:b/>
          <w:szCs w:val="24"/>
        </w:rPr>
      </w:pPr>
      <w:r w:rsidRPr="003C27AE">
        <w:rPr>
          <w:b/>
          <w:szCs w:val="24"/>
        </w:rPr>
        <w:t>Konsolidētā kopbudžeta novērtējums 2011.gadam</w:t>
      </w:r>
    </w:p>
    <w:tbl>
      <w:tblPr>
        <w:tblW w:w="8590" w:type="dxa"/>
        <w:jc w:val="center"/>
        <w:tblLook w:val="04A0" w:firstRow="1" w:lastRow="0" w:firstColumn="1" w:lastColumn="0" w:noHBand="0" w:noVBand="1"/>
      </w:tblPr>
      <w:tblGrid>
        <w:gridCol w:w="2368"/>
        <w:gridCol w:w="3847"/>
        <w:gridCol w:w="1109"/>
        <w:gridCol w:w="1266"/>
      </w:tblGrid>
      <w:tr w:rsidR="005F129B" w:rsidRPr="004E2E8C"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bottom"/>
            <w:hideMark/>
          </w:tcPr>
          <w:p w:rsidR="005F129B" w:rsidRPr="004E2E8C" w:rsidRDefault="005F129B" w:rsidP="004E37DB">
            <w:pPr>
              <w:jc w:val="left"/>
              <w:rPr>
                <w:b/>
                <w:i/>
                <w:iCs/>
                <w:color w:val="000000"/>
                <w:szCs w:val="24"/>
                <w:lang w:eastAsia="lv-LV"/>
              </w:rPr>
            </w:pPr>
            <w:r w:rsidRPr="004E2E8C">
              <w:rPr>
                <w:b/>
                <w:i/>
                <w:iCs/>
                <w:color w:val="000000"/>
                <w:szCs w:val="24"/>
                <w:lang w:eastAsia="lv-LV"/>
              </w:rPr>
              <w:t>(</w:t>
            </w:r>
            <w:proofErr w:type="spellStart"/>
            <w:r w:rsidRPr="004E2E8C">
              <w:rPr>
                <w:b/>
                <w:i/>
                <w:iCs/>
                <w:color w:val="000000"/>
                <w:szCs w:val="24"/>
                <w:lang w:eastAsia="lv-LV"/>
              </w:rPr>
              <w:t>milj</w:t>
            </w:r>
            <w:proofErr w:type="spellEnd"/>
            <w:r w:rsidRPr="004E2E8C">
              <w:rPr>
                <w:b/>
                <w:i/>
                <w:iCs/>
                <w:color w:val="000000"/>
                <w:szCs w:val="24"/>
                <w:lang w:eastAsia="lv-LV"/>
              </w:rPr>
              <w:t>. latu)</w:t>
            </w:r>
          </w:p>
        </w:tc>
        <w:tc>
          <w:tcPr>
            <w:tcW w:w="11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F129B" w:rsidRPr="004E2E8C" w:rsidRDefault="005F129B" w:rsidP="004E37DB">
            <w:pPr>
              <w:jc w:val="center"/>
              <w:rPr>
                <w:b/>
                <w:bCs/>
                <w:color w:val="000000"/>
                <w:szCs w:val="24"/>
                <w:lang w:eastAsia="lv-LV"/>
              </w:rPr>
            </w:pPr>
            <w:r w:rsidRPr="004E2E8C">
              <w:rPr>
                <w:b/>
                <w:bCs/>
                <w:color w:val="000000"/>
                <w:szCs w:val="24"/>
                <w:lang w:eastAsia="lv-LV"/>
              </w:rPr>
              <w:t>2010</w:t>
            </w:r>
          </w:p>
        </w:tc>
        <w:tc>
          <w:tcPr>
            <w:tcW w:w="1266"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F129B" w:rsidRPr="004E2E8C" w:rsidRDefault="005F129B" w:rsidP="004E37DB">
            <w:pPr>
              <w:jc w:val="center"/>
              <w:rPr>
                <w:b/>
                <w:bCs/>
                <w:color w:val="000000"/>
                <w:szCs w:val="24"/>
                <w:lang w:eastAsia="lv-LV"/>
              </w:rPr>
            </w:pPr>
            <w:r w:rsidRPr="004E2E8C">
              <w:rPr>
                <w:b/>
                <w:bCs/>
                <w:color w:val="000000"/>
                <w:szCs w:val="24"/>
                <w:lang w:eastAsia="lv-LV"/>
              </w:rPr>
              <w:t>2011</w:t>
            </w:r>
          </w:p>
        </w:tc>
      </w:tr>
      <w:tr w:rsidR="005F129B" w:rsidRPr="004712F5" w:rsidTr="009E1865">
        <w:trPr>
          <w:trHeight w:val="597"/>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F129B" w:rsidRPr="004712F5" w:rsidRDefault="005F129B" w:rsidP="004E37DB">
            <w:pPr>
              <w:jc w:val="left"/>
              <w:rPr>
                <w:b/>
                <w:bCs/>
                <w:i/>
                <w:iCs/>
                <w:color w:val="000000"/>
                <w:sz w:val="20"/>
                <w:szCs w:val="24"/>
                <w:lang w:eastAsia="lv-LV"/>
              </w:rPr>
            </w:pPr>
            <w:r w:rsidRPr="004712F5">
              <w:rPr>
                <w:b/>
                <w:bCs/>
                <w:i/>
                <w:iCs/>
                <w:color w:val="000000"/>
                <w:sz w:val="20"/>
                <w:szCs w:val="24"/>
                <w:lang w:eastAsia="lv-LV"/>
              </w:rPr>
              <w:t>Valsts konsolidētais budžets (</w:t>
            </w:r>
            <w:proofErr w:type="spellStart"/>
            <w:r w:rsidRPr="004712F5">
              <w:rPr>
                <w:b/>
                <w:bCs/>
                <w:i/>
                <w:iCs/>
                <w:color w:val="000000"/>
                <w:sz w:val="20"/>
                <w:szCs w:val="24"/>
                <w:lang w:eastAsia="lv-LV"/>
              </w:rPr>
              <w:t>t.sk</w:t>
            </w:r>
            <w:proofErr w:type="spellEnd"/>
            <w:r w:rsidRPr="004712F5">
              <w:rPr>
                <w:b/>
                <w:bCs/>
                <w:i/>
                <w:iCs/>
                <w:color w:val="000000"/>
                <w:sz w:val="20"/>
                <w:szCs w:val="24"/>
                <w:lang w:eastAsia="lv-LV"/>
              </w:rPr>
              <w:t>. atvasinātās personas un budžeta nefinansētās iestādes)</w:t>
            </w:r>
          </w:p>
        </w:tc>
        <w:tc>
          <w:tcPr>
            <w:tcW w:w="1109" w:type="dxa"/>
            <w:tcBorders>
              <w:top w:val="nil"/>
              <w:left w:val="nil"/>
              <w:bottom w:val="single" w:sz="4" w:space="0" w:color="auto"/>
              <w:right w:val="nil"/>
            </w:tcBorders>
            <w:shd w:val="clear" w:color="auto" w:fill="auto"/>
            <w:vAlign w:val="bottom"/>
            <w:hideMark/>
          </w:tcPr>
          <w:p w:rsidR="005F129B" w:rsidRPr="004712F5" w:rsidRDefault="005F129B" w:rsidP="004E37DB">
            <w:pPr>
              <w:jc w:val="center"/>
              <w:rPr>
                <w:b/>
                <w:bCs/>
                <w:i/>
                <w:iCs/>
                <w:color w:val="000000"/>
                <w:sz w:val="20"/>
                <w:szCs w:val="24"/>
                <w:lang w:eastAsia="lv-LV"/>
              </w:rPr>
            </w:pPr>
            <w:r w:rsidRPr="004712F5">
              <w:rPr>
                <w:b/>
                <w:bCs/>
                <w:i/>
                <w:iCs/>
                <w:color w:val="000000"/>
                <w:sz w:val="20"/>
                <w:szCs w:val="24"/>
                <w:lang w:eastAsia="lv-LV"/>
              </w:rPr>
              <w:t>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 </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Ieņēmumi kopā</w:t>
            </w:r>
          </w:p>
        </w:tc>
        <w:tc>
          <w:tcPr>
            <w:tcW w:w="1109"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3 790,0</w:t>
            </w:r>
          </w:p>
        </w:tc>
        <w:tc>
          <w:tcPr>
            <w:tcW w:w="1266"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4 322,4</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712F5">
            <w:pPr>
              <w:ind w:firstLineChars="100" w:firstLine="200"/>
              <w:jc w:val="left"/>
              <w:rPr>
                <w:color w:val="000000"/>
                <w:sz w:val="20"/>
                <w:szCs w:val="24"/>
                <w:lang w:eastAsia="lv-LV"/>
              </w:rPr>
            </w:pPr>
            <w:r w:rsidRPr="004712F5">
              <w:rPr>
                <w:color w:val="000000"/>
                <w:sz w:val="20"/>
                <w:szCs w:val="24"/>
                <w:lang w:eastAsia="lv-LV"/>
              </w:rPr>
              <w:t>Nodokļu ieņēmumi</w:t>
            </w:r>
          </w:p>
        </w:tc>
        <w:tc>
          <w:tcPr>
            <w:tcW w:w="1109"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2 682,8</w:t>
            </w:r>
          </w:p>
        </w:tc>
        <w:tc>
          <w:tcPr>
            <w:tcW w:w="1266"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3 000,0</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712F5">
            <w:pPr>
              <w:ind w:firstLineChars="100" w:firstLine="200"/>
              <w:jc w:val="left"/>
              <w:rPr>
                <w:color w:val="000000"/>
                <w:sz w:val="20"/>
                <w:szCs w:val="24"/>
                <w:lang w:eastAsia="lv-LV"/>
              </w:rPr>
            </w:pPr>
            <w:r w:rsidRPr="004712F5">
              <w:rPr>
                <w:color w:val="000000"/>
                <w:sz w:val="20"/>
                <w:szCs w:val="24"/>
                <w:lang w:eastAsia="lv-LV"/>
              </w:rPr>
              <w:lastRenderedPageBreak/>
              <w:t>Nenodokļu, pašu un citi ieņēmumi</w:t>
            </w:r>
          </w:p>
        </w:tc>
        <w:tc>
          <w:tcPr>
            <w:tcW w:w="1109"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508,1</w:t>
            </w:r>
          </w:p>
        </w:tc>
        <w:tc>
          <w:tcPr>
            <w:tcW w:w="1266"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424,7</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712F5">
            <w:pPr>
              <w:ind w:firstLineChars="100" w:firstLine="200"/>
              <w:jc w:val="left"/>
              <w:rPr>
                <w:color w:val="000000"/>
                <w:sz w:val="20"/>
                <w:szCs w:val="24"/>
                <w:lang w:eastAsia="lv-LV"/>
              </w:rPr>
            </w:pPr>
            <w:r w:rsidRPr="004712F5">
              <w:rPr>
                <w:color w:val="000000"/>
                <w:sz w:val="20"/>
                <w:szCs w:val="24"/>
                <w:lang w:eastAsia="lv-LV"/>
              </w:rPr>
              <w:t>Ārvalstu finanšu palīdzība</w:t>
            </w:r>
          </w:p>
        </w:tc>
        <w:tc>
          <w:tcPr>
            <w:tcW w:w="1109"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599,1</w:t>
            </w:r>
          </w:p>
        </w:tc>
        <w:tc>
          <w:tcPr>
            <w:tcW w:w="1266"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897,7</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Izdevumi</w:t>
            </w:r>
          </w:p>
        </w:tc>
        <w:tc>
          <w:tcPr>
            <w:tcW w:w="1109"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4 663,4</w:t>
            </w:r>
          </w:p>
        </w:tc>
        <w:tc>
          <w:tcPr>
            <w:tcW w:w="1266"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4 811,4</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Bilance</w:t>
            </w:r>
          </w:p>
        </w:tc>
        <w:tc>
          <w:tcPr>
            <w:tcW w:w="1109"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-873,4</w:t>
            </w:r>
          </w:p>
        </w:tc>
        <w:tc>
          <w:tcPr>
            <w:tcW w:w="1266"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-489,0</w:t>
            </w:r>
          </w:p>
        </w:tc>
      </w:tr>
      <w:tr w:rsidR="005F129B" w:rsidRPr="004712F5" w:rsidTr="009E1865">
        <w:trPr>
          <w:trHeight w:val="77"/>
          <w:jc w:val="center"/>
        </w:trPr>
        <w:tc>
          <w:tcPr>
            <w:tcW w:w="2368" w:type="dxa"/>
            <w:tcBorders>
              <w:top w:val="nil"/>
              <w:left w:val="single" w:sz="4" w:space="0" w:color="auto"/>
              <w:bottom w:val="single" w:sz="4" w:space="0" w:color="auto"/>
              <w:right w:val="nil"/>
            </w:tcBorders>
            <w:shd w:val="clear" w:color="auto" w:fill="auto"/>
            <w:noWrap/>
            <w:vAlign w:val="bottom"/>
            <w:hideMark/>
          </w:tcPr>
          <w:p w:rsidR="005F129B" w:rsidRPr="004712F5" w:rsidRDefault="005F129B" w:rsidP="004E37DB">
            <w:pPr>
              <w:jc w:val="left"/>
              <w:rPr>
                <w:b/>
                <w:bCs/>
                <w:color w:val="000000"/>
                <w:sz w:val="20"/>
                <w:szCs w:val="24"/>
                <w:lang w:eastAsia="lv-LV"/>
              </w:rPr>
            </w:pPr>
          </w:p>
        </w:tc>
        <w:tc>
          <w:tcPr>
            <w:tcW w:w="3847" w:type="dxa"/>
            <w:tcBorders>
              <w:top w:val="nil"/>
              <w:left w:val="nil"/>
              <w:bottom w:val="single" w:sz="4" w:space="0" w:color="auto"/>
              <w:right w:val="nil"/>
            </w:tcBorders>
            <w:shd w:val="clear" w:color="auto" w:fill="auto"/>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 </w:t>
            </w:r>
          </w:p>
        </w:tc>
        <w:tc>
          <w:tcPr>
            <w:tcW w:w="1109" w:type="dxa"/>
            <w:tcBorders>
              <w:top w:val="nil"/>
              <w:left w:val="nil"/>
              <w:bottom w:val="single" w:sz="4" w:space="0" w:color="auto"/>
              <w:right w:val="nil"/>
            </w:tcBorders>
            <w:shd w:val="clear" w:color="auto" w:fill="auto"/>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 </w:t>
            </w:r>
          </w:p>
        </w:tc>
        <w:tc>
          <w:tcPr>
            <w:tcW w:w="1266" w:type="dxa"/>
            <w:tcBorders>
              <w:top w:val="nil"/>
              <w:left w:val="nil"/>
              <w:bottom w:val="single" w:sz="4" w:space="0" w:color="auto"/>
              <w:right w:val="single" w:sz="4" w:space="0" w:color="auto"/>
            </w:tcBorders>
            <w:shd w:val="clear" w:color="auto" w:fill="auto"/>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 </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F129B" w:rsidRPr="004712F5" w:rsidRDefault="005F129B" w:rsidP="004E37DB">
            <w:pPr>
              <w:jc w:val="left"/>
              <w:rPr>
                <w:b/>
                <w:bCs/>
                <w:i/>
                <w:iCs/>
                <w:color w:val="000000"/>
                <w:sz w:val="20"/>
                <w:szCs w:val="24"/>
                <w:lang w:eastAsia="lv-LV"/>
              </w:rPr>
            </w:pPr>
            <w:proofErr w:type="spellStart"/>
            <w:r w:rsidRPr="004712F5">
              <w:rPr>
                <w:b/>
                <w:bCs/>
                <w:i/>
                <w:iCs/>
                <w:color w:val="000000"/>
                <w:sz w:val="20"/>
                <w:szCs w:val="24"/>
                <w:lang w:eastAsia="lv-LV"/>
              </w:rPr>
              <w:t>t.sk</w:t>
            </w:r>
            <w:proofErr w:type="spellEnd"/>
            <w:r w:rsidRPr="004712F5">
              <w:rPr>
                <w:b/>
                <w:bCs/>
                <w:i/>
                <w:iCs/>
                <w:color w:val="000000"/>
                <w:sz w:val="20"/>
                <w:szCs w:val="24"/>
                <w:lang w:eastAsia="lv-LV"/>
              </w:rPr>
              <w:t xml:space="preserve">. Valsts pamatbudžets </w:t>
            </w:r>
          </w:p>
        </w:tc>
        <w:tc>
          <w:tcPr>
            <w:tcW w:w="1109" w:type="dxa"/>
            <w:tcBorders>
              <w:top w:val="nil"/>
              <w:left w:val="nil"/>
              <w:bottom w:val="single" w:sz="4" w:space="0" w:color="auto"/>
              <w:right w:val="nil"/>
            </w:tcBorders>
            <w:shd w:val="clear" w:color="auto" w:fill="auto"/>
            <w:vAlign w:val="bottom"/>
            <w:hideMark/>
          </w:tcPr>
          <w:p w:rsidR="005F129B" w:rsidRPr="004712F5" w:rsidRDefault="005F129B" w:rsidP="004E37DB">
            <w:pPr>
              <w:jc w:val="center"/>
              <w:rPr>
                <w:b/>
                <w:bCs/>
                <w:i/>
                <w:iCs/>
                <w:color w:val="000000"/>
                <w:sz w:val="20"/>
                <w:szCs w:val="24"/>
                <w:lang w:eastAsia="lv-LV"/>
              </w:rPr>
            </w:pPr>
            <w:r w:rsidRPr="004712F5">
              <w:rPr>
                <w:b/>
                <w:bCs/>
                <w:i/>
                <w:iCs/>
                <w:color w:val="000000"/>
                <w:sz w:val="20"/>
                <w:szCs w:val="24"/>
                <w:lang w:eastAsia="lv-LV"/>
              </w:rPr>
              <w:t>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 </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Ieņēmumi kopā</w:t>
            </w:r>
          </w:p>
        </w:tc>
        <w:tc>
          <w:tcPr>
            <w:tcW w:w="1109"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2 622,8</w:t>
            </w:r>
          </w:p>
        </w:tc>
        <w:tc>
          <w:tcPr>
            <w:tcW w:w="1266"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3 058,5</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712F5">
            <w:pPr>
              <w:ind w:firstLineChars="100" w:firstLine="200"/>
              <w:jc w:val="left"/>
              <w:rPr>
                <w:color w:val="000000"/>
                <w:sz w:val="20"/>
                <w:szCs w:val="24"/>
                <w:lang w:eastAsia="lv-LV"/>
              </w:rPr>
            </w:pPr>
            <w:r w:rsidRPr="004712F5">
              <w:rPr>
                <w:color w:val="000000"/>
                <w:sz w:val="20"/>
                <w:szCs w:val="24"/>
                <w:lang w:eastAsia="lv-LV"/>
              </w:rPr>
              <w:t>Nodokļu ieņēmumi</w:t>
            </w:r>
          </w:p>
        </w:tc>
        <w:tc>
          <w:tcPr>
            <w:tcW w:w="1109" w:type="dxa"/>
            <w:tcBorders>
              <w:top w:val="nil"/>
              <w:left w:val="nil"/>
              <w:bottom w:val="single" w:sz="4" w:space="0" w:color="auto"/>
              <w:right w:val="single" w:sz="4" w:space="0" w:color="auto"/>
            </w:tcBorders>
            <w:shd w:val="clear" w:color="auto" w:fill="auto"/>
            <w:noWrap/>
            <w:vAlign w:val="bottom"/>
            <w:hideMark/>
          </w:tcPr>
          <w:p w:rsidR="005F129B" w:rsidRPr="004712F5" w:rsidRDefault="005F129B" w:rsidP="004E37DB">
            <w:pPr>
              <w:jc w:val="right"/>
              <w:rPr>
                <w:color w:val="000000"/>
                <w:sz w:val="20"/>
                <w:szCs w:val="24"/>
                <w:lang w:eastAsia="lv-LV"/>
              </w:rPr>
            </w:pPr>
            <w:r w:rsidRPr="004712F5">
              <w:rPr>
                <w:color w:val="000000"/>
                <w:sz w:val="20"/>
                <w:szCs w:val="24"/>
                <w:lang w:eastAsia="lv-LV"/>
              </w:rPr>
              <w:t>1 589,6</w:t>
            </w:r>
          </w:p>
        </w:tc>
        <w:tc>
          <w:tcPr>
            <w:tcW w:w="1266" w:type="dxa"/>
            <w:tcBorders>
              <w:top w:val="nil"/>
              <w:left w:val="nil"/>
              <w:bottom w:val="single" w:sz="4" w:space="0" w:color="auto"/>
              <w:right w:val="single" w:sz="4" w:space="0" w:color="auto"/>
            </w:tcBorders>
            <w:shd w:val="clear" w:color="auto" w:fill="auto"/>
            <w:noWrap/>
            <w:vAlign w:val="bottom"/>
            <w:hideMark/>
          </w:tcPr>
          <w:p w:rsidR="005F129B" w:rsidRPr="004712F5" w:rsidRDefault="005F129B" w:rsidP="004E37DB">
            <w:pPr>
              <w:jc w:val="right"/>
              <w:rPr>
                <w:color w:val="000000"/>
                <w:sz w:val="20"/>
                <w:szCs w:val="24"/>
                <w:lang w:eastAsia="lv-LV"/>
              </w:rPr>
            </w:pPr>
            <w:r w:rsidRPr="004712F5">
              <w:rPr>
                <w:color w:val="000000"/>
                <w:sz w:val="20"/>
                <w:szCs w:val="24"/>
                <w:lang w:eastAsia="lv-LV"/>
              </w:rPr>
              <w:t>1 807,2</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712F5">
            <w:pPr>
              <w:ind w:firstLineChars="100" w:firstLine="200"/>
              <w:jc w:val="left"/>
              <w:rPr>
                <w:color w:val="000000"/>
                <w:sz w:val="20"/>
                <w:szCs w:val="24"/>
                <w:lang w:eastAsia="lv-LV"/>
              </w:rPr>
            </w:pPr>
            <w:r w:rsidRPr="004712F5">
              <w:rPr>
                <w:color w:val="000000"/>
                <w:sz w:val="20"/>
                <w:szCs w:val="24"/>
                <w:lang w:eastAsia="lv-LV"/>
              </w:rPr>
              <w:t>Nenodokļu, pašu un citi ieņēmumi</w:t>
            </w:r>
          </w:p>
        </w:tc>
        <w:tc>
          <w:tcPr>
            <w:tcW w:w="1109" w:type="dxa"/>
            <w:tcBorders>
              <w:top w:val="nil"/>
              <w:left w:val="nil"/>
              <w:bottom w:val="single" w:sz="4" w:space="0" w:color="auto"/>
              <w:right w:val="single" w:sz="4" w:space="0" w:color="auto"/>
            </w:tcBorders>
            <w:shd w:val="clear" w:color="auto" w:fill="auto"/>
            <w:noWrap/>
            <w:vAlign w:val="bottom"/>
            <w:hideMark/>
          </w:tcPr>
          <w:p w:rsidR="005F129B" w:rsidRPr="004712F5" w:rsidRDefault="005F129B" w:rsidP="004E37DB">
            <w:pPr>
              <w:jc w:val="right"/>
              <w:rPr>
                <w:color w:val="000000"/>
                <w:sz w:val="20"/>
                <w:szCs w:val="24"/>
                <w:lang w:eastAsia="lv-LV"/>
              </w:rPr>
            </w:pPr>
            <w:r w:rsidRPr="004712F5">
              <w:rPr>
                <w:color w:val="000000"/>
                <w:sz w:val="20"/>
                <w:szCs w:val="24"/>
                <w:lang w:eastAsia="lv-LV"/>
              </w:rPr>
              <w:t>427,4</w:t>
            </w:r>
          </w:p>
        </w:tc>
        <w:tc>
          <w:tcPr>
            <w:tcW w:w="1266" w:type="dxa"/>
            <w:tcBorders>
              <w:top w:val="nil"/>
              <w:left w:val="nil"/>
              <w:bottom w:val="single" w:sz="4" w:space="0" w:color="auto"/>
              <w:right w:val="single" w:sz="4" w:space="0" w:color="auto"/>
            </w:tcBorders>
            <w:shd w:val="clear" w:color="auto" w:fill="auto"/>
            <w:noWrap/>
            <w:vAlign w:val="bottom"/>
            <w:hideMark/>
          </w:tcPr>
          <w:p w:rsidR="005F129B" w:rsidRPr="004712F5" w:rsidRDefault="005F129B" w:rsidP="004E37DB">
            <w:pPr>
              <w:jc w:val="right"/>
              <w:rPr>
                <w:color w:val="000000"/>
                <w:sz w:val="20"/>
                <w:szCs w:val="24"/>
                <w:lang w:eastAsia="lv-LV"/>
              </w:rPr>
            </w:pPr>
            <w:r w:rsidRPr="004712F5">
              <w:rPr>
                <w:color w:val="000000"/>
                <w:sz w:val="20"/>
                <w:szCs w:val="24"/>
                <w:lang w:eastAsia="lv-LV"/>
              </w:rPr>
              <w:t>354,5</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712F5">
            <w:pPr>
              <w:ind w:firstLineChars="100" w:firstLine="200"/>
              <w:jc w:val="left"/>
              <w:rPr>
                <w:color w:val="000000"/>
                <w:sz w:val="20"/>
                <w:szCs w:val="24"/>
                <w:lang w:eastAsia="lv-LV"/>
              </w:rPr>
            </w:pPr>
            <w:r w:rsidRPr="004712F5">
              <w:rPr>
                <w:color w:val="000000"/>
                <w:sz w:val="20"/>
                <w:szCs w:val="24"/>
                <w:lang w:eastAsia="lv-LV"/>
              </w:rPr>
              <w:t>Ārvalstu finanšu palīdzība</w:t>
            </w:r>
          </w:p>
        </w:tc>
        <w:tc>
          <w:tcPr>
            <w:tcW w:w="1109" w:type="dxa"/>
            <w:tcBorders>
              <w:top w:val="nil"/>
              <w:left w:val="nil"/>
              <w:bottom w:val="single" w:sz="4" w:space="0" w:color="auto"/>
              <w:right w:val="single" w:sz="4" w:space="0" w:color="auto"/>
            </w:tcBorders>
            <w:shd w:val="clear" w:color="auto" w:fill="auto"/>
            <w:noWrap/>
            <w:vAlign w:val="bottom"/>
            <w:hideMark/>
          </w:tcPr>
          <w:p w:rsidR="005F129B" w:rsidRPr="004712F5" w:rsidRDefault="005F129B" w:rsidP="004E37DB">
            <w:pPr>
              <w:jc w:val="right"/>
              <w:rPr>
                <w:color w:val="000000"/>
                <w:sz w:val="20"/>
                <w:szCs w:val="24"/>
                <w:lang w:eastAsia="lv-LV"/>
              </w:rPr>
            </w:pPr>
            <w:r w:rsidRPr="004712F5">
              <w:rPr>
                <w:color w:val="000000"/>
                <w:sz w:val="20"/>
                <w:szCs w:val="24"/>
                <w:lang w:eastAsia="lv-LV"/>
              </w:rPr>
              <w:t>598,5</w:t>
            </w:r>
          </w:p>
        </w:tc>
        <w:tc>
          <w:tcPr>
            <w:tcW w:w="1266" w:type="dxa"/>
            <w:tcBorders>
              <w:top w:val="nil"/>
              <w:left w:val="nil"/>
              <w:bottom w:val="single" w:sz="4" w:space="0" w:color="auto"/>
              <w:right w:val="single" w:sz="4" w:space="0" w:color="auto"/>
            </w:tcBorders>
            <w:shd w:val="clear" w:color="auto" w:fill="auto"/>
            <w:noWrap/>
            <w:vAlign w:val="bottom"/>
            <w:hideMark/>
          </w:tcPr>
          <w:p w:rsidR="005F129B" w:rsidRPr="004712F5" w:rsidRDefault="005F129B" w:rsidP="004E37DB">
            <w:pPr>
              <w:jc w:val="right"/>
              <w:rPr>
                <w:color w:val="000000"/>
                <w:sz w:val="20"/>
                <w:szCs w:val="24"/>
                <w:lang w:eastAsia="lv-LV"/>
              </w:rPr>
            </w:pPr>
            <w:r w:rsidRPr="004712F5">
              <w:rPr>
                <w:color w:val="000000"/>
                <w:sz w:val="20"/>
                <w:szCs w:val="24"/>
                <w:lang w:eastAsia="lv-LV"/>
              </w:rPr>
              <w:t>896,7</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Izdevumi</w:t>
            </w:r>
          </w:p>
        </w:tc>
        <w:tc>
          <w:tcPr>
            <w:tcW w:w="1109"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3 198,8</w:t>
            </w:r>
          </w:p>
        </w:tc>
        <w:tc>
          <w:tcPr>
            <w:tcW w:w="1266"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3 346,6</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Bilance</w:t>
            </w:r>
          </w:p>
        </w:tc>
        <w:tc>
          <w:tcPr>
            <w:tcW w:w="1109"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-576,0</w:t>
            </w:r>
          </w:p>
        </w:tc>
        <w:tc>
          <w:tcPr>
            <w:tcW w:w="1266"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-288,1</w:t>
            </w:r>
          </w:p>
        </w:tc>
      </w:tr>
      <w:tr w:rsidR="004712F5" w:rsidRPr="004712F5" w:rsidTr="009E1865">
        <w:trPr>
          <w:trHeight w:val="77"/>
          <w:jc w:val="center"/>
        </w:trPr>
        <w:tc>
          <w:tcPr>
            <w:tcW w:w="8590" w:type="dxa"/>
            <w:gridSpan w:val="4"/>
            <w:tcBorders>
              <w:top w:val="nil"/>
              <w:left w:val="single" w:sz="4" w:space="0" w:color="auto"/>
              <w:bottom w:val="single" w:sz="4" w:space="0" w:color="auto"/>
              <w:right w:val="single" w:sz="4" w:space="0" w:color="auto"/>
            </w:tcBorders>
            <w:shd w:val="clear" w:color="auto" w:fill="auto"/>
            <w:noWrap/>
            <w:vAlign w:val="bottom"/>
            <w:hideMark/>
          </w:tcPr>
          <w:p w:rsidR="004712F5" w:rsidRPr="004712F5" w:rsidRDefault="004712F5" w:rsidP="004E37DB">
            <w:pPr>
              <w:jc w:val="left"/>
              <w:rPr>
                <w:b/>
                <w:bCs/>
                <w:color w:val="000000"/>
                <w:sz w:val="20"/>
                <w:szCs w:val="24"/>
                <w:lang w:eastAsia="lv-LV"/>
              </w:rPr>
            </w:pPr>
            <w:r w:rsidRPr="004712F5">
              <w:rPr>
                <w:b/>
                <w:bCs/>
                <w:color w:val="000000"/>
                <w:sz w:val="20"/>
                <w:szCs w:val="24"/>
                <w:lang w:eastAsia="lv-LV"/>
              </w:rPr>
              <w:t> </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F129B" w:rsidRPr="004712F5" w:rsidRDefault="005F129B" w:rsidP="004E37DB">
            <w:pPr>
              <w:jc w:val="left"/>
              <w:rPr>
                <w:b/>
                <w:bCs/>
                <w:i/>
                <w:iCs/>
                <w:color w:val="000000"/>
                <w:sz w:val="20"/>
                <w:szCs w:val="24"/>
                <w:lang w:eastAsia="lv-LV"/>
              </w:rPr>
            </w:pPr>
            <w:proofErr w:type="spellStart"/>
            <w:r w:rsidRPr="004712F5">
              <w:rPr>
                <w:b/>
                <w:bCs/>
                <w:i/>
                <w:iCs/>
                <w:color w:val="000000"/>
                <w:sz w:val="20"/>
                <w:szCs w:val="24"/>
                <w:lang w:eastAsia="lv-LV"/>
              </w:rPr>
              <w:t>t.sk</w:t>
            </w:r>
            <w:proofErr w:type="spellEnd"/>
            <w:r w:rsidRPr="004712F5">
              <w:rPr>
                <w:b/>
                <w:bCs/>
                <w:i/>
                <w:iCs/>
                <w:color w:val="000000"/>
                <w:sz w:val="20"/>
                <w:szCs w:val="24"/>
                <w:lang w:eastAsia="lv-LV"/>
              </w:rPr>
              <w:t>. Valsts speciālais budžets</w:t>
            </w:r>
          </w:p>
        </w:tc>
        <w:tc>
          <w:tcPr>
            <w:tcW w:w="1109" w:type="dxa"/>
            <w:tcBorders>
              <w:top w:val="nil"/>
              <w:left w:val="nil"/>
              <w:bottom w:val="single" w:sz="4" w:space="0" w:color="auto"/>
              <w:right w:val="nil"/>
            </w:tcBorders>
            <w:shd w:val="clear" w:color="auto" w:fill="auto"/>
            <w:vAlign w:val="bottom"/>
            <w:hideMark/>
          </w:tcPr>
          <w:p w:rsidR="005F129B" w:rsidRPr="004712F5" w:rsidRDefault="005F129B" w:rsidP="004E37DB">
            <w:pPr>
              <w:jc w:val="center"/>
              <w:rPr>
                <w:b/>
                <w:bCs/>
                <w:i/>
                <w:iCs/>
                <w:color w:val="000000"/>
                <w:sz w:val="20"/>
                <w:szCs w:val="24"/>
                <w:lang w:eastAsia="lv-LV"/>
              </w:rPr>
            </w:pPr>
            <w:r w:rsidRPr="004712F5">
              <w:rPr>
                <w:b/>
                <w:bCs/>
                <w:i/>
                <w:iCs/>
                <w:color w:val="000000"/>
                <w:sz w:val="20"/>
                <w:szCs w:val="24"/>
                <w:lang w:eastAsia="lv-LV"/>
              </w:rPr>
              <w:t>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 </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Ieņēmumi kopā</w:t>
            </w:r>
          </w:p>
        </w:tc>
        <w:tc>
          <w:tcPr>
            <w:tcW w:w="1109"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1 178,1</w:t>
            </w:r>
          </w:p>
        </w:tc>
        <w:tc>
          <w:tcPr>
            <w:tcW w:w="1266"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1 217,8</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712F5">
            <w:pPr>
              <w:ind w:firstLineChars="100" w:firstLine="200"/>
              <w:jc w:val="left"/>
              <w:rPr>
                <w:color w:val="000000"/>
                <w:sz w:val="20"/>
                <w:szCs w:val="24"/>
                <w:lang w:eastAsia="lv-LV"/>
              </w:rPr>
            </w:pPr>
            <w:r w:rsidRPr="004712F5">
              <w:rPr>
                <w:color w:val="000000"/>
                <w:sz w:val="20"/>
                <w:szCs w:val="24"/>
                <w:lang w:eastAsia="lv-LV"/>
              </w:rPr>
              <w:t>Nodokļu ieņēmumi</w:t>
            </w:r>
          </w:p>
        </w:tc>
        <w:tc>
          <w:tcPr>
            <w:tcW w:w="1109" w:type="dxa"/>
            <w:tcBorders>
              <w:top w:val="nil"/>
              <w:left w:val="nil"/>
              <w:bottom w:val="single" w:sz="4" w:space="0" w:color="auto"/>
              <w:right w:val="single" w:sz="4" w:space="0" w:color="auto"/>
            </w:tcBorders>
            <w:shd w:val="clear" w:color="auto" w:fill="auto"/>
            <w:noWrap/>
            <w:vAlign w:val="bottom"/>
            <w:hideMark/>
          </w:tcPr>
          <w:p w:rsidR="005F129B" w:rsidRPr="004712F5" w:rsidRDefault="005F129B" w:rsidP="004E37DB">
            <w:pPr>
              <w:jc w:val="right"/>
              <w:rPr>
                <w:color w:val="000000"/>
                <w:sz w:val="20"/>
                <w:szCs w:val="24"/>
                <w:lang w:eastAsia="lv-LV"/>
              </w:rPr>
            </w:pPr>
            <w:r w:rsidRPr="004712F5">
              <w:rPr>
                <w:color w:val="000000"/>
                <w:sz w:val="20"/>
                <w:szCs w:val="24"/>
                <w:lang w:eastAsia="lv-LV"/>
              </w:rPr>
              <w:t>1 093,2</w:t>
            </w:r>
          </w:p>
        </w:tc>
        <w:tc>
          <w:tcPr>
            <w:tcW w:w="1266" w:type="dxa"/>
            <w:tcBorders>
              <w:top w:val="nil"/>
              <w:left w:val="nil"/>
              <w:bottom w:val="single" w:sz="4" w:space="0" w:color="auto"/>
              <w:right w:val="single" w:sz="4" w:space="0" w:color="auto"/>
            </w:tcBorders>
            <w:shd w:val="clear" w:color="auto" w:fill="auto"/>
            <w:noWrap/>
            <w:vAlign w:val="bottom"/>
            <w:hideMark/>
          </w:tcPr>
          <w:p w:rsidR="005F129B" w:rsidRPr="004712F5" w:rsidRDefault="005F129B" w:rsidP="004E37DB">
            <w:pPr>
              <w:jc w:val="right"/>
              <w:rPr>
                <w:color w:val="000000"/>
                <w:sz w:val="20"/>
                <w:szCs w:val="24"/>
                <w:lang w:eastAsia="lv-LV"/>
              </w:rPr>
            </w:pPr>
            <w:r w:rsidRPr="004712F5">
              <w:rPr>
                <w:color w:val="000000"/>
                <w:sz w:val="20"/>
                <w:szCs w:val="24"/>
                <w:lang w:eastAsia="lv-LV"/>
              </w:rPr>
              <w:t>1 192,8</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712F5">
            <w:pPr>
              <w:ind w:firstLineChars="100" w:firstLine="200"/>
              <w:jc w:val="left"/>
              <w:rPr>
                <w:color w:val="000000"/>
                <w:sz w:val="20"/>
                <w:szCs w:val="24"/>
                <w:lang w:eastAsia="lv-LV"/>
              </w:rPr>
            </w:pPr>
            <w:r w:rsidRPr="004712F5">
              <w:rPr>
                <w:color w:val="000000"/>
                <w:sz w:val="20"/>
                <w:szCs w:val="24"/>
                <w:lang w:eastAsia="lv-LV"/>
              </w:rPr>
              <w:t>Nenodokļu, pašu un citi ieņēmumi</w:t>
            </w:r>
          </w:p>
        </w:tc>
        <w:tc>
          <w:tcPr>
            <w:tcW w:w="1109" w:type="dxa"/>
            <w:tcBorders>
              <w:top w:val="nil"/>
              <w:left w:val="nil"/>
              <w:bottom w:val="single" w:sz="4" w:space="0" w:color="auto"/>
              <w:right w:val="single" w:sz="4" w:space="0" w:color="auto"/>
            </w:tcBorders>
            <w:shd w:val="clear" w:color="auto" w:fill="auto"/>
            <w:noWrap/>
            <w:vAlign w:val="bottom"/>
            <w:hideMark/>
          </w:tcPr>
          <w:p w:rsidR="005F129B" w:rsidRPr="004712F5" w:rsidRDefault="005F129B" w:rsidP="004E37DB">
            <w:pPr>
              <w:jc w:val="right"/>
              <w:rPr>
                <w:color w:val="000000"/>
                <w:sz w:val="20"/>
                <w:szCs w:val="24"/>
                <w:lang w:eastAsia="lv-LV"/>
              </w:rPr>
            </w:pPr>
            <w:r w:rsidRPr="004712F5">
              <w:rPr>
                <w:color w:val="000000"/>
                <w:sz w:val="20"/>
                <w:szCs w:val="24"/>
                <w:lang w:eastAsia="lv-LV"/>
              </w:rPr>
              <w:t>84,9</w:t>
            </w:r>
          </w:p>
        </w:tc>
        <w:tc>
          <w:tcPr>
            <w:tcW w:w="1266" w:type="dxa"/>
            <w:tcBorders>
              <w:top w:val="nil"/>
              <w:left w:val="nil"/>
              <w:bottom w:val="single" w:sz="4" w:space="0" w:color="auto"/>
              <w:right w:val="single" w:sz="4" w:space="0" w:color="auto"/>
            </w:tcBorders>
            <w:shd w:val="clear" w:color="auto" w:fill="auto"/>
            <w:noWrap/>
            <w:vAlign w:val="bottom"/>
            <w:hideMark/>
          </w:tcPr>
          <w:p w:rsidR="005F129B" w:rsidRPr="004712F5" w:rsidRDefault="005F129B" w:rsidP="004E37DB">
            <w:pPr>
              <w:jc w:val="right"/>
              <w:rPr>
                <w:color w:val="000000"/>
                <w:sz w:val="20"/>
                <w:szCs w:val="24"/>
                <w:lang w:eastAsia="lv-LV"/>
              </w:rPr>
            </w:pPr>
            <w:r w:rsidRPr="004712F5">
              <w:rPr>
                <w:color w:val="000000"/>
                <w:sz w:val="20"/>
                <w:szCs w:val="24"/>
                <w:lang w:eastAsia="lv-LV"/>
              </w:rPr>
              <w:t>25,1</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Izdevumi</w:t>
            </w:r>
          </w:p>
        </w:tc>
        <w:tc>
          <w:tcPr>
            <w:tcW w:w="1109"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1 513,9</w:t>
            </w:r>
          </w:p>
        </w:tc>
        <w:tc>
          <w:tcPr>
            <w:tcW w:w="1266"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1 423,3</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Bilance</w:t>
            </w:r>
          </w:p>
        </w:tc>
        <w:tc>
          <w:tcPr>
            <w:tcW w:w="1109"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-335,8</w:t>
            </w:r>
          </w:p>
        </w:tc>
        <w:tc>
          <w:tcPr>
            <w:tcW w:w="1266"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-205,5</w:t>
            </w:r>
          </w:p>
        </w:tc>
      </w:tr>
      <w:tr w:rsidR="004712F5" w:rsidRPr="004712F5" w:rsidTr="009E1865">
        <w:trPr>
          <w:trHeight w:val="98"/>
          <w:jc w:val="center"/>
        </w:trPr>
        <w:tc>
          <w:tcPr>
            <w:tcW w:w="2368" w:type="dxa"/>
            <w:tcBorders>
              <w:top w:val="nil"/>
              <w:left w:val="single" w:sz="4" w:space="0" w:color="auto"/>
              <w:bottom w:val="single" w:sz="4" w:space="0" w:color="auto"/>
              <w:right w:val="nil"/>
            </w:tcBorders>
            <w:shd w:val="clear" w:color="auto" w:fill="auto"/>
            <w:noWrap/>
            <w:vAlign w:val="bottom"/>
            <w:hideMark/>
          </w:tcPr>
          <w:p w:rsidR="004712F5" w:rsidRPr="004712F5" w:rsidRDefault="004712F5" w:rsidP="004E37DB">
            <w:pPr>
              <w:jc w:val="left"/>
              <w:rPr>
                <w:b/>
                <w:bCs/>
                <w:color w:val="000000"/>
                <w:sz w:val="20"/>
                <w:szCs w:val="24"/>
                <w:lang w:eastAsia="lv-LV"/>
              </w:rPr>
            </w:pPr>
          </w:p>
        </w:tc>
        <w:tc>
          <w:tcPr>
            <w:tcW w:w="6222" w:type="dxa"/>
            <w:gridSpan w:val="3"/>
            <w:tcBorders>
              <w:top w:val="nil"/>
              <w:left w:val="nil"/>
              <w:bottom w:val="single" w:sz="4" w:space="0" w:color="auto"/>
              <w:right w:val="single" w:sz="4" w:space="0" w:color="auto"/>
            </w:tcBorders>
            <w:shd w:val="clear" w:color="auto" w:fill="auto"/>
            <w:noWrap/>
            <w:vAlign w:val="bottom"/>
            <w:hideMark/>
          </w:tcPr>
          <w:p w:rsidR="004712F5" w:rsidRPr="004712F5" w:rsidRDefault="004712F5" w:rsidP="004E37DB">
            <w:pPr>
              <w:jc w:val="left"/>
              <w:rPr>
                <w:b/>
                <w:bCs/>
                <w:color w:val="000000"/>
                <w:sz w:val="20"/>
                <w:szCs w:val="24"/>
                <w:lang w:eastAsia="lv-LV"/>
              </w:rPr>
            </w:pPr>
            <w:r w:rsidRPr="004712F5">
              <w:rPr>
                <w:b/>
                <w:bCs/>
                <w:color w:val="000000"/>
                <w:sz w:val="20"/>
                <w:szCs w:val="24"/>
                <w:lang w:eastAsia="lv-LV"/>
              </w:rPr>
              <w:t> </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F129B" w:rsidRPr="004712F5" w:rsidRDefault="005F129B" w:rsidP="004E37DB">
            <w:pPr>
              <w:jc w:val="left"/>
              <w:rPr>
                <w:b/>
                <w:bCs/>
                <w:i/>
                <w:iCs/>
                <w:color w:val="000000"/>
                <w:sz w:val="20"/>
                <w:szCs w:val="24"/>
                <w:lang w:eastAsia="lv-LV"/>
              </w:rPr>
            </w:pPr>
            <w:proofErr w:type="spellStart"/>
            <w:r w:rsidRPr="004712F5">
              <w:rPr>
                <w:b/>
                <w:bCs/>
                <w:i/>
                <w:iCs/>
                <w:color w:val="000000"/>
                <w:sz w:val="20"/>
                <w:szCs w:val="24"/>
                <w:lang w:eastAsia="lv-LV"/>
              </w:rPr>
              <w:t>t.sk</w:t>
            </w:r>
            <w:proofErr w:type="spellEnd"/>
            <w:r w:rsidRPr="004712F5">
              <w:rPr>
                <w:b/>
                <w:bCs/>
                <w:i/>
                <w:iCs/>
                <w:color w:val="000000"/>
                <w:sz w:val="20"/>
                <w:szCs w:val="24"/>
                <w:lang w:eastAsia="lv-LV"/>
              </w:rPr>
              <w:t>. Atvasinātās personas un budžeta nefinansētās iestādes</w:t>
            </w:r>
          </w:p>
        </w:tc>
        <w:tc>
          <w:tcPr>
            <w:tcW w:w="1109" w:type="dxa"/>
            <w:tcBorders>
              <w:top w:val="nil"/>
              <w:left w:val="nil"/>
              <w:bottom w:val="single" w:sz="4" w:space="0" w:color="auto"/>
              <w:right w:val="nil"/>
            </w:tcBorders>
            <w:shd w:val="clear" w:color="auto" w:fill="auto"/>
            <w:vAlign w:val="bottom"/>
            <w:hideMark/>
          </w:tcPr>
          <w:p w:rsidR="005F129B" w:rsidRPr="004712F5" w:rsidRDefault="005F129B" w:rsidP="004E37DB">
            <w:pPr>
              <w:jc w:val="center"/>
              <w:rPr>
                <w:b/>
                <w:bCs/>
                <w:i/>
                <w:iCs/>
                <w:color w:val="000000"/>
                <w:sz w:val="20"/>
                <w:szCs w:val="24"/>
                <w:lang w:eastAsia="lv-LV"/>
              </w:rPr>
            </w:pPr>
            <w:r w:rsidRPr="004712F5">
              <w:rPr>
                <w:b/>
                <w:bCs/>
                <w:i/>
                <w:iCs/>
                <w:color w:val="000000"/>
                <w:sz w:val="20"/>
                <w:szCs w:val="24"/>
                <w:lang w:eastAsia="lv-LV"/>
              </w:rPr>
              <w:t>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 </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Ieņēmumi kopā</w:t>
            </w:r>
          </w:p>
        </w:tc>
        <w:tc>
          <w:tcPr>
            <w:tcW w:w="1109"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228,1</w:t>
            </w:r>
          </w:p>
        </w:tc>
        <w:tc>
          <w:tcPr>
            <w:tcW w:w="1266"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219,2</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712F5">
            <w:pPr>
              <w:ind w:firstLineChars="100" w:firstLine="200"/>
              <w:jc w:val="left"/>
              <w:rPr>
                <w:color w:val="000000"/>
                <w:sz w:val="20"/>
                <w:szCs w:val="24"/>
                <w:lang w:eastAsia="lv-LV"/>
              </w:rPr>
            </w:pPr>
            <w:r w:rsidRPr="004712F5">
              <w:rPr>
                <w:color w:val="000000"/>
                <w:sz w:val="20"/>
                <w:szCs w:val="24"/>
                <w:lang w:eastAsia="lv-LV"/>
              </w:rPr>
              <w:t>Nenodokļu, pašu un citi ieņēmumi</w:t>
            </w:r>
          </w:p>
        </w:tc>
        <w:tc>
          <w:tcPr>
            <w:tcW w:w="1109" w:type="dxa"/>
            <w:tcBorders>
              <w:top w:val="nil"/>
              <w:left w:val="nil"/>
              <w:bottom w:val="single" w:sz="4" w:space="0" w:color="auto"/>
              <w:right w:val="single" w:sz="4" w:space="0" w:color="auto"/>
            </w:tcBorders>
            <w:shd w:val="clear" w:color="auto" w:fill="auto"/>
            <w:noWrap/>
            <w:vAlign w:val="bottom"/>
            <w:hideMark/>
          </w:tcPr>
          <w:p w:rsidR="005F129B" w:rsidRPr="004712F5" w:rsidRDefault="005F129B" w:rsidP="004E37DB">
            <w:pPr>
              <w:jc w:val="right"/>
              <w:rPr>
                <w:color w:val="000000"/>
                <w:sz w:val="20"/>
                <w:szCs w:val="24"/>
                <w:lang w:eastAsia="lv-LV"/>
              </w:rPr>
            </w:pPr>
            <w:r w:rsidRPr="004712F5">
              <w:rPr>
                <w:color w:val="000000"/>
                <w:sz w:val="20"/>
                <w:szCs w:val="24"/>
                <w:lang w:eastAsia="lv-LV"/>
              </w:rPr>
              <w:t>227,6</w:t>
            </w:r>
          </w:p>
        </w:tc>
        <w:tc>
          <w:tcPr>
            <w:tcW w:w="1266" w:type="dxa"/>
            <w:tcBorders>
              <w:top w:val="nil"/>
              <w:left w:val="nil"/>
              <w:bottom w:val="single" w:sz="4" w:space="0" w:color="auto"/>
              <w:right w:val="single" w:sz="4" w:space="0" w:color="auto"/>
            </w:tcBorders>
            <w:shd w:val="clear" w:color="auto" w:fill="auto"/>
            <w:noWrap/>
            <w:vAlign w:val="bottom"/>
            <w:hideMark/>
          </w:tcPr>
          <w:p w:rsidR="005F129B" w:rsidRPr="004712F5" w:rsidRDefault="005F129B" w:rsidP="004E37DB">
            <w:pPr>
              <w:jc w:val="right"/>
              <w:rPr>
                <w:color w:val="000000"/>
                <w:sz w:val="20"/>
                <w:szCs w:val="24"/>
                <w:lang w:eastAsia="lv-LV"/>
              </w:rPr>
            </w:pPr>
            <w:r w:rsidRPr="004712F5">
              <w:rPr>
                <w:color w:val="000000"/>
                <w:sz w:val="20"/>
                <w:szCs w:val="24"/>
                <w:lang w:eastAsia="lv-LV"/>
              </w:rPr>
              <w:t>218,2</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712F5">
            <w:pPr>
              <w:ind w:firstLineChars="100" w:firstLine="200"/>
              <w:jc w:val="left"/>
              <w:rPr>
                <w:color w:val="000000"/>
                <w:sz w:val="20"/>
                <w:szCs w:val="24"/>
                <w:lang w:eastAsia="lv-LV"/>
              </w:rPr>
            </w:pPr>
            <w:r w:rsidRPr="004712F5">
              <w:rPr>
                <w:color w:val="000000"/>
                <w:sz w:val="20"/>
                <w:szCs w:val="24"/>
                <w:lang w:eastAsia="lv-LV"/>
              </w:rPr>
              <w:t>Ārvalstu finanšu palīdzība</w:t>
            </w:r>
          </w:p>
        </w:tc>
        <w:tc>
          <w:tcPr>
            <w:tcW w:w="1109" w:type="dxa"/>
            <w:tcBorders>
              <w:top w:val="nil"/>
              <w:left w:val="nil"/>
              <w:bottom w:val="single" w:sz="4" w:space="0" w:color="auto"/>
              <w:right w:val="single" w:sz="4" w:space="0" w:color="auto"/>
            </w:tcBorders>
            <w:shd w:val="clear" w:color="auto" w:fill="auto"/>
            <w:noWrap/>
            <w:vAlign w:val="bottom"/>
            <w:hideMark/>
          </w:tcPr>
          <w:p w:rsidR="005F129B" w:rsidRPr="004712F5" w:rsidRDefault="005F129B" w:rsidP="004E37DB">
            <w:pPr>
              <w:jc w:val="right"/>
              <w:rPr>
                <w:color w:val="000000"/>
                <w:sz w:val="20"/>
                <w:szCs w:val="24"/>
                <w:lang w:eastAsia="lv-LV"/>
              </w:rPr>
            </w:pPr>
            <w:r w:rsidRPr="004712F5">
              <w:rPr>
                <w:color w:val="000000"/>
                <w:sz w:val="20"/>
                <w:szCs w:val="24"/>
                <w:lang w:eastAsia="lv-LV"/>
              </w:rPr>
              <w:t>0,6</w:t>
            </w:r>
          </w:p>
        </w:tc>
        <w:tc>
          <w:tcPr>
            <w:tcW w:w="1266" w:type="dxa"/>
            <w:tcBorders>
              <w:top w:val="nil"/>
              <w:left w:val="nil"/>
              <w:bottom w:val="single" w:sz="4" w:space="0" w:color="auto"/>
              <w:right w:val="single" w:sz="4" w:space="0" w:color="auto"/>
            </w:tcBorders>
            <w:shd w:val="clear" w:color="auto" w:fill="auto"/>
            <w:noWrap/>
            <w:vAlign w:val="bottom"/>
            <w:hideMark/>
          </w:tcPr>
          <w:p w:rsidR="005F129B" w:rsidRPr="004712F5" w:rsidRDefault="005F129B" w:rsidP="004E37DB">
            <w:pPr>
              <w:jc w:val="right"/>
              <w:rPr>
                <w:color w:val="000000"/>
                <w:sz w:val="20"/>
                <w:szCs w:val="24"/>
                <w:lang w:eastAsia="lv-LV"/>
              </w:rPr>
            </w:pPr>
            <w:r w:rsidRPr="004712F5">
              <w:rPr>
                <w:color w:val="000000"/>
                <w:sz w:val="20"/>
                <w:szCs w:val="24"/>
                <w:lang w:eastAsia="lv-LV"/>
              </w:rPr>
              <w:t>1,0</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Izdevumi</w:t>
            </w:r>
          </w:p>
        </w:tc>
        <w:tc>
          <w:tcPr>
            <w:tcW w:w="1109"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188,4</w:t>
            </w:r>
          </w:p>
        </w:tc>
        <w:tc>
          <w:tcPr>
            <w:tcW w:w="1266"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214,6</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Bilance</w:t>
            </w:r>
          </w:p>
        </w:tc>
        <w:tc>
          <w:tcPr>
            <w:tcW w:w="1109"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39,8</w:t>
            </w:r>
          </w:p>
        </w:tc>
        <w:tc>
          <w:tcPr>
            <w:tcW w:w="1266" w:type="dxa"/>
            <w:tcBorders>
              <w:top w:val="nil"/>
              <w:left w:val="nil"/>
              <w:bottom w:val="single" w:sz="4" w:space="0" w:color="auto"/>
              <w:right w:val="single" w:sz="4" w:space="0" w:color="auto"/>
            </w:tcBorders>
            <w:shd w:val="clear" w:color="000000" w:fill="B7DEE8"/>
            <w:noWrap/>
            <w:vAlign w:val="bottom"/>
            <w:hideMark/>
          </w:tcPr>
          <w:p w:rsidR="005F129B" w:rsidRPr="004712F5" w:rsidRDefault="005F129B" w:rsidP="004E37DB">
            <w:pPr>
              <w:jc w:val="right"/>
              <w:rPr>
                <w:b/>
                <w:bCs/>
                <w:color w:val="000000"/>
                <w:sz w:val="20"/>
                <w:szCs w:val="24"/>
                <w:lang w:eastAsia="lv-LV"/>
              </w:rPr>
            </w:pPr>
            <w:r w:rsidRPr="004712F5">
              <w:rPr>
                <w:b/>
                <w:bCs/>
                <w:color w:val="000000"/>
                <w:sz w:val="20"/>
                <w:szCs w:val="24"/>
                <w:lang w:eastAsia="lv-LV"/>
              </w:rPr>
              <w:t>4,6</w:t>
            </w:r>
          </w:p>
        </w:tc>
      </w:tr>
      <w:tr w:rsidR="004712F5" w:rsidRPr="004712F5" w:rsidTr="009E1865">
        <w:trPr>
          <w:trHeight w:val="153"/>
          <w:jc w:val="center"/>
        </w:trPr>
        <w:tc>
          <w:tcPr>
            <w:tcW w:w="8590" w:type="dxa"/>
            <w:gridSpan w:val="4"/>
            <w:tcBorders>
              <w:top w:val="nil"/>
              <w:left w:val="single" w:sz="4" w:space="0" w:color="auto"/>
              <w:bottom w:val="single" w:sz="4" w:space="0" w:color="auto"/>
              <w:right w:val="single" w:sz="4" w:space="0" w:color="auto"/>
            </w:tcBorders>
            <w:shd w:val="clear" w:color="auto" w:fill="auto"/>
            <w:noWrap/>
            <w:vAlign w:val="bottom"/>
            <w:hideMark/>
          </w:tcPr>
          <w:p w:rsidR="004712F5" w:rsidRPr="004712F5" w:rsidRDefault="004712F5" w:rsidP="004712F5">
            <w:pPr>
              <w:jc w:val="left"/>
              <w:rPr>
                <w:b/>
                <w:bCs/>
                <w:color w:val="000000"/>
                <w:sz w:val="20"/>
                <w:szCs w:val="24"/>
                <w:lang w:eastAsia="lv-LV"/>
              </w:rPr>
            </w:pP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E37DB">
            <w:pPr>
              <w:jc w:val="left"/>
              <w:rPr>
                <w:b/>
                <w:bCs/>
                <w:i/>
                <w:iCs/>
                <w:color w:val="000000"/>
                <w:sz w:val="20"/>
                <w:szCs w:val="24"/>
                <w:lang w:eastAsia="lv-LV"/>
              </w:rPr>
            </w:pPr>
            <w:r w:rsidRPr="004712F5">
              <w:rPr>
                <w:b/>
                <w:bCs/>
                <w:i/>
                <w:iCs/>
                <w:color w:val="000000"/>
                <w:sz w:val="20"/>
                <w:szCs w:val="24"/>
                <w:lang w:eastAsia="lv-LV"/>
              </w:rPr>
              <w:t>Pašvaldību konsolidētais budžets</w:t>
            </w:r>
          </w:p>
        </w:tc>
        <w:tc>
          <w:tcPr>
            <w:tcW w:w="1109" w:type="dxa"/>
            <w:tcBorders>
              <w:top w:val="nil"/>
              <w:left w:val="nil"/>
              <w:bottom w:val="single" w:sz="4" w:space="0" w:color="auto"/>
              <w:right w:val="nil"/>
            </w:tcBorders>
            <w:shd w:val="clear" w:color="auto" w:fill="auto"/>
            <w:noWrap/>
            <w:vAlign w:val="bottom"/>
            <w:hideMark/>
          </w:tcPr>
          <w:p w:rsidR="005F129B" w:rsidRPr="004712F5" w:rsidRDefault="005F129B" w:rsidP="004E37DB">
            <w:pPr>
              <w:jc w:val="center"/>
              <w:rPr>
                <w:b/>
                <w:bCs/>
                <w:i/>
                <w:iCs/>
                <w:color w:val="000000"/>
                <w:sz w:val="20"/>
                <w:szCs w:val="24"/>
                <w:lang w:eastAsia="lv-LV"/>
              </w:rPr>
            </w:pPr>
            <w:r w:rsidRPr="004712F5">
              <w:rPr>
                <w:b/>
                <w:bCs/>
                <w:i/>
                <w:iCs/>
                <w:color w:val="000000"/>
                <w:sz w:val="20"/>
                <w:szCs w:val="24"/>
                <w:lang w:eastAsia="lv-LV"/>
              </w:rPr>
              <w:t>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 </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Ieņēmumi kopā</w:t>
            </w:r>
          </w:p>
        </w:tc>
        <w:tc>
          <w:tcPr>
            <w:tcW w:w="1109"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1 320,3</w:t>
            </w:r>
          </w:p>
        </w:tc>
        <w:tc>
          <w:tcPr>
            <w:tcW w:w="1266"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1 274,8</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712F5">
            <w:pPr>
              <w:ind w:firstLineChars="100" w:firstLine="200"/>
              <w:jc w:val="left"/>
              <w:rPr>
                <w:color w:val="000000"/>
                <w:sz w:val="20"/>
                <w:szCs w:val="24"/>
                <w:lang w:eastAsia="lv-LV"/>
              </w:rPr>
            </w:pPr>
            <w:r w:rsidRPr="004712F5">
              <w:rPr>
                <w:color w:val="000000"/>
                <w:sz w:val="20"/>
                <w:szCs w:val="24"/>
                <w:lang w:eastAsia="lv-LV"/>
              </w:rPr>
              <w:t>Nodokļu ieņēmumi</w:t>
            </w:r>
          </w:p>
        </w:tc>
        <w:tc>
          <w:tcPr>
            <w:tcW w:w="1109"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732,3</w:t>
            </w:r>
          </w:p>
        </w:tc>
        <w:tc>
          <w:tcPr>
            <w:tcW w:w="1266"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713,8</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712F5">
            <w:pPr>
              <w:ind w:firstLineChars="100" w:firstLine="200"/>
              <w:jc w:val="left"/>
              <w:rPr>
                <w:color w:val="000000"/>
                <w:sz w:val="20"/>
                <w:szCs w:val="24"/>
                <w:lang w:eastAsia="lv-LV"/>
              </w:rPr>
            </w:pPr>
            <w:r w:rsidRPr="004712F5">
              <w:rPr>
                <w:color w:val="000000"/>
                <w:sz w:val="20"/>
                <w:szCs w:val="24"/>
                <w:lang w:eastAsia="lv-LV"/>
              </w:rPr>
              <w:t>Nenodokļu, pašu un citi ieņēmumi</w:t>
            </w:r>
          </w:p>
        </w:tc>
        <w:tc>
          <w:tcPr>
            <w:tcW w:w="1109"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587,1</w:t>
            </w:r>
          </w:p>
        </w:tc>
        <w:tc>
          <w:tcPr>
            <w:tcW w:w="1266"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560,1</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712F5">
            <w:pPr>
              <w:ind w:firstLineChars="100" w:firstLine="200"/>
              <w:jc w:val="left"/>
              <w:rPr>
                <w:color w:val="000000"/>
                <w:sz w:val="20"/>
                <w:szCs w:val="24"/>
                <w:lang w:eastAsia="lv-LV"/>
              </w:rPr>
            </w:pPr>
            <w:r w:rsidRPr="004712F5">
              <w:rPr>
                <w:color w:val="000000"/>
                <w:sz w:val="20"/>
                <w:szCs w:val="24"/>
                <w:lang w:eastAsia="lv-LV"/>
              </w:rPr>
              <w:t>Ārvalstu finanšu palīdzība</w:t>
            </w:r>
          </w:p>
        </w:tc>
        <w:tc>
          <w:tcPr>
            <w:tcW w:w="1109"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0,9</w:t>
            </w:r>
          </w:p>
        </w:tc>
        <w:tc>
          <w:tcPr>
            <w:tcW w:w="1266"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0,9</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Izdevumi</w:t>
            </w:r>
          </w:p>
        </w:tc>
        <w:tc>
          <w:tcPr>
            <w:tcW w:w="1109"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1 268,3</w:t>
            </w:r>
          </w:p>
        </w:tc>
        <w:tc>
          <w:tcPr>
            <w:tcW w:w="1266"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1 293,4</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Bilance</w:t>
            </w:r>
          </w:p>
        </w:tc>
        <w:tc>
          <w:tcPr>
            <w:tcW w:w="1109"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52,0</w:t>
            </w:r>
          </w:p>
        </w:tc>
        <w:tc>
          <w:tcPr>
            <w:tcW w:w="1266"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-18,6</w:t>
            </w:r>
          </w:p>
        </w:tc>
      </w:tr>
      <w:tr w:rsidR="005F129B" w:rsidRPr="004712F5" w:rsidTr="009E1865">
        <w:trPr>
          <w:trHeight w:val="85"/>
          <w:jc w:val="center"/>
        </w:trPr>
        <w:tc>
          <w:tcPr>
            <w:tcW w:w="859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 </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E37DB">
            <w:pPr>
              <w:jc w:val="left"/>
              <w:rPr>
                <w:b/>
                <w:bCs/>
                <w:i/>
                <w:iCs/>
                <w:color w:val="000000"/>
                <w:sz w:val="20"/>
                <w:szCs w:val="24"/>
                <w:lang w:eastAsia="lv-LV"/>
              </w:rPr>
            </w:pPr>
            <w:r w:rsidRPr="004712F5">
              <w:rPr>
                <w:b/>
                <w:bCs/>
                <w:i/>
                <w:iCs/>
                <w:color w:val="000000"/>
                <w:sz w:val="20"/>
                <w:szCs w:val="24"/>
                <w:lang w:eastAsia="lv-LV"/>
              </w:rPr>
              <w:t>Konsolidētais kopbudžets</w:t>
            </w:r>
          </w:p>
        </w:tc>
        <w:tc>
          <w:tcPr>
            <w:tcW w:w="1109" w:type="dxa"/>
            <w:tcBorders>
              <w:top w:val="nil"/>
              <w:left w:val="nil"/>
              <w:bottom w:val="single" w:sz="4" w:space="0" w:color="auto"/>
              <w:right w:val="nil"/>
            </w:tcBorders>
            <w:shd w:val="clear" w:color="auto" w:fill="auto"/>
            <w:noWrap/>
            <w:vAlign w:val="bottom"/>
            <w:hideMark/>
          </w:tcPr>
          <w:p w:rsidR="005F129B" w:rsidRPr="004712F5" w:rsidRDefault="005F129B" w:rsidP="004E37DB">
            <w:pPr>
              <w:jc w:val="center"/>
              <w:rPr>
                <w:b/>
                <w:bCs/>
                <w:i/>
                <w:iCs/>
                <w:color w:val="000000"/>
                <w:sz w:val="20"/>
                <w:szCs w:val="24"/>
                <w:lang w:eastAsia="lv-LV"/>
              </w:rPr>
            </w:pPr>
            <w:r w:rsidRPr="004712F5">
              <w:rPr>
                <w:b/>
                <w:bCs/>
                <w:i/>
                <w:iCs/>
                <w:color w:val="000000"/>
                <w:sz w:val="20"/>
                <w:szCs w:val="24"/>
                <w:lang w:eastAsia="lv-LV"/>
              </w:rPr>
              <w:t>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 </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Ieņēmumi kopā</w:t>
            </w:r>
          </w:p>
        </w:tc>
        <w:tc>
          <w:tcPr>
            <w:tcW w:w="1109"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4 607,0</w:t>
            </w:r>
          </w:p>
        </w:tc>
        <w:tc>
          <w:tcPr>
            <w:tcW w:w="1266"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5 123,8</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712F5">
            <w:pPr>
              <w:ind w:firstLineChars="100" w:firstLine="200"/>
              <w:jc w:val="left"/>
              <w:rPr>
                <w:color w:val="000000"/>
                <w:sz w:val="20"/>
                <w:szCs w:val="24"/>
                <w:lang w:eastAsia="lv-LV"/>
              </w:rPr>
            </w:pPr>
            <w:r w:rsidRPr="004712F5">
              <w:rPr>
                <w:color w:val="000000"/>
                <w:sz w:val="20"/>
                <w:szCs w:val="24"/>
                <w:lang w:eastAsia="lv-LV"/>
              </w:rPr>
              <w:t>Nodokļu ieņēmumi</w:t>
            </w:r>
          </w:p>
        </w:tc>
        <w:tc>
          <w:tcPr>
            <w:tcW w:w="1109"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3 402,8</w:t>
            </w:r>
          </w:p>
        </w:tc>
        <w:tc>
          <w:tcPr>
            <w:tcW w:w="1266"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3 713,8</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712F5">
            <w:pPr>
              <w:ind w:firstLineChars="100" w:firstLine="200"/>
              <w:jc w:val="left"/>
              <w:rPr>
                <w:color w:val="000000"/>
                <w:sz w:val="20"/>
                <w:szCs w:val="24"/>
                <w:lang w:eastAsia="lv-LV"/>
              </w:rPr>
            </w:pPr>
            <w:r w:rsidRPr="004712F5">
              <w:rPr>
                <w:color w:val="000000"/>
                <w:sz w:val="20"/>
                <w:szCs w:val="24"/>
                <w:lang w:eastAsia="lv-LV"/>
              </w:rPr>
              <w:t>Nenodokļu, pašu un citi ieņēmumi</w:t>
            </w:r>
          </w:p>
        </w:tc>
        <w:tc>
          <w:tcPr>
            <w:tcW w:w="1109"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604,3</w:t>
            </w:r>
          </w:p>
        </w:tc>
        <w:tc>
          <w:tcPr>
            <w:tcW w:w="1266"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511,3</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29B" w:rsidRPr="004712F5" w:rsidRDefault="005F129B" w:rsidP="004712F5">
            <w:pPr>
              <w:ind w:firstLineChars="100" w:firstLine="200"/>
              <w:jc w:val="left"/>
              <w:rPr>
                <w:color w:val="000000"/>
                <w:sz w:val="20"/>
                <w:szCs w:val="24"/>
                <w:lang w:eastAsia="lv-LV"/>
              </w:rPr>
            </w:pPr>
            <w:r w:rsidRPr="004712F5">
              <w:rPr>
                <w:color w:val="000000"/>
                <w:sz w:val="20"/>
                <w:szCs w:val="24"/>
                <w:lang w:eastAsia="lv-LV"/>
              </w:rPr>
              <w:t>Ārvalstu finanšu palīdzība</w:t>
            </w:r>
          </w:p>
        </w:tc>
        <w:tc>
          <w:tcPr>
            <w:tcW w:w="1109"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599,9</w:t>
            </w:r>
          </w:p>
        </w:tc>
        <w:tc>
          <w:tcPr>
            <w:tcW w:w="1266" w:type="dxa"/>
            <w:tcBorders>
              <w:top w:val="nil"/>
              <w:left w:val="nil"/>
              <w:bottom w:val="single" w:sz="4" w:space="0" w:color="auto"/>
              <w:right w:val="single" w:sz="4" w:space="0" w:color="auto"/>
            </w:tcBorders>
            <w:shd w:val="clear" w:color="auto" w:fill="auto"/>
            <w:noWrap/>
            <w:vAlign w:val="center"/>
            <w:hideMark/>
          </w:tcPr>
          <w:p w:rsidR="005F129B" w:rsidRPr="004712F5" w:rsidRDefault="005F129B" w:rsidP="004E37DB">
            <w:pPr>
              <w:jc w:val="center"/>
              <w:rPr>
                <w:color w:val="000000"/>
                <w:sz w:val="20"/>
                <w:szCs w:val="24"/>
                <w:lang w:eastAsia="lv-LV"/>
              </w:rPr>
            </w:pPr>
            <w:r w:rsidRPr="004712F5">
              <w:rPr>
                <w:color w:val="000000"/>
                <w:sz w:val="20"/>
                <w:szCs w:val="24"/>
                <w:lang w:eastAsia="lv-LV"/>
              </w:rPr>
              <w:t>898,7</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Izdevumi</w:t>
            </w:r>
          </w:p>
        </w:tc>
        <w:tc>
          <w:tcPr>
            <w:tcW w:w="1109"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5 409,7</w:t>
            </w:r>
          </w:p>
        </w:tc>
        <w:tc>
          <w:tcPr>
            <w:tcW w:w="1266"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5 631,3</w:t>
            </w:r>
          </w:p>
        </w:tc>
      </w:tr>
      <w:tr w:rsidR="004712F5" w:rsidRPr="004712F5" w:rsidTr="009E1865">
        <w:trPr>
          <w:trHeight w:val="142"/>
          <w:jc w:val="center"/>
        </w:trPr>
        <w:tc>
          <w:tcPr>
            <w:tcW w:w="85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2F5" w:rsidRPr="004712F5" w:rsidRDefault="004712F5" w:rsidP="004E37DB">
            <w:pPr>
              <w:jc w:val="center"/>
              <w:rPr>
                <w:color w:val="000000"/>
                <w:sz w:val="20"/>
                <w:szCs w:val="24"/>
                <w:lang w:eastAsia="lv-LV"/>
              </w:rPr>
            </w:pPr>
            <w:r w:rsidRPr="004712F5">
              <w:rPr>
                <w:color w:val="000000"/>
                <w:sz w:val="20"/>
                <w:szCs w:val="24"/>
                <w:lang w:eastAsia="lv-LV"/>
              </w:rPr>
              <w:t> </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Budžeta bilance (naudas plūsmas metode)</w:t>
            </w:r>
          </w:p>
        </w:tc>
        <w:tc>
          <w:tcPr>
            <w:tcW w:w="1109"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-802,7</w:t>
            </w:r>
          </w:p>
        </w:tc>
        <w:tc>
          <w:tcPr>
            <w:tcW w:w="1266"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-507,6</w:t>
            </w:r>
          </w:p>
        </w:tc>
      </w:tr>
      <w:tr w:rsidR="005F129B" w:rsidRPr="004712F5" w:rsidTr="009E1865">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5F129B" w:rsidRPr="004712F5" w:rsidRDefault="005F129B" w:rsidP="004E37DB">
            <w:pPr>
              <w:jc w:val="left"/>
              <w:rPr>
                <w:b/>
                <w:bCs/>
                <w:color w:val="000000"/>
                <w:sz w:val="20"/>
                <w:szCs w:val="24"/>
                <w:lang w:eastAsia="lv-LV"/>
              </w:rPr>
            </w:pPr>
            <w:r w:rsidRPr="004712F5">
              <w:rPr>
                <w:b/>
                <w:bCs/>
                <w:color w:val="000000"/>
                <w:sz w:val="20"/>
                <w:szCs w:val="24"/>
                <w:lang w:eastAsia="lv-LV"/>
              </w:rPr>
              <w:t>Budžeta bilance (naudas plūsmas metode), % no IKP</w:t>
            </w:r>
          </w:p>
        </w:tc>
        <w:tc>
          <w:tcPr>
            <w:tcW w:w="1109"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-6,3%</w:t>
            </w:r>
          </w:p>
        </w:tc>
        <w:tc>
          <w:tcPr>
            <w:tcW w:w="1266" w:type="dxa"/>
            <w:tcBorders>
              <w:top w:val="nil"/>
              <w:left w:val="nil"/>
              <w:bottom w:val="single" w:sz="4" w:space="0" w:color="auto"/>
              <w:right w:val="single" w:sz="4" w:space="0" w:color="auto"/>
            </w:tcBorders>
            <w:shd w:val="clear" w:color="000000" w:fill="B7DEE8"/>
            <w:noWrap/>
            <w:vAlign w:val="center"/>
            <w:hideMark/>
          </w:tcPr>
          <w:p w:rsidR="005F129B" w:rsidRPr="004712F5" w:rsidRDefault="005F129B" w:rsidP="004E37DB">
            <w:pPr>
              <w:jc w:val="center"/>
              <w:rPr>
                <w:b/>
                <w:bCs/>
                <w:color w:val="000000"/>
                <w:sz w:val="20"/>
                <w:szCs w:val="24"/>
                <w:lang w:eastAsia="lv-LV"/>
              </w:rPr>
            </w:pPr>
            <w:r w:rsidRPr="004712F5">
              <w:rPr>
                <w:b/>
                <w:bCs/>
                <w:color w:val="000000"/>
                <w:sz w:val="20"/>
                <w:szCs w:val="24"/>
                <w:lang w:eastAsia="lv-LV"/>
              </w:rPr>
              <w:t>-3,8%</w:t>
            </w:r>
          </w:p>
        </w:tc>
      </w:tr>
      <w:tr w:rsidR="00423777" w:rsidRPr="004712F5" w:rsidTr="00423777">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423777" w:rsidRPr="004712F5" w:rsidRDefault="00423777" w:rsidP="00E46A2F">
            <w:pPr>
              <w:jc w:val="left"/>
              <w:rPr>
                <w:b/>
                <w:bCs/>
                <w:color w:val="000000"/>
                <w:sz w:val="20"/>
                <w:szCs w:val="24"/>
                <w:lang w:eastAsia="lv-LV"/>
              </w:rPr>
            </w:pPr>
            <w:r w:rsidRPr="004712F5">
              <w:rPr>
                <w:b/>
                <w:bCs/>
                <w:color w:val="000000"/>
                <w:sz w:val="20"/>
                <w:szCs w:val="24"/>
                <w:lang w:eastAsia="lv-LV"/>
              </w:rPr>
              <w:t>ESA korekcija</w:t>
            </w:r>
          </w:p>
        </w:tc>
        <w:tc>
          <w:tcPr>
            <w:tcW w:w="1109" w:type="dxa"/>
            <w:tcBorders>
              <w:top w:val="nil"/>
              <w:left w:val="nil"/>
              <w:bottom w:val="single" w:sz="4" w:space="0" w:color="auto"/>
              <w:right w:val="single" w:sz="4" w:space="0" w:color="auto"/>
            </w:tcBorders>
            <w:shd w:val="clear" w:color="000000" w:fill="B7DEE8"/>
            <w:noWrap/>
            <w:vAlign w:val="center"/>
            <w:hideMark/>
          </w:tcPr>
          <w:p w:rsidR="00423777" w:rsidRPr="004712F5" w:rsidRDefault="00423777" w:rsidP="00E46A2F">
            <w:pPr>
              <w:jc w:val="center"/>
              <w:rPr>
                <w:b/>
                <w:bCs/>
                <w:color w:val="000000"/>
                <w:sz w:val="20"/>
                <w:szCs w:val="24"/>
                <w:lang w:eastAsia="lv-LV"/>
              </w:rPr>
            </w:pPr>
            <w:r w:rsidRPr="004712F5">
              <w:rPr>
                <w:b/>
                <w:bCs/>
                <w:color w:val="000000"/>
                <w:sz w:val="20"/>
                <w:szCs w:val="24"/>
                <w:lang w:eastAsia="lv-LV"/>
              </w:rPr>
              <w:t>-181,2</w:t>
            </w:r>
          </w:p>
        </w:tc>
        <w:tc>
          <w:tcPr>
            <w:tcW w:w="1266" w:type="dxa"/>
            <w:tcBorders>
              <w:top w:val="nil"/>
              <w:left w:val="nil"/>
              <w:bottom w:val="single" w:sz="4" w:space="0" w:color="auto"/>
              <w:right w:val="single" w:sz="4" w:space="0" w:color="auto"/>
            </w:tcBorders>
            <w:shd w:val="clear" w:color="000000" w:fill="B7DEE8"/>
            <w:noWrap/>
            <w:vAlign w:val="center"/>
            <w:hideMark/>
          </w:tcPr>
          <w:p w:rsidR="00423777" w:rsidRPr="004712F5" w:rsidRDefault="00423777" w:rsidP="00E46A2F">
            <w:pPr>
              <w:jc w:val="center"/>
              <w:rPr>
                <w:b/>
                <w:bCs/>
                <w:color w:val="000000"/>
                <w:sz w:val="20"/>
                <w:szCs w:val="24"/>
                <w:lang w:eastAsia="lv-LV"/>
              </w:rPr>
            </w:pPr>
            <w:r w:rsidRPr="004712F5">
              <w:rPr>
                <w:b/>
                <w:bCs/>
                <w:color w:val="000000"/>
                <w:sz w:val="20"/>
                <w:szCs w:val="24"/>
                <w:lang w:eastAsia="lv-LV"/>
              </w:rPr>
              <w:t>-59,4</w:t>
            </w:r>
          </w:p>
        </w:tc>
      </w:tr>
      <w:tr w:rsidR="00423777" w:rsidRPr="004712F5" w:rsidTr="00423777">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423777" w:rsidRPr="004712F5" w:rsidRDefault="00423777" w:rsidP="00E46A2F">
            <w:pPr>
              <w:jc w:val="left"/>
              <w:rPr>
                <w:b/>
                <w:bCs/>
                <w:color w:val="000000"/>
                <w:sz w:val="20"/>
                <w:szCs w:val="24"/>
                <w:lang w:eastAsia="lv-LV"/>
              </w:rPr>
            </w:pPr>
            <w:r w:rsidRPr="004712F5">
              <w:rPr>
                <w:b/>
                <w:bCs/>
                <w:color w:val="000000"/>
                <w:sz w:val="20"/>
                <w:szCs w:val="24"/>
                <w:lang w:eastAsia="lv-LV"/>
              </w:rPr>
              <w:t>Budžeta deficīts (ESA95)</w:t>
            </w:r>
          </w:p>
        </w:tc>
        <w:tc>
          <w:tcPr>
            <w:tcW w:w="1109" w:type="dxa"/>
            <w:tcBorders>
              <w:top w:val="nil"/>
              <w:left w:val="nil"/>
              <w:bottom w:val="single" w:sz="4" w:space="0" w:color="auto"/>
              <w:right w:val="single" w:sz="4" w:space="0" w:color="auto"/>
            </w:tcBorders>
            <w:shd w:val="clear" w:color="000000" w:fill="B7DEE8"/>
            <w:noWrap/>
            <w:vAlign w:val="center"/>
            <w:hideMark/>
          </w:tcPr>
          <w:p w:rsidR="00423777" w:rsidRPr="004712F5" w:rsidRDefault="00423777" w:rsidP="00E46A2F">
            <w:pPr>
              <w:jc w:val="center"/>
              <w:rPr>
                <w:b/>
                <w:bCs/>
                <w:color w:val="000000"/>
                <w:sz w:val="20"/>
                <w:szCs w:val="24"/>
                <w:lang w:eastAsia="lv-LV"/>
              </w:rPr>
            </w:pPr>
            <w:r w:rsidRPr="004712F5">
              <w:rPr>
                <w:b/>
                <w:bCs/>
                <w:color w:val="000000"/>
                <w:sz w:val="20"/>
                <w:szCs w:val="24"/>
                <w:lang w:eastAsia="lv-LV"/>
              </w:rPr>
              <w:t>-983,9</w:t>
            </w:r>
          </w:p>
        </w:tc>
        <w:tc>
          <w:tcPr>
            <w:tcW w:w="1266" w:type="dxa"/>
            <w:tcBorders>
              <w:top w:val="nil"/>
              <w:left w:val="nil"/>
              <w:bottom w:val="single" w:sz="4" w:space="0" w:color="auto"/>
              <w:right w:val="single" w:sz="4" w:space="0" w:color="auto"/>
            </w:tcBorders>
            <w:shd w:val="clear" w:color="000000" w:fill="B7DEE8"/>
            <w:noWrap/>
            <w:vAlign w:val="center"/>
            <w:hideMark/>
          </w:tcPr>
          <w:p w:rsidR="00423777" w:rsidRPr="004712F5" w:rsidRDefault="00423777" w:rsidP="00E46A2F">
            <w:pPr>
              <w:jc w:val="center"/>
              <w:rPr>
                <w:b/>
                <w:bCs/>
                <w:color w:val="000000"/>
                <w:sz w:val="20"/>
                <w:szCs w:val="24"/>
                <w:lang w:eastAsia="lv-LV"/>
              </w:rPr>
            </w:pPr>
            <w:r w:rsidRPr="004712F5">
              <w:rPr>
                <w:b/>
                <w:bCs/>
                <w:color w:val="000000"/>
                <w:sz w:val="20"/>
                <w:szCs w:val="24"/>
                <w:lang w:eastAsia="lv-LV"/>
              </w:rPr>
              <w:t>-566,9</w:t>
            </w:r>
          </w:p>
        </w:tc>
      </w:tr>
      <w:tr w:rsidR="00423777" w:rsidRPr="004712F5" w:rsidTr="00423777">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423777" w:rsidRPr="004712F5" w:rsidRDefault="00423777" w:rsidP="00E46A2F">
            <w:pPr>
              <w:jc w:val="left"/>
              <w:rPr>
                <w:b/>
                <w:bCs/>
                <w:color w:val="000000"/>
                <w:sz w:val="20"/>
                <w:szCs w:val="24"/>
                <w:lang w:eastAsia="lv-LV"/>
              </w:rPr>
            </w:pPr>
            <w:r w:rsidRPr="004712F5">
              <w:rPr>
                <w:b/>
                <w:bCs/>
                <w:color w:val="000000"/>
                <w:sz w:val="20"/>
                <w:szCs w:val="24"/>
                <w:lang w:eastAsia="lv-LV"/>
              </w:rPr>
              <w:t>Budžeta deficīts (ESA95), % no IKP</w:t>
            </w:r>
          </w:p>
        </w:tc>
        <w:tc>
          <w:tcPr>
            <w:tcW w:w="1109" w:type="dxa"/>
            <w:tcBorders>
              <w:top w:val="nil"/>
              <w:left w:val="nil"/>
              <w:bottom w:val="single" w:sz="4" w:space="0" w:color="auto"/>
              <w:right w:val="single" w:sz="4" w:space="0" w:color="auto"/>
            </w:tcBorders>
            <w:shd w:val="clear" w:color="000000" w:fill="B7DEE8"/>
            <w:noWrap/>
            <w:vAlign w:val="center"/>
            <w:hideMark/>
          </w:tcPr>
          <w:p w:rsidR="00423777" w:rsidRPr="004712F5" w:rsidRDefault="00423777" w:rsidP="00E46A2F">
            <w:pPr>
              <w:jc w:val="center"/>
              <w:rPr>
                <w:b/>
                <w:bCs/>
                <w:color w:val="000000"/>
                <w:sz w:val="20"/>
                <w:szCs w:val="24"/>
                <w:lang w:eastAsia="lv-LV"/>
              </w:rPr>
            </w:pPr>
            <w:r w:rsidRPr="004712F5">
              <w:rPr>
                <w:b/>
                <w:bCs/>
                <w:color w:val="000000"/>
                <w:sz w:val="20"/>
                <w:szCs w:val="24"/>
                <w:lang w:eastAsia="lv-LV"/>
              </w:rPr>
              <w:t>-7,7%</w:t>
            </w:r>
          </w:p>
        </w:tc>
        <w:tc>
          <w:tcPr>
            <w:tcW w:w="1266" w:type="dxa"/>
            <w:tcBorders>
              <w:top w:val="nil"/>
              <w:left w:val="nil"/>
              <w:bottom w:val="single" w:sz="4" w:space="0" w:color="auto"/>
              <w:right w:val="single" w:sz="4" w:space="0" w:color="auto"/>
            </w:tcBorders>
            <w:shd w:val="clear" w:color="000000" w:fill="B7DEE8"/>
            <w:noWrap/>
            <w:vAlign w:val="center"/>
            <w:hideMark/>
          </w:tcPr>
          <w:p w:rsidR="00423777" w:rsidRPr="004712F5" w:rsidRDefault="00423777" w:rsidP="00E46A2F">
            <w:pPr>
              <w:jc w:val="center"/>
              <w:rPr>
                <w:b/>
                <w:bCs/>
                <w:color w:val="000000"/>
                <w:sz w:val="20"/>
                <w:szCs w:val="24"/>
                <w:lang w:eastAsia="lv-LV"/>
              </w:rPr>
            </w:pPr>
            <w:r w:rsidRPr="004712F5">
              <w:rPr>
                <w:b/>
                <w:bCs/>
                <w:color w:val="000000"/>
                <w:sz w:val="20"/>
                <w:szCs w:val="24"/>
                <w:lang w:eastAsia="lv-LV"/>
              </w:rPr>
              <w:t>-4,2%</w:t>
            </w:r>
          </w:p>
        </w:tc>
      </w:tr>
      <w:tr w:rsidR="00423777" w:rsidRPr="004712F5" w:rsidTr="00423777">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423777" w:rsidRPr="004712F5" w:rsidRDefault="00423777" w:rsidP="00E46A2F">
            <w:pPr>
              <w:jc w:val="left"/>
              <w:rPr>
                <w:b/>
                <w:bCs/>
                <w:color w:val="000000"/>
                <w:sz w:val="20"/>
                <w:szCs w:val="24"/>
                <w:lang w:eastAsia="lv-LV"/>
              </w:rPr>
            </w:pPr>
            <w:r w:rsidRPr="004712F5">
              <w:rPr>
                <w:b/>
                <w:bCs/>
                <w:color w:val="000000"/>
                <w:sz w:val="20"/>
                <w:szCs w:val="24"/>
                <w:lang w:eastAsia="lv-LV"/>
              </w:rPr>
              <w:t xml:space="preserve">Budžeta rezerve </w:t>
            </w:r>
            <w:r w:rsidRPr="00423777">
              <w:rPr>
                <w:b/>
                <w:bCs/>
                <w:color w:val="000000"/>
                <w:sz w:val="20"/>
                <w:szCs w:val="24"/>
                <w:lang w:eastAsia="lv-LV"/>
              </w:rPr>
              <w:t>(papildus iespēja-apropriācijas palielināšana līdzekļiem neparedzētiem gadījumiem un drošības rezerve neparedzētiem izdevumiem)</w:t>
            </w:r>
          </w:p>
        </w:tc>
        <w:tc>
          <w:tcPr>
            <w:tcW w:w="1109" w:type="dxa"/>
            <w:tcBorders>
              <w:top w:val="nil"/>
              <w:left w:val="nil"/>
              <w:bottom w:val="single" w:sz="4" w:space="0" w:color="auto"/>
              <w:right w:val="single" w:sz="4" w:space="0" w:color="auto"/>
            </w:tcBorders>
            <w:shd w:val="clear" w:color="000000" w:fill="B7DEE8"/>
            <w:noWrap/>
            <w:vAlign w:val="center"/>
            <w:hideMark/>
          </w:tcPr>
          <w:p w:rsidR="00423777" w:rsidRPr="004712F5" w:rsidRDefault="00423777" w:rsidP="00E46A2F">
            <w:pPr>
              <w:jc w:val="center"/>
              <w:rPr>
                <w:b/>
                <w:bCs/>
                <w:color w:val="000000"/>
                <w:sz w:val="20"/>
                <w:szCs w:val="24"/>
                <w:lang w:eastAsia="lv-LV"/>
              </w:rPr>
            </w:pPr>
            <w:r w:rsidRPr="004712F5">
              <w:rPr>
                <w:b/>
                <w:bCs/>
                <w:color w:val="000000"/>
                <w:sz w:val="20"/>
                <w:szCs w:val="24"/>
                <w:lang w:eastAsia="lv-LV"/>
              </w:rPr>
              <w:t> </w:t>
            </w:r>
          </w:p>
        </w:tc>
        <w:tc>
          <w:tcPr>
            <w:tcW w:w="1266" w:type="dxa"/>
            <w:tcBorders>
              <w:top w:val="nil"/>
              <w:left w:val="nil"/>
              <w:bottom w:val="single" w:sz="4" w:space="0" w:color="auto"/>
              <w:right w:val="single" w:sz="4" w:space="0" w:color="auto"/>
            </w:tcBorders>
            <w:shd w:val="clear" w:color="000000" w:fill="B7DEE8"/>
            <w:noWrap/>
            <w:vAlign w:val="center"/>
            <w:hideMark/>
          </w:tcPr>
          <w:p w:rsidR="00423777" w:rsidRPr="004712F5" w:rsidRDefault="00423777" w:rsidP="00E46A2F">
            <w:pPr>
              <w:jc w:val="center"/>
              <w:rPr>
                <w:b/>
                <w:bCs/>
                <w:color w:val="000000"/>
                <w:sz w:val="20"/>
                <w:szCs w:val="24"/>
                <w:lang w:eastAsia="lv-LV"/>
              </w:rPr>
            </w:pPr>
            <w:r w:rsidRPr="004712F5">
              <w:rPr>
                <w:b/>
                <w:bCs/>
                <w:color w:val="000000"/>
                <w:sz w:val="20"/>
                <w:szCs w:val="24"/>
                <w:lang w:eastAsia="lv-LV"/>
              </w:rPr>
              <w:t>-0,3%</w:t>
            </w:r>
          </w:p>
        </w:tc>
      </w:tr>
      <w:tr w:rsidR="00423777" w:rsidRPr="004712F5" w:rsidTr="00423777">
        <w:trPr>
          <w:trHeight w:val="265"/>
          <w:jc w:val="center"/>
        </w:trPr>
        <w:tc>
          <w:tcPr>
            <w:tcW w:w="6215" w:type="dxa"/>
            <w:gridSpan w:val="2"/>
            <w:tcBorders>
              <w:top w:val="single" w:sz="4" w:space="0" w:color="auto"/>
              <w:left w:val="single" w:sz="4" w:space="0" w:color="auto"/>
              <w:bottom w:val="single" w:sz="4" w:space="0" w:color="auto"/>
              <w:right w:val="single" w:sz="4" w:space="0" w:color="000000"/>
            </w:tcBorders>
            <w:shd w:val="clear" w:color="000000" w:fill="B7DEE8"/>
            <w:noWrap/>
            <w:vAlign w:val="bottom"/>
            <w:hideMark/>
          </w:tcPr>
          <w:p w:rsidR="00423777" w:rsidRPr="004712F5" w:rsidRDefault="00423777" w:rsidP="00E46A2F">
            <w:pPr>
              <w:jc w:val="left"/>
              <w:rPr>
                <w:b/>
                <w:bCs/>
                <w:color w:val="000000"/>
                <w:sz w:val="20"/>
                <w:szCs w:val="24"/>
                <w:lang w:eastAsia="lv-LV"/>
              </w:rPr>
            </w:pPr>
            <w:r w:rsidRPr="004712F5">
              <w:rPr>
                <w:b/>
                <w:bCs/>
                <w:color w:val="000000"/>
                <w:sz w:val="20"/>
                <w:szCs w:val="24"/>
                <w:lang w:eastAsia="lv-LV"/>
              </w:rPr>
              <w:t>Budžeta deficīta mērķis, % no IKP</w:t>
            </w:r>
          </w:p>
        </w:tc>
        <w:tc>
          <w:tcPr>
            <w:tcW w:w="1109" w:type="dxa"/>
            <w:tcBorders>
              <w:top w:val="nil"/>
              <w:left w:val="nil"/>
              <w:bottom w:val="single" w:sz="4" w:space="0" w:color="auto"/>
              <w:right w:val="single" w:sz="4" w:space="0" w:color="auto"/>
            </w:tcBorders>
            <w:shd w:val="clear" w:color="000000" w:fill="B7DEE8"/>
            <w:noWrap/>
            <w:vAlign w:val="center"/>
            <w:hideMark/>
          </w:tcPr>
          <w:p w:rsidR="00423777" w:rsidRPr="004712F5" w:rsidRDefault="00423777" w:rsidP="00E46A2F">
            <w:pPr>
              <w:jc w:val="center"/>
              <w:rPr>
                <w:b/>
                <w:bCs/>
                <w:color w:val="000000"/>
                <w:sz w:val="20"/>
                <w:szCs w:val="24"/>
                <w:lang w:eastAsia="lv-LV"/>
              </w:rPr>
            </w:pPr>
            <w:r w:rsidRPr="004712F5">
              <w:rPr>
                <w:b/>
                <w:bCs/>
                <w:color w:val="000000"/>
                <w:sz w:val="20"/>
                <w:szCs w:val="24"/>
                <w:lang w:eastAsia="lv-LV"/>
              </w:rPr>
              <w:t>-8,5%</w:t>
            </w:r>
          </w:p>
        </w:tc>
        <w:tc>
          <w:tcPr>
            <w:tcW w:w="1266" w:type="dxa"/>
            <w:tcBorders>
              <w:top w:val="nil"/>
              <w:left w:val="nil"/>
              <w:bottom w:val="single" w:sz="4" w:space="0" w:color="auto"/>
              <w:right w:val="single" w:sz="4" w:space="0" w:color="auto"/>
            </w:tcBorders>
            <w:shd w:val="clear" w:color="000000" w:fill="B7DEE8"/>
            <w:noWrap/>
            <w:vAlign w:val="center"/>
            <w:hideMark/>
          </w:tcPr>
          <w:p w:rsidR="00423777" w:rsidRPr="004712F5" w:rsidRDefault="00423777" w:rsidP="00E46A2F">
            <w:pPr>
              <w:jc w:val="center"/>
              <w:rPr>
                <w:b/>
                <w:bCs/>
                <w:color w:val="000000"/>
                <w:sz w:val="20"/>
                <w:szCs w:val="24"/>
                <w:lang w:eastAsia="lv-LV"/>
              </w:rPr>
            </w:pPr>
            <w:r w:rsidRPr="004712F5">
              <w:rPr>
                <w:b/>
                <w:bCs/>
                <w:color w:val="000000"/>
                <w:sz w:val="20"/>
                <w:szCs w:val="24"/>
                <w:lang w:eastAsia="lv-LV"/>
              </w:rPr>
              <w:t>-4,5%</w:t>
            </w:r>
          </w:p>
        </w:tc>
      </w:tr>
    </w:tbl>
    <w:p w:rsidR="005F129B" w:rsidRDefault="005F129B" w:rsidP="005F129B">
      <w:pPr>
        <w:rPr>
          <w:color w:val="000000"/>
          <w:szCs w:val="24"/>
        </w:rPr>
      </w:pPr>
    </w:p>
    <w:p w:rsidR="004E2E8C" w:rsidRDefault="004E2E8C" w:rsidP="005F129B">
      <w:pPr>
        <w:pStyle w:val="NoSpacing"/>
        <w:ind w:firstLine="720"/>
        <w:rPr>
          <w:szCs w:val="24"/>
        </w:rPr>
      </w:pPr>
    </w:p>
    <w:p w:rsidR="005F129B" w:rsidRPr="001A2264" w:rsidRDefault="005F129B" w:rsidP="00061454">
      <w:pPr>
        <w:ind w:firstLine="720"/>
        <w:rPr>
          <w:szCs w:val="24"/>
        </w:rPr>
      </w:pPr>
      <w:r w:rsidRPr="001A2264">
        <w:rPr>
          <w:szCs w:val="24"/>
        </w:rPr>
        <w:lastRenderedPageBreak/>
        <w:t xml:space="preserve">Pašreizējā 2011.gada budžeta izpildes dati ļauj secināt, ka Latvijā izpildīs apņemšanos ievērot noteikto budžeta izpildes mērķi. </w:t>
      </w:r>
    </w:p>
    <w:p w:rsidR="0067144F" w:rsidRDefault="0067144F" w:rsidP="005F129B">
      <w:pPr>
        <w:autoSpaceDE w:val="0"/>
        <w:autoSpaceDN w:val="0"/>
        <w:adjustRightInd w:val="0"/>
        <w:ind w:firstLine="720"/>
        <w:rPr>
          <w:szCs w:val="24"/>
        </w:rPr>
      </w:pPr>
    </w:p>
    <w:p w:rsidR="00EF3D72" w:rsidRDefault="00EF3D72" w:rsidP="00EF3D72">
      <w:pPr>
        <w:autoSpaceDE w:val="0"/>
        <w:autoSpaceDN w:val="0"/>
        <w:adjustRightInd w:val="0"/>
        <w:ind w:firstLine="720"/>
        <w:jc w:val="center"/>
        <w:rPr>
          <w:b/>
        </w:rPr>
      </w:pPr>
      <w:r w:rsidRPr="00EF3D72">
        <w:rPr>
          <w:b/>
        </w:rPr>
        <w:t>Ministriju saistības un kavētie maksājumi</w:t>
      </w:r>
    </w:p>
    <w:p w:rsidR="00EF3D72" w:rsidRDefault="00EF3D72" w:rsidP="00EF3D72">
      <w:pPr>
        <w:autoSpaceDE w:val="0"/>
        <w:autoSpaceDN w:val="0"/>
        <w:adjustRightInd w:val="0"/>
        <w:ind w:firstLine="720"/>
        <w:jc w:val="center"/>
        <w:rPr>
          <w:b/>
        </w:rPr>
      </w:pPr>
    </w:p>
    <w:p w:rsidR="00EF3D72" w:rsidRDefault="00EF3D72" w:rsidP="007A027F">
      <w:pPr>
        <w:autoSpaceDE w:val="0"/>
        <w:autoSpaceDN w:val="0"/>
        <w:adjustRightInd w:val="0"/>
        <w:ind w:firstLine="720"/>
      </w:pPr>
      <w:r w:rsidRPr="007A027F">
        <w:t>Pēc valsts k</w:t>
      </w:r>
      <w:r w:rsidR="007A027F">
        <w:t xml:space="preserve">ases datiem ministriju un citu valsts pārvaldes iestāžu kavētie maksājumi uz 2011.gada 31.martu kopumā sastādīja 0,4 </w:t>
      </w:r>
      <w:proofErr w:type="spellStart"/>
      <w:r w:rsidR="007A027F">
        <w:t>milj</w:t>
      </w:r>
      <w:proofErr w:type="spellEnd"/>
      <w:r w:rsidR="007A027F">
        <w:t>. latu. No sniegtajiem datiem (</w:t>
      </w:r>
      <w:proofErr w:type="spellStart"/>
      <w:r w:rsidR="007A027F">
        <w:t>skat</w:t>
      </w:r>
      <w:proofErr w:type="spellEnd"/>
      <w:r w:rsidR="007A027F">
        <w:t>. pielikumā) var secināt, ka k</w:t>
      </w:r>
      <w:r w:rsidR="007A027F" w:rsidRPr="007A027F">
        <w:t>avēti</w:t>
      </w:r>
      <w:r w:rsidR="007A027F">
        <w:t xml:space="preserve"> kārtējie maksājumi rezidentiem</w:t>
      </w:r>
      <w:r w:rsidR="007A027F" w:rsidRPr="007A027F">
        <w:t xml:space="preserve">/ </w:t>
      </w:r>
      <w:r w:rsidR="007A027F">
        <w:t>p</w:t>
      </w:r>
      <w:r w:rsidR="007A027F" w:rsidRPr="007A027F">
        <w:t>arāds pārskata perioda beigās</w:t>
      </w:r>
      <w:r w:rsidR="007A027F">
        <w:t xml:space="preserve"> ir bijis Izglītības un zinātnes ministrijai – 0,17 </w:t>
      </w:r>
      <w:proofErr w:type="spellStart"/>
      <w:r w:rsidR="007A027F">
        <w:t>milj</w:t>
      </w:r>
      <w:proofErr w:type="spellEnd"/>
      <w:r w:rsidR="007A027F">
        <w:t xml:space="preserve">. latu, Kultūras ministrijai – 0,26 </w:t>
      </w:r>
      <w:proofErr w:type="spellStart"/>
      <w:r w:rsidR="007A027F">
        <w:t>milj</w:t>
      </w:r>
      <w:proofErr w:type="spellEnd"/>
      <w:r w:rsidR="007A027F">
        <w:t xml:space="preserve">. latu, kā arī </w:t>
      </w:r>
      <w:r w:rsidR="0067144F">
        <w:t xml:space="preserve">Veselības </w:t>
      </w:r>
      <w:r w:rsidR="007A027F">
        <w:t xml:space="preserve">ministrijai – 0,004 </w:t>
      </w:r>
      <w:proofErr w:type="spellStart"/>
      <w:r w:rsidR="007A027F">
        <w:t>milj</w:t>
      </w:r>
      <w:proofErr w:type="spellEnd"/>
      <w:r w:rsidR="007A027F">
        <w:t>. latu</w:t>
      </w:r>
    </w:p>
    <w:p w:rsidR="00A214D5" w:rsidRDefault="00A214D5" w:rsidP="007A027F">
      <w:pPr>
        <w:autoSpaceDE w:val="0"/>
        <w:autoSpaceDN w:val="0"/>
        <w:adjustRightInd w:val="0"/>
        <w:ind w:firstLine="720"/>
      </w:pPr>
    </w:p>
    <w:p w:rsidR="00A214D5" w:rsidRDefault="00A214D5" w:rsidP="00A214D5">
      <w:pPr>
        <w:autoSpaceDE w:val="0"/>
        <w:autoSpaceDN w:val="0"/>
        <w:adjustRightInd w:val="0"/>
        <w:jc w:val="center"/>
      </w:pPr>
      <w:r w:rsidRPr="00A214D5">
        <w:rPr>
          <w:noProof/>
          <w:lang w:eastAsia="lv-LV"/>
        </w:rPr>
        <w:drawing>
          <wp:inline distT="0" distB="0" distL="0" distR="0" wp14:anchorId="787B3F25" wp14:editId="2B326701">
            <wp:extent cx="4795283" cy="237020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5284" cy="2370209"/>
                    </a:xfrm>
                    <a:prstGeom prst="rect">
                      <a:avLst/>
                    </a:prstGeom>
                    <a:noFill/>
                    <a:ln>
                      <a:noFill/>
                    </a:ln>
                  </pic:spPr>
                </pic:pic>
              </a:graphicData>
            </a:graphic>
          </wp:inline>
        </w:drawing>
      </w:r>
    </w:p>
    <w:p w:rsidR="007A027F" w:rsidRDefault="007A027F" w:rsidP="007A027F">
      <w:pPr>
        <w:autoSpaceDE w:val="0"/>
        <w:autoSpaceDN w:val="0"/>
        <w:adjustRightInd w:val="0"/>
        <w:ind w:firstLine="720"/>
      </w:pPr>
    </w:p>
    <w:p w:rsidR="007A027F" w:rsidRDefault="007A027F" w:rsidP="007A027F">
      <w:pPr>
        <w:pStyle w:val="ListParagraph"/>
        <w:numPr>
          <w:ilvl w:val="0"/>
          <w:numId w:val="21"/>
        </w:numPr>
        <w:autoSpaceDE w:val="0"/>
        <w:autoSpaceDN w:val="0"/>
        <w:adjustRightInd w:val="0"/>
      </w:pPr>
      <w:r>
        <w:t xml:space="preserve">attēls. </w:t>
      </w:r>
      <w:r w:rsidRPr="007A027F">
        <w:t>Ministriju  kopējie kavētie maksājumi (bruto)  2</w:t>
      </w:r>
      <w:r w:rsidR="00A214D5">
        <w:t>010. gadā un 2011.gadā (latos)</w:t>
      </w:r>
    </w:p>
    <w:p w:rsidR="007A027F" w:rsidRDefault="00A214D5" w:rsidP="007A027F">
      <w:pPr>
        <w:autoSpaceDE w:val="0"/>
        <w:autoSpaceDN w:val="0"/>
        <w:adjustRightInd w:val="0"/>
      </w:pPr>
      <w:r>
        <w:t>(</w:t>
      </w:r>
      <w:r w:rsidR="007A027F" w:rsidRPr="007A027F">
        <w:t>Bruto summas. Nav ņemtas vērā summas, kas nomaksātās līdz pārskata sniegšanas dienai</w:t>
      </w:r>
      <w:r>
        <w:t>)</w:t>
      </w:r>
    </w:p>
    <w:p w:rsidR="00423777" w:rsidRDefault="00423777" w:rsidP="00A214D5">
      <w:pPr>
        <w:ind w:firstLine="720"/>
      </w:pPr>
    </w:p>
    <w:p w:rsidR="00A214D5" w:rsidRPr="00A214D5" w:rsidRDefault="00A214D5" w:rsidP="00A214D5">
      <w:pPr>
        <w:ind w:firstLine="720"/>
      </w:pPr>
      <w:r w:rsidRPr="00A214D5">
        <w:t xml:space="preserve">Kā ir redzams no 5.attēlā sniegtās informācijas vislielākais ministriju kavēto maksājumu pieaugums ir bijis 2010.gada aprīlī, turpmākajā gada laikā pakāpeniski samazinājies līdz zemākajam punktam novembrī. 2011.gadā ir vērojams </w:t>
      </w:r>
      <w:r>
        <w:t xml:space="preserve">kavēto maksājumu pieaugums, tomēr tas nav vērtējams kā pārmērīgs, jo salīdzinot ar </w:t>
      </w:r>
      <w:r w:rsidR="0060137C">
        <w:t>2010.</w:t>
      </w:r>
      <w:r w:rsidR="0067144F">
        <w:t xml:space="preserve">gadu </w:t>
      </w:r>
      <w:r w:rsidR="0060137C">
        <w:t>kavēto maksājumu apmērs ir līdzīgā līmenī.</w:t>
      </w:r>
    </w:p>
    <w:p w:rsidR="00A214D5" w:rsidRDefault="00A214D5" w:rsidP="00FA1E04">
      <w:pPr>
        <w:pStyle w:val="ListParagraph"/>
        <w:rPr>
          <w:b/>
        </w:rPr>
      </w:pPr>
    </w:p>
    <w:p w:rsidR="00A214D5" w:rsidRDefault="00A214D5" w:rsidP="00FA1E04">
      <w:pPr>
        <w:pStyle w:val="ListParagraph"/>
        <w:rPr>
          <w:b/>
        </w:rPr>
      </w:pPr>
    </w:p>
    <w:p w:rsidR="00654557" w:rsidRPr="002355D8" w:rsidRDefault="00654557" w:rsidP="0080602A">
      <w:pPr>
        <w:pStyle w:val="ListParagraph"/>
        <w:numPr>
          <w:ilvl w:val="0"/>
          <w:numId w:val="35"/>
        </w:numPr>
        <w:jc w:val="center"/>
        <w:rPr>
          <w:b/>
        </w:rPr>
      </w:pPr>
      <w:r w:rsidRPr="002355D8">
        <w:rPr>
          <w:b/>
        </w:rPr>
        <w:t>Informācija par gadskārtējā valsts budžeta likuma caurskatāmības pilnveidošanu.</w:t>
      </w:r>
    </w:p>
    <w:p w:rsidR="00654557" w:rsidRPr="001A2264" w:rsidRDefault="00654557" w:rsidP="00654557">
      <w:pPr>
        <w:ind w:firstLine="720"/>
        <w:rPr>
          <w:i/>
          <w:szCs w:val="24"/>
        </w:rPr>
      </w:pPr>
    </w:p>
    <w:p w:rsidR="005F129B" w:rsidRPr="001A2264" w:rsidRDefault="005F129B" w:rsidP="005F129B">
      <w:pPr>
        <w:spacing w:before="120"/>
        <w:ind w:firstLine="720"/>
        <w:rPr>
          <w:szCs w:val="24"/>
          <w:lang w:eastAsia="lv-LV"/>
        </w:rPr>
      </w:pPr>
      <w:r w:rsidRPr="001A2264">
        <w:rPr>
          <w:szCs w:val="24"/>
          <w:lang w:eastAsia="lv-LV"/>
        </w:rPr>
        <w:t xml:space="preserve">Lai uzlabotu gadskārtējā valsts budžeta likuma caurskatāmību, ir pieņemti grozījumi, Ministru kabineta 2009.gada 3.oktobra </w:t>
      </w:r>
      <w:r w:rsidR="0067144F" w:rsidRPr="001A2264">
        <w:rPr>
          <w:szCs w:val="24"/>
          <w:lang w:eastAsia="lv-LV"/>
        </w:rPr>
        <w:t>noteikum</w:t>
      </w:r>
      <w:r w:rsidR="0067144F">
        <w:rPr>
          <w:szCs w:val="24"/>
          <w:lang w:eastAsia="lv-LV"/>
        </w:rPr>
        <w:t>o</w:t>
      </w:r>
      <w:r w:rsidR="0067144F" w:rsidRPr="001A2264">
        <w:rPr>
          <w:szCs w:val="24"/>
          <w:lang w:eastAsia="lv-LV"/>
        </w:rPr>
        <w:t xml:space="preserve">s </w:t>
      </w:r>
      <w:r w:rsidRPr="001A2264">
        <w:rPr>
          <w:szCs w:val="24"/>
          <w:lang w:eastAsia="lv-LV"/>
        </w:rPr>
        <w:t>Nr.1127 „Noteikumi par budžetu pieprasījumu izstrādāšanas un iesniegšanas pamatprincipiem”, kas stāsies spēkā vienlaikus ar 2012.gada valsts budžeta likuma izstrādes proces</w:t>
      </w:r>
      <w:r w:rsidR="0067144F">
        <w:rPr>
          <w:szCs w:val="24"/>
          <w:lang w:eastAsia="lv-LV"/>
        </w:rPr>
        <w:t>a uzsākšanu</w:t>
      </w:r>
      <w:r w:rsidRPr="001A2264">
        <w:rPr>
          <w:szCs w:val="24"/>
          <w:lang w:eastAsia="lv-LV"/>
        </w:rPr>
        <w:t xml:space="preserve">. </w:t>
      </w:r>
    </w:p>
    <w:p w:rsidR="005F129B" w:rsidRPr="001A2264" w:rsidRDefault="005F129B" w:rsidP="005F129B">
      <w:pPr>
        <w:spacing w:before="120"/>
        <w:ind w:firstLine="720"/>
        <w:rPr>
          <w:szCs w:val="24"/>
          <w:lang w:eastAsia="lv-LV"/>
        </w:rPr>
      </w:pPr>
      <w:r w:rsidRPr="001A2264">
        <w:rPr>
          <w:szCs w:val="24"/>
          <w:lang w:eastAsia="lv-LV"/>
        </w:rPr>
        <w:t xml:space="preserve">Pilnveidotā budžeta pieprasījumu izstrādāšanas un iesniegšanas kārtība paredz ministrijām un citām centrālajām valsts iestādēm sniegt vispusīgu informāciju par budžeta izdevumiem, amata vietu skaitu, kā arī katras budžeta programmas darbības rezultātiem un to rezultatīvajiem rādītājiem. </w:t>
      </w:r>
    </w:p>
    <w:p w:rsidR="005F129B" w:rsidRPr="001A2264" w:rsidRDefault="005F129B" w:rsidP="005F129B">
      <w:pPr>
        <w:spacing w:before="120"/>
        <w:ind w:firstLine="720"/>
        <w:rPr>
          <w:szCs w:val="24"/>
          <w:lang w:eastAsia="lv-LV"/>
        </w:rPr>
      </w:pPr>
      <w:r w:rsidRPr="001A2264">
        <w:rPr>
          <w:szCs w:val="24"/>
          <w:lang w:eastAsia="lv-LV"/>
        </w:rPr>
        <w:t xml:space="preserve">Pilnveidotais budžeta pieprasījumu formāts veido hierarhiski loģisku budžeta programmas iekšējo struktūru, savstarpēji sasaistot budžeta programmas mērķi, galvenās aktivitātes un to izpildītājus, saikni ar spēkā esošajiem attīstības plānošanas dokumentiem, kā </w:t>
      </w:r>
      <w:r w:rsidRPr="001A2264">
        <w:rPr>
          <w:szCs w:val="24"/>
          <w:lang w:eastAsia="lv-LV"/>
        </w:rPr>
        <w:lastRenderedPageBreak/>
        <w:t xml:space="preserve">arī faktiskos un plānotos darbības rezultātus un to rezultatīvos rādītājus 7 gadu dinamikā un  budžeta izdevumus, kas nepieciešami mērķu un rezultatīvo rādītāju sasniegšanai. </w:t>
      </w:r>
    </w:p>
    <w:p w:rsidR="005F129B" w:rsidRDefault="005F129B" w:rsidP="005F129B">
      <w:pPr>
        <w:spacing w:before="120"/>
        <w:ind w:firstLine="720"/>
        <w:rPr>
          <w:szCs w:val="24"/>
          <w:lang w:eastAsia="lv-LV"/>
        </w:rPr>
      </w:pPr>
      <w:r w:rsidRPr="001A2264">
        <w:rPr>
          <w:szCs w:val="24"/>
          <w:lang w:eastAsia="lv-LV"/>
        </w:rPr>
        <w:t xml:space="preserve">Pilnveidojumu mērķis ir uzlaboto rezultātu un to rādītāju informatīvo kvalitāti un izmantošanu politikas plānošanas, īstenošanas un uzraudzības procesā, kā arī budžeta plānošanas, izpildes un uzraudzības procesā. Pilnveidota darbības rezultātu un to rezultatīvo rādītāju iekļaušanas budžeta pieprasījumos nodrošinās budžeta izstrādes sasaisti ar politikas plānošanu, tādā veidā pilnveidojot gadskārtējā valsts budžeta likuma caurskatāmību. </w:t>
      </w:r>
    </w:p>
    <w:p w:rsidR="005118D3" w:rsidRDefault="005118D3" w:rsidP="005F129B">
      <w:pPr>
        <w:spacing w:before="120"/>
        <w:ind w:firstLine="720"/>
        <w:rPr>
          <w:szCs w:val="24"/>
          <w:lang w:eastAsia="lv-LV"/>
        </w:rPr>
      </w:pPr>
    </w:p>
    <w:p w:rsidR="00654557" w:rsidRPr="001A2264" w:rsidRDefault="00654557" w:rsidP="0080602A">
      <w:pPr>
        <w:pStyle w:val="ListParagraph"/>
        <w:numPr>
          <w:ilvl w:val="0"/>
          <w:numId w:val="35"/>
        </w:numPr>
        <w:jc w:val="center"/>
        <w:rPr>
          <w:rStyle w:val="BodyText2"/>
          <w:rFonts w:eastAsia="Calibri"/>
          <w:b/>
          <w:sz w:val="24"/>
          <w:szCs w:val="24"/>
          <w:u w:val="none"/>
        </w:rPr>
      </w:pPr>
      <w:r w:rsidRPr="001A2264">
        <w:rPr>
          <w:b/>
        </w:rPr>
        <w:t>Informācija par likumprojekta "Par valsts budžetu 2012.</w:t>
      </w:r>
      <w:r w:rsidR="00947E28" w:rsidRPr="001A2264">
        <w:rPr>
          <w:b/>
        </w:rPr>
        <w:t xml:space="preserve"> </w:t>
      </w:r>
      <w:r w:rsidRPr="001A2264">
        <w:rPr>
          <w:b/>
        </w:rPr>
        <w:t xml:space="preserve">gadam" </w:t>
      </w:r>
      <w:r w:rsidRPr="001A2264">
        <w:rPr>
          <w:rStyle w:val="BodyText2"/>
          <w:rFonts w:eastAsia="Calibri"/>
          <w:b/>
          <w:sz w:val="24"/>
          <w:szCs w:val="24"/>
          <w:u w:val="none"/>
        </w:rPr>
        <w:t>sagatavošanas gaitu.</w:t>
      </w:r>
    </w:p>
    <w:p w:rsidR="005F129B" w:rsidRPr="001A2264" w:rsidRDefault="005F129B" w:rsidP="005F129B">
      <w:pPr>
        <w:pStyle w:val="ListParagraph"/>
        <w:rPr>
          <w:rStyle w:val="BodyText2"/>
          <w:rFonts w:eastAsia="Calibri"/>
          <w:b/>
          <w:sz w:val="24"/>
          <w:szCs w:val="24"/>
          <w:u w:val="none"/>
        </w:rPr>
      </w:pPr>
    </w:p>
    <w:p w:rsidR="005118D3" w:rsidRPr="00BD658F" w:rsidRDefault="005118D3" w:rsidP="005118D3">
      <w:pPr>
        <w:spacing w:before="120"/>
        <w:ind w:firstLine="766"/>
        <w:rPr>
          <w:b/>
          <w:szCs w:val="24"/>
        </w:rPr>
      </w:pPr>
      <w:r w:rsidRPr="005E4A97">
        <w:rPr>
          <w:szCs w:val="24"/>
        </w:rPr>
        <w:t xml:space="preserve">Lai nodrošinātu Māstrihtas kritēriju ievērošanu un 2014.gadā ieviestu eiro, </w:t>
      </w:r>
      <w:r w:rsidRPr="00BD658F">
        <w:rPr>
          <w:b/>
          <w:szCs w:val="24"/>
        </w:rPr>
        <w:t xml:space="preserve">Saeima ir uzdevusi valdībai, sagatavojot 2012., 2013. un 2014. gada valsts budžetu likumprojektus, nodrošināt, ka tiek īstenoti fiskālās konsolidācijas pasākumi un vispārējās valdības budžeta deficīts, atbilstoši Eiropas Kontu sistēmas metodoloģijai 2012. gadā būtu mazāks par 3,0% no IKP, 2013.gadā nepārsniegtu 1,9% no IKP un 2014.gadā nepārsniegtu 1,1% no IKP. Jāatzīmē, ka valdības mērķis ir 2012.gadā tiekties uz budžeta deficītu 2,5% no IKP apmērā, lai nodrošinātu drošu Māstrihtas deficīta kritērija izpildi. </w:t>
      </w:r>
    </w:p>
    <w:p w:rsidR="00BD658F" w:rsidRDefault="00FD72E5" w:rsidP="00BD658F">
      <w:pPr>
        <w:autoSpaceDE w:val="0"/>
        <w:autoSpaceDN w:val="0"/>
        <w:adjustRightInd w:val="0"/>
        <w:ind w:firstLine="720"/>
        <w:rPr>
          <w:szCs w:val="24"/>
        </w:rPr>
      </w:pPr>
      <w:r>
        <w:rPr>
          <w:szCs w:val="24"/>
        </w:rPr>
        <w:t>L</w:t>
      </w:r>
      <w:r w:rsidR="00BD658F" w:rsidRPr="001A2264">
        <w:rPr>
          <w:szCs w:val="24"/>
        </w:rPr>
        <w:t xml:space="preserve">ai mērķtiecīgi sasniegtu 2012.gada budžeta deficīta mērķi 2,5% no IKP, nepieciešamais papildus fiskālās konsolidācijas pasākumu apjoms ir </w:t>
      </w:r>
      <w:r>
        <w:rPr>
          <w:szCs w:val="24"/>
        </w:rPr>
        <w:t>novērtēts</w:t>
      </w:r>
      <w:r w:rsidR="00BD658F" w:rsidRPr="001A2264">
        <w:rPr>
          <w:szCs w:val="24"/>
        </w:rPr>
        <w:t xml:space="preserve"> no 150 līdz 180 </w:t>
      </w:r>
      <w:proofErr w:type="spellStart"/>
      <w:r w:rsidR="00BD658F" w:rsidRPr="001A2264">
        <w:rPr>
          <w:szCs w:val="24"/>
        </w:rPr>
        <w:t>milj.</w:t>
      </w:r>
      <w:r w:rsidR="00BD658F">
        <w:rPr>
          <w:szCs w:val="24"/>
        </w:rPr>
        <w:t> </w:t>
      </w:r>
      <w:r w:rsidR="00BD658F" w:rsidRPr="001A2264">
        <w:rPr>
          <w:szCs w:val="24"/>
        </w:rPr>
        <w:t>latu</w:t>
      </w:r>
      <w:proofErr w:type="spellEnd"/>
      <w:r w:rsidR="00BD658F" w:rsidRPr="001A2264">
        <w:rPr>
          <w:szCs w:val="24"/>
        </w:rPr>
        <w:t xml:space="preserve"> (attiecīgi 1,1 līdz 1,3% no IKP). Veicot papildus fiskālās konsolidācijas pasākumus tiek demonstrēta apņemšanās ievērot fiskālo disciplīnu, parāda vadības ilgtspēju un nodrošināt ilgtspējīgi pamatotu Māstrihtas kritēriju sasniegšanu. Stingru virzību uz 2012. gada vispārējās valdības budžeta deficīta mērķa sasniegšanu papildus nostiprinās arī apņemšanās 2011. gadā nodrošināt budžeta deficītu 4,5% apmērā no IKP.</w:t>
      </w:r>
      <w:r w:rsidR="00BD658F">
        <w:rPr>
          <w:szCs w:val="24"/>
        </w:rPr>
        <w:t xml:space="preserve"> </w:t>
      </w:r>
    </w:p>
    <w:p w:rsidR="005F129B" w:rsidRDefault="005F129B" w:rsidP="005F129B">
      <w:pPr>
        <w:spacing w:before="120"/>
        <w:ind w:firstLine="766"/>
        <w:rPr>
          <w:szCs w:val="24"/>
        </w:rPr>
      </w:pPr>
      <w:r w:rsidRPr="001A2264">
        <w:rPr>
          <w:szCs w:val="24"/>
        </w:rPr>
        <w:t xml:space="preserve">Saskaņā ar Deklarāciju par Ministru kabineta iecerēto darbību Valdība ir apņēmusies, pildot uzņemtās saistības pret Eiropas Komisiju (EK) un Starptautisko Valūtas fondu (SVF), turpināt īstenot Latvijas ekonomikas stabilizācijas programmu, nodrošināt lata kursa stabilitāti, stingru valsts budžeta disciplīnu, pakāpenisku budžeta deficīta samazināšanu 2012.gadā līdz Māstrihtas kritērijos noteiktajiem 3 % no IKP un priekšnoteikumu izpildi Latvijas iekļaušanai eiro zonā 2014.gadā. Lai noteiktos mērķus būtu iespējams sasniegt un varētu nodrošināt maksimāli kvalitatīva valsts budžeta likumprojekta sagatavošanu, darbs pie tā ir jāuzsāk savlaicīgi. </w:t>
      </w:r>
    </w:p>
    <w:p w:rsidR="005F129B" w:rsidRPr="001A2264" w:rsidRDefault="005F129B" w:rsidP="005F129B">
      <w:pPr>
        <w:spacing w:before="120"/>
        <w:ind w:firstLine="766"/>
        <w:rPr>
          <w:szCs w:val="24"/>
        </w:rPr>
      </w:pPr>
      <w:r w:rsidRPr="001A2264">
        <w:rPr>
          <w:szCs w:val="24"/>
        </w:rPr>
        <w:t xml:space="preserve">Saskaņā ar Likuma par budžetu un finanšu vadību </w:t>
      </w:r>
      <w:r w:rsidRPr="001A2264">
        <w:rPr>
          <w:bCs/>
          <w:szCs w:val="24"/>
        </w:rPr>
        <w:t>16¹.panta pirmajā daļā noteikto</w:t>
      </w:r>
      <w:r w:rsidR="00E746CB">
        <w:rPr>
          <w:bCs/>
          <w:szCs w:val="24"/>
        </w:rPr>
        <w:t>,</w:t>
      </w:r>
      <w:r w:rsidRPr="001A2264">
        <w:rPr>
          <w:bCs/>
          <w:szCs w:val="24"/>
        </w:rPr>
        <w:t xml:space="preserve"> izdotajā</w:t>
      </w:r>
      <w:r w:rsidRPr="001A2264">
        <w:rPr>
          <w:szCs w:val="24"/>
        </w:rPr>
        <w:t xml:space="preserve"> Ministru kabineta 2011.gada  23.februāra rīkojumā Nr.66 „Par likumprojekta „Par valsts budžetu 2012.gadam” </w:t>
      </w:r>
      <w:r w:rsidRPr="001A2264">
        <w:rPr>
          <w:iCs/>
          <w:szCs w:val="24"/>
        </w:rPr>
        <w:t>un vidēja termiņa makroekonomiskās attīstības un fiskālās politikas ietvara 2012.-2014.gadam</w:t>
      </w:r>
      <w:r w:rsidRPr="001A2264">
        <w:rPr>
          <w:szCs w:val="24"/>
        </w:rPr>
        <w:t xml:space="preserve"> sagatavošanas grafiku” noteikti likumprojekta „Par valsts budžetu 2012.gadam”</w:t>
      </w:r>
      <w:r w:rsidRPr="001A2264">
        <w:rPr>
          <w:iCs/>
          <w:szCs w:val="24"/>
        </w:rPr>
        <w:t xml:space="preserve"> un vidēja termiņa makroekonomiskās attīstības un fiskālās politikas ietvara 2012.-2014.gadam </w:t>
      </w:r>
      <w:r w:rsidRPr="001A2264">
        <w:rPr>
          <w:szCs w:val="24"/>
        </w:rPr>
        <w:t xml:space="preserve">sagatavošanas termiņi, </w:t>
      </w:r>
      <w:r w:rsidRPr="00BD658F">
        <w:rPr>
          <w:b/>
          <w:szCs w:val="24"/>
        </w:rPr>
        <w:t xml:space="preserve">paredzot likumprojekta „Par valsts budžetu 2012.gadam” (budžeta likumu projektu paketes), paskaidrojumu un vidējā termiņa makroekonomiskās attīstības un fiskālās politikas ietvara sagatavošanu un iesniegšanu Saeimā 2011.gada 30.septembrī </w:t>
      </w:r>
      <w:r w:rsidRPr="001A2264">
        <w:rPr>
          <w:szCs w:val="24"/>
        </w:rPr>
        <w:t>(Likuma par budžetu un finanšu vadību 21.pantā noteikts – līdz attiecīgā gada 1.oktobrim).</w:t>
      </w:r>
    </w:p>
    <w:p w:rsidR="005F129B" w:rsidRPr="001A2264" w:rsidRDefault="005F129B" w:rsidP="005F129B">
      <w:pPr>
        <w:spacing w:before="120"/>
        <w:ind w:firstLine="720"/>
        <w:rPr>
          <w:szCs w:val="24"/>
          <w:lang w:eastAsia="lv-LV"/>
        </w:rPr>
      </w:pPr>
      <w:r w:rsidRPr="00BD658F">
        <w:rPr>
          <w:b/>
          <w:szCs w:val="24"/>
          <w:lang w:eastAsia="lv-LV"/>
        </w:rPr>
        <w:t>Saskaņā ar valdības apstiprināto 2012.gada valsts budžeta projekta sagatavošanas grafiku</w:t>
      </w:r>
      <w:r w:rsidRPr="00BD658F">
        <w:rPr>
          <w:b/>
          <w:szCs w:val="24"/>
        </w:rPr>
        <w:t xml:space="preserve"> tika sagatavoti valsts budžeta bāzes izdevumu aprēķini 2012.–2014.gadam un 2011.gada 28.marta ārkārtas sēdē (protokols nr.19, 2.§) pamatā apstiprināti Ministru kabinetā</w:t>
      </w:r>
      <w:r w:rsidRPr="001A2264">
        <w:rPr>
          <w:szCs w:val="24"/>
        </w:rPr>
        <w:t xml:space="preserve">. Tika pieņemti zināšanai atsevišķu ministriju priekšlikumi finansējuma palielināšanai nosakot, ka jautājumi jāizskata vienlaikus ar citu ministriju </w:t>
      </w:r>
      <w:r w:rsidRPr="001A2264">
        <w:rPr>
          <w:szCs w:val="24"/>
        </w:rPr>
        <w:lastRenderedPageBreak/>
        <w:t>iesniegtajām prioritātēm valsts budžeta projektam 2012.gadam, izvērtējot turpmāk nepieciešamās valsts budžeta konsolidācijas kontekstā.</w:t>
      </w:r>
    </w:p>
    <w:p w:rsidR="00A77D36" w:rsidRDefault="00A77D36" w:rsidP="00A77D36">
      <w:pPr>
        <w:spacing w:before="120"/>
        <w:ind w:firstLine="766"/>
        <w:rPr>
          <w:b/>
          <w:szCs w:val="24"/>
        </w:rPr>
      </w:pPr>
      <w:r w:rsidRPr="001A2264">
        <w:rPr>
          <w:szCs w:val="24"/>
        </w:rPr>
        <w:t xml:space="preserve">Ņemot vērā, ka jau sākot no 2008.gada beigām ik gadu ir veikta valsts budžeta izdevumu samazināšana un atsevišķu nodokļu un nodevu likmju palielināšana, lai nepieļautu budžeta deficīta palielināšanos un turpmākajos gados panāktu pakāpenisku deficīta samazināšanos, arvien grūtāk ir identificēt nelietderīgus izdevumus, kā arī vienoties par funkcijām, kuru turpmāka nefinansēšana neizraisītu  negatīvas ekonomiskas vai sociālas sekas. Tā </w:t>
      </w:r>
      <w:r w:rsidRPr="00FD72E5">
        <w:rPr>
          <w:szCs w:val="24"/>
        </w:rPr>
        <w:t>kā</w:t>
      </w:r>
      <w:r w:rsidRPr="00BD658F">
        <w:rPr>
          <w:b/>
          <w:szCs w:val="24"/>
        </w:rPr>
        <w:t xml:space="preserve"> arī 2012.gadā būs nepieciešama fiskālā konsolidācija, diskusijas par veicamajām reformām un iespējamajiem fiskālās konsolidācijas pasākumiem ir jāuzsāk laikus un to apspriešanā jāiesaista iespējami lielāka sabiedrības daļa.</w:t>
      </w:r>
    </w:p>
    <w:p w:rsidR="00A77D36" w:rsidRPr="007E6FAF" w:rsidRDefault="00A77D36" w:rsidP="00A77D36">
      <w:pPr>
        <w:rPr>
          <w:szCs w:val="24"/>
        </w:rPr>
      </w:pPr>
      <w:r>
        <w:rPr>
          <w:szCs w:val="24"/>
        </w:rPr>
        <w:tab/>
        <w:t>Līdz ar to valdība jau ir sākotnēji izvērtējusi un identificējusi šā gada 11.aprīļa sēdē sekojošus</w:t>
      </w:r>
      <w:r w:rsidRPr="006E75FB">
        <w:rPr>
          <w:szCs w:val="24"/>
        </w:rPr>
        <w:t xml:space="preserve"> </w:t>
      </w:r>
      <w:r>
        <w:rPr>
          <w:szCs w:val="24"/>
        </w:rPr>
        <w:t>indikatīvus konsolidācijas virzienus:</w:t>
      </w:r>
    </w:p>
    <w:p w:rsidR="00A77D36" w:rsidRPr="007E6FAF" w:rsidRDefault="00A77D36" w:rsidP="00A77D36">
      <w:pPr>
        <w:pStyle w:val="ListParagraph"/>
        <w:numPr>
          <w:ilvl w:val="0"/>
          <w:numId w:val="36"/>
        </w:numPr>
        <w:spacing w:after="120"/>
        <w:jc w:val="both"/>
      </w:pPr>
      <w:r w:rsidRPr="007E6FAF">
        <w:t>Ieņēmumu pusē aptuveni 0,</w:t>
      </w:r>
      <w:r>
        <w:t>5</w:t>
      </w:r>
      <w:r w:rsidRPr="007E6FAF">
        <w:t>% no IKP tiks iegūti uzlabojot nodokļu iekasēšanu, īstenojot nekustamā īpašuma nodokļa reformu, kā arī turpinot visaptverošas stratēģijas ēnu ekonomikas apkarošanai īstenošanu;</w:t>
      </w:r>
    </w:p>
    <w:p w:rsidR="00A77D36" w:rsidRPr="007E6FAF" w:rsidRDefault="00A77D36" w:rsidP="00A77D36">
      <w:pPr>
        <w:pStyle w:val="ListParagraph"/>
        <w:numPr>
          <w:ilvl w:val="0"/>
          <w:numId w:val="36"/>
        </w:numPr>
        <w:spacing w:after="120"/>
        <w:jc w:val="both"/>
      </w:pPr>
      <w:r w:rsidRPr="007E6FAF">
        <w:t>Izdevumu pusē aptuveni 0,</w:t>
      </w:r>
      <w:r>
        <w:t>5</w:t>
      </w:r>
      <w:r w:rsidRPr="007E6FAF">
        <w:t xml:space="preserve">% no IKP apmērā tiks samazināts sabiedriskajā sektorā strādājošo atalgojuma fonds, samazinātas valsts subsīdijas, īstenoti valsts speciālā budžeta </w:t>
      </w:r>
      <w:proofErr w:type="spellStart"/>
      <w:r w:rsidRPr="007E6FAF">
        <w:t>ilgtspējības</w:t>
      </w:r>
      <w:proofErr w:type="spellEnd"/>
      <w:r w:rsidRPr="007E6FAF">
        <w:t xml:space="preserve"> nodrošināšanas pasākumi, kā arī</w:t>
      </w:r>
      <w:r>
        <w:t xml:space="preserve"> tiks samazinātas valsts līdzfinansējums pašvaldībām sociālās aizsardzības pasākumiem (vai arī tiks pārskatīta iespēja pārdalīt IIN vairāk par labu centrālajai valdībai)</w:t>
      </w:r>
      <w:r w:rsidRPr="007E6FAF">
        <w:t>, kā arī tiks ierobežotas pašvaldību aizņemšanās iespējas</w:t>
      </w:r>
      <w:r>
        <w:t>, piemēram,</w:t>
      </w:r>
      <w:r w:rsidRPr="007E6FAF">
        <w:t xml:space="preserve"> infrastruktūras projektu pabeigšanai, profesionāli tehnisko skolu pārņemšanām, pašvaldību internātskolu un sociālo programmu investīciju projektiem.</w:t>
      </w:r>
    </w:p>
    <w:p w:rsidR="00A77D36" w:rsidRPr="00BD658F" w:rsidRDefault="00A77D36" w:rsidP="00A77D36">
      <w:pPr>
        <w:spacing w:before="120"/>
        <w:ind w:firstLine="766"/>
        <w:rPr>
          <w:b/>
          <w:szCs w:val="24"/>
        </w:rPr>
      </w:pPr>
      <w:r>
        <w:rPr>
          <w:szCs w:val="24"/>
        </w:rPr>
        <w:t>Papildus 2012. gadā valsts budžetā varētu neiekļaut normu, kas pieļauj Saeimai budžeta gadā atļaut papildus apropriāciju palielināšanu līdzekļiem neparedzētiem gadījumiem līdz 0,2% no IKP, tādējādi mazinot iespējamās nobīdes no budžeta deficīta mērķa.</w:t>
      </w:r>
    </w:p>
    <w:p w:rsidR="004712F5" w:rsidRDefault="004712F5" w:rsidP="0079416C">
      <w:pPr>
        <w:ind w:firstLine="720"/>
        <w:rPr>
          <w:szCs w:val="24"/>
        </w:rPr>
      </w:pPr>
    </w:p>
    <w:p w:rsidR="006B1AA8" w:rsidRPr="001A2264" w:rsidRDefault="004712F5" w:rsidP="0079416C">
      <w:pPr>
        <w:ind w:firstLine="720"/>
        <w:rPr>
          <w:szCs w:val="24"/>
        </w:rPr>
      </w:pPr>
      <w:r>
        <w:rPr>
          <w:szCs w:val="24"/>
        </w:rPr>
        <w:t xml:space="preserve">Pielikums: </w:t>
      </w:r>
      <w:r>
        <w:t>M</w:t>
      </w:r>
      <w:r w:rsidRPr="004712F5">
        <w:t>inistriju saistības un kavētie maksājumi uz 2011.gada 31.martu</w:t>
      </w:r>
    </w:p>
    <w:p w:rsidR="006B1AA8" w:rsidRDefault="006B1AA8" w:rsidP="0079416C">
      <w:pPr>
        <w:ind w:firstLine="720"/>
        <w:rPr>
          <w:szCs w:val="24"/>
        </w:rPr>
      </w:pPr>
    </w:p>
    <w:p w:rsidR="00471BF5" w:rsidRPr="001A2264" w:rsidRDefault="00471BF5" w:rsidP="0079416C">
      <w:pPr>
        <w:rPr>
          <w:szCs w:val="24"/>
        </w:rPr>
      </w:pPr>
      <w:r w:rsidRPr="001A2264">
        <w:rPr>
          <w:szCs w:val="24"/>
        </w:rPr>
        <w:t xml:space="preserve">Ministru prezidents                                                             </w:t>
      </w:r>
      <w:r w:rsidRPr="001A2264">
        <w:rPr>
          <w:szCs w:val="24"/>
        </w:rPr>
        <w:tab/>
      </w:r>
      <w:r w:rsidRPr="001A2264">
        <w:rPr>
          <w:szCs w:val="24"/>
        </w:rPr>
        <w:tab/>
        <w:t>V.</w:t>
      </w:r>
      <w:r w:rsidR="0079416C" w:rsidRPr="001A2264">
        <w:rPr>
          <w:szCs w:val="24"/>
        </w:rPr>
        <w:t xml:space="preserve"> </w:t>
      </w:r>
      <w:proofErr w:type="spellStart"/>
      <w:r w:rsidRPr="001A2264">
        <w:rPr>
          <w:szCs w:val="24"/>
        </w:rPr>
        <w:t>Dombrovskis</w:t>
      </w:r>
      <w:proofErr w:type="spellEnd"/>
    </w:p>
    <w:p w:rsidR="0079416C" w:rsidRPr="001A2264" w:rsidRDefault="0079416C" w:rsidP="0079416C">
      <w:pPr>
        <w:rPr>
          <w:szCs w:val="24"/>
        </w:rPr>
      </w:pPr>
    </w:p>
    <w:p w:rsidR="0079416C" w:rsidRPr="001A2264" w:rsidRDefault="00471BF5" w:rsidP="0079416C">
      <w:pPr>
        <w:rPr>
          <w:szCs w:val="24"/>
        </w:rPr>
      </w:pPr>
      <w:r w:rsidRPr="001A2264">
        <w:rPr>
          <w:szCs w:val="24"/>
        </w:rPr>
        <w:t xml:space="preserve">Iesniedzējs: </w:t>
      </w:r>
    </w:p>
    <w:p w:rsidR="00471BF5" w:rsidRPr="001A2264" w:rsidRDefault="00471BF5" w:rsidP="0079416C">
      <w:pPr>
        <w:rPr>
          <w:szCs w:val="24"/>
        </w:rPr>
      </w:pPr>
      <w:r w:rsidRPr="001A2264">
        <w:rPr>
          <w:szCs w:val="24"/>
        </w:rPr>
        <w:t xml:space="preserve">finanšu ministrs                                                    </w:t>
      </w:r>
      <w:r w:rsidRPr="001A2264">
        <w:rPr>
          <w:szCs w:val="24"/>
        </w:rPr>
        <w:tab/>
      </w:r>
      <w:r w:rsidRPr="001A2264">
        <w:rPr>
          <w:szCs w:val="24"/>
        </w:rPr>
        <w:tab/>
      </w:r>
      <w:r w:rsidR="0079416C" w:rsidRPr="001A2264">
        <w:rPr>
          <w:szCs w:val="24"/>
        </w:rPr>
        <w:tab/>
        <w:t>A</w:t>
      </w:r>
      <w:r w:rsidRPr="001A2264">
        <w:rPr>
          <w:szCs w:val="24"/>
        </w:rPr>
        <w:t>.</w:t>
      </w:r>
      <w:r w:rsidR="0079416C" w:rsidRPr="001A2264">
        <w:rPr>
          <w:szCs w:val="24"/>
        </w:rPr>
        <w:t xml:space="preserve"> Vilks</w:t>
      </w:r>
    </w:p>
    <w:p w:rsidR="0079416C" w:rsidRPr="001A2264" w:rsidRDefault="0079416C" w:rsidP="0079416C">
      <w:pPr>
        <w:rPr>
          <w:szCs w:val="24"/>
        </w:rPr>
      </w:pPr>
    </w:p>
    <w:p w:rsidR="00471BF5" w:rsidRPr="001A2264" w:rsidRDefault="00471BF5" w:rsidP="0079416C">
      <w:pPr>
        <w:rPr>
          <w:szCs w:val="24"/>
        </w:rPr>
      </w:pPr>
      <w:r w:rsidRPr="001A2264">
        <w:rPr>
          <w:szCs w:val="24"/>
        </w:rPr>
        <w:t xml:space="preserve">Vīza: </w:t>
      </w:r>
    </w:p>
    <w:p w:rsidR="00471BF5" w:rsidRPr="001A2264" w:rsidRDefault="00471BF5" w:rsidP="0079416C">
      <w:pPr>
        <w:rPr>
          <w:szCs w:val="24"/>
        </w:rPr>
      </w:pPr>
      <w:r w:rsidRPr="001A2264">
        <w:rPr>
          <w:szCs w:val="24"/>
        </w:rPr>
        <w:t xml:space="preserve">valsts sekretārs                                                                      </w:t>
      </w:r>
      <w:r w:rsidR="0079416C" w:rsidRPr="001A2264">
        <w:rPr>
          <w:szCs w:val="24"/>
        </w:rPr>
        <w:tab/>
      </w:r>
      <w:r w:rsidR="0070742F">
        <w:rPr>
          <w:szCs w:val="24"/>
        </w:rPr>
        <w:tab/>
      </w:r>
      <w:r w:rsidRPr="001A2264">
        <w:rPr>
          <w:szCs w:val="24"/>
        </w:rPr>
        <w:t>M.</w:t>
      </w:r>
      <w:r w:rsidR="0079416C" w:rsidRPr="001A2264">
        <w:rPr>
          <w:szCs w:val="24"/>
        </w:rPr>
        <w:t xml:space="preserve"> </w:t>
      </w:r>
      <w:r w:rsidRPr="001A2264">
        <w:rPr>
          <w:szCs w:val="24"/>
        </w:rPr>
        <w:t>Bičevskis</w:t>
      </w:r>
    </w:p>
    <w:p w:rsidR="0079416C" w:rsidRPr="001A2264" w:rsidRDefault="0079416C" w:rsidP="0079416C">
      <w:pPr>
        <w:rPr>
          <w:szCs w:val="24"/>
        </w:rPr>
      </w:pPr>
    </w:p>
    <w:p w:rsidR="00947E28" w:rsidRPr="001A2264" w:rsidRDefault="00947E28" w:rsidP="00947E28">
      <w:pPr>
        <w:rPr>
          <w:color w:val="000000"/>
          <w:szCs w:val="24"/>
        </w:rPr>
      </w:pPr>
      <w:r w:rsidRPr="001A2264">
        <w:rPr>
          <w:color w:val="000000"/>
          <w:szCs w:val="24"/>
        </w:rPr>
        <w:t>13.05.2011. 1</w:t>
      </w:r>
      <w:r w:rsidR="00101054">
        <w:rPr>
          <w:color w:val="000000"/>
          <w:szCs w:val="24"/>
        </w:rPr>
        <w:t>2</w:t>
      </w:r>
      <w:r w:rsidRPr="001A2264">
        <w:rPr>
          <w:color w:val="000000"/>
          <w:szCs w:val="24"/>
        </w:rPr>
        <w:t>:</w:t>
      </w:r>
      <w:r w:rsidR="00F75C90">
        <w:rPr>
          <w:color w:val="000000"/>
          <w:szCs w:val="24"/>
        </w:rPr>
        <w:t>54</w:t>
      </w:r>
    </w:p>
    <w:p w:rsidR="00947E28" w:rsidRPr="001A2264" w:rsidRDefault="00101054" w:rsidP="00947E28">
      <w:pPr>
        <w:rPr>
          <w:color w:val="000000"/>
          <w:szCs w:val="24"/>
        </w:rPr>
      </w:pPr>
      <w:r>
        <w:rPr>
          <w:color w:val="000000"/>
          <w:szCs w:val="24"/>
        </w:rPr>
        <w:t>7</w:t>
      </w:r>
      <w:r w:rsidR="00F75C90">
        <w:rPr>
          <w:color w:val="000000"/>
          <w:szCs w:val="24"/>
        </w:rPr>
        <w:t>253</w:t>
      </w:r>
    </w:p>
    <w:p w:rsidR="00947E28" w:rsidRPr="001A2264" w:rsidRDefault="00947E28" w:rsidP="00947E28">
      <w:pPr>
        <w:rPr>
          <w:color w:val="000000"/>
          <w:szCs w:val="24"/>
        </w:rPr>
      </w:pPr>
      <w:bookmarkStart w:id="19" w:name="_GoBack"/>
      <w:r w:rsidRPr="001A2264">
        <w:rPr>
          <w:color w:val="000000"/>
          <w:szCs w:val="24"/>
        </w:rPr>
        <w:t>Ilga Jermacāne</w:t>
      </w:r>
    </w:p>
    <w:bookmarkEnd w:id="19"/>
    <w:p w:rsidR="00947E28" w:rsidRPr="001A2264" w:rsidRDefault="00947E28" w:rsidP="00947E28">
      <w:pPr>
        <w:rPr>
          <w:szCs w:val="24"/>
        </w:rPr>
      </w:pPr>
      <w:r w:rsidRPr="001A2264">
        <w:rPr>
          <w:szCs w:val="24"/>
        </w:rPr>
        <w:t xml:space="preserve">Finanšu ministrijas </w:t>
      </w:r>
    </w:p>
    <w:p w:rsidR="00947E28" w:rsidRPr="001A2264" w:rsidRDefault="00947E28" w:rsidP="00947E28">
      <w:pPr>
        <w:rPr>
          <w:szCs w:val="24"/>
        </w:rPr>
      </w:pPr>
      <w:r w:rsidRPr="001A2264">
        <w:rPr>
          <w:szCs w:val="24"/>
        </w:rPr>
        <w:t>Fiskālās politikas departamenta</w:t>
      </w:r>
      <w:r w:rsidRPr="001A2264">
        <w:rPr>
          <w:szCs w:val="24"/>
        </w:rPr>
        <w:tab/>
      </w:r>
    </w:p>
    <w:p w:rsidR="00947E28" w:rsidRPr="001A2264" w:rsidRDefault="00947E28" w:rsidP="00947E28">
      <w:pPr>
        <w:rPr>
          <w:szCs w:val="24"/>
        </w:rPr>
      </w:pPr>
      <w:r w:rsidRPr="001A2264">
        <w:rPr>
          <w:szCs w:val="24"/>
        </w:rPr>
        <w:t xml:space="preserve">Tautsaimniecības un fiskālās pārvaldības </w:t>
      </w:r>
    </w:p>
    <w:p w:rsidR="00947E28" w:rsidRPr="001A2264" w:rsidRDefault="00947E28" w:rsidP="00947E28">
      <w:pPr>
        <w:rPr>
          <w:szCs w:val="24"/>
        </w:rPr>
      </w:pPr>
      <w:r w:rsidRPr="001A2264">
        <w:rPr>
          <w:szCs w:val="24"/>
        </w:rPr>
        <w:t>nodaļas juriskonsulte</w:t>
      </w:r>
    </w:p>
    <w:p w:rsidR="00947E28" w:rsidRPr="001A2264" w:rsidRDefault="00947E28" w:rsidP="00947E28">
      <w:pPr>
        <w:rPr>
          <w:szCs w:val="24"/>
        </w:rPr>
      </w:pPr>
      <w:r w:rsidRPr="001A2264">
        <w:rPr>
          <w:color w:val="000000"/>
          <w:szCs w:val="24"/>
        </w:rPr>
        <w:t>67095429</w:t>
      </w:r>
      <w:r w:rsidRPr="001A2264">
        <w:rPr>
          <w:szCs w:val="24"/>
        </w:rPr>
        <w:t>; Fakss 67083830</w:t>
      </w:r>
    </w:p>
    <w:p w:rsidR="00A14161" w:rsidRDefault="007767B6" w:rsidP="0080602A">
      <w:pPr>
        <w:rPr>
          <w:szCs w:val="24"/>
        </w:rPr>
      </w:pPr>
      <w:hyperlink r:id="rId13" w:history="1">
        <w:r w:rsidR="00947E28" w:rsidRPr="001A2264">
          <w:rPr>
            <w:rStyle w:val="Hyperlink"/>
            <w:szCs w:val="24"/>
          </w:rPr>
          <w:t>Ilga.Jermacane@fm.gov.lv</w:t>
        </w:r>
      </w:hyperlink>
      <w:r w:rsidR="00947E28" w:rsidRPr="001A2264">
        <w:rPr>
          <w:szCs w:val="24"/>
        </w:rPr>
        <w:t xml:space="preserve"> </w:t>
      </w:r>
    </w:p>
    <w:p w:rsidR="00A14161" w:rsidRDefault="00A14161" w:rsidP="00A14161">
      <w:pPr>
        <w:jc w:val="center"/>
        <w:sectPr w:rsidR="00A14161" w:rsidSect="00E904D7">
          <w:headerReference w:type="even" r:id="rId14"/>
          <w:headerReference w:type="default" r:id="rId15"/>
          <w:pgSz w:w="11906" w:h="16838" w:code="9"/>
          <w:pgMar w:top="1134" w:right="1134" w:bottom="1134" w:left="1701" w:header="720" w:footer="720" w:gutter="0"/>
          <w:cols w:space="720"/>
          <w:titlePg/>
          <w:docGrid w:linePitch="360"/>
        </w:sectPr>
      </w:pPr>
    </w:p>
    <w:p w:rsidR="00A14161" w:rsidRPr="00A14161" w:rsidRDefault="00A14161" w:rsidP="00A14161">
      <w:pPr>
        <w:jc w:val="right"/>
        <w:rPr>
          <w:b/>
        </w:rPr>
      </w:pPr>
      <w:r w:rsidRPr="00A14161">
        <w:rPr>
          <w:b/>
        </w:rPr>
        <w:lastRenderedPageBreak/>
        <w:t xml:space="preserve">Pielikums </w:t>
      </w:r>
    </w:p>
    <w:p w:rsidR="00A14161" w:rsidRDefault="00A14161" w:rsidP="00A14161">
      <w:pPr>
        <w:jc w:val="center"/>
      </w:pPr>
    </w:p>
    <w:p w:rsidR="00A14161" w:rsidRDefault="00A14161" w:rsidP="00A14161">
      <w:pPr>
        <w:jc w:val="center"/>
      </w:pPr>
      <w:r>
        <w:t>M</w:t>
      </w:r>
      <w:r w:rsidRPr="004712F5">
        <w:t>inistriju saistības un kavētie maksājumi uz 2011.gada 31.martu</w:t>
      </w:r>
    </w:p>
    <w:p w:rsidR="00A14161" w:rsidRDefault="00A14161" w:rsidP="00A14161">
      <w:pPr>
        <w:jc w:val="center"/>
      </w:pPr>
    </w:p>
    <w:tbl>
      <w:tblPr>
        <w:tblW w:w="14379" w:type="dxa"/>
        <w:jc w:val="center"/>
        <w:tblInd w:w="93" w:type="dxa"/>
        <w:tblLook w:val="04A0" w:firstRow="1" w:lastRow="0" w:firstColumn="1" w:lastColumn="0" w:noHBand="0" w:noVBand="1"/>
      </w:tblPr>
      <w:tblGrid>
        <w:gridCol w:w="3800"/>
        <w:gridCol w:w="1080"/>
        <w:gridCol w:w="1278"/>
        <w:gridCol w:w="1275"/>
        <w:gridCol w:w="1560"/>
        <w:gridCol w:w="1417"/>
        <w:gridCol w:w="1418"/>
        <w:gridCol w:w="1275"/>
        <w:gridCol w:w="1276"/>
      </w:tblGrid>
      <w:tr w:rsidR="00A14161" w:rsidRPr="00A14161" w:rsidTr="00A14161">
        <w:trPr>
          <w:trHeight w:val="2250"/>
          <w:jc w:val="center"/>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161" w:rsidRPr="00A14161" w:rsidRDefault="00A14161" w:rsidP="00A14161">
            <w:pPr>
              <w:jc w:val="center"/>
              <w:rPr>
                <w:b/>
                <w:bCs/>
                <w:sz w:val="16"/>
                <w:szCs w:val="16"/>
                <w:lang w:eastAsia="lv-LV"/>
              </w:rPr>
            </w:pPr>
            <w:r>
              <w:rPr>
                <w:b/>
                <w:bCs/>
                <w:sz w:val="16"/>
                <w:szCs w:val="16"/>
                <w:lang w:eastAsia="lv-LV"/>
              </w:rPr>
              <w:t>S</w:t>
            </w:r>
            <w:r w:rsidRPr="00A14161">
              <w:rPr>
                <w:b/>
                <w:bCs/>
                <w:sz w:val="16"/>
                <w:szCs w:val="16"/>
                <w:lang w:eastAsia="lv-LV"/>
              </w:rPr>
              <w:t>truktūra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14161" w:rsidRPr="00A14161" w:rsidRDefault="00A14161" w:rsidP="00A14161">
            <w:pPr>
              <w:jc w:val="center"/>
              <w:rPr>
                <w:b/>
                <w:bCs/>
                <w:sz w:val="16"/>
                <w:szCs w:val="16"/>
                <w:lang w:eastAsia="lv-LV"/>
              </w:rPr>
            </w:pPr>
            <w:r w:rsidRPr="00A14161">
              <w:rPr>
                <w:b/>
                <w:bCs/>
                <w:sz w:val="16"/>
                <w:szCs w:val="16"/>
                <w:lang w:eastAsia="lv-LV"/>
              </w:rPr>
              <w:t>Atlikums gada sākumā</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A14161" w:rsidRPr="00A14161" w:rsidRDefault="00A14161" w:rsidP="00A14161">
            <w:pPr>
              <w:jc w:val="center"/>
              <w:rPr>
                <w:b/>
                <w:bCs/>
                <w:sz w:val="16"/>
                <w:szCs w:val="16"/>
                <w:lang w:eastAsia="lv-LV"/>
              </w:rPr>
            </w:pPr>
            <w:r w:rsidRPr="00A14161">
              <w:rPr>
                <w:b/>
                <w:bCs/>
                <w:sz w:val="16"/>
                <w:szCs w:val="16"/>
                <w:lang w:eastAsia="lv-LV"/>
              </w:rPr>
              <w:t>Atlikums pārskata perioda beigās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14161" w:rsidRPr="00A14161" w:rsidRDefault="00A14161" w:rsidP="00A14161">
            <w:pPr>
              <w:jc w:val="center"/>
              <w:rPr>
                <w:b/>
                <w:bCs/>
                <w:sz w:val="16"/>
                <w:szCs w:val="16"/>
                <w:lang w:eastAsia="lv-LV"/>
              </w:rPr>
            </w:pPr>
            <w:r w:rsidRPr="00A14161">
              <w:rPr>
                <w:b/>
                <w:bCs/>
                <w:sz w:val="16"/>
                <w:szCs w:val="16"/>
                <w:lang w:eastAsia="lv-LV"/>
              </w:rPr>
              <w:t>Pārskata mēneša izpilde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14161" w:rsidRPr="00A14161" w:rsidRDefault="00A14161" w:rsidP="00A14161">
            <w:pPr>
              <w:jc w:val="center"/>
              <w:rPr>
                <w:b/>
                <w:bCs/>
                <w:sz w:val="16"/>
                <w:szCs w:val="16"/>
                <w:lang w:eastAsia="lv-LV"/>
              </w:rPr>
            </w:pPr>
            <w:r w:rsidRPr="00A14161">
              <w:rPr>
                <w:b/>
                <w:bCs/>
                <w:sz w:val="16"/>
                <w:szCs w:val="16"/>
                <w:lang w:eastAsia="lv-LV"/>
              </w:rPr>
              <w:t>Kavēti kārtējie maksājumi rezidentiem*/ Parāds pārskata perioda beigās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14161" w:rsidRPr="00A14161" w:rsidRDefault="00A14161" w:rsidP="00A14161">
            <w:pPr>
              <w:jc w:val="center"/>
              <w:rPr>
                <w:b/>
                <w:bCs/>
                <w:sz w:val="16"/>
                <w:szCs w:val="16"/>
                <w:lang w:eastAsia="lv-LV"/>
              </w:rPr>
            </w:pPr>
            <w:r w:rsidRPr="00A14161">
              <w:rPr>
                <w:b/>
                <w:bCs/>
                <w:sz w:val="16"/>
                <w:szCs w:val="16"/>
                <w:lang w:eastAsia="lv-LV"/>
              </w:rPr>
              <w:t>Kavēto kārtējo maksājumu rezidentiem vecums</w:t>
            </w:r>
            <w:r w:rsidRPr="00A14161">
              <w:rPr>
                <w:b/>
                <w:bCs/>
                <w:sz w:val="16"/>
                <w:szCs w:val="16"/>
                <w:lang w:eastAsia="lv-LV"/>
              </w:rPr>
              <w:br/>
              <w:t xml:space="preserve"> 0-1 mēneši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14161" w:rsidRPr="00A14161" w:rsidRDefault="00A14161" w:rsidP="00A14161">
            <w:pPr>
              <w:jc w:val="center"/>
              <w:rPr>
                <w:b/>
                <w:bCs/>
                <w:sz w:val="16"/>
                <w:szCs w:val="16"/>
                <w:lang w:eastAsia="lv-LV"/>
              </w:rPr>
            </w:pPr>
            <w:r w:rsidRPr="00A14161">
              <w:rPr>
                <w:b/>
                <w:bCs/>
                <w:sz w:val="16"/>
                <w:szCs w:val="16"/>
                <w:lang w:eastAsia="lv-LV"/>
              </w:rPr>
              <w:t>Kavēto kārtējo maksājumu rezidentiem vecums</w:t>
            </w:r>
            <w:r w:rsidRPr="00A14161">
              <w:rPr>
                <w:b/>
                <w:bCs/>
                <w:sz w:val="16"/>
                <w:szCs w:val="16"/>
                <w:lang w:eastAsia="lv-LV"/>
              </w:rPr>
              <w:br/>
              <w:t>1-3 mēneši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14161" w:rsidRPr="00A14161" w:rsidRDefault="00A14161" w:rsidP="00A14161">
            <w:pPr>
              <w:jc w:val="center"/>
              <w:rPr>
                <w:b/>
                <w:bCs/>
                <w:sz w:val="16"/>
                <w:szCs w:val="16"/>
                <w:lang w:eastAsia="lv-LV"/>
              </w:rPr>
            </w:pPr>
            <w:r w:rsidRPr="00A14161">
              <w:rPr>
                <w:b/>
                <w:bCs/>
                <w:sz w:val="16"/>
                <w:szCs w:val="16"/>
                <w:lang w:eastAsia="lv-LV"/>
              </w:rPr>
              <w:t xml:space="preserve">Kavēto kārtējo maksājumu rezidentiem vecums </w:t>
            </w:r>
            <w:r w:rsidRPr="00A14161">
              <w:rPr>
                <w:b/>
                <w:bCs/>
                <w:sz w:val="16"/>
                <w:szCs w:val="16"/>
                <w:lang w:eastAsia="lv-LV"/>
              </w:rPr>
              <w:br/>
              <w:t>3 mēneši un vairāk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4161" w:rsidRPr="00A14161" w:rsidRDefault="00A14161" w:rsidP="00A14161">
            <w:pPr>
              <w:jc w:val="center"/>
              <w:rPr>
                <w:b/>
                <w:bCs/>
                <w:sz w:val="16"/>
                <w:szCs w:val="16"/>
                <w:lang w:eastAsia="lv-LV"/>
              </w:rPr>
            </w:pPr>
            <w:r w:rsidRPr="00A14161">
              <w:rPr>
                <w:b/>
                <w:bCs/>
                <w:sz w:val="16"/>
                <w:szCs w:val="16"/>
                <w:lang w:eastAsia="lv-LV"/>
              </w:rPr>
              <w:t>Kavēti kārtējie maksājumi rezidentiem*/ Nomaksāts līdz pārskata sniegšanas dienai</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Valsts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654 004 505</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706 147 267</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17 836 364</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438 385</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197 008</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167 095</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74 282</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34 818</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01 Valsts Prezidenta kanceleja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155 779</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179 580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-1 989</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02 Saeima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559 296</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668 087</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14 847</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03 Ministru kabinets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49 698</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133 457</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48 310</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45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A14161" w:rsidRPr="00A14161" w:rsidRDefault="00A14161" w:rsidP="00A14161">
            <w:pPr>
              <w:jc w:val="left"/>
              <w:rPr>
                <w:sz w:val="16"/>
                <w:szCs w:val="16"/>
                <w:lang w:eastAsia="lv-LV"/>
              </w:rPr>
            </w:pPr>
            <w:r w:rsidRPr="00A14161">
              <w:rPr>
                <w:sz w:val="16"/>
                <w:szCs w:val="16"/>
                <w:lang w:eastAsia="lv-LV"/>
              </w:rPr>
              <w:t xml:space="preserve">     04 Korupcijas novēršanas</w:t>
            </w:r>
            <w:r w:rsidRPr="00A14161">
              <w:rPr>
                <w:sz w:val="16"/>
                <w:szCs w:val="16"/>
                <w:lang w:eastAsia="lv-LV"/>
              </w:rPr>
              <w:br/>
              <w:t xml:space="preserve"> un apkarošanas birojs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550 241</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-626 292</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05 </w:t>
            </w:r>
            <w:proofErr w:type="spellStart"/>
            <w:r w:rsidRPr="00A14161">
              <w:rPr>
                <w:sz w:val="16"/>
                <w:szCs w:val="16"/>
                <w:lang w:eastAsia="lv-LV"/>
              </w:rPr>
              <w:t>Tiesībsarga</w:t>
            </w:r>
            <w:proofErr w:type="spellEnd"/>
            <w:r w:rsidRPr="00A14161">
              <w:rPr>
                <w:sz w:val="16"/>
                <w:szCs w:val="16"/>
                <w:lang w:eastAsia="lv-LV"/>
              </w:rPr>
              <w:t xml:space="preserve"> birojs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17 466</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49 228</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8 382</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10 Aizsardzības ministrija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18 259 839</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18 007 510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-963 348</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11 Ārlietu ministrijas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6 512 850</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2 982 209</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-352 001</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12 Ekonomikas </w:t>
            </w:r>
            <w:proofErr w:type="spellStart"/>
            <w:r w:rsidRPr="00A14161">
              <w:rPr>
                <w:sz w:val="16"/>
                <w:szCs w:val="16"/>
                <w:lang w:eastAsia="lv-LV"/>
              </w:rPr>
              <w:t>ministrija_konsolidētais</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741 911</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4 695 347</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-708 052</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13 Finanšu ministrija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375 088 042</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399 452 490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12 296 343</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14 Iekšlietu ministrija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55 618 640</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52 665 646</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-1 359 432</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15 Izglītības un zinātnes ministrijas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53 742 804</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69 482 845</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-49 590</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169 993</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77 458</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85 329</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7 206</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12 655</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16 Zemkopības ministrija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17 795 827</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18 615 665</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307 619</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17 Satiksmes ministrija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92 030 198</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88 283 865</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1 355 183</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18 Labklājības ministrijas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3 819 004</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4 449 311</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2 158</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19 Tieslietu ministrija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7 964 912</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10 256 078</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1 562 481</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45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A14161" w:rsidRPr="00A14161" w:rsidRDefault="00A14161" w:rsidP="00A14161">
            <w:pPr>
              <w:jc w:val="left"/>
              <w:rPr>
                <w:sz w:val="16"/>
                <w:szCs w:val="16"/>
                <w:lang w:eastAsia="lv-LV"/>
              </w:rPr>
            </w:pPr>
            <w:r w:rsidRPr="00A14161">
              <w:rPr>
                <w:sz w:val="16"/>
                <w:szCs w:val="16"/>
                <w:lang w:eastAsia="lv-LV"/>
              </w:rPr>
              <w:t xml:space="preserve">     21 Vides aizsardzības un reģionālās</w:t>
            </w:r>
            <w:r w:rsidRPr="00A14161">
              <w:rPr>
                <w:sz w:val="16"/>
                <w:szCs w:val="16"/>
                <w:lang w:eastAsia="lv-LV"/>
              </w:rPr>
              <w:br/>
              <w:t xml:space="preserve"> attīstības ministrija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2 040 865</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11 773 403</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8 938 413</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22 Kultūras </w:t>
            </w:r>
            <w:proofErr w:type="spellStart"/>
            <w:r w:rsidRPr="00A14161">
              <w:rPr>
                <w:sz w:val="16"/>
                <w:szCs w:val="16"/>
                <w:lang w:eastAsia="lv-LV"/>
              </w:rPr>
              <w:t>ministrija_konsolidētais</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9 020 597</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9 634 490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350 327</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264 355</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115 683</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81 596</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67 076</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22 163</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24 Valsts </w:t>
            </w:r>
            <w:proofErr w:type="spellStart"/>
            <w:r w:rsidRPr="00A14161">
              <w:rPr>
                <w:sz w:val="16"/>
                <w:szCs w:val="16"/>
                <w:lang w:eastAsia="lv-LV"/>
              </w:rPr>
              <w:t>kontrole_konsolidētais</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62 440</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71 150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-79</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28 Augstākā tiesa_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117 037</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144 724</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15 270</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lastRenderedPageBreak/>
              <w:t xml:space="preserve">     29 Veselības ministrija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8 590 208</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13 272 392</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-2 990 173</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4 037</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3 867</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170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30 Satversmes </w:t>
            </w:r>
            <w:proofErr w:type="spellStart"/>
            <w:r w:rsidRPr="00A14161">
              <w:rPr>
                <w:sz w:val="16"/>
                <w:szCs w:val="16"/>
                <w:lang w:eastAsia="lv-LV"/>
              </w:rPr>
              <w:t>tiesa_konsolidētais</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19 436</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20 448</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277</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32 Prokuratūra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1 223 686</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1 270 646</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-14 351</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35 Centrālā vēlēšanu </w:t>
            </w:r>
            <w:proofErr w:type="spellStart"/>
            <w:r w:rsidRPr="00A14161">
              <w:rPr>
                <w:sz w:val="16"/>
                <w:szCs w:val="16"/>
                <w:lang w:eastAsia="lv-LV"/>
              </w:rPr>
              <w:t>komisija_konsolidētais</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5 923</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11 048</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1 686</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255"/>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A14161" w:rsidRPr="00A14161" w:rsidRDefault="00A14161" w:rsidP="00A14161">
            <w:pPr>
              <w:jc w:val="left"/>
              <w:rPr>
                <w:sz w:val="16"/>
                <w:szCs w:val="16"/>
                <w:lang w:eastAsia="lv-LV"/>
              </w:rPr>
            </w:pPr>
            <w:r w:rsidRPr="00A14161">
              <w:rPr>
                <w:sz w:val="16"/>
                <w:szCs w:val="16"/>
                <w:lang w:eastAsia="lv-LV"/>
              </w:rPr>
              <w:t xml:space="preserve">     37 Centrālā zemes komisija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2 162</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2 397</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408</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r w:rsidR="00A14161" w:rsidRPr="00A14161" w:rsidTr="00A14161">
        <w:trPr>
          <w:trHeight w:val="45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A14161" w:rsidRPr="00A14161" w:rsidRDefault="00A14161" w:rsidP="00A14161">
            <w:pPr>
              <w:jc w:val="left"/>
              <w:rPr>
                <w:sz w:val="16"/>
                <w:szCs w:val="16"/>
                <w:lang w:eastAsia="lv-LV"/>
              </w:rPr>
            </w:pPr>
            <w:r w:rsidRPr="00A14161">
              <w:rPr>
                <w:sz w:val="16"/>
                <w:szCs w:val="16"/>
                <w:lang w:eastAsia="lv-LV"/>
              </w:rPr>
              <w:t xml:space="preserve">     47 Nacionālā elektronisko plašsaziņas</w:t>
            </w:r>
            <w:r w:rsidRPr="00A14161">
              <w:rPr>
                <w:sz w:val="16"/>
                <w:szCs w:val="16"/>
                <w:lang w:eastAsia="lv-LV"/>
              </w:rPr>
              <w:br/>
              <w:t xml:space="preserve"> līdzekļu padome konsolidētais</w:t>
            </w:r>
          </w:p>
        </w:tc>
        <w:tc>
          <w:tcPr>
            <w:tcW w:w="108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15 644</w:t>
            </w:r>
          </w:p>
        </w:tc>
        <w:tc>
          <w:tcPr>
            <w:tcW w:w="127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25 251</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-33</w:t>
            </w:r>
          </w:p>
        </w:tc>
        <w:tc>
          <w:tcPr>
            <w:tcW w:w="1560"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5"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A14161" w:rsidRPr="00A14161" w:rsidRDefault="00A14161" w:rsidP="00A14161">
            <w:pPr>
              <w:jc w:val="right"/>
              <w:rPr>
                <w:sz w:val="16"/>
                <w:szCs w:val="16"/>
                <w:lang w:eastAsia="lv-LV"/>
              </w:rPr>
            </w:pPr>
            <w:r w:rsidRPr="00A14161">
              <w:rPr>
                <w:sz w:val="16"/>
                <w:szCs w:val="16"/>
                <w:lang w:eastAsia="lv-LV"/>
              </w:rPr>
              <w:t>0</w:t>
            </w:r>
          </w:p>
        </w:tc>
      </w:tr>
    </w:tbl>
    <w:p w:rsidR="00A14161" w:rsidRPr="001A2264" w:rsidRDefault="00A14161" w:rsidP="00A14161">
      <w:pPr>
        <w:jc w:val="center"/>
        <w:rPr>
          <w:szCs w:val="24"/>
        </w:rPr>
      </w:pPr>
    </w:p>
    <w:sectPr w:rsidR="00A14161" w:rsidRPr="001A2264" w:rsidSect="00A14161">
      <w:pgSz w:w="16838" w:h="11906" w:orient="landscape"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B6" w:rsidRDefault="007767B6">
      <w:r>
        <w:separator/>
      </w:r>
    </w:p>
  </w:endnote>
  <w:endnote w:type="continuationSeparator" w:id="0">
    <w:p w:rsidR="007767B6" w:rsidRDefault="0077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B6" w:rsidRDefault="007767B6">
      <w:r>
        <w:separator/>
      </w:r>
    </w:p>
  </w:footnote>
  <w:footnote w:type="continuationSeparator" w:id="0">
    <w:p w:rsidR="007767B6" w:rsidRDefault="007767B6">
      <w:r>
        <w:continuationSeparator/>
      </w:r>
    </w:p>
  </w:footnote>
  <w:footnote w:id="1">
    <w:p w:rsidR="00BD658F" w:rsidRDefault="00BD658F" w:rsidP="005F129B">
      <w:pPr>
        <w:pStyle w:val="FootnoteText"/>
      </w:pPr>
      <w:r>
        <w:rPr>
          <w:rStyle w:val="FootnoteReference"/>
        </w:rPr>
        <w:footnoteRef/>
      </w:r>
      <w:r>
        <w:t xml:space="preserve"> </w:t>
      </w:r>
      <w:r w:rsidRPr="00860DA8">
        <w:t>Saskaņā ar grozījumiem likumā „Par valsts budžetu 2011. gadam"</w:t>
      </w:r>
    </w:p>
  </w:footnote>
  <w:footnote w:id="2">
    <w:p w:rsidR="00BD658F" w:rsidRDefault="00BD658F" w:rsidP="005F129B">
      <w:pPr>
        <w:pStyle w:val="FootnoteText"/>
      </w:pPr>
      <w:r>
        <w:rPr>
          <w:rStyle w:val="FootnoteReference"/>
        </w:rPr>
        <w:footnoteRef/>
      </w:r>
      <w:r>
        <w:t xml:space="preserve"> </w:t>
      </w:r>
      <w:r w:rsidRPr="00860DA8">
        <w:t>Bāzes prognoze</w:t>
      </w:r>
    </w:p>
  </w:footnote>
  <w:footnote w:id="3">
    <w:p w:rsidR="00BD658F" w:rsidRDefault="00BD658F" w:rsidP="005F129B">
      <w:pPr>
        <w:pStyle w:val="FootnoteText"/>
      </w:pPr>
      <w:r>
        <w:rPr>
          <w:rStyle w:val="FootnoteReference"/>
        </w:rPr>
        <w:footnoteRef/>
      </w:r>
      <w:r>
        <w:t xml:space="preserve"> </w:t>
      </w:r>
      <w:r>
        <w:t>Ieskaitot iemaksas valsts fondēto pensiju shēmā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8F" w:rsidRDefault="00BD65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58F" w:rsidRDefault="00BD6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8F" w:rsidRDefault="00BD65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78E2">
      <w:rPr>
        <w:rStyle w:val="PageNumber"/>
        <w:noProof/>
      </w:rPr>
      <w:t>18</w:t>
    </w:r>
    <w:r>
      <w:rPr>
        <w:rStyle w:val="PageNumber"/>
      </w:rPr>
      <w:fldChar w:fldCharType="end"/>
    </w:r>
  </w:p>
  <w:p w:rsidR="00BD658F" w:rsidRDefault="00BD6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D33"/>
    <w:multiLevelType w:val="hybridMultilevel"/>
    <w:tmpl w:val="00ECD81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
    <w:nsid w:val="039E7296"/>
    <w:multiLevelType w:val="hybridMultilevel"/>
    <w:tmpl w:val="8F08C840"/>
    <w:lvl w:ilvl="0" w:tplc="6262B0B4">
      <w:start w:val="5"/>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4FC6374"/>
    <w:multiLevelType w:val="hybridMultilevel"/>
    <w:tmpl w:val="4100E94C"/>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07934D3F"/>
    <w:multiLevelType w:val="hybridMultilevel"/>
    <w:tmpl w:val="61DCD0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D23270E"/>
    <w:multiLevelType w:val="hybridMultilevel"/>
    <w:tmpl w:val="037877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FFD00F6"/>
    <w:multiLevelType w:val="hybridMultilevel"/>
    <w:tmpl w:val="F758B2B0"/>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10541DEF"/>
    <w:multiLevelType w:val="hybridMultilevel"/>
    <w:tmpl w:val="B9683D6A"/>
    <w:lvl w:ilvl="0" w:tplc="0A1E9E92">
      <w:numFmt w:val="bullet"/>
      <w:lvlText w:val="-"/>
      <w:lvlJc w:val="left"/>
      <w:pPr>
        <w:ind w:left="936"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nsid w:val="121C6C59"/>
    <w:multiLevelType w:val="hybridMultilevel"/>
    <w:tmpl w:val="D4A0BF5E"/>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nsid w:val="14105CA9"/>
    <w:multiLevelType w:val="hybridMultilevel"/>
    <w:tmpl w:val="D89EE4A2"/>
    <w:lvl w:ilvl="0" w:tplc="BD841C0E">
      <w:start w:val="1"/>
      <w:numFmt w:val="decimal"/>
      <w:pStyle w:val="ParagraphNumbering"/>
      <w:lvlText w:val="%1.     "/>
      <w:lvlJc w:val="left"/>
      <w:pPr>
        <w:tabs>
          <w:tab w:val="num" w:pos="720"/>
        </w:tabs>
        <w:ind w:left="0" w:firstLine="0"/>
      </w:pPr>
      <w:rPr>
        <w:rFonts w:hint="default"/>
        <w:b/>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6211A3"/>
    <w:multiLevelType w:val="hybridMultilevel"/>
    <w:tmpl w:val="804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504C8"/>
    <w:multiLevelType w:val="hybridMultilevel"/>
    <w:tmpl w:val="F2FC7270"/>
    <w:lvl w:ilvl="0" w:tplc="2DF470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A5530D3"/>
    <w:multiLevelType w:val="hybridMultilevel"/>
    <w:tmpl w:val="D550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11A78"/>
    <w:multiLevelType w:val="hybridMultilevel"/>
    <w:tmpl w:val="64708EF8"/>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44BF9"/>
    <w:multiLevelType w:val="hybridMultilevel"/>
    <w:tmpl w:val="74267B5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9662BD6"/>
    <w:multiLevelType w:val="hybridMultilevel"/>
    <w:tmpl w:val="EBB4FECA"/>
    <w:lvl w:ilvl="0" w:tplc="D1320A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09A0A83"/>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9712751"/>
    <w:multiLevelType w:val="hybridMultilevel"/>
    <w:tmpl w:val="B3F65F4E"/>
    <w:lvl w:ilvl="0" w:tplc="8F50874A">
      <w:start w:val="1"/>
      <w:numFmt w:val="lowerLetter"/>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56153CAE"/>
    <w:multiLevelType w:val="hybridMultilevel"/>
    <w:tmpl w:val="5BD8C37A"/>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77B12"/>
    <w:multiLevelType w:val="hybridMultilevel"/>
    <w:tmpl w:val="8D8E0AE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nsid w:val="6BA84E6C"/>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45A64B8"/>
    <w:multiLevelType w:val="hybridMultilevel"/>
    <w:tmpl w:val="71068E40"/>
    <w:lvl w:ilvl="0" w:tplc="D61C66D2">
      <w:start w:val="1"/>
      <w:numFmt w:val="decimal"/>
      <w:pStyle w:val="Pielikumiem"/>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97B3A5E"/>
    <w:multiLevelType w:val="hybridMultilevel"/>
    <w:tmpl w:val="1F7ACB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A723F85"/>
    <w:multiLevelType w:val="hybridMultilevel"/>
    <w:tmpl w:val="D7FC5A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B456433"/>
    <w:multiLevelType w:val="multilevel"/>
    <w:tmpl w:val="D17ABF9E"/>
    <w:styleLink w:val="StilsStrukturtsnumurts"/>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6"/>
  </w:num>
  <w:num w:numId="3">
    <w:abstractNumId w:val="4"/>
  </w:num>
  <w:num w:numId="4">
    <w:abstractNumId w:val="21"/>
  </w:num>
  <w:num w:numId="5">
    <w:abstractNumId w:val="25"/>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11"/>
  </w:num>
  <w:num w:numId="17">
    <w:abstractNumId w:val="1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num>
  <w:num w:numId="21">
    <w:abstractNumId w:val="23"/>
  </w:num>
  <w:num w:numId="22">
    <w:abstractNumId w:val="2"/>
  </w:num>
  <w:num w:numId="23">
    <w:abstractNumId w:val="6"/>
  </w:num>
  <w:num w:numId="24">
    <w:abstractNumId w:val="5"/>
  </w:num>
  <w:num w:numId="25">
    <w:abstractNumId w:val="9"/>
  </w:num>
  <w:num w:numId="26">
    <w:abstractNumId w:val="12"/>
  </w:num>
  <w:num w:numId="27">
    <w:abstractNumId w:val="10"/>
  </w:num>
  <w:num w:numId="28">
    <w:abstractNumId w:val="13"/>
  </w:num>
  <w:num w:numId="29">
    <w:abstractNumId w:val="18"/>
  </w:num>
  <w:num w:numId="30">
    <w:abstractNumId w:val="3"/>
  </w:num>
  <w:num w:numId="31">
    <w:abstractNumId w:val="8"/>
  </w:num>
  <w:num w:numId="32">
    <w:abstractNumId w:val="0"/>
  </w:num>
  <w:num w:numId="33">
    <w:abstractNumId w:val="17"/>
    <w:lvlOverride w:ilvl="0">
      <w:startOverride w:val="1"/>
    </w:lvlOverride>
    <w:lvlOverride w:ilvl="1"/>
    <w:lvlOverride w:ilvl="2"/>
    <w:lvlOverride w:ilvl="3"/>
    <w:lvlOverride w:ilvl="4"/>
    <w:lvlOverride w:ilvl="5"/>
    <w:lvlOverride w:ilvl="6"/>
    <w:lvlOverride w:ilvl="7"/>
    <w:lvlOverride w:ilvl="8"/>
  </w:num>
  <w:num w:numId="34">
    <w:abstractNumId w:val="14"/>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CE"/>
    <w:rsid w:val="00000DC6"/>
    <w:rsid w:val="000060E8"/>
    <w:rsid w:val="00022106"/>
    <w:rsid w:val="00036DEF"/>
    <w:rsid w:val="00044C82"/>
    <w:rsid w:val="00061454"/>
    <w:rsid w:val="00066CF2"/>
    <w:rsid w:val="000671E1"/>
    <w:rsid w:val="00083922"/>
    <w:rsid w:val="000A166A"/>
    <w:rsid w:val="000A54C4"/>
    <w:rsid w:val="000C3BF5"/>
    <w:rsid w:val="000D4C08"/>
    <w:rsid w:val="000D590F"/>
    <w:rsid w:val="000D78E2"/>
    <w:rsid w:val="000E5DA8"/>
    <w:rsid w:val="00101054"/>
    <w:rsid w:val="00114325"/>
    <w:rsid w:val="0012225E"/>
    <w:rsid w:val="00122891"/>
    <w:rsid w:val="00127FA7"/>
    <w:rsid w:val="00133BE4"/>
    <w:rsid w:val="00134BD5"/>
    <w:rsid w:val="00134DD0"/>
    <w:rsid w:val="001355F5"/>
    <w:rsid w:val="001361B9"/>
    <w:rsid w:val="00142AA9"/>
    <w:rsid w:val="001448B2"/>
    <w:rsid w:val="00145352"/>
    <w:rsid w:val="001456D6"/>
    <w:rsid w:val="0015672D"/>
    <w:rsid w:val="00157854"/>
    <w:rsid w:val="001A2264"/>
    <w:rsid w:val="001A507E"/>
    <w:rsid w:val="001B588D"/>
    <w:rsid w:val="001E5278"/>
    <w:rsid w:val="001E664D"/>
    <w:rsid w:val="001F34CE"/>
    <w:rsid w:val="001F44B1"/>
    <w:rsid w:val="002056FA"/>
    <w:rsid w:val="00207438"/>
    <w:rsid w:val="00213DBF"/>
    <w:rsid w:val="0021578A"/>
    <w:rsid w:val="002355D8"/>
    <w:rsid w:val="00252040"/>
    <w:rsid w:val="002527BB"/>
    <w:rsid w:val="00252F68"/>
    <w:rsid w:val="0026226B"/>
    <w:rsid w:val="00291CF3"/>
    <w:rsid w:val="002A63F9"/>
    <w:rsid w:val="002C39C9"/>
    <w:rsid w:val="002D1088"/>
    <w:rsid w:val="002D4D74"/>
    <w:rsid w:val="003003A1"/>
    <w:rsid w:val="00330772"/>
    <w:rsid w:val="00336A6B"/>
    <w:rsid w:val="00344F6E"/>
    <w:rsid w:val="00364EEE"/>
    <w:rsid w:val="00393930"/>
    <w:rsid w:val="003A5454"/>
    <w:rsid w:val="003B2BD8"/>
    <w:rsid w:val="003B46A0"/>
    <w:rsid w:val="003C27AE"/>
    <w:rsid w:val="003D5D95"/>
    <w:rsid w:val="003E0024"/>
    <w:rsid w:val="00400C6A"/>
    <w:rsid w:val="00410E79"/>
    <w:rsid w:val="004114E5"/>
    <w:rsid w:val="0041260E"/>
    <w:rsid w:val="00423777"/>
    <w:rsid w:val="0042405B"/>
    <w:rsid w:val="004266CD"/>
    <w:rsid w:val="00427208"/>
    <w:rsid w:val="004348B5"/>
    <w:rsid w:val="0044499C"/>
    <w:rsid w:val="0045144D"/>
    <w:rsid w:val="00454A90"/>
    <w:rsid w:val="004629EB"/>
    <w:rsid w:val="00465A1D"/>
    <w:rsid w:val="004712F5"/>
    <w:rsid w:val="00471BF5"/>
    <w:rsid w:val="00475771"/>
    <w:rsid w:val="00475B04"/>
    <w:rsid w:val="0048459D"/>
    <w:rsid w:val="0048751D"/>
    <w:rsid w:val="00487B48"/>
    <w:rsid w:val="004C27DA"/>
    <w:rsid w:val="004C38EB"/>
    <w:rsid w:val="004C6B7E"/>
    <w:rsid w:val="004E010B"/>
    <w:rsid w:val="004E2E8C"/>
    <w:rsid w:val="004E37DB"/>
    <w:rsid w:val="004E3DEC"/>
    <w:rsid w:val="005113E2"/>
    <w:rsid w:val="005118D3"/>
    <w:rsid w:val="00511F93"/>
    <w:rsid w:val="0051414D"/>
    <w:rsid w:val="00517753"/>
    <w:rsid w:val="00527AFB"/>
    <w:rsid w:val="0053379C"/>
    <w:rsid w:val="00557222"/>
    <w:rsid w:val="005603AA"/>
    <w:rsid w:val="00574657"/>
    <w:rsid w:val="00575E52"/>
    <w:rsid w:val="0058233A"/>
    <w:rsid w:val="0059717B"/>
    <w:rsid w:val="005B4EC7"/>
    <w:rsid w:val="005B701E"/>
    <w:rsid w:val="005E399E"/>
    <w:rsid w:val="005E4A97"/>
    <w:rsid w:val="005F129B"/>
    <w:rsid w:val="005F5CEB"/>
    <w:rsid w:val="00600C94"/>
    <w:rsid w:val="0060137C"/>
    <w:rsid w:val="00625D59"/>
    <w:rsid w:val="00630A32"/>
    <w:rsid w:val="006329EA"/>
    <w:rsid w:val="00632C66"/>
    <w:rsid w:val="00633480"/>
    <w:rsid w:val="006438D0"/>
    <w:rsid w:val="00654557"/>
    <w:rsid w:val="00656B9F"/>
    <w:rsid w:val="0066058D"/>
    <w:rsid w:val="00662E9E"/>
    <w:rsid w:val="00665E58"/>
    <w:rsid w:val="0067144F"/>
    <w:rsid w:val="00674425"/>
    <w:rsid w:val="00675D59"/>
    <w:rsid w:val="0068412C"/>
    <w:rsid w:val="00686EB1"/>
    <w:rsid w:val="0069156A"/>
    <w:rsid w:val="00693D44"/>
    <w:rsid w:val="00693F08"/>
    <w:rsid w:val="006B1AA8"/>
    <w:rsid w:val="006B3117"/>
    <w:rsid w:val="006C2C20"/>
    <w:rsid w:val="006D6DD5"/>
    <w:rsid w:val="006F574C"/>
    <w:rsid w:val="00701176"/>
    <w:rsid w:val="00702D98"/>
    <w:rsid w:val="00706535"/>
    <w:rsid w:val="0070742F"/>
    <w:rsid w:val="00707721"/>
    <w:rsid w:val="007125BD"/>
    <w:rsid w:val="00730BA1"/>
    <w:rsid w:val="00762D5A"/>
    <w:rsid w:val="00765A56"/>
    <w:rsid w:val="007767B6"/>
    <w:rsid w:val="0078220F"/>
    <w:rsid w:val="00782F22"/>
    <w:rsid w:val="00783397"/>
    <w:rsid w:val="0078668C"/>
    <w:rsid w:val="0079307C"/>
    <w:rsid w:val="00793CCE"/>
    <w:rsid w:val="00793ED6"/>
    <w:rsid w:val="0079416C"/>
    <w:rsid w:val="007A027F"/>
    <w:rsid w:val="007F6E38"/>
    <w:rsid w:val="00804421"/>
    <w:rsid w:val="0080602A"/>
    <w:rsid w:val="0081494D"/>
    <w:rsid w:val="0082764E"/>
    <w:rsid w:val="008557F9"/>
    <w:rsid w:val="008729EE"/>
    <w:rsid w:val="008803F1"/>
    <w:rsid w:val="00880D89"/>
    <w:rsid w:val="00880E4A"/>
    <w:rsid w:val="00882C07"/>
    <w:rsid w:val="0088439D"/>
    <w:rsid w:val="00887DDF"/>
    <w:rsid w:val="00893DF7"/>
    <w:rsid w:val="008A4B82"/>
    <w:rsid w:val="008A52A4"/>
    <w:rsid w:val="008A5FE6"/>
    <w:rsid w:val="008C736D"/>
    <w:rsid w:val="008D010F"/>
    <w:rsid w:val="008D6831"/>
    <w:rsid w:val="008F7E5F"/>
    <w:rsid w:val="00902F07"/>
    <w:rsid w:val="00920B14"/>
    <w:rsid w:val="009242A7"/>
    <w:rsid w:val="00925145"/>
    <w:rsid w:val="009457B7"/>
    <w:rsid w:val="0094580F"/>
    <w:rsid w:val="00947E28"/>
    <w:rsid w:val="00950BDB"/>
    <w:rsid w:val="00955AE9"/>
    <w:rsid w:val="00956CBC"/>
    <w:rsid w:val="00973BCF"/>
    <w:rsid w:val="009A4B58"/>
    <w:rsid w:val="009D0B04"/>
    <w:rsid w:val="009D167C"/>
    <w:rsid w:val="009E1865"/>
    <w:rsid w:val="009E4D0A"/>
    <w:rsid w:val="00A028F2"/>
    <w:rsid w:val="00A14161"/>
    <w:rsid w:val="00A17D29"/>
    <w:rsid w:val="00A214D5"/>
    <w:rsid w:val="00A2395C"/>
    <w:rsid w:val="00A3329C"/>
    <w:rsid w:val="00A34127"/>
    <w:rsid w:val="00A50C19"/>
    <w:rsid w:val="00A54964"/>
    <w:rsid w:val="00A72B53"/>
    <w:rsid w:val="00A739A3"/>
    <w:rsid w:val="00A77D36"/>
    <w:rsid w:val="00A81AC7"/>
    <w:rsid w:val="00A848A6"/>
    <w:rsid w:val="00A8600F"/>
    <w:rsid w:val="00A9140B"/>
    <w:rsid w:val="00AB18F4"/>
    <w:rsid w:val="00AC3C9A"/>
    <w:rsid w:val="00AD0C63"/>
    <w:rsid w:val="00AD7807"/>
    <w:rsid w:val="00AE1688"/>
    <w:rsid w:val="00AF0204"/>
    <w:rsid w:val="00B22B6A"/>
    <w:rsid w:val="00B4299D"/>
    <w:rsid w:val="00B83465"/>
    <w:rsid w:val="00B85B24"/>
    <w:rsid w:val="00B87B40"/>
    <w:rsid w:val="00B905AB"/>
    <w:rsid w:val="00B9689F"/>
    <w:rsid w:val="00BA6EE5"/>
    <w:rsid w:val="00BA6F51"/>
    <w:rsid w:val="00BC028A"/>
    <w:rsid w:val="00BD658F"/>
    <w:rsid w:val="00BF76BD"/>
    <w:rsid w:val="00C364B0"/>
    <w:rsid w:val="00C66FD9"/>
    <w:rsid w:val="00C75F33"/>
    <w:rsid w:val="00C90F0D"/>
    <w:rsid w:val="00CA6B37"/>
    <w:rsid w:val="00CB2865"/>
    <w:rsid w:val="00CC03BA"/>
    <w:rsid w:val="00CC07F2"/>
    <w:rsid w:val="00CD4895"/>
    <w:rsid w:val="00CD5B07"/>
    <w:rsid w:val="00CE7FDA"/>
    <w:rsid w:val="00D04D94"/>
    <w:rsid w:val="00D10C8D"/>
    <w:rsid w:val="00D12BDC"/>
    <w:rsid w:val="00D254F8"/>
    <w:rsid w:val="00D31566"/>
    <w:rsid w:val="00D37C3A"/>
    <w:rsid w:val="00D40F0F"/>
    <w:rsid w:val="00D4252A"/>
    <w:rsid w:val="00D63F84"/>
    <w:rsid w:val="00D8363A"/>
    <w:rsid w:val="00D87369"/>
    <w:rsid w:val="00DB3A6C"/>
    <w:rsid w:val="00DB64A9"/>
    <w:rsid w:val="00DE10B7"/>
    <w:rsid w:val="00DE76AF"/>
    <w:rsid w:val="00E17610"/>
    <w:rsid w:val="00E52CAF"/>
    <w:rsid w:val="00E53C83"/>
    <w:rsid w:val="00E5553F"/>
    <w:rsid w:val="00E561BF"/>
    <w:rsid w:val="00E63086"/>
    <w:rsid w:val="00E6348C"/>
    <w:rsid w:val="00E7295D"/>
    <w:rsid w:val="00E746CB"/>
    <w:rsid w:val="00E904D7"/>
    <w:rsid w:val="00E94005"/>
    <w:rsid w:val="00EC1265"/>
    <w:rsid w:val="00EE3FA8"/>
    <w:rsid w:val="00EE5519"/>
    <w:rsid w:val="00EF3D72"/>
    <w:rsid w:val="00EF4D9C"/>
    <w:rsid w:val="00F118C8"/>
    <w:rsid w:val="00F158DB"/>
    <w:rsid w:val="00F304C7"/>
    <w:rsid w:val="00F34404"/>
    <w:rsid w:val="00F441AA"/>
    <w:rsid w:val="00F4729C"/>
    <w:rsid w:val="00F502F5"/>
    <w:rsid w:val="00F52691"/>
    <w:rsid w:val="00F54B21"/>
    <w:rsid w:val="00F55BF1"/>
    <w:rsid w:val="00F62B62"/>
    <w:rsid w:val="00F64453"/>
    <w:rsid w:val="00F64FA6"/>
    <w:rsid w:val="00F75C90"/>
    <w:rsid w:val="00F91E5F"/>
    <w:rsid w:val="00F94DBF"/>
    <w:rsid w:val="00F97713"/>
    <w:rsid w:val="00FA1E04"/>
    <w:rsid w:val="00FB24A3"/>
    <w:rsid w:val="00FC14E4"/>
    <w:rsid w:val="00FC4D79"/>
    <w:rsid w:val="00FC7364"/>
    <w:rsid w:val="00FD2281"/>
    <w:rsid w:val="00FD72E5"/>
    <w:rsid w:val="00FE02FD"/>
    <w:rsid w:val="00FF72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F6E"/>
    <w:pPr>
      <w:jc w:val="both"/>
    </w:pPr>
    <w:rPr>
      <w:sz w:val="24"/>
      <w:lang w:val="lv-LV"/>
    </w:rPr>
  </w:style>
  <w:style w:type="paragraph" w:styleId="Heading1">
    <w:name w:val="heading 1"/>
    <w:basedOn w:val="Normal"/>
    <w:next w:val="Normal"/>
    <w:qFormat/>
    <w:rsid w:val="00DB3A6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nhideWhenUsed/>
    <w:qFormat/>
    <w:rsid w:val="000E5DA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6CBC"/>
    <w:pPr>
      <w:tabs>
        <w:tab w:val="center" w:pos="4153"/>
        <w:tab w:val="right" w:pos="8306"/>
      </w:tabs>
    </w:pPr>
    <w:rPr>
      <w:sz w:val="20"/>
    </w:rPr>
  </w:style>
  <w:style w:type="paragraph" w:customStyle="1" w:styleId="H4">
    <w:name w:val="H4"/>
    <w:rsid w:val="00956CBC"/>
    <w:pPr>
      <w:spacing w:after="120"/>
      <w:jc w:val="center"/>
      <w:outlineLvl w:val="3"/>
    </w:pPr>
    <w:rPr>
      <w:b/>
      <w:sz w:val="28"/>
      <w:lang w:val="lv-LV" w:eastAsia="zh-CN"/>
    </w:rPr>
  </w:style>
  <w:style w:type="paragraph" w:customStyle="1" w:styleId="H3">
    <w:name w:val="H3"/>
    <w:rsid w:val="00956CBC"/>
    <w:pPr>
      <w:spacing w:after="120"/>
      <w:jc w:val="center"/>
      <w:outlineLvl w:val="2"/>
    </w:pPr>
    <w:rPr>
      <w:b/>
      <w:sz w:val="32"/>
      <w:lang w:val="lv-LV" w:eastAsia="zh-CN"/>
    </w:rPr>
  </w:style>
  <w:style w:type="paragraph" w:customStyle="1" w:styleId="H2">
    <w:name w:val="H2"/>
    <w:uiPriority w:val="99"/>
    <w:rsid w:val="00956CBC"/>
    <w:pPr>
      <w:spacing w:after="120"/>
      <w:jc w:val="center"/>
      <w:outlineLvl w:val="1"/>
    </w:pPr>
    <w:rPr>
      <w:b/>
      <w:sz w:val="36"/>
      <w:lang w:val="lv-LV" w:eastAsia="zh-CN"/>
    </w:rPr>
  </w:style>
  <w:style w:type="paragraph" w:customStyle="1" w:styleId="H1">
    <w:name w:val="H1"/>
    <w:rsid w:val="00956CBC"/>
    <w:pPr>
      <w:spacing w:after="120"/>
      <w:jc w:val="center"/>
      <w:outlineLvl w:val="0"/>
    </w:pPr>
    <w:rPr>
      <w:b/>
      <w:sz w:val="44"/>
      <w:lang w:val="lv-LV" w:eastAsia="zh-CN"/>
    </w:rPr>
  </w:style>
  <w:style w:type="paragraph" w:customStyle="1" w:styleId="T">
    <w:name w:val="T"/>
    <w:basedOn w:val="Normal"/>
    <w:uiPriority w:val="99"/>
    <w:rsid w:val="00956CBC"/>
    <w:pPr>
      <w:jc w:val="center"/>
    </w:pPr>
    <w:rPr>
      <w:b/>
      <w:i/>
    </w:rPr>
  </w:style>
  <w:style w:type="paragraph" w:customStyle="1" w:styleId="Z">
    <w:name w:val="Z"/>
    <w:basedOn w:val="T"/>
    <w:uiPriority w:val="99"/>
    <w:rsid w:val="00956CBC"/>
  </w:style>
  <w:style w:type="character" w:styleId="PageNumber">
    <w:name w:val="page number"/>
    <w:basedOn w:val="DefaultParagraphFont"/>
    <w:rsid w:val="00956CBC"/>
  </w:style>
  <w:style w:type="paragraph" w:styleId="Header">
    <w:name w:val="header"/>
    <w:basedOn w:val="Normal"/>
    <w:link w:val="HeaderChar"/>
    <w:uiPriority w:val="99"/>
    <w:rsid w:val="00956CBC"/>
    <w:pPr>
      <w:tabs>
        <w:tab w:val="center" w:pos="4153"/>
        <w:tab w:val="right" w:pos="8306"/>
      </w:tabs>
    </w:pPr>
  </w:style>
  <w:style w:type="paragraph" w:customStyle="1" w:styleId="StilsPirmrindia0cm">
    <w:name w:val="Stils Pirmā rindiņa:  0 cm"/>
    <w:basedOn w:val="Normal"/>
    <w:rsid w:val="00DB3A6C"/>
  </w:style>
  <w:style w:type="numbering" w:customStyle="1" w:styleId="StilsStrukturtsnumurts">
    <w:name w:val="Stils Strukturēts numurēts"/>
    <w:basedOn w:val="NoList"/>
    <w:rsid w:val="00142AA9"/>
    <w:pPr>
      <w:numPr>
        <w:numId w:val="5"/>
      </w:numPr>
    </w:pPr>
  </w:style>
  <w:style w:type="paragraph" w:styleId="BalloonText">
    <w:name w:val="Balloon Text"/>
    <w:basedOn w:val="Normal"/>
    <w:semiHidden/>
    <w:rsid w:val="001456D6"/>
    <w:rPr>
      <w:rFonts w:ascii="Tahoma" w:hAnsi="Tahoma" w:cs="Tahoma"/>
      <w:sz w:val="16"/>
      <w:szCs w:val="16"/>
    </w:rPr>
  </w:style>
  <w:style w:type="paragraph" w:customStyle="1" w:styleId="Lielaisvirsraksts">
    <w:name w:val="Lielais virsraksts"/>
    <w:basedOn w:val="Heading1"/>
    <w:next w:val="Normal"/>
    <w:rsid w:val="00DB3A6C"/>
    <w:pPr>
      <w:numPr>
        <w:numId w:val="3"/>
      </w:numPr>
      <w:jc w:val="center"/>
    </w:pPr>
    <w:rPr>
      <w:rFonts w:ascii="Times New Roman" w:hAnsi="Times New Roman"/>
    </w:rPr>
  </w:style>
  <w:style w:type="paragraph" w:customStyle="1" w:styleId="Pielikumiem">
    <w:name w:val="Pielikumiem"/>
    <w:basedOn w:val="Heading1"/>
    <w:next w:val="BodyText"/>
    <w:rsid w:val="00DB3A6C"/>
    <w:pPr>
      <w:numPr>
        <w:numId w:val="4"/>
      </w:numPr>
      <w:jc w:val="right"/>
    </w:pPr>
    <w:rPr>
      <w:rFonts w:ascii="Times New Roman" w:hAnsi="Times New Roman"/>
      <w:sz w:val="28"/>
    </w:rPr>
  </w:style>
  <w:style w:type="paragraph" w:styleId="BodyText">
    <w:name w:val="Body Text"/>
    <w:basedOn w:val="Normal"/>
    <w:rsid w:val="00DB3A6C"/>
  </w:style>
  <w:style w:type="paragraph" w:customStyle="1" w:styleId="11">
    <w:name w:val="1.1"/>
    <w:basedOn w:val="Normal"/>
    <w:rsid w:val="0069156A"/>
  </w:style>
  <w:style w:type="paragraph" w:customStyle="1" w:styleId="1">
    <w:name w:val="1"/>
    <w:basedOn w:val="Normal"/>
    <w:rsid w:val="0069156A"/>
  </w:style>
  <w:style w:type="paragraph" w:customStyle="1" w:styleId="111">
    <w:name w:val="1.1.1"/>
    <w:basedOn w:val="Normal"/>
    <w:rsid w:val="0069156A"/>
  </w:style>
  <w:style w:type="paragraph" w:customStyle="1" w:styleId="1111">
    <w:name w:val="1.1.1.1"/>
    <w:basedOn w:val="Normal"/>
    <w:rsid w:val="0069156A"/>
    <w:pPr>
      <w:tabs>
        <w:tab w:val="left" w:pos="2835"/>
      </w:tabs>
    </w:pPr>
  </w:style>
  <w:style w:type="paragraph" w:customStyle="1" w:styleId="Stlis11111">
    <w:name w:val="Stlis 1.1.1.1.1"/>
    <w:basedOn w:val="Normal"/>
    <w:rsid w:val="0069156A"/>
  </w:style>
  <w:style w:type="paragraph" w:customStyle="1" w:styleId="Stlis1">
    <w:name w:val="Stlis 1"/>
    <w:basedOn w:val="Normal"/>
    <w:rsid w:val="0069156A"/>
    <w:pPr>
      <w:numPr>
        <w:numId w:val="15"/>
      </w:numPr>
    </w:pPr>
  </w:style>
  <w:style w:type="paragraph" w:customStyle="1" w:styleId="Stils11">
    <w:name w:val="Stils 1.1"/>
    <w:basedOn w:val="Normal"/>
    <w:rsid w:val="0069156A"/>
    <w:pPr>
      <w:numPr>
        <w:ilvl w:val="1"/>
        <w:numId w:val="15"/>
      </w:numPr>
    </w:pPr>
  </w:style>
  <w:style w:type="paragraph" w:customStyle="1" w:styleId="Stils111">
    <w:name w:val="Stils 1.1.1"/>
    <w:basedOn w:val="Normal"/>
    <w:rsid w:val="0069156A"/>
    <w:pPr>
      <w:numPr>
        <w:ilvl w:val="2"/>
        <w:numId w:val="15"/>
      </w:numPr>
    </w:pPr>
  </w:style>
  <w:style w:type="paragraph" w:customStyle="1" w:styleId="Stlis1111">
    <w:name w:val="Stlis 1.1.1.1"/>
    <w:basedOn w:val="Normal"/>
    <w:rsid w:val="0069156A"/>
    <w:pPr>
      <w:numPr>
        <w:ilvl w:val="3"/>
        <w:numId w:val="15"/>
      </w:numPr>
      <w:tabs>
        <w:tab w:val="left" w:pos="2835"/>
      </w:tabs>
    </w:pPr>
  </w:style>
  <w:style w:type="paragraph" w:customStyle="1" w:styleId="Stils11111">
    <w:name w:val="Stils 1.1.1.1.1"/>
    <w:basedOn w:val="Normal"/>
    <w:rsid w:val="0069156A"/>
    <w:pPr>
      <w:numPr>
        <w:ilvl w:val="4"/>
        <w:numId w:val="15"/>
      </w:numPr>
    </w:pPr>
  </w:style>
  <w:style w:type="table" w:styleId="TableGrid">
    <w:name w:val="Table Grid"/>
    <w:basedOn w:val="TableNormal"/>
    <w:uiPriority w:val="59"/>
    <w:rsid w:val="00344F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17753"/>
    <w:pPr>
      <w:ind w:left="720"/>
      <w:jc w:val="left"/>
    </w:pPr>
    <w:rPr>
      <w:rFonts w:eastAsia="Calibri"/>
      <w:szCs w:val="24"/>
      <w:lang w:eastAsia="lv-LV"/>
    </w:rPr>
  </w:style>
  <w:style w:type="character" w:styleId="Hyperlink">
    <w:name w:val="Hyperlink"/>
    <w:basedOn w:val="DefaultParagraphFont"/>
    <w:uiPriority w:val="99"/>
    <w:unhideWhenUsed/>
    <w:rsid w:val="0082764E"/>
    <w:rPr>
      <w:color w:val="0000FF"/>
      <w:u w:val="single"/>
    </w:rPr>
  </w:style>
  <w:style w:type="paragraph" w:customStyle="1" w:styleId="naisf">
    <w:name w:val="naisf"/>
    <w:basedOn w:val="Normal"/>
    <w:rsid w:val="0082764E"/>
    <w:pPr>
      <w:spacing w:before="100" w:beforeAutospacing="1" w:after="100" w:afterAutospacing="1"/>
      <w:jc w:val="left"/>
    </w:pPr>
    <w:rPr>
      <w:szCs w:val="24"/>
      <w:lang w:eastAsia="lv-LV"/>
    </w:rPr>
  </w:style>
  <w:style w:type="character" w:customStyle="1" w:styleId="Heading3Char">
    <w:name w:val="Heading 3 Char"/>
    <w:basedOn w:val="DefaultParagraphFont"/>
    <w:link w:val="Heading3"/>
    <w:rsid w:val="000E5DA8"/>
    <w:rPr>
      <w:rFonts w:ascii="Cambria" w:eastAsia="Times New Roman" w:hAnsi="Cambria" w:cs="Times New Roman"/>
      <w:b/>
      <w:bCs/>
      <w:sz w:val="26"/>
      <w:szCs w:val="26"/>
      <w:lang w:eastAsia="en-US"/>
    </w:rPr>
  </w:style>
  <w:style w:type="paragraph" w:styleId="NormalWeb">
    <w:name w:val="Normal (Web)"/>
    <w:basedOn w:val="Normal"/>
    <w:uiPriority w:val="99"/>
    <w:unhideWhenUsed/>
    <w:rsid w:val="00F91E5F"/>
    <w:pPr>
      <w:spacing w:before="100" w:beforeAutospacing="1" w:after="100" w:afterAutospacing="1"/>
      <w:jc w:val="left"/>
    </w:pPr>
    <w:rPr>
      <w:rFonts w:eastAsia="Calibri"/>
      <w:szCs w:val="24"/>
      <w:lang w:eastAsia="lv-LV"/>
    </w:rPr>
  </w:style>
  <w:style w:type="character" w:customStyle="1" w:styleId="HeaderChar">
    <w:name w:val="Header Char"/>
    <w:basedOn w:val="DefaultParagraphFont"/>
    <w:link w:val="Header"/>
    <w:uiPriority w:val="99"/>
    <w:rsid w:val="00F91E5F"/>
    <w:rPr>
      <w:sz w:val="24"/>
      <w:lang w:eastAsia="en-US"/>
    </w:rPr>
  </w:style>
  <w:style w:type="character" w:styleId="CommentReference">
    <w:name w:val="annotation reference"/>
    <w:basedOn w:val="DefaultParagraphFont"/>
    <w:rsid w:val="00F97713"/>
    <w:rPr>
      <w:sz w:val="16"/>
      <w:szCs w:val="16"/>
    </w:rPr>
  </w:style>
  <w:style w:type="paragraph" w:styleId="CommentText">
    <w:name w:val="annotation text"/>
    <w:basedOn w:val="Normal"/>
    <w:link w:val="CommentTextChar"/>
    <w:rsid w:val="00F97713"/>
    <w:rPr>
      <w:sz w:val="20"/>
    </w:rPr>
  </w:style>
  <w:style w:type="character" w:customStyle="1" w:styleId="CommentTextChar">
    <w:name w:val="Comment Text Char"/>
    <w:basedOn w:val="DefaultParagraphFont"/>
    <w:link w:val="CommentText"/>
    <w:rsid w:val="00F97713"/>
    <w:rPr>
      <w:lang w:eastAsia="en-US"/>
    </w:rPr>
  </w:style>
  <w:style w:type="paragraph" w:styleId="CommentSubject">
    <w:name w:val="annotation subject"/>
    <w:basedOn w:val="CommentText"/>
    <w:next w:val="CommentText"/>
    <w:link w:val="CommentSubjectChar"/>
    <w:rsid w:val="00F97713"/>
    <w:rPr>
      <w:b/>
      <w:bCs/>
    </w:rPr>
  </w:style>
  <w:style w:type="character" w:customStyle="1" w:styleId="CommentSubjectChar">
    <w:name w:val="Comment Subject Char"/>
    <w:basedOn w:val="CommentTextChar"/>
    <w:link w:val="CommentSubject"/>
    <w:rsid w:val="00F97713"/>
    <w:rPr>
      <w:b/>
      <w:bCs/>
      <w:lang w:eastAsia="en-US"/>
    </w:rPr>
  </w:style>
  <w:style w:type="paragraph" w:customStyle="1" w:styleId="naiskr">
    <w:name w:val="naiskr"/>
    <w:basedOn w:val="Normal"/>
    <w:rsid w:val="006B1AA8"/>
    <w:pPr>
      <w:spacing w:before="100" w:beforeAutospacing="1" w:after="100" w:afterAutospacing="1"/>
      <w:jc w:val="left"/>
    </w:pPr>
    <w:rPr>
      <w:szCs w:val="24"/>
      <w:lang w:eastAsia="lv-LV"/>
    </w:rPr>
  </w:style>
  <w:style w:type="paragraph" w:styleId="BodyTextIndent">
    <w:name w:val="Body Text Indent"/>
    <w:basedOn w:val="Normal"/>
    <w:link w:val="BodyTextIndentChar"/>
    <w:rsid w:val="00706535"/>
    <w:pPr>
      <w:spacing w:after="120"/>
      <w:ind w:left="283"/>
    </w:pPr>
  </w:style>
  <w:style w:type="character" w:customStyle="1" w:styleId="BodyTextIndentChar">
    <w:name w:val="Body Text Indent Char"/>
    <w:basedOn w:val="DefaultParagraphFont"/>
    <w:link w:val="BodyTextIndent"/>
    <w:rsid w:val="00706535"/>
    <w:rPr>
      <w:sz w:val="24"/>
      <w:lang w:eastAsia="en-US"/>
    </w:rPr>
  </w:style>
  <w:style w:type="character" w:styleId="Emphasis">
    <w:name w:val="Emphasis"/>
    <w:basedOn w:val="DefaultParagraphFont"/>
    <w:uiPriority w:val="20"/>
    <w:qFormat/>
    <w:rsid w:val="00630A32"/>
    <w:rPr>
      <w:b/>
      <w:bCs/>
      <w:i w:val="0"/>
      <w:iCs w:val="0"/>
    </w:rPr>
  </w:style>
  <w:style w:type="character" w:customStyle="1" w:styleId="Bodytext0">
    <w:name w:val="Body text_"/>
    <w:basedOn w:val="DefaultParagraphFont"/>
    <w:link w:val="BodyText3"/>
    <w:rsid w:val="00654557"/>
    <w:rPr>
      <w:sz w:val="16"/>
      <w:szCs w:val="16"/>
      <w:shd w:val="clear" w:color="auto" w:fill="FFFFFF"/>
    </w:rPr>
  </w:style>
  <w:style w:type="paragraph" w:customStyle="1" w:styleId="BodyText3">
    <w:name w:val="Body Text3"/>
    <w:basedOn w:val="Normal"/>
    <w:link w:val="Bodytext0"/>
    <w:rsid w:val="00654557"/>
    <w:pPr>
      <w:shd w:val="clear" w:color="auto" w:fill="FFFFFF"/>
      <w:spacing w:line="0" w:lineRule="atLeast"/>
      <w:jc w:val="left"/>
    </w:pPr>
    <w:rPr>
      <w:sz w:val="16"/>
      <w:szCs w:val="16"/>
      <w:lang w:val="en-US"/>
    </w:rPr>
  </w:style>
  <w:style w:type="character" w:customStyle="1" w:styleId="BodyText2">
    <w:name w:val="Body Text2"/>
    <w:basedOn w:val="Bodytext0"/>
    <w:rsid w:val="00654557"/>
    <w:rPr>
      <w:rFonts w:ascii="Times New Roman" w:eastAsia="Times New Roman" w:hAnsi="Times New Roman" w:cs="Times New Roman"/>
      <w:b w:val="0"/>
      <w:bCs w:val="0"/>
      <w:i w:val="0"/>
      <w:iCs w:val="0"/>
      <w:smallCaps w:val="0"/>
      <w:strike w:val="0"/>
      <w:spacing w:val="0"/>
      <w:sz w:val="16"/>
      <w:szCs w:val="16"/>
      <w:u w:val="single"/>
      <w:shd w:val="clear" w:color="auto" w:fill="FFFFFF"/>
    </w:rPr>
  </w:style>
  <w:style w:type="paragraph" w:customStyle="1" w:styleId="tabteksts">
    <w:name w:val="tab_teksts"/>
    <w:basedOn w:val="Normal"/>
    <w:uiPriority w:val="99"/>
    <w:rsid w:val="005F129B"/>
    <w:pPr>
      <w:jc w:val="left"/>
    </w:pPr>
    <w:rPr>
      <w:sz w:val="20"/>
    </w:rPr>
  </w:style>
  <w:style w:type="paragraph" w:customStyle="1" w:styleId="Zpar">
    <w:name w:val="Z_par"/>
    <w:basedOn w:val="Z"/>
    <w:rsid w:val="005F129B"/>
    <w:pPr>
      <w:keepNext/>
      <w:spacing w:after="480"/>
      <w:ind w:left="1418" w:right="1701" w:hanging="851"/>
      <w:jc w:val="left"/>
    </w:pPr>
    <w:rPr>
      <w:rFonts w:ascii="Calibri" w:hAnsi="Calibri"/>
      <w:b w:val="0"/>
      <w:sz w:val="20"/>
    </w:rPr>
  </w:style>
  <w:style w:type="paragraph" w:styleId="FootnoteText">
    <w:name w:val="footnote text"/>
    <w:aliases w:val="Footnote,Fußnote"/>
    <w:basedOn w:val="Normal"/>
    <w:link w:val="FootnoteTextChar"/>
    <w:rsid w:val="005F129B"/>
    <w:pPr>
      <w:keepLines/>
      <w:widowControl w:val="0"/>
      <w:ind w:left="340" w:hanging="340"/>
      <w:jc w:val="left"/>
    </w:pPr>
    <w:rPr>
      <w:snapToGrid w:val="0"/>
      <w:color w:val="000000"/>
      <w:sz w:val="20"/>
    </w:rPr>
  </w:style>
  <w:style w:type="character" w:customStyle="1" w:styleId="FootnoteTextChar">
    <w:name w:val="Footnote Text Char"/>
    <w:aliases w:val="Footnote Char,Fußnote Char"/>
    <w:basedOn w:val="DefaultParagraphFont"/>
    <w:link w:val="FootnoteText"/>
    <w:rsid w:val="005F129B"/>
    <w:rPr>
      <w:snapToGrid w:val="0"/>
      <w:color w:val="000000"/>
      <w:lang w:val="lv-LV"/>
    </w:rPr>
  </w:style>
  <w:style w:type="character" w:styleId="FootnoteReference">
    <w:name w:val="footnote reference"/>
    <w:basedOn w:val="DefaultParagraphFont"/>
    <w:rsid w:val="005F129B"/>
    <w:rPr>
      <w:rFonts w:ascii="Garamond" w:hAnsi="Garamond"/>
      <w:sz w:val="20"/>
      <w:vertAlign w:val="superscript"/>
    </w:rPr>
  </w:style>
  <w:style w:type="character" w:customStyle="1" w:styleId="ListParagraphChar">
    <w:name w:val="List Paragraph Char"/>
    <w:link w:val="ListParagraph"/>
    <w:uiPriority w:val="34"/>
    <w:locked/>
    <w:rsid w:val="005F129B"/>
    <w:rPr>
      <w:rFonts w:eastAsia="Calibri"/>
      <w:sz w:val="24"/>
      <w:szCs w:val="24"/>
      <w:lang w:val="lv-LV" w:eastAsia="lv-LV"/>
    </w:rPr>
  </w:style>
  <w:style w:type="paragraph" w:customStyle="1" w:styleId="ParagraphNumbering">
    <w:name w:val="Paragraph Numbering"/>
    <w:basedOn w:val="Normal"/>
    <w:uiPriority w:val="1"/>
    <w:qFormat/>
    <w:rsid w:val="005F129B"/>
    <w:pPr>
      <w:numPr>
        <w:numId w:val="25"/>
      </w:numPr>
      <w:spacing w:after="240" w:line="264" w:lineRule="auto"/>
      <w:jc w:val="left"/>
    </w:pPr>
    <w:rPr>
      <w:rFonts w:eastAsia="Calibri"/>
      <w:szCs w:val="24"/>
      <w:lang w:val="en-US"/>
    </w:rPr>
  </w:style>
  <w:style w:type="paragraph" w:styleId="NoSpacing">
    <w:name w:val="No Spacing"/>
    <w:uiPriority w:val="1"/>
    <w:qFormat/>
    <w:rsid w:val="005F129B"/>
    <w:pPr>
      <w:ind w:firstLine="567"/>
      <w:jc w:val="both"/>
    </w:pPr>
    <w:rPr>
      <w:sz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F6E"/>
    <w:pPr>
      <w:jc w:val="both"/>
    </w:pPr>
    <w:rPr>
      <w:sz w:val="24"/>
      <w:lang w:val="lv-LV"/>
    </w:rPr>
  </w:style>
  <w:style w:type="paragraph" w:styleId="Heading1">
    <w:name w:val="heading 1"/>
    <w:basedOn w:val="Normal"/>
    <w:next w:val="Normal"/>
    <w:qFormat/>
    <w:rsid w:val="00DB3A6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nhideWhenUsed/>
    <w:qFormat/>
    <w:rsid w:val="000E5DA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6CBC"/>
    <w:pPr>
      <w:tabs>
        <w:tab w:val="center" w:pos="4153"/>
        <w:tab w:val="right" w:pos="8306"/>
      </w:tabs>
    </w:pPr>
    <w:rPr>
      <w:sz w:val="20"/>
    </w:rPr>
  </w:style>
  <w:style w:type="paragraph" w:customStyle="1" w:styleId="H4">
    <w:name w:val="H4"/>
    <w:rsid w:val="00956CBC"/>
    <w:pPr>
      <w:spacing w:after="120"/>
      <w:jc w:val="center"/>
      <w:outlineLvl w:val="3"/>
    </w:pPr>
    <w:rPr>
      <w:b/>
      <w:sz w:val="28"/>
      <w:lang w:val="lv-LV" w:eastAsia="zh-CN"/>
    </w:rPr>
  </w:style>
  <w:style w:type="paragraph" w:customStyle="1" w:styleId="H3">
    <w:name w:val="H3"/>
    <w:rsid w:val="00956CBC"/>
    <w:pPr>
      <w:spacing w:after="120"/>
      <w:jc w:val="center"/>
      <w:outlineLvl w:val="2"/>
    </w:pPr>
    <w:rPr>
      <w:b/>
      <w:sz w:val="32"/>
      <w:lang w:val="lv-LV" w:eastAsia="zh-CN"/>
    </w:rPr>
  </w:style>
  <w:style w:type="paragraph" w:customStyle="1" w:styleId="H2">
    <w:name w:val="H2"/>
    <w:uiPriority w:val="99"/>
    <w:rsid w:val="00956CBC"/>
    <w:pPr>
      <w:spacing w:after="120"/>
      <w:jc w:val="center"/>
      <w:outlineLvl w:val="1"/>
    </w:pPr>
    <w:rPr>
      <w:b/>
      <w:sz w:val="36"/>
      <w:lang w:val="lv-LV" w:eastAsia="zh-CN"/>
    </w:rPr>
  </w:style>
  <w:style w:type="paragraph" w:customStyle="1" w:styleId="H1">
    <w:name w:val="H1"/>
    <w:rsid w:val="00956CBC"/>
    <w:pPr>
      <w:spacing w:after="120"/>
      <w:jc w:val="center"/>
      <w:outlineLvl w:val="0"/>
    </w:pPr>
    <w:rPr>
      <w:b/>
      <w:sz w:val="44"/>
      <w:lang w:val="lv-LV" w:eastAsia="zh-CN"/>
    </w:rPr>
  </w:style>
  <w:style w:type="paragraph" w:customStyle="1" w:styleId="T">
    <w:name w:val="T"/>
    <w:basedOn w:val="Normal"/>
    <w:uiPriority w:val="99"/>
    <w:rsid w:val="00956CBC"/>
    <w:pPr>
      <w:jc w:val="center"/>
    </w:pPr>
    <w:rPr>
      <w:b/>
      <w:i/>
    </w:rPr>
  </w:style>
  <w:style w:type="paragraph" w:customStyle="1" w:styleId="Z">
    <w:name w:val="Z"/>
    <w:basedOn w:val="T"/>
    <w:uiPriority w:val="99"/>
    <w:rsid w:val="00956CBC"/>
  </w:style>
  <w:style w:type="character" w:styleId="PageNumber">
    <w:name w:val="page number"/>
    <w:basedOn w:val="DefaultParagraphFont"/>
    <w:rsid w:val="00956CBC"/>
  </w:style>
  <w:style w:type="paragraph" w:styleId="Header">
    <w:name w:val="header"/>
    <w:basedOn w:val="Normal"/>
    <w:link w:val="HeaderChar"/>
    <w:uiPriority w:val="99"/>
    <w:rsid w:val="00956CBC"/>
    <w:pPr>
      <w:tabs>
        <w:tab w:val="center" w:pos="4153"/>
        <w:tab w:val="right" w:pos="8306"/>
      </w:tabs>
    </w:pPr>
  </w:style>
  <w:style w:type="paragraph" w:customStyle="1" w:styleId="StilsPirmrindia0cm">
    <w:name w:val="Stils Pirmā rindiņa:  0 cm"/>
    <w:basedOn w:val="Normal"/>
    <w:rsid w:val="00DB3A6C"/>
  </w:style>
  <w:style w:type="numbering" w:customStyle="1" w:styleId="StilsStrukturtsnumurts">
    <w:name w:val="Stils Strukturēts numurēts"/>
    <w:basedOn w:val="NoList"/>
    <w:rsid w:val="00142AA9"/>
    <w:pPr>
      <w:numPr>
        <w:numId w:val="5"/>
      </w:numPr>
    </w:pPr>
  </w:style>
  <w:style w:type="paragraph" w:styleId="BalloonText">
    <w:name w:val="Balloon Text"/>
    <w:basedOn w:val="Normal"/>
    <w:semiHidden/>
    <w:rsid w:val="001456D6"/>
    <w:rPr>
      <w:rFonts w:ascii="Tahoma" w:hAnsi="Tahoma" w:cs="Tahoma"/>
      <w:sz w:val="16"/>
      <w:szCs w:val="16"/>
    </w:rPr>
  </w:style>
  <w:style w:type="paragraph" w:customStyle="1" w:styleId="Lielaisvirsraksts">
    <w:name w:val="Lielais virsraksts"/>
    <w:basedOn w:val="Heading1"/>
    <w:next w:val="Normal"/>
    <w:rsid w:val="00DB3A6C"/>
    <w:pPr>
      <w:numPr>
        <w:numId w:val="3"/>
      </w:numPr>
      <w:jc w:val="center"/>
    </w:pPr>
    <w:rPr>
      <w:rFonts w:ascii="Times New Roman" w:hAnsi="Times New Roman"/>
    </w:rPr>
  </w:style>
  <w:style w:type="paragraph" w:customStyle="1" w:styleId="Pielikumiem">
    <w:name w:val="Pielikumiem"/>
    <w:basedOn w:val="Heading1"/>
    <w:next w:val="BodyText"/>
    <w:rsid w:val="00DB3A6C"/>
    <w:pPr>
      <w:numPr>
        <w:numId w:val="4"/>
      </w:numPr>
      <w:jc w:val="right"/>
    </w:pPr>
    <w:rPr>
      <w:rFonts w:ascii="Times New Roman" w:hAnsi="Times New Roman"/>
      <w:sz w:val="28"/>
    </w:rPr>
  </w:style>
  <w:style w:type="paragraph" w:styleId="BodyText">
    <w:name w:val="Body Text"/>
    <w:basedOn w:val="Normal"/>
    <w:rsid w:val="00DB3A6C"/>
  </w:style>
  <w:style w:type="paragraph" w:customStyle="1" w:styleId="11">
    <w:name w:val="1.1"/>
    <w:basedOn w:val="Normal"/>
    <w:rsid w:val="0069156A"/>
  </w:style>
  <w:style w:type="paragraph" w:customStyle="1" w:styleId="1">
    <w:name w:val="1"/>
    <w:basedOn w:val="Normal"/>
    <w:rsid w:val="0069156A"/>
  </w:style>
  <w:style w:type="paragraph" w:customStyle="1" w:styleId="111">
    <w:name w:val="1.1.1"/>
    <w:basedOn w:val="Normal"/>
    <w:rsid w:val="0069156A"/>
  </w:style>
  <w:style w:type="paragraph" w:customStyle="1" w:styleId="1111">
    <w:name w:val="1.1.1.1"/>
    <w:basedOn w:val="Normal"/>
    <w:rsid w:val="0069156A"/>
    <w:pPr>
      <w:tabs>
        <w:tab w:val="left" w:pos="2835"/>
      </w:tabs>
    </w:pPr>
  </w:style>
  <w:style w:type="paragraph" w:customStyle="1" w:styleId="Stlis11111">
    <w:name w:val="Stlis 1.1.1.1.1"/>
    <w:basedOn w:val="Normal"/>
    <w:rsid w:val="0069156A"/>
  </w:style>
  <w:style w:type="paragraph" w:customStyle="1" w:styleId="Stlis1">
    <w:name w:val="Stlis 1"/>
    <w:basedOn w:val="Normal"/>
    <w:rsid w:val="0069156A"/>
    <w:pPr>
      <w:numPr>
        <w:numId w:val="15"/>
      </w:numPr>
    </w:pPr>
  </w:style>
  <w:style w:type="paragraph" w:customStyle="1" w:styleId="Stils11">
    <w:name w:val="Stils 1.1"/>
    <w:basedOn w:val="Normal"/>
    <w:rsid w:val="0069156A"/>
    <w:pPr>
      <w:numPr>
        <w:ilvl w:val="1"/>
        <w:numId w:val="15"/>
      </w:numPr>
    </w:pPr>
  </w:style>
  <w:style w:type="paragraph" w:customStyle="1" w:styleId="Stils111">
    <w:name w:val="Stils 1.1.1"/>
    <w:basedOn w:val="Normal"/>
    <w:rsid w:val="0069156A"/>
    <w:pPr>
      <w:numPr>
        <w:ilvl w:val="2"/>
        <w:numId w:val="15"/>
      </w:numPr>
    </w:pPr>
  </w:style>
  <w:style w:type="paragraph" w:customStyle="1" w:styleId="Stlis1111">
    <w:name w:val="Stlis 1.1.1.1"/>
    <w:basedOn w:val="Normal"/>
    <w:rsid w:val="0069156A"/>
    <w:pPr>
      <w:numPr>
        <w:ilvl w:val="3"/>
        <w:numId w:val="15"/>
      </w:numPr>
      <w:tabs>
        <w:tab w:val="left" w:pos="2835"/>
      </w:tabs>
    </w:pPr>
  </w:style>
  <w:style w:type="paragraph" w:customStyle="1" w:styleId="Stils11111">
    <w:name w:val="Stils 1.1.1.1.1"/>
    <w:basedOn w:val="Normal"/>
    <w:rsid w:val="0069156A"/>
    <w:pPr>
      <w:numPr>
        <w:ilvl w:val="4"/>
        <w:numId w:val="15"/>
      </w:numPr>
    </w:pPr>
  </w:style>
  <w:style w:type="table" w:styleId="TableGrid">
    <w:name w:val="Table Grid"/>
    <w:basedOn w:val="TableNormal"/>
    <w:uiPriority w:val="59"/>
    <w:rsid w:val="00344F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17753"/>
    <w:pPr>
      <w:ind w:left="720"/>
      <w:jc w:val="left"/>
    </w:pPr>
    <w:rPr>
      <w:rFonts w:eastAsia="Calibri"/>
      <w:szCs w:val="24"/>
      <w:lang w:eastAsia="lv-LV"/>
    </w:rPr>
  </w:style>
  <w:style w:type="character" w:styleId="Hyperlink">
    <w:name w:val="Hyperlink"/>
    <w:basedOn w:val="DefaultParagraphFont"/>
    <w:uiPriority w:val="99"/>
    <w:unhideWhenUsed/>
    <w:rsid w:val="0082764E"/>
    <w:rPr>
      <w:color w:val="0000FF"/>
      <w:u w:val="single"/>
    </w:rPr>
  </w:style>
  <w:style w:type="paragraph" w:customStyle="1" w:styleId="naisf">
    <w:name w:val="naisf"/>
    <w:basedOn w:val="Normal"/>
    <w:rsid w:val="0082764E"/>
    <w:pPr>
      <w:spacing w:before="100" w:beforeAutospacing="1" w:after="100" w:afterAutospacing="1"/>
      <w:jc w:val="left"/>
    </w:pPr>
    <w:rPr>
      <w:szCs w:val="24"/>
      <w:lang w:eastAsia="lv-LV"/>
    </w:rPr>
  </w:style>
  <w:style w:type="character" w:customStyle="1" w:styleId="Heading3Char">
    <w:name w:val="Heading 3 Char"/>
    <w:basedOn w:val="DefaultParagraphFont"/>
    <w:link w:val="Heading3"/>
    <w:rsid w:val="000E5DA8"/>
    <w:rPr>
      <w:rFonts w:ascii="Cambria" w:eastAsia="Times New Roman" w:hAnsi="Cambria" w:cs="Times New Roman"/>
      <w:b/>
      <w:bCs/>
      <w:sz w:val="26"/>
      <w:szCs w:val="26"/>
      <w:lang w:eastAsia="en-US"/>
    </w:rPr>
  </w:style>
  <w:style w:type="paragraph" w:styleId="NormalWeb">
    <w:name w:val="Normal (Web)"/>
    <w:basedOn w:val="Normal"/>
    <w:uiPriority w:val="99"/>
    <w:unhideWhenUsed/>
    <w:rsid w:val="00F91E5F"/>
    <w:pPr>
      <w:spacing w:before="100" w:beforeAutospacing="1" w:after="100" w:afterAutospacing="1"/>
      <w:jc w:val="left"/>
    </w:pPr>
    <w:rPr>
      <w:rFonts w:eastAsia="Calibri"/>
      <w:szCs w:val="24"/>
      <w:lang w:eastAsia="lv-LV"/>
    </w:rPr>
  </w:style>
  <w:style w:type="character" w:customStyle="1" w:styleId="HeaderChar">
    <w:name w:val="Header Char"/>
    <w:basedOn w:val="DefaultParagraphFont"/>
    <w:link w:val="Header"/>
    <w:uiPriority w:val="99"/>
    <w:rsid w:val="00F91E5F"/>
    <w:rPr>
      <w:sz w:val="24"/>
      <w:lang w:eastAsia="en-US"/>
    </w:rPr>
  </w:style>
  <w:style w:type="character" w:styleId="CommentReference">
    <w:name w:val="annotation reference"/>
    <w:basedOn w:val="DefaultParagraphFont"/>
    <w:rsid w:val="00F97713"/>
    <w:rPr>
      <w:sz w:val="16"/>
      <w:szCs w:val="16"/>
    </w:rPr>
  </w:style>
  <w:style w:type="paragraph" w:styleId="CommentText">
    <w:name w:val="annotation text"/>
    <w:basedOn w:val="Normal"/>
    <w:link w:val="CommentTextChar"/>
    <w:rsid w:val="00F97713"/>
    <w:rPr>
      <w:sz w:val="20"/>
    </w:rPr>
  </w:style>
  <w:style w:type="character" w:customStyle="1" w:styleId="CommentTextChar">
    <w:name w:val="Comment Text Char"/>
    <w:basedOn w:val="DefaultParagraphFont"/>
    <w:link w:val="CommentText"/>
    <w:rsid w:val="00F97713"/>
    <w:rPr>
      <w:lang w:eastAsia="en-US"/>
    </w:rPr>
  </w:style>
  <w:style w:type="paragraph" w:styleId="CommentSubject">
    <w:name w:val="annotation subject"/>
    <w:basedOn w:val="CommentText"/>
    <w:next w:val="CommentText"/>
    <w:link w:val="CommentSubjectChar"/>
    <w:rsid w:val="00F97713"/>
    <w:rPr>
      <w:b/>
      <w:bCs/>
    </w:rPr>
  </w:style>
  <w:style w:type="character" w:customStyle="1" w:styleId="CommentSubjectChar">
    <w:name w:val="Comment Subject Char"/>
    <w:basedOn w:val="CommentTextChar"/>
    <w:link w:val="CommentSubject"/>
    <w:rsid w:val="00F97713"/>
    <w:rPr>
      <w:b/>
      <w:bCs/>
      <w:lang w:eastAsia="en-US"/>
    </w:rPr>
  </w:style>
  <w:style w:type="paragraph" w:customStyle="1" w:styleId="naiskr">
    <w:name w:val="naiskr"/>
    <w:basedOn w:val="Normal"/>
    <w:rsid w:val="006B1AA8"/>
    <w:pPr>
      <w:spacing w:before="100" w:beforeAutospacing="1" w:after="100" w:afterAutospacing="1"/>
      <w:jc w:val="left"/>
    </w:pPr>
    <w:rPr>
      <w:szCs w:val="24"/>
      <w:lang w:eastAsia="lv-LV"/>
    </w:rPr>
  </w:style>
  <w:style w:type="paragraph" w:styleId="BodyTextIndent">
    <w:name w:val="Body Text Indent"/>
    <w:basedOn w:val="Normal"/>
    <w:link w:val="BodyTextIndentChar"/>
    <w:rsid w:val="00706535"/>
    <w:pPr>
      <w:spacing w:after="120"/>
      <w:ind w:left="283"/>
    </w:pPr>
  </w:style>
  <w:style w:type="character" w:customStyle="1" w:styleId="BodyTextIndentChar">
    <w:name w:val="Body Text Indent Char"/>
    <w:basedOn w:val="DefaultParagraphFont"/>
    <w:link w:val="BodyTextIndent"/>
    <w:rsid w:val="00706535"/>
    <w:rPr>
      <w:sz w:val="24"/>
      <w:lang w:eastAsia="en-US"/>
    </w:rPr>
  </w:style>
  <w:style w:type="character" w:styleId="Emphasis">
    <w:name w:val="Emphasis"/>
    <w:basedOn w:val="DefaultParagraphFont"/>
    <w:uiPriority w:val="20"/>
    <w:qFormat/>
    <w:rsid w:val="00630A32"/>
    <w:rPr>
      <w:b/>
      <w:bCs/>
      <w:i w:val="0"/>
      <w:iCs w:val="0"/>
    </w:rPr>
  </w:style>
  <w:style w:type="character" w:customStyle="1" w:styleId="Bodytext0">
    <w:name w:val="Body text_"/>
    <w:basedOn w:val="DefaultParagraphFont"/>
    <w:link w:val="BodyText3"/>
    <w:rsid w:val="00654557"/>
    <w:rPr>
      <w:sz w:val="16"/>
      <w:szCs w:val="16"/>
      <w:shd w:val="clear" w:color="auto" w:fill="FFFFFF"/>
    </w:rPr>
  </w:style>
  <w:style w:type="paragraph" w:customStyle="1" w:styleId="BodyText3">
    <w:name w:val="Body Text3"/>
    <w:basedOn w:val="Normal"/>
    <w:link w:val="Bodytext0"/>
    <w:rsid w:val="00654557"/>
    <w:pPr>
      <w:shd w:val="clear" w:color="auto" w:fill="FFFFFF"/>
      <w:spacing w:line="0" w:lineRule="atLeast"/>
      <w:jc w:val="left"/>
    </w:pPr>
    <w:rPr>
      <w:sz w:val="16"/>
      <w:szCs w:val="16"/>
      <w:lang w:val="en-US"/>
    </w:rPr>
  </w:style>
  <w:style w:type="character" w:customStyle="1" w:styleId="BodyText2">
    <w:name w:val="Body Text2"/>
    <w:basedOn w:val="Bodytext0"/>
    <w:rsid w:val="00654557"/>
    <w:rPr>
      <w:rFonts w:ascii="Times New Roman" w:eastAsia="Times New Roman" w:hAnsi="Times New Roman" w:cs="Times New Roman"/>
      <w:b w:val="0"/>
      <w:bCs w:val="0"/>
      <w:i w:val="0"/>
      <w:iCs w:val="0"/>
      <w:smallCaps w:val="0"/>
      <w:strike w:val="0"/>
      <w:spacing w:val="0"/>
      <w:sz w:val="16"/>
      <w:szCs w:val="16"/>
      <w:u w:val="single"/>
      <w:shd w:val="clear" w:color="auto" w:fill="FFFFFF"/>
    </w:rPr>
  </w:style>
  <w:style w:type="paragraph" w:customStyle="1" w:styleId="tabteksts">
    <w:name w:val="tab_teksts"/>
    <w:basedOn w:val="Normal"/>
    <w:uiPriority w:val="99"/>
    <w:rsid w:val="005F129B"/>
    <w:pPr>
      <w:jc w:val="left"/>
    </w:pPr>
    <w:rPr>
      <w:sz w:val="20"/>
    </w:rPr>
  </w:style>
  <w:style w:type="paragraph" w:customStyle="1" w:styleId="Zpar">
    <w:name w:val="Z_par"/>
    <w:basedOn w:val="Z"/>
    <w:rsid w:val="005F129B"/>
    <w:pPr>
      <w:keepNext/>
      <w:spacing w:after="480"/>
      <w:ind w:left="1418" w:right="1701" w:hanging="851"/>
      <w:jc w:val="left"/>
    </w:pPr>
    <w:rPr>
      <w:rFonts w:ascii="Calibri" w:hAnsi="Calibri"/>
      <w:b w:val="0"/>
      <w:sz w:val="20"/>
    </w:rPr>
  </w:style>
  <w:style w:type="paragraph" w:styleId="FootnoteText">
    <w:name w:val="footnote text"/>
    <w:aliases w:val="Footnote,Fußnote"/>
    <w:basedOn w:val="Normal"/>
    <w:link w:val="FootnoteTextChar"/>
    <w:rsid w:val="005F129B"/>
    <w:pPr>
      <w:keepLines/>
      <w:widowControl w:val="0"/>
      <w:ind w:left="340" w:hanging="340"/>
      <w:jc w:val="left"/>
    </w:pPr>
    <w:rPr>
      <w:snapToGrid w:val="0"/>
      <w:color w:val="000000"/>
      <w:sz w:val="20"/>
    </w:rPr>
  </w:style>
  <w:style w:type="character" w:customStyle="1" w:styleId="FootnoteTextChar">
    <w:name w:val="Footnote Text Char"/>
    <w:aliases w:val="Footnote Char,Fußnote Char"/>
    <w:basedOn w:val="DefaultParagraphFont"/>
    <w:link w:val="FootnoteText"/>
    <w:rsid w:val="005F129B"/>
    <w:rPr>
      <w:snapToGrid w:val="0"/>
      <w:color w:val="000000"/>
      <w:lang w:val="lv-LV"/>
    </w:rPr>
  </w:style>
  <w:style w:type="character" w:styleId="FootnoteReference">
    <w:name w:val="footnote reference"/>
    <w:basedOn w:val="DefaultParagraphFont"/>
    <w:rsid w:val="005F129B"/>
    <w:rPr>
      <w:rFonts w:ascii="Garamond" w:hAnsi="Garamond"/>
      <w:sz w:val="20"/>
      <w:vertAlign w:val="superscript"/>
    </w:rPr>
  </w:style>
  <w:style w:type="character" w:customStyle="1" w:styleId="ListParagraphChar">
    <w:name w:val="List Paragraph Char"/>
    <w:link w:val="ListParagraph"/>
    <w:uiPriority w:val="34"/>
    <w:locked/>
    <w:rsid w:val="005F129B"/>
    <w:rPr>
      <w:rFonts w:eastAsia="Calibri"/>
      <w:sz w:val="24"/>
      <w:szCs w:val="24"/>
      <w:lang w:val="lv-LV" w:eastAsia="lv-LV"/>
    </w:rPr>
  </w:style>
  <w:style w:type="paragraph" w:customStyle="1" w:styleId="ParagraphNumbering">
    <w:name w:val="Paragraph Numbering"/>
    <w:basedOn w:val="Normal"/>
    <w:uiPriority w:val="1"/>
    <w:qFormat/>
    <w:rsid w:val="005F129B"/>
    <w:pPr>
      <w:numPr>
        <w:numId w:val="25"/>
      </w:numPr>
      <w:spacing w:after="240" w:line="264" w:lineRule="auto"/>
      <w:jc w:val="left"/>
    </w:pPr>
    <w:rPr>
      <w:rFonts w:eastAsia="Calibri"/>
      <w:szCs w:val="24"/>
      <w:lang w:val="en-US"/>
    </w:rPr>
  </w:style>
  <w:style w:type="paragraph" w:styleId="NoSpacing">
    <w:name w:val="No Spacing"/>
    <w:uiPriority w:val="1"/>
    <w:qFormat/>
    <w:rsid w:val="005F129B"/>
    <w:pPr>
      <w:ind w:firstLine="567"/>
      <w:jc w:val="both"/>
    </w:pPr>
    <w:rPr>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2029">
      <w:bodyDiv w:val="1"/>
      <w:marLeft w:val="0"/>
      <w:marRight w:val="0"/>
      <w:marTop w:val="0"/>
      <w:marBottom w:val="0"/>
      <w:divBdr>
        <w:top w:val="none" w:sz="0" w:space="0" w:color="auto"/>
        <w:left w:val="none" w:sz="0" w:space="0" w:color="auto"/>
        <w:bottom w:val="none" w:sz="0" w:space="0" w:color="auto"/>
        <w:right w:val="none" w:sz="0" w:space="0" w:color="auto"/>
      </w:divBdr>
    </w:div>
    <w:div w:id="170917945">
      <w:bodyDiv w:val="1"/>
      <w:marLeft w:val="0"/>
      <w:marRight w:val="0"/>
      <w:marTop w:val="0"/>
      <w:marBottom w:val="0"/>
      <w:divBdr>
        <w:top w:val="none" w:sz="0" w:space="0" w:color="auto"/>
        <w:left w:val="none" w:sz="0" w:space="0" w:color="auto"/>
        <w:bottom w:val="none" w:sz="0" w:space="0" w:color="auto"/>
        <w:right w:val="none" w:sz="0" w:space="0" w:color="auto"/>
      </w:divBdr>
    </w:div>
    <w:div w:id="243801918">
      <w:bodyDiv w:val="1"/>
      <w:marLeft w:val="0"/>
      <w:marRight w:val="0"/>
      <w:marTop w:val="0"/>
      <w:marBottom w:val="0"/>
      <w:divBdr>
        <w:top w:val="none" w:sz="0" w:space="0" w:color="auto"/>
        <w:left w:val="none" w:sz="0" w:space="0" w:color="auto"/>
        <w:bottom w:val="none" w:sz="0" w:space="0" w:color="auto"/>
        <w:right w:val="none" w:sz="0" w:space="0" w:color="auto"/>
      </w:divBdr>
    </w:div>
    <w:div w:id="558253382">
      <w:bodyDiv w:val="1"/>
      <w:marLeft w:val="0"/>
      <w:marRight w:val="0"/>
      <w:marTop w:val="0"/>
      <w:marBottom w:val="0"/>
      <w:divBdr>
        <w:top w:val="none" w:sz="0" w:space="0" w:color="auto"/>
        <w:left w:val="none" w:sz="0" w:space="0" w:color="auto"/>
        <w:bottom w:val="none" w:sz="0" w:space="0" w:color="auto"/>
        <w:right w:val="none" w:sz="0" w:space="0" w:color="auto"/>
      </w:divBdr>
    </w:div>
    <w:div w:id="723604225">
      <w:bodyDiv w:val="1"/>
      <w:marLeft w:val="0"/>
      <w:marRight w:val="0"/>
      <w:marTop w:val="0"/>
      <w:marBottom w:val="0"/>
      <w:divBdr>
        <w:top w:val="none" w:sz="0" w:space="0" w:color="auto"/>
        <w:left w:val="none" w:sz="0" w:space="0" w:color="auto"/>
        <w:bottom w:val="none" w:sz="0" w:space="0" w:color="auto"/>
        <w:right w:val="none" w:sz="0" w:space="0" w:color="auto"/>
      </w:divBdr>
    </w:div>
    <w:div w:id="734861585">
      <w:bodyDiv w:val="1"/>
      <w:marLeft w:val="0"/>
      <w:marRight w:val="0"/>
      <w:marTop w:val="0"/>
      <w:marBottom w:val="0"/>
      <w:divBdr>
        <w:top w:val="none" w:sz="0" w:space="0" w:color="auto"/>
        <w:left w:val="none" w:sz="0" w:space="0" w:color="auto"/>
        <w:bottom w:val="none" w:sz="0" w:space="0" w:color="auto"/>
        <w:right w:val="none" w:sz="0" w:space="0" w:color="auto"/>
      </w:divBdr>
    </w:div>
    <w:div w:id="825318784">
      <w:bodyDiv w:val="1"/>
      <w:marLeft w:val="0"/>
      <w:marRight w:val="0"/>
      <w:marTop w:val="0"/>
      <w:marBottom w:val="0"/>
      <w:divBdr>
        <w:top w:val="none" w:sz="0" w:space="0" w:color="auto"/>
        <w:left w:val="none" w:sz="0" w:space="0" w:color="auto"/>
        <w:bottom w:val="none" w:sz="0" w:space="0" w:color="auto"/>
        <w:right w:val="none" w:sz="0" w:space="0" w:color="auto"/>
      </w:divBdr>
    </w:div>
    <w:div w:id="879171220">
      <w:bodyDiv w:val="1"/>
      <w:marLeft w:val="0"/>
      <w:marRight w:val="0"/>
      <w:marTop w:val="0"/>
      <w:marBottom w:val="0"/>
      <w:divBdr>
        <w:top w:val="none" w:sz="0" w:space="0" w:color="auto"/>
        <w:left w:val="none" w:sz="0" w:space="0" w:color="auto"/>
        <w:bottom w:val="none" w:sz="0" w:space="0" w:color="auto"/>
        <w:right w:val="none" w:sz="0" w:space="0" w:color="auto"/>
      </w:divBdr>
    </w:div>
    <w:div w:id="892471151">
      <w:bodyDiv w:val="1"/>
      <w:marLeft w:val="0"/>
      <w:marRight w:val="0"/>
      <w:marTop w:val="0"/>
      <w:marBottom w:val="0"/>
      <w:divBdr>
        <w:top w:val="none" w:sz="0" w:space="0" w:color="auto"/>
        <w:left w:val="none" w:sz="0" w:space="0" w:color="auto"/>
        <w:bottom w:val="none" w:sz="0" w:space="0" w:color="auto"/>
        <w:right w:val="none" w:sz="0" w:space="0" w:color="auto"/>
      </w:divBdr>
    </w:div>
    <w:div w:id="943538473">
      <w:bodyDiv w:val="1"/>
      <w:marLeft w:val="0"/>
      <w:marRight w:val="0"/>
      <w:marTop w:val="0"/>
      <w:marBottom w:val="0"/>
      <w:divBdr>
        <w:top w:val="none" w:sz="0" w:space="0" w:color="auto"/>
        <w:left w:val="none" w:sz="0" w:space="0" w:color="auto"/>
        <w:bottom w:val="none" w:sz="0" w:space="0" w:color="auto"/>
        <w:right w:val="none" w:sz="0" w:space="0" w:color="auto"/>
      </w:divBdr>
    </w:div>
    <w:div w:id="1033460102">
      <w:bodyDiv w:val="1"/>
      <w:marLeft w:val="0"/>
      <w:marRight w:val="0"/>
      <w:marTop w:val="0"/>
      <w:marBottom w:val="0"/>
      <w:divBdr>
        <w:top w:val="none" w:sz="0" w:space="0" w:color="auto"/>
        <w:left w:val="none" w:sz="0" w:space="0" w:color="auto"/>
        <w:bottom w:val="none" w:sz="0" w:space="0" w:color="auto"/>
        <w:right w:val="none" w:sz="0" w:space="0" w:color="auto"/>
      </w:divBdr>
    </w:div>
    <w:div w:id="1307010694">
      <w:bodyDiv w:val="1"/>
      <w:marLeft w:val="0"/>
      <w:marRight w:val="0"/>
      <w:marTop w:val="0"/>
      <w:marBottom w:val="0"/>
      <w:divBdr>
        <w:top w:val="none" w:sz="0" w:space="0" w:color="auto"/>
        <w:left w:val="none" w:sz="0" w:space="0" w:color="auto"/>
        <w:bottom w:val="none" w:sz="0" w:space="0" w:color="auto"/>
        <w:right w:val="none" w:sz="0" w:space="0" w:color="auto"/>
      </w:divBdr>
    </w:div>
    <w:div w:id="1480807911">
      <w:bodyDiv w:val="1"/>
      <w:marLeft w:val="0"/>
      <w:marRight w:val="0"/>
      <w:marTop w:val="0"/>
      <w:marBottom w:val="0"/>
      <w:divBdr>
        <w:top w:val="none" w:sz="0" w:space="0" w:color="auto"/>
        <w:left w:val="none" w:sz="0" w:space="0" w:color="auto"/>
        <w:bottom w:val="none" w:sz="0" w:space="0" w:color="auto"/>
        <w:right w:val="none" w:sz="0" w:space="0" w:color="auto"/>
      </w:divBdr>
    </w:div>
    <w:div w:id="1560946082">
      <w:bodyDiv w:val="1"/>
      <w:marLeft w:val="0"/>
      <w:marRight w:val="0"/>
      <w:marTop w:val="0"/>
      <w:marBottom w:val="0"/>
      <w:divBdr>
        <w:top w:val="none" w:sz="0" w:space="0" w:color="auto"/>
        <w:left w:val="none" w:sz="0" w:space="0" w:color="auto"/>
        <w:bottom w:val="none" w:sz="0" w:space="0" w:color="auto"/>
        <w:right w:val="none" w:sz="0" w:space="0" w:color="auto"/>
      </w:divBdr>
    </w:div>
    <w:div w:id="1616788792">
      <w:bodyDiv w:val="1"/>
      <w:marLeft w:val="0"/>
      <w:marRight w:val="0"/>
      <w:marTop w:val="0"/>
      <w:marBottom w:val="0"/>
      <w:divBdr>
        <w:top w:val="none" w:sz="0" w:space="0" w:color="auto"/>
        <w:left w:val="none" w:sz="0" w:space="0" w:color="auto"/>
        <w:bottom w:val="none" w:sz="0" w:space="0" w:color="auto"/>
        <w:right w:val="none" w:sz="0" w:space="0" w:color="auto"/>
      </w:divBdr>
    </w:div>
    <w:div w:id="1647247896">
      <w:bodyDiv w:val="1"/>
      <w:marLeft w:val="0"/>
      <w:marRight w:val="0"/>
      <w:marTop w:val="0"/>
      <w:marBottom w:val="0"/>
      <w:divBdr>
        <w:top w:val="none" w:sz="0" w:space="0" w:color="auto"/>
        <w:left w:val="none" w:sz="0" w:space="0" w:color="auto"/>
        <w:bottom w:val="none" w:sz="0" w:space="0" w:color="auto"/>
        <w:right w:val="none" w:sz="0" w:space="0" w:color="auto"/>
      </w:divBdr>
    </w:div>
    <w:div w:id="1652056387">
      <w:bodyDiv w:val="1"/>
      <w:marLeft w:val="0"/>
      <w:marRight w:val="0"/>
      <w:marTop w:val="0"/>
      <w:marBottom w:val="0"/>
      <w:divBdr>
        <w:top w:val="none" w:sz="0" w:space="0" w:color="auto"/>
        <w:left w:val="none" w:sz="0" w:space="0" w:color="auto"/>
        <w:bottom w:val="none" w:sz="0" w:space="0" w:color="auto"/>
        <w:right w:val="none" w:sz="0" w:space="0" w:color="auto"/>
      </w:divBdr>
    </w:div>
    <w:div w:id="1697611658">
      <w:bodyDiv w:val="1"/>
      <w:marLeft w:val="0"/>
      <w:marRight w:val="0"/>
      <w:marTop w:val="0"/>
      <w:marBottom w:val="0"/>
      <w:divBdr>
        <w:top w:val="none" w:sz="0" w:space="0" w:color="auto"/>
        <w:left w:val="none" w:sz="0" w:space="0" w:color="auto"/>
        <w:bottom w:val="none" w:sz="0" w:space="0" w:color="auto"/>
        <w:right w:val="none" w:sz="0" w:space="0" w:color="auto"/>
      </w:divBdr>
    </w:div>
    <w:div w:id="1909419513">
      <w:bodyDiv w:val="1"/>
      <w:marLeft w:val="0"/>
      <w:marRight w:val="0"/>
      <w:marTop w:val="0"/>
      <w:marBottom w:val="0"/>
      <w:divBdr>
        <w:top w:val="none" w:sz="0" w:space="0" w:color="auto"/>
        <w:left w:val="none" w:sz="0" w:space="0" w:color="auto"/>
        <w:bottom w:val="none" w:sz="0" w:space="0" w:color="auto"/>
        <w:right w:val="none" w:sz="0" w:space="0" w:color="auto"/>
      </w:divBdr>
    </w:div>
    <w:div w:id="1917781521">
      <w:bodyDiv w:val="1"/>
      <w:marLeft w:val="0"/>
      <w:marRight w:val="0"/>
      <w:marTop w:val="0"/>
      <w:marBottom w:val="0"/>
      <w:divBdr>
        <w:top w:val="none" w:sz="0" w:space="0" w:color="auto"/>
        <w:left w:val="none" w:sz="0" w:space="0" w:color="auto"/>
        <w:bottom w:val="none" w:sz="0" w:space="0" w:color="auto"/>
        <w:right w:val="none" w:sz="0" w:space="0" w:color="auto"/>
      </w:divBdr>
      <w:divsChild>
        <w:div w:id="1087077214">
          <w:marLeft w:val="0"/>
          <w:marRight w:val="0"/>
          <w:marTop w:val="0"/>
          <w:marBottom w:val="0"/>
          <w:divBdr>
            <w:top w:val="none" w:sz="0" w:space="0" w:color="auto"/>
            <w:left w:val="none" w:sz="0" w:space="0" w:color="auto"/>
            <w:bottom w:val="none" w:sz="0" w:space="0" w:color="auto"/>
            <w:right w:val="none" w:sz="0" w:space="0" w:color="auto"/>
          </w:divBdr>
        </w:div>
      </w:divsChild>
    </w:div>
    <w:div w:id="21239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ga.Jermacane@fm.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370947E-8AF6-41DD-83BE-CB27DCD0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35333</Words>
  <Characters>20140</Characters>
  <Application>Microsoft Office Word</Application>
  <DocSecurity>0</DocSecurity>
  <Lines>167</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Saeimas Publisko izdevumu unrevīzijas komisijas darba plānu</vt:lpstr>
      <vt:lpstr>nosaukums</vt:lpstr>
    </vt:vector>
  </TitlesOfParts>
  <Company>FM</Company>
  <LinksUpToDate>false</LinksUpToDate>
  <CharactersWithSpaces>55363</CharactersWithSpaces>
  <SharedDoc>false</SharedDoc>
  <HLinks>
    <vt:vector size="6" baseType="variant">
      <vt:variant>
        <vt:i4>7274753</vt:i4>
      </vt:variant>
      <vt:variant>
        <vt:i4>3</vt:i4>
      </vt:variant>
      <vt:variant>
        <vt:i4>0</vt:i4>
      </vt:variant>
      <vt:variant>
        <vt:i4>5</vt:i4>
      </vt:variant>
      <vt:variant>
        <vt:lpwstr>mailto:Līga.Ozolina@fm.gov.lv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Saeimas Publisko izdevumu unrevīzijas komisijas darba plānu</dc:title>
  <dc:subject>vēstules projekts</dc:subject>
  <dc:creator>Ilga Jermacāne</dc:creator>
  <dc:description>67095429; Fakss 67083830
Ilga.Jermacane@fm.gov.lv </dc:description>
  <cp:lastModifiedBy>FPD</cp:lastModifiedBy>
  <cp:revision>9</cp:revision>
  <cp:lastPrinted>2011-05-12T12:21:00Z</cp:lastPrinted>
  <dcterms:created xsi:type="dcterms:W3CDTF">2011-05-13T04:45:00Z</dcterms:created>
  <dcterms:modified xsi:type="dcterms:W3CDTF">2011-05-16T08:50:00Z</dcterms:modified>
</cp:coreProperties>
</file>