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drawings/drawing3.xml" ContentType="application/vnd.openxmlformats-officedocument.drawingml.chartshapes+xml"/>
  <Override PartName="/word/charts/chart10.xml" ContentType="application/vnd.openxmlformats-officedocument.drawingml.chart+xml"/>
  <Override PartName="/word/drawings/drawing4.xml" ContentType="application/vnd.openxmlformats-officedocument.drawingml.chartshapes+xml"/>
  <Override PartName="/word/charts/chart11.xml" ContentType="application/vnd.openxmlformats-officedocument.drawingml.chart+xml"/>
  <Override PartName="/word/drawings/drawing5.xml" ContentType="application/vnd.openxmlformats-officedocument.drawingml.chartshapes+xml"/>
  <Override PartName="/word/charts/chart12.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theme/themeOverride12.xml" ContentType="application/vnd.openxmlformats-officedocument.themeOverride+xml"/>
  <Override PartName="/word/charts/chart18.xml" ContentType="application/vnd.openxmlformats-officedocument.drawingml.chart+xml"/>
  <Override PartName="/word/theme/themeOverride13.xml" ContentType="application/vnd.openxmlformats-officedocument.themeOverride+xml"/>
  <Override PartName="/word/drawings/drawing7.xml" ContentType="application/vnd.openxmlformats-officedocument.drawingml.chartshapes+xml"/>
  <Override PartName="/word/charts/chart19.xml" ContentType="application/vnd.openxmlformats-officedocument.drawingml.chart+xml"/>
  <Override PartName="/word/theme/themeOverride14.xml" ContentType="application/vnd.openxmlformats-officedocument.themeOverride+xml"/>
  <Override PartName="/word/drawings/drawing8.xml" ContentType="application/vnd.openxmlformats-officedocument.drawingml.chartshapes+xml"/>
  <Override PartName="/word/charts/chart20.xml" ContentType="application/vnd.openxmlformats-officedocument.drawingml.chart+xml"/>
  <Override PartName="/word/theme/themeOverride15.xml" ContentType="application/vnd.openxmlformats-officedocument.themeOverride+xml"/>
  <Override PartName="/word/charts/chart21.xml" ContentType="application/vnd.openxmlformats-officedocument.drawingml.chart+xml"/>
  <Override PartName="/word/drawings/drawing9.xml" ContentType="application/vnd.openxmlformats-officedocument.drawingml.chartshapes+xml"/>
  <Override PartName="/word/charts/chart22.xml" ContentType="application/vnd.openxmlformats-officedocument.drawingml.chart+xml"/>
  <Override PartName="/word/theme/themeOverride16.xml" ContentType="application/vnd.openxmlformats-officedocument.themeOverride+xml"/>
  <Override PartName="/word/charts/chart23.xml" ContentType="application/vnd.openxmlformats-officedocument.drawingml.chart+xml"/>
  <Override PartName="/word/theme/themeOverride17.xml" ContentType="application/vnd.openxmlformats-officedocument.themeOverride+xml"/>
  <Override PartName="/word/charts/chart24.xml" ContentType="application/vnd.openxmlformats-officedocument.drawingml.chart+xml"/>
  <Override PartName="/word/theme/themeOverride18.xml" ContentType="application/vnd.openxmlformats-officedocument.themeOverride+xml"/>
  <Override PartName="/word/charts/chart25.xml" ContentType="application/vnd.openxmlformats-officedocument.drawingml.chart+xml"/>
  <Override PartName="/word/theme/themeOverride19.xml" ContentType="application/vnd.openxmlformats-officedocument.themeOverride+xml"/>
  <Override PartName="/word/charts/chart2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238" w:rsidRDefault="001F1FB0" w:rsidP="00632238">
      <w:pPr>
        <w:jc w:val="right"/>
        <w:rPr>
          <w:rFonts w:ascii="Times New Roman" w:hAnsi="Times New Roman"/>
          <w:b/>
          <w:bCs/>
          <w:sz w:val="40"/>
          <w:szCs w:val="40"/>
        </w:rPr>
      </w:pPr>
      <w:bookmarkStart w:id="0" w:name="_GoBack"/>
      <w:bookmarkEnd w:id="0"/>
      <w:r>
        <w:rPr>
          <w:rFonts w:ascii="Times New Roman" w:hAnsi="Times New Roman"/>
          <w:b/>
          <w:noProof/>
          <w:sz w:val="40"/>
          <w:szCs w:val="40"/>
        </w:rPr>
        <w:drawing>
          <wp:inline distT="0" distB="0" distL="0" distR="0">
            <wp:extent cx="1571625" cy="819150"/>
            <wp:effectExtent l="19050" t="0" r="9525"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1571625" cy="819150"/>
                    </a:xfrm>
                    <a:prstGeom prst="rect">
                      <a:avLst/>
                    </a:prstGeom>
                    <a:noFill/>
                    <a:ln w="9525">
                      <a:noFill/>
                      <a:miter lim="800000"/>
                      <a:headEnd/>
                      <a:tailEnd/>
                    </a:ln>
                  </pic:spPr>
                </pic:pic>
              </a:graphicData>
            </a:graphic>
          </wp:inline>
        </w:drawing>
      </w:r>
    </w:p>
    <w:p w:rsidR="00632238" w:rsidRDefault="00632238" w:rsidP="00632238">
      <w:pPr>
        <w:jc w:val="both"/>
        <w:rPr>
          <w:rFonts w:ascii="Times New Roman" w:hAnsi="Times New Roman"/>
          <w:b/>
          <w:bCs/>
          <w:sz w:val="40"/>
          <w:szCs w:val="40"/>
        </w:rPr>
      </w:pPr>
    </w:p>
    <w:p w:rsidR="00632238" w:rsidRPr="00417FD7" w:rsidRDefault="00417FD7" w:rsidP="00417FD7">
      <w:pPr>
        <w:jc w:val="right"/>
        <w:rPr>
          <w:rFonts w:ascii="Times New Roman" w:hAnsi="Times New Roman"/>
          <w:bCs/>
          <w:sz w:val="32"/>
          <w:szCs w:val="32"/>
        </w:rPr>
      </w:pPr>
      <w:r w:rsidRPr="00417FD7">
        <w:rPr>
          <w:rFonts w:ascii="Times New Roman" w:hAnsi="Times New Roman"/>
          <w:bCs/>
          <w:sz w:val="32"/>
          <w:szCs w:val="32"/>
        </w:rPr>
        <w:t>Projekts</w:t>
      </w:r>
    </w:p>
    <w:p w:rsidR="00632238" w:rsidRDefault="00632238" w:rsidP="00632238">
      <w:pPr>
        <w:jc w:val="both"/>
        <w:rPr>
          <w:rFonts w:ascii="Times New Roman" w:hAnsi="Times New Roman"/>
          <w:b/>
          <w:bCs/>
          <w:sz w:val="40"/>
          <w:szCs w:val="40"/>
        </w:rPr>
      </w:pPr>
    </w:p>
    <w:p w:rsidR="00632238" w:rsidRDefault="00632238" w:rsidP="00632238">
      <w:pPr>
        <w:jc w:val="both"/>
        <w:rPr>
          <w:rFonts w:ascii="Times New Roman" w:hAnsi="Times New Roman"/>
          <w:b/>
          <w:bCs/>
          <w:sz w:val="40"/>
          <w:szCs w:val="40"/>
        </w:rPr>
      </w:pPr>
    </w:p>
    <w:p w:rsidR="00417FD7" w:rsidRDefault="00632238" w:rsidP="00417FD7">
      <w:pPr>
        <w:jc w:val="center"/>
        <w:rPr>
          <w:rFonts w:ascii="Times New Roman" w:hAnsi="Times New Roman"/>
          <w:b/>
          <w:bCs/>
          <w:sz w:val="40"/>
          <w:szCs w:val="40"/>
        </w:rPr>
      </w:pPr>
      <w:r w:rsidRPr="00632238">
        <w:rPr>
          <w:rFonts w:ascii="Times New Roman" w:hAnsi="Times New Roman"/>
          <w:b/>
          <w:bCs/>
          <w:sz w:val="40"/>
          <w:szCs w:val="40"/>
        </w:rPr>
        <w:t>Informatīvais ziņojums</w:t>
      </w:r>
    </w:p>
    <w:p w:rsidR="00632238" w:rsidRDefault="00417FD7" w:rsidP="00417FD7">
      <w:pPr>
        <w:jc w:val="center"/>
        <w:rPr>
          <w:rFonts w:ascii="Times New Roman" w:hAnsi="Times New Roman"/>
          <w:b/>
          <w:bCs/>
          <w:sz w:val="40"/>
          <w:szCs w:val="40"/>
        </w:rPr>
      </w:pPr>
      <w:r>
        <w:rPr>
          <w:rFonts w:ascii="Times New Roman" w:hAnsi="Times New Roman"/>
          <w:b/>
          <w:bCs/>
          <w:sz w:val="40"/>
          <w:szCs w:val="40"/>
        </w:rPr>
        <w:t>„P</w:t>
      </w:r>
      <w:r w:rsidR="00632238" w:rsidRPr="00632238">
        <w:rPr>
          <w:rFonts w:ascii="Times New Roman" w:hAnsi="Times New Roman"/>
          <w:b/>
          <w:bCs/>
          <w:sz w:val="40"/>
          <w:szCs w:val="40"/>
        </w:rPr>
        <w:t>ar iespējām pakāpeniski izlīdzināt atlīdzības fondus valsts tiešās pārvaldes iestādēm, lai nodrošinātu līdzvērtīgu atlīdzību līdzīgiem amatiem dažādās iestādēs</w:t>
      </w:r>
      <w:r>
        <w:rPr>
          <w:rFonts w:ascii="Times New Roman" w:hAnsi="Times New Roman"/>
          <w:b/>
          <w:bCs/>
          <w:sz w:val="40"/>
          <w:szCs w:val="40"/>
        </w:rPr>
        <w:t xml:space="preserve">” </w:t>
      </w:r>
    </w:p>
    <w:p w:rsidR="00632238" w:rsidRDefault="00632238" w:rsidP="00632238">
      <w:pPr>
        <w:jc w:val="both"/>
        <w:rPr>
          <w:rFonts w:ascii="Times New Roman" w:hAnsi="Times New Roman"/>
          <w:b/>
          <w:bCs/>
          <w:sz w:val="40"/>
          <w:szCs w:val="40"/>
        </w:rPr>
      </w:pPr>
    </w:p>
    <w:p w:rsidR="00632238" w:rsidRDefault="00632238" w:rsidP="00632238">
      <w:pPr>
        <w:jc w:val="both"/>
        <w:rPr>
          <w:rFonts w:ascii="Times New Roman" w:hAnsi="Times New Roman"/>
          <w:b/>
          <w:bCs/>
          <w:sz w:val="40"/>
          <w:szCs w:val="40"/>
        </w:rPr>
      </w:pPr>
    </w:p>
    <w:p w:rsidR="00632238" w:rsidRDefault="00632238" w:rsidP="00632238">
      <w:pPr>
        <w:jc w:val="both"/>
        <w:rPr>
          <w:rFonts w:ascii="Times New Roman" w:hAnsi="Times New Roman"/>
          <w:b/>
          <w:bCs/>
          <w:sz w:val="40"/>
          <w:szCs w:val="40"/>
        </w:rPr>
      </w:pPr>
    </w:p>
    <w:p w:rsidR="00632238" w:rsidRDefault="00632238" w:rsidP="00632238">
      <w:pPr>
        <w:jc w:val="both"/>
        <w:rPr>
          <w:rFonts w:ascii="Times New Roman" w:hAnsi="Times New Roman"/>
          <w:b/>
          <w:bCs/>
          <w:sz w:val="40"/>
          <w:szCs w:val="40"/>
        </w:rPr>
      </w:pPr>
    </w:p>
    <w:p w:rsidR="00632238" w:rsidRDefault="00632238" w:rsidP="00632238">
      <w:pPr>
        <w:jc w:val="both"/>
        <w:rPr>
          <w:rFonts w:ascii="Times New Roman" w:hAnsi="Times New Roman"/>
          <w:b/>
          <w:bCs/>
          <w:sz w:val="40"/>
          <w:szCs w:val="40"/>
        </w:rPr>
      </w:pPr>
    </w:p>
    <w:p w:rsidR="006A00A3" w:rsidRDefault="006A00A3" w:rsidP="00632238">
      <w:pPr>
        <w:jc w:val="both"/>
        <w:rPr>
          <w:rFonts w:ascii="Times New Roman" w:hAnsi="Times New Roman"/>
          <w:b/>
          <w:bCs/>
          <w:sz w:val="40"/>
          <w:szCs w:val="40"/>
        </w:rPr>
      </w:pPr>
    </w:p>
    <w:p w:rsidR="00632238" w:rsidRDefault="00632238" w:rsidP="00632238">
      <w:pPr>
        <w:jc w:val="both"/>
        <w:rPr>
          <w:rFonts w:ascii="Times New Roman" w:hAnsi="Times New Roman"/>
          <w:b/>
          <w:bCs/>
          <w:sz w:val="40"/>
          <w:szCs w:val="40"/>
        </w:rPr>
      </w:pPr>
    </w:p>
    <w:p w:rsidR="00632238" w:rsidRDefault="00632238" w:rsidP="00632238">
      <w:pPr>
        <w:jc w:val="both"/>
        <w:rPr>
          <w:rFonts w:ascii="Times New Roman" w:hAnsi="Times New Roman"/>
          <w:b/>
          <w:bCs/>
          <w:sz w:val="40"/>
          <w:szCs w:val="40"/>
        </w:rPr>
      </w:pPr>
    </w:p>
    <w:p w:rsidR="00632238" w:rsidRPr="00405F8A" w:rsidRDefault="00A778D0" w:rsidP="00632238">
      <w:pPr>
        <w:pBdr>
          <w:top w:val="single" w:sz="4" w:space="4" w:color="auto"/>
        </w:pBdr>
        <w:rPr>
          <w:rFonts w:ascii="Times New Roman" w:hAnsi="Times New Roman"/>
          <w:sz w:val="36"/>
        </w:rPr>
        <w:sectPr w:rsidR="00632238" w:rsidRPr="00405F8A" w:rsidSect="00122563">
          <w:footerReference w:type="default" r:id="rId9"/>
          <w:pgSz w:w="11906" w:h="16838" w:code="9"/>
          <w:pgMar w:top="1418" w:right="1134" w:bottom="1134" w:left="1701" w:header="720" w:footer="720" w:gutter="0"/>
          <w:cols w:space="720"/>
          <w:titlePg/>
          <w:rtlGutter/>
        </w:sectPr>
      </w:pPr>
      <w:r>
        <w:rPr>
          <w:rFonts w:ascii="Times New Roman" w:hAnsi="Times New Roman"/>
        </w:rPr>
        <w:t>2013</w:t>
      </w:r>
      <w:r w:rsidR="00632238" w:rsidRPr="00405F8A">
        <w:rPr>
          <w:rFonts w:ascii="Times New Roman" w:hAnsi="Times New Roman"/>
        </w:rPr>
        <w:t xml:space="preserve">. gada </w:t>
      </w:r>
      <w:r w:rsidR="002311F4">
        <w:rPr>
          <w:rFonts w:ascii="Times New Roman" w:hAnsi="Times New Roman"/>
        </w:rPr>
        <w:t>maijs</w:t>
      </w:r>
      <w:r w:rsidR="0019462C">
        <w:rPr>
          <w:rFonts w:ascii="Times New Roman" w:hAnsi="Times New Roman"/>
        </w:rPr>
        <w:tab/>
      </w:r>
      <w:r w:rsidR="0019462C">
        <w:rPr>
          <w:rFonts w:ascii="Times New Roman" w:hAnsi="Times New Roman"/>
        </w:rPr>
        <w:tab/>
      </w:r>
    </w:p>
    <w:p w:rsidR="00632238" w:rsidRDefault="00645205" w:rsidP="00645205">
      <w:pPr>
        <w:jc w:val="center"/>
        <w:rPr>
          <w:rFonts w:ascii="Times New Roman" w:hAnsi="Times New Roman"/>
          <w:b/>
          <w:bCs/>
          <w:sz w:val="28"/>
          <w:szCs w:val="28"/>
        </w:rPr>
      </w:pPr>
      <w:r w:rsidRPr="00645205">
        <w:rPr>
          <w:rFonts w:ascii="Times New Roman" w:hAnsi="Times New Roman"/>
          <w:b/>
          <w:bCs/>
          <w:sz w:val="28"/>
          <w:szCs w:val="28"/>
        </w:rPr>
        <w:lastRenderedPageBreak/>
        <w:t>Saturs</w:t>
      </w:r>
    </w:p>
    <w:p w:rsidR="00B32E20" w:rsidRPr="00716E08" w:rsidRDefault="00716E08" w:rsidP="00716E08">
      <w:pPr>
        <w:jc w:val="right"/>
        <w:rPr>
          <w:rFonts w:ascii="Times New Roman" w:hAnsi="Times New Roman"/>
          <w:bCs/>
          <w:sz w:val="28"/>
          <w:szCs w:val="28"/>
        </w:rPr>
      </w:pPr>
      <w:r w:rsidRPr="00716E08">
        <w:rPr>
          <w:rFonts w:ascii="Times New Roman" w:hAnsi="Times New Roman"/>
          <w:bCs/>
          <w:sz w:val="28"/>
          <w:szCs w:val="28"/>
        </w:rPr>
        <w:t>Lp</w:t>
      </w:r>
      <w:r>
        <w:rPr>
          <w:rFonts w:ascii="Times New Roman" w:hAnsi="Times New Roman"/>
          <w:bCs/>
          <w:sz w:val="28"/>
          <w:szCs w:val="28"/>
        </w:rPr>
        <w:t>.</w:t>
      </w:r>
    </w:p>
    <w:p w:rsidR="00B32E20" w:rsidRPr="00B32E20" w:rsidRDefault="00B32E20" w:rsidP="008663A7">
      <w:pPr>
        <w:tabs>
          <w:tab w:val="right" w:leader="dot" w:pos="9356"/>
        </w:tabs>
        <w:spacing w:after="120" w:line="240" w:lineRule="auto"/>
        <w:ind w:firstLine="709"/>
        <w:jc w:val="both"/>
        <w:rPr>
          <w:rFonts w:ascii="Times New Roman" w:hAnsi="Times New Roman"/>
          <w:bCs/>
          <w:sz w:val="28"/>
          <w:szCs w:val="28"/>
        </w:rPr>
      </w:pPr>
      <w:r w:rsidRPr="00B32E20">
        <w:rPr>
          <w:rFonts w:ascii="Times New Roman" w:hAnsi="Times New Roman"/>
          <w:bCs/>
          <w:sz w:val="28"/>
          <w:szCs w:val="28"/>
        </w:rPr>
        <w:t>Ievads</w:t>
      </w:r>
      <w:r w:rsidR="008663A7">
        <w:rPr>
          <w:rFonts w:ascii="Times New Roman" w:hAnsi="Times New Roman"/>
          <w:bCs/>
          <w:sz w:val="28"/>
          <w:szCs w:val="28"/>
        </w:rPr>
        <w:tab/>
      </w:r>
      <w:r w:rsidR="00F67152">
        <w:rPr>
          <w:rFonts w:ascii="Times New Roman" w:hAnsi="Times New Roman"/>
          <w:bCs/>
          <w:sz w:val="28"/>
          <w:szCs w:val="28"/>
        </w:rPr>
        <w:t>3</w:t>
      </w:r>
    </w:p>
    <w:p w:rsidR="00B32E20" w:rsidRDefault="00B32E20" w:rsidP="008663A7">
      <w:pPr>
        <w:pStyle w:val="ListParagraph"/>
        <w:numPr>
          <w:ilvl w:val="0"/>
          <w:numId w:val="7"/>
        </w:numPr>
        <w:tabs>
          <w:tab w:val="right" w:leader="dot" w:pos="9356"/>
        </w:tabs>
        <w:spacing w:after="120" w:line="240" w:lineRule="auto"/>
        <w:ind w:left="1077" w:right="335"/>
        <w:rPr>
          <w:rFonts w:ascii="Times New Roman" w:hAnsi="Times New Roman"/>
          <w:bCs/>
          <w:sz w:val="28"/>
          <w:szCs w:val="28"/>
        </w:rPr>
      </w:pPr>
      <w:r w:rsidRPr="00B32E20">
        <w:rPr>
          <w:rFonts w:ascii="Times New Roman" w:hAnsi="Times New Roman"/>
          <w:bCs/>
          <w:sz w:val="28"/>
          <w:szCs w:val="28"/>
        </w:rPr>
        <w:t>Esošā situācija</w:t>
      </w:r>
      <w:r w:rsidR="008663A7">
        <w:rPr>
          <w:rFonts w:ascii="Times New Roman" w:hAnsi="Times New Roman"/>
          <w:bCs/>
          <w:sz w:val="28"/>
          <w:szCs w:val="28"/>
        </w:rPr>
        <w:tab/>
      </w:r>
      <w:r w:rsidR="00F67152">
        <w:rPr>
          <w:rFonts w:ascii="Times New Roman" w:hAnsi="Times New Roman"/>
          <w:bCs/>
          <w:sz w:val="28"/>
          <w:szCs w:val="28"/>
        </w:rPr>
        <w:t>4</w:t>
      </w:r>
    </w:p>
    <w:p w:rsidR="008C7EA5" w:rsidRPr="008C7EA5" w:rsidRDefault="008C7EA5" w:rsidP="008663A7">
      <w:pPr>
        <w:pStyle w:val="ListParagraph"/>
        <w:numPr>
          <w:ilvl w:val="0"/>
          <w:numId w:val="7"/>
        </w:numPr>
        <w:tabs>
          <w:tab w:val="right" w:leader="dot" w:pos="9356"/>
        </w:tabs>
        <w:spacing w:after="120" w:line="240" w:lineRule="auto"/>
        <w:ind w:left="1077" w:right="335"/>
        <w:rPr>
          <w:rFonts w:ascii="Times New Roman" w:hAnsi="Times New Roman"/>
          <w:bCs/>
          <w:sz w:val="28"/>
          <w:szCs w:val="28"/>
        </w:rPr>
      </w:pPr>
      <w:r w:rsidRPr="008C7EA5">
        <w:rPr>
          <w:rFonts w:ascii="Times New Roman" w:hAnsi="Times New Roman"/>
          <w:bCs/>
          <w:sz w:val="28"/>
          <w:szCs w:val="28"/>
        </w:rPr>
        <w:t>Pastāvošās problēmas mēnešalgas noteikšanā</w:t>
      </w:r>
      <w:r w:rsidR="008663A7">
        <w:rPr>
          <w:rFonts w:ascii="Times New Roman" w:hAnsi="Times New Roman"/>
          <w:bCs/>
          <w:sz w:val="28"/>
          <w:szCs w:val="28"/>
        </w:rPr>
        <w:tab/>
      </w:r>
      <w:r w:rsidR="00FC0C6D">
        <w:rPr>
          <w:rFonts w:ascii="Times New Roman" w:hAnsi="Times New Roman"/>
          <w:bCs/>
          <w:sz w:val="28"/>
          <w:szCs w:val="28"/>
        </w:rPr>
        <w:t>13</w:t>
      </w:r>
    </w:p>
    <w:p w:rsidR="00C055D7" w:rsidRPr="008C7EA5" w:rsidRDefault="00C055D7" w:rsidP="008663A7">
      <w:pPr>
        <w:pStyle w:val="ListParagraph"/>
        <w:numPr>
          <w:ilvl w:val="1"/>
          <w:numId w:val="7"/>
        </w:numPr>
        <w:tabs>
          <w:tab w:val="right" w:leader="dot" w:pos="9356"/>
        </w:tabs>
        <w:spacing w:after="120" w:line="240" w:lineRule="auto"/>
        <w:ind w:left="1077" w:right="335"/>
        <w:rPr>
          <w:rFonts w:ascii="Times New Roman" w:hAnsi="Times New Roman"/>
          <w:bCs/>
          <w:sz w:val="28"/>
          <w:szCs w:val="28"/>
        </w:rPr>
      </w:pPr>
      <w:r w:rsidRPr="008C7EA5">
        <w:rPr>
          <w:rFonts w:ascii="Times New Roman" w:hAnsi="Times New Roman"/>
          <w:bCs/>
          <w:sz w:val="28"/>
          <w:szCs w:val="28"/>
        </w:rPr>
        <w:t>Pastāvošās problēmas līdzvērtīgas mēnešalgas noteikšanai līdzīgiem amatiem valsts tiešās pārvaldes iestādēs</w:t>
      </w:r>
      <w:r w:rsidR="008663A7">
        <w:rPr>
          <w:rFonts w:ascii="Times New Roman" w:hAnsi="Times New Roman"/>
          <w:bCs/>
          <w:sz w:val="28"/>
          <w:szCs w:val="28"/>
        </w:rPr>
        <w:tab/>
      </w:r>
      <w:r w:rsidR="00FC0C6D">
        <w:rPr>
          <w:rFonts w:ascii="Times New Roman" w:hAnsi="Times New Roman"/>
          <w:bCs/>
          <w:sz w:val="28"/>
          <w:szCs w:val="28"/>
        </w:rPr>
        <w:t>13</w:t>
      </w:r>
    </w:p>
    <w:p w:rsidR="00C055D7" w:rsidRDefault="00C055D7" w:rsidP="008663A7">
      <w:pPr>
        <w:pStyle w:val="ListParagraph"/>
        <w:numPr>
          <w:ilvl w:val="1"/>
          <w:numId w:val="7"/>
        </w:numPr>
        <w:tabs>
          <w:tab w:val="right" w:leader="dot" w:pos="9356"/>
        </w:tabs>
        <w:spacing w:after="120" w:line="240" w:lineRule="auto"/>
        <w:ind w:left="1077" w:right="335"/>
        <w:rPr>
          <w:rFonts w:ascii="Times New Roman" w:hAnsi="Times New Roman"/>
          <w:bCs/>
          <w:sz w:val="28"/>
          <w:szCs w:val="28"/>
        </w:rPr>
      </w:pPr>
      <w:r w:rsidRPr="00C055D7">
        <w:rPr>
          <w:rFonts w:ascii="Times New Roman" w:hAnsi="Times New Roman"/>
          <w:bCs/>
          <w:sz w:val="28"/>
          <w:szCs w:val="28"/>
        </w:rPr>
        <w:t>Pastāvošās problēmas konkurētspējīgas darba samaksas noteikšanai kvalificētiem speciālistiem valsts tiešās pārvaldes iestādēs</w:t>
      </w:r>
      <w:r w:rsidR="008663A7">
        <w:rPr>
          <w:rFonts w:ascii="Times New Roman" w:hAnsi="Times New Roman"/>
          <w:bCs/>
          <w:sz w:val="28"/>
          <w:szCs w:val="28"/>
        </w:rPr>
        <w:tab/>
      </w:r>
      <w:r w:rsidR="00D614C2">
        <w:rPr>
          <w:rFonts w:ascii="Times New Roman" w:hAnsi="Times New Roman"/>
          <w:bCs/>
          <w:sz w:val="28"/>
          <w:szCs w:val="28"/>
        </w:rPr>
        <w:t>1</w:t>
      </w:r>
      <w:r w:rsidR="00020BE4">
        <w:rPr>
          <w:rFonts w:ascii="Times New Roman" w:hAnsi="Times New Roman"/>
          <w:bCs/>
          <w:sz w:val="28"/>
          <w:szCs w:val="28"/>
        </w:rPr>
        <w:t>8</w:t>
      </w:r>
    </w:p>
    <w:p w:rsidR="00D53E93" w:rsidRPr="00C055D7" w:rsidRDefault="00D53E93" w:rsidP="008663A7">
      <w:pPr>
        <w:pStyle w:val="ListParagraph"/>
        <w:tabs>
          <w:tab w:val="right" w:leader="dot" w:pos="9356"/>
        </w:tabs>
        <w:spacing w:after="120" w:line="240" w:lineRule="auto"/>
        <w:ind w:left="1077" w:right="335"/>
        <w:rPr>
          <w:rFonts w:ascii="Times New Roman" w:hAnsi="Times New Roman"/>
          <w:bCs/>
          <w:sz w:val="28"/>
          <w:szCs w:val="28"/>
        </w:rPr>
      </w:pPr>
    </w:p>
    <w:p w:rsidR="00C055D7" w:rsidRPr="008C7EA5" w:rsidRDefault="008C7EA5" w:rsidP="008663A7">
      <w:pPr>
        <w:pStyle w:val="ListParagraph"/>
        <w:numPr>
          <w:ilvl w:val="0"/>
          <w:numId w:val="7"/>
        </w:numPr>
        <w:tabs>
          <w:tab w:val="right" w:leader="dot" w:pos="9356"/>
        </w:tabs>
        <w:ind w:left="1077" w:right="335"/>
        <w:rPr>
          <w:rFonts w:ascii="Times New Roman" w:hAnsi="Times New Roman"/>
          <w:bCs/>
          <w:sz w:val="28"/>
          <w:szCs w:val="28"/>
        </w:rPr>
      </w:pPr>
      <w:r w:rsidRPr="008C7EA5">
        <w:rPr>
          <w:rFonts w:ascii="Times New Roman" w:hAnsi="Times New Roman"/>
          <w:bCs/>
          <w:sz w:val="28"/>
          <w:szCs w:val="28"/>
        </w:rPr>
        <w:t>Piedāvātais risinājums vidējam termiņam 2014. līdz 2016.gadam</w:t>
      </w:r>
      <w:r w:rsidR="008663A7">
        <w:rPr>
          <w:rFonts w:ascii="Times New Roman" w:hAnsi="Times New Roman"/>
          <w:bCs/>
          <w:sz w:val="28"/>
          <w:szCs w:val="28"/>
        </w:rPr>
        <w:tab/>
      </w:r>
      <w:r w:rsidR="00020BE4">
        <w:rPr>
          <w:rFonts w:ascii="Times New Roman" w:hAnsi="Times New Roman"/>
          <w:bCs/>
          <w:sz w:val="28"/>
          <w:szCs w:val="28"/>
        </w:rPr>
        <w:t>22</w:t>
      </w:r>
    </w:p>
    <w:p w:rsidR="008C7EA5" w:rsidRPr="008C7EA5" w:rsidRDefault="008C7EA5" w:rsidP="008663A7">
      <w:pPr>
        <w:pStyle w:val="ListParagraph"/>
        <w:numPr>
          <w:ilvl w:val="1"/>
          <w:numId w:val="7"/>
        </w:numPr>
        <w:tabs>
          <w:tab w:val="right" w:leader="dot" w:pos="9356"/>
        </w:tabs>
        <w:ind w:left="1077" w:right="335"/>
        <w:rPr>
          <w:rFonts w:ascii="Times New Roman" w:hAnsi="Times New Roman"/>
          <w:bCs/>
          <w:sz w:val="28"/>
          <w:szCs w:val="28"/>
        </w:rPr>
      </w:pPr>
      <w:r w:rsidRPr="008C7EA5">
        <w:rPr>
          <w:rFonts w:ascii="Times New Roman" w:hAnsi="Times New Roman"/>
          <w:bCs/>
          <w:sz w:val="28"/>
          <w:szCs w:val="28"/>
        </w:rPr>
        <w:t>Virzība uz konkurētspējīgu mēnešalgu kvalificētiem speciālistiem</w:t>
      </w:r>
      <w:r w:rsidR="008663A7">
        <w:rPr>
          <w:rFonts w:ascii="Times New Roman" w:hAnsi="Times New Roman"/>
          <w:bCs/>
          <w:sz w:val="28"/>
          <w:szCs w:val="28"/>
        </w:rPr>
        <w:tab/>
      </w:r>
      <w:r w:rsidR="00020BE4">
        <w:rPr>
          <w:rFonts w:ascii="Times New Roman" w:hAnsi="Times New Roman"/>
          <w:bCs/>
          <w:sz w:val="28"/>
          <w:szCs w:val="28"/>
        </w:rPr>
        <w:t>22</w:t>
      </w:r>
    </w:p>
    <w:p w:rsidR="008C7EA5" w:rsidRPr="008C7EA5" w:rsidRDefault="008C7EA5" w:rsidP="008663A7">
      <w:pPr>
        <w:pStyle w:val="ListParagraph"/>
        <w:numPr>
          <w:ilvl w:val="1"/>
          <w:numId w:val="7"/>
        </w:numPr>
        <w:tabs>
          <w:tab w:val="right" w:leader="dot" w:pos="9356"/>
        </w:tabs>
        <w:ind w:left="1077" w:right="335"/>
        <w:rPr>
          <w:rFonts w:ascii="Times New Roman" w:hAnsi="Times New Roman"/>
          <w:bCs/>
          <w:sz w:val="28"/>
          <w:szCs w:val="28"/>
        </w:rPr>
      </w:pPr>
      <w:r w:rsidRPr="008C7EA5">
        <w:rPr>
          <w:rFonts w:ascii="Times New Roman" w:hAnsi="Times New Roman"/>
          <w:bCs/>
          <w:sz w:val="28"/>
          <w:szCs w:val="28"/>
        </w:rPr>
        <w:t xml:space="preserve">Pakāpeniska  mēnešalgu izlīdzināšana līdzīgu darbu veicējiem – sasaistot to ar minimālās algas paaugstināšanu un mēnešalgu skalas diapazonu pakāpenisku sašaurināšanu </w:t>
      </w:r>
      <w:r w:rsidR="008663A7">
        <w:rPr>
          <w:rFonts w:ascii="Times New Roman" w:hAnsi="Times New Roman"/>
          <w:bCs/>
          <w:sz w:val="28"/>
          <w:szCs w:val="28"/>
        </w:rPr>
        <w:tab/>
      </w:r>
      <w:r w:rsidR="009B4B12">
        <w:rPr>
          <w:rFonts w:ascii="Times New Roman" w:hAnsi="Times New Roman"/>
          <w:bCs/>
          <w:sz w:val="28"/>
          <w:szCs w:val="28"/>
        </w:rPr>
        <w:t>24</w:t>
      </w:r>
    </w:p>
    <w:p w:rsidR="008C7EA5" w:rsidRPr="008C7EA5" w:rsidRDefault="008C7EA5" w:rsidP="008663A7">
      <w:pPr>
        <w:pStyle w:val="ListParagraph"/>
        <w:numPr>
          <w:ilvl w:val="0"/>
          <w:numId w:val="7"/>
        </w:numPr>
        <w:tabs>
          <w:tab w:val="right" w:leader="dot" w:pos="9356"/>
        </w:tabs>
        <w:autoSpaceDE w:val="0"/>
        <w:autoSpaceDN w:val="0"/>
        <w:adjustRightInd w:val="0"/>
        <w:spacing w:after="120" w:line="240" w:lineRule="auto"/>
        <w:ind w:left="1077" w:right="335"/>
        <w:rPr>
          <w:rFonts w:ascii="Times New Roman" w:hAnsi="Times New Roman"/>
          <w:sz w:val="28"/>
          <w:szCs w:val="28"/>
        </w:rPr>
      </w:pPr>
      <w:r w:rsidRPr="008C7EA5">
        <w:rPr>
          <w:rFonts w:ascii="Times New Roman" w:hAnsi="Times New Roman"/>
          <w:sz w:val="28"/>
          <w:szCs w:val="28"/>
        </w:rPr>
        <w:t>Finansiālās ietekmes novērtējums mēnešalgu izlīdzināšana līdzīgu darbu veicējiem</w:t>
      </w:r>
      <w:r w:rsidR="008663A7">
        <w:rPr>
          <w:rFonts w:ascii="Times New Roman" w:hAnsi="Times New Roman"/>
          <w:sz w:val="28"/>
          <w:szCs w:val="28"/>
        </w:rPr>
        <w:tab/>
      </w:r>
      <w:r w:rsidR="009B4B12">
        <w:rPr>
          <w:rFonts w:ascii="Times New Roman" w:hAnsi="Times New Roman"/>
          <w:sz w:val="28"/>
          <w:szCs w:val="28"/>
        </w:rPr>
        <w:t>25</w:t>
      </w:r>
    </w:p>
    <w:p w:rsidR="008C7EA5" w:rsidRDefault="008C7EA5" w:rsidP="008663A7">
      <w:pPr>
        <w:pStyle w:val="ListParagraph"/>
        <w:numPr>
          <w:ilvl w:val="1"/>
          <w:numId w:val="7"/>
        </w:numPr>
        <w:tabs>
          <w:tab w:val="right" w:leader="dot" w:pos="9356"/>
        </w:tabs>
        <w:autoSpaceDE w:val="0"/>
        <w:autoSpaceDN w:val="0"/>
        <w:adjustRightInd w:val="0"/>
        <w:spacing w:after="120" w:line="240" w:lineRule="auto"/>
        <w:ind w:left="1077" w:right="335"/>
        <w:rPr>
          <w:rFonts w:ascii="Times New Roman" w:hAnsi="Times New Roman"/>
          <w:sz w:val="28"/>
          <w:szCs w:val="28"/>
        </w:rPr>
      </w:pPr>
      <w:r w:rsidRPr="008C7EA5">
        <w:rPr>
          <w:rFonts w:ascii="Times New Roman" w:hAnsi="Times New Roman"/>
          <w:sz w:val="28"/>
          <w:szCs w:val="28"/>
        </w:rPr>
        <w:t>Papildu nepieciešamais finansējums mēnešalgu izlīdzināšanai</w:t>
      </w:r>
      <w:r w:rsidR="008663A7">
        <w:rPr>
          <w:rFonts w:ascii="Times New Roman" w:hAnsi="Times New Roman"/>
          <w:sz w:val="28"/>
          <w:szCs w:val="28"/>
        </w:rPr>
        <w:tab/>
      </w:r>
      <w:r w:rsidR="009B4B12">
        <w:rPr>
          <w:rFonts w:ascii="Times New Roman" w:hAnsi="Times New Roman"/>
          <w:sz w:val="28"/>
          <w:szCs w:val="28"/>
        </w:rPr>
        <w:t>25</w:t>
      </w:r>
    </w:p>
    <w:p w:rsidR="008C7EA5" w:rsidRPr="008C7EA5" w:rsidRDefault="008C7EA5" w:rsidP="008663A7">
      <w:pPr>
        <w:pStyle w:val="ListParagraph"/>
        <w:numPr>
          <w:ilvl w:val="1"/>
          <w:numId w:val="7"/>
        </w:numPr>
        <w:tabs>
          <w:tab w:val="right" w:leader="dot" w:pos="9356"/>
        </w:tabs>
        <w:ind w:left="1077" w:right="335"/>
        <w:rPr>
          <w:rFonts w:ascii="Times New Roman" w:hAnsi="Times New Roman"/>
          <w:sz w:val="28"/>
          <w:szCs w:val="28"/>
        </w:rPr>
      </w:pPr>
      <w:r w:rsidRPr="008C7EA5">
        <w:rPr>
          <w:rFonts w:ascii="Times New Roman" w:hAnsi="Times New Roman"/>
          <w:sz w:val="28"/>
          <w:szCs w:val="28"/>
        </w:rPr>
        <w:t>Finansiālo iespēju nodrošināšanas iespējamie varianti</w:t>
      </w:r>
      <w:r w:rsidR="008663A7">
        <w:rPr>
          <w:rFonts w:ascii="Times New Roman" w:hAnsi="Times New Roman"/>
          <w:sz w:val="28"/>
          <w:szCs w:val="28"/>
        </w:rPr>
        <w:tab/>
      </w:r>
      <w:r w:rsidR="006054E5">
        <w:rPr>
          <w:rFonts w:ascii="Times New Roman" w:hAnsi="Times New Roman"/>
          <w:sz w:val="28"/>
          <w:szCs w:val="28"/>
        </w:rPr>
        <w:t>29</w:t>
      </w:r>
    </w:p>
    <w:p w:rsidR="008C7EA5" w:rsidRPr="008C7EA5" w:rsidRDefault="008C7EA5" w:rsidP="008663A7">
      <w:pPr>
        <w:pStyle w:val="ListParagraph"/>
        <w:numPr>
          <w:ilvl w:val="0"/>
          <w:numId w:val="7"/>
        </w:numPr>
        <w:tabs>
          <w:tab w:val="right" w:leader="dot" w:pos="9356"/>
        </w:tabs>
        <w:autoSpaceDE w:val="0"/>
        <w:autoSpaceDN w:val="0"/>
        <w:adjustRightInd w:val="0"/>
        <w:spacing w:after="120" w:line="240" w:lineRule="auto"/>
        <w:ind w:left="1077" w:right="335"/>
        <w:rPr>
          <w:rFonts w:ascii="Times New Roman" w:hAnsi="Times New Roman"/>
          <w:bCs/>
          <w:sz w:val="28"/>
          <w:szCs w:val="28"/>
        </w:rPr>
      </w:pPr>
      <w:r w:rsidRPr="008C7EA5">
        <w:rPr>
          <w:rFonts w:ascii="Times New Roman" w:hAnsi="Times New Roman"/>
          <w:sz w:val="28"/>
          <w:szCs w:val="28"/>
        </w:rPr>
        <w:t>Sociālās garantijas valsts tiešās pārvaldes iestādēs</w:t>
      </w:r>
      <w:r w:rsidR="008663A7">
        <w:rPr>
          <w:rFonts w:ascii="Times New Roman" w:hAnsi="Times New Roman"/>
          <w:sz w:val="28"/>
          <w:szCs w:val="28"/>
        </w:rPr>
        <w:tab/>
      </w:r>
      <w:r w:rsidR="006054E5">
        <w:rPr>
          <w:rFonts w:ascii="Times New Roman" w:hAnsi="Times New Roman"/>
          <w:sz w:val="28"/>
          <w:szCs w:val="28"/>
        </w:rPr>
        <w:t>30</w:t>
      </w:r>
    </w:p>
    <w:p w:rsidR="008C7EA5" w:rsidRPr="008C7EA5" w:rsidRDefault="008C7EA5" w:rsidP="008663A7">
      <w:pPr>
        <w:pStyle w:val="ListParagraph"/>
        <w:numPr>
          <w:ilvl w:val="0"/>
          <w:numId w:val="7"/>
        </w:numPr>
        <w:tabs>
          <w:tab w:val="right" w:leader="dot" w:pos="9356"/>
        </w:tabs>
        <w:ind w:left="1077" w:right="335"/>
        <w:rPr>
          <w:rFonts w:ascii="Times New Roman" w:hAnsi="Times New Roman"/>
          <w:sz w:val="28"/>
          <w:szCs w:val="28"/>
        </w:rPr>
      </w:pPr>
      <w:r w:rsidRPr="008C7EA5">
        <w:rPr>
          <w:rFonts w:ascii="Times New Roman" w:hAnsi="Times New Roman"/>
          <w:sz w:val="28"/>
          <w:szCs w:val="28"/>
        </w:rPr>
        <w:t xml:space="preserve">Kopsavilkums </w:t>
      </w:r>
      <w:r w:rsidR="008663A7">
        <w:rPr>
          <w:rFonts w:ascii="Times New Roman" w:hAnsi="Times New Roman"/>
          <w:sz w:val="28"/>
          <w:szCs w:val="28"/>
        </w:rPr>
        <w:t>–</w:t>
      </w:r>
      <w:r w:rsidRPr="008C7EA5">
        <w:rPr>
          <w:rFonts w:ascii="Times New Roman" w:hAnsi="Times New Roman"/>
          <w:sz w:val="28"/>
          <w:szCs w:val="28"/>
        </w:rPr>
        <w:t xml:space="preserve"> piedāvājums 2014. līdz 2016.gadam</w:t>
      </w:r>
      <w:r w:rsidR="008663A7">
        <w:rPr>
          <w:rFonts w:ascii="Times New Roman" w:hAnsi="Times New Roman"/>
          <w:sz w:val="28"/>
          <w:szCs w:val="28"/>
        </w:rPr>
        <w:tab/>
        <w:t>31</w:t>
      </w:r>
    </w:p>
    <w:p w:rsidR="00645205" w:rsidRPr="00645205" w:rsidRDefault="00645205" w:rsidP="00645205">
      <w:pPr>
        <w:jc w:val="center"/>
        <w:rPr>
          <w:rFonts w:ascii="Times New Roman" w:hAnsi="Times New Roman"/>
          <w:b/>
          <w:bCs/>
          <w:sz w:val="28"/>
          <w:szCs w:val="28"/>
        </w:rPr>
      </w:pPr>
    </w:p>
    <w:p w:rsidR="00645205" w:rsidRPr="00632238" w:rsidRDefault="00645205" w:rsidP="00632238">
      <w:pPr>
        <w:jc w:val="both"/>
        <w:rPr>
          <w:rFonts w:ascii="Times New Roman" w:hAnsi="Times New Roman"/>
          <w:b/>
          <w:bCs/>
          <w:sz w:val="40"/>
          <w:szCs w:val="40"/>
        </w:rPr>
      </w:pPr>
    </w:p>
    <w:p w:rsidR="00AC24CD" w:rsidRDefault="00AC24CD" w:rsidP="00903882">
      <w:pPr>
        <w:autoSpaceDE w:val="0"/>
        <w:autoSpaceDN w:val="0"/>
        <w:adjustRightInd w:val="0"/>
        <w:spacing w:after="0" w:line="240" w:lineRule="auto"/>
        <w:ind w:firstLine="720"/>
        <w:jc w:val="both"/>
        <w:rPr>
          <w:rFonts w:ascii="Times New Roman" w:hAnsi="Times New Roman"/>
          <w:sz w:val="28"/>
          <w:szCs w:val="28"/>
        </w:rPr>
      </w:pPr>
    </w:p>
    <w:p w:rsidR="00AC24CD" w:rsidRDefault="00AC24CD">
      <w:pPr>
        <w:rPr>
          <w:rFonts w:ascii="Times New Roman" w:hAnsi="Times New Roman"/>
          <w:sz w:val="28"/>
          <w:szCs w:val="28"/>
        </w:rPr>
      </w:pPr>
      <w:r>
        <w:rPr>
          <w:rFonts w:ascii="Times New Roman" w:hAnsi="Times New Roman"/>
          <w:sz w:val="28"/>
          <w:szCs w:val="28"/>
        </w:rPr>
        <w:br w:type="page"/>
      </w:r>
    </w:p>
    <w:p w:rsidR="00D47F7E" w:rsidRPr="00D47F7E" w:rsidRDefault="00D47F7E" w:rsidP="00903882">
      <w:pPr>
        <w:autoSpaceDE w:val="0"/>
        <w:autoSpaceDN w:val="0"/>
        <w:adjustRightInd w:val="0"/>
        <w:spacing w:after="0" w:line="240" w:lineRule="auto"/>
        <w:ind w:firstLine="720"/>
        <w:jc w:val="both"/>
        <w:rPr>
          <w:rFonts w:ascii="Times New Roman" w:hAnsi="Times New Roman"/>
          <w:b/>
          <w:sz w:val="28"/>
          <w:szCs w:val="28"/>
        </w:rPr>
      </w:pPr>
      <w:r w:rsidRPr="00D47F7E">
        <w:rPr>
          <w:rFonts w:ascii="Times New Roman" w:hAnsi="Times New Roman"/>
          <w:b/>
          <w:sz w:val="28"/>
          <w:szCs w:val="28"/>
        </w:rPr>
        <w:lastRenderedPageBreak/>
        <w:t>Ievads</w:t>
      </w:r>
    </w:p>
    <w:p w:rsidR="00D47F7E" w:rsidRDefault="00D47F7E" w:rsidP="00903882">
      <w:pPr>
        <w:autoSpaceDE w:val="0"/>
        <w:autoSpaceDN w:val="0"/>
        <w:adjustRightInd w:val="0"/>
        <w:spacing w:after="0" w:line="240" w:lineRule="auto"/>
        <w:ind w:firstLine="720"/>
        <w:jc w:val="both"/>
        <w:rPr>
          <w:rFonts w:ascii="Times New Roman" w:hAnsi="Times New Roman"/>
          <w:sz w:val="28"/>
          <w:szCs w:val="28"/>
        </w:rPr>
      </w:pPr>
    </w:p>
    <w:p w:rsidR="008C5BA0" w:rsidRPr="00E408DC" w:rsidRDefault="008B0F12" w:rsidP="00903882">
      <w:pPr>
        <w:autoSpaceDE w:val="0"/>
        <w:autoSpaceDN w:val="0"/>
        <w:adjustRightInd w:val="0"/>
        <w:spacing w:after="0" w:line="240" w:lineRule="auto"/>
        <w:ind w:firstLine="720"/>
        <w:jc w:val="both"/>
        <w:rPr>
          <w:rFonts w:ascii="Times New Roman" w:hAnsi="Times New Roman"/>
          <w:sz w:val="28"/>
          <w:szCs w:val="28"/>
        </w:rPr>
      </w:pPr>
      <w:r w:rsidRPr="00E408DC">
        <w:rPr>
          <w:rFonts w:ascii="Times New Roman" w:hAnsi="Times New Roman"/>
          <w:sz w:val="28"/>
          <w:szCs w:val="28"/>
        </w:rPr>
        <w:t>Finanšu ministrija, izpildot Ministru kabineta 2</w:t>
      </w:r>
      <w:r w:rsidR="008C5BA0" w:rsidRPr="00E408DC">
        <w:rPr>
          <w:rFonts w:ascii="Times New Roman" w:hAnsi="Times New Roman"/>
          <w:sz w:val="28"/>
          <w:szCs w:val="28"/>
        </w:rPr>
        <w:t>013.gada 8.janvāra sēd</w:t>
      </w:r>
      <w:r w:rsidRPr="00E408DC">
        <w:rPr>
          <w:rFonts w:ascii="Times New Roman" w:hAnsi="Times New Roman"/>
          <w:sz w:val="28"/>
          <w:szCs w:val="28"/>
        </w:rPr>
        <w:t>ē uzdoto (</w:t>
      </w:r>
      <w:r w:rsidR="008C5BA0" w:rsidRPr="00E408DC">
        <w:rPr>
          <w:rFonts w:ascii="Times New Roman" w:hAnsi="Times New Roman"/>
          <w:sz w:val="28"/>
          <w:szCs w:val="28"/>
        </w:rPr>
        <w:t>protokola Nr.2 26.§ 5.punkts</w:t>
      </w:r>
      <w:r w:rsidRPr="00E408DC">
        <w:rPr>
          <w:rFonts w:ascii="Times New Roman" w:hAnsi="Times New Roman"/>
          <w:sz w:val="28"/>
          <w:szCs w:val="28"/>
        </w:rPr>
        <w:t>)</w:t>
      </w:r>
      <w:r w:rsidR="00122D30" w:rsidRPr="00E408DC">
        <w:rPr>
          <w:rFonts w:ascii="Times New Roman" w:hAnsi="Times New Roman"/>
          <w:sz w:val="28"/>
          <w:szCs w:val="28"/>
        </w:rPr>
        <w:t>:</w:t>
      </w:r>
      <w:r w:rsidR="00625BBB">
        <w:rPr>
          <w:rFonts w:ascii="Times New Roman" w:hAnsi="Times New Roman"/>
          <w:sz w:val="28"/>
          <w:szCs w:val="28"/>
        </w:rPr>
        <w:t xml:space="preserve"> </w:t>
      </w:r>
      <w:r w:rsidR="008C5BA0" w:rsidRPr="00E408DC">
        <w:rPr>
          <w:rFonts w:ascii="Times New Roman" w:hAnsi="Times New Roman"/>
          <w:sz w:val="28"/>
          <w:szCs w:val="28"/>
        </w:rPr>
        <w:t>likumprojekta "Par vidēja termiņa budžeta ietvaru 2014., 2015. un 2016.gadam" sagatavošanas procesā izvērtēt iespējas pakāpeniski izlīdzināt atlīdzības fondus valsts tiešās pārvaldes iestādēm, lai nodrošinātu līdzvērtīgu atlīdzību līdzīgiem amatiem dažādās iestādēs, tai skaitā izskatot arī iespēju iestādēm nodrošināt sociālās garantijas līdzvērtīgos apmēros, un sagatavot informatīvo ziņojumu, kā arī aprēķinus par papildu nepieciešamo finansējumu</w:t>
      </w:r>
      <w:r w:rsidRPr="00E408DC">
        <w:rPr>
          <w:rFonts w:ascii="Times New Roman" w:hAnsi="Times New Roman"/>
          <w:sz w:val="28"/>
          <w:szCs w:val="28"/>
        </w:rPr>
        <w:t>, ir sagatavojusi informatīvo ziņojumu</w:t>
      </w:r>
      <w:r w:rsidR="008C5BA0" w:rsidRPr="00E408DC">
        <w:rPr>
          <w:rFonts w:ascii="Times New Roman" w:hAnsi="Times New Roman"/>
          <w:sz w:val="28"/>
          <w:szCs w:val="28"/>
        </w:rPr>
        <w:t>.</w:t>
      </w:r>
    </w:p>
    <w:p w:rsidR="00161228" w:rsidRPr="00E408DC" w:rsidRDefault="00E76A5D" w:rsidP="00E03599">
      <w:pPr>
        <w:autoSpaceDE w:val="0"/>
        <w:autoSpaceDN w:val="0"/>
        <w:adjustRightInd w:val="0"/>
        <w:spacing w:after="0" w:line="240" w:lineRule="auto"/>
        <w:jc w:val="both"/>
        <w:rPr>
          <w:rFonts w:ascii="Times New Roman" w:hAnsi="Times New Roman"/>
          <w:sz w:val="28"/>
          <w:szCs w:val="28"/>
        </w:rPr>
      </w:pPr>
      <w:r w:rsidRPr="00E408DC">
        <w:rPr>
          <w:rFonts w:ascii="Times New Roman" w:hAnsi="Times New Roman"/>
          <w:sz w:val="28"/>
          <w:szCs w:val="28"/>
        </w:rPr>
        <w:t>Informatīvais ziņojums</w:t>
      </w:r>
      <w:r w:rsidR="00C82C89">
        <w:rPr>
          <w:rFonts w:ascii="Times New Roman" w:hAnsi="Times New Roman"/>
          <w:sz w:val="28"/>
          <w:szCs w:val="28"/>
        </w:rPr>
        <w:t xml:space="preserve"> ietver arī </w:t>
      </w:r>
      <w:r w:rsidR="00E408DC">
        <w:rPr>
          <w:rFonts w:ascii="Times New Roman" w:hAnsi="Times New Roman"/>
          <w:sz w:val="28"/>
          <w:szCs w:val="28"/>
        </w:rPr>
        <w:t xml:space="preserve"> uzdevumu</w:t>
      </w:r>
      <w:r w:rsidR="00C82C89">
        <w:rPr>
          <w:rFonts w:ascii="Times New Roman" w:hAnsi="Times New Roman"/>
          <w:sz w:val="28"/>
          <w:szCs w:val="28"/>
        </w:rPr>
        <w:t xml:space="preserve"> izpildi</w:t>
      </w:r>
      <w:r w:rsidR="00E408DC">
        <w:rPr>
          <w:rFonts w:ascii="Times New Roman" w:hAnsi="Times New Roman"/>
          <w:sz w:val="28"/>
          <w:szCs w:val="28"/>
        </w:rPr>
        <w:t>, kas noteikti ar</w:t>
      </w:r>
      <w:r w:rsidR="00161228" w:rsidRPr="00E408DC">
        <w:rPr>
          <w:rFonts w:ascii="Times New Roman" w:hAnsi="Times New Roman"/>
          <w:sz w:val="28"/>
          <w:szCs w:val="28"/>
        </w:rPr>
        <w:t>:</w:t>
      </w:r>
    </w:p>
    <w:p w:rsidR="00E76A5D" w:rsidRDefault="00E03599" w:rsidP="00D17D74">
      <w:pPr>
        <w:pStyle w:val="ListParagraph"/>
        <w:numPr>
          <w:ilvl w:val="0"/>
          <w:numId w:val="6"/>
        </w:numPr>
        <w:autoSpaceDE w:val="0"/>
        <w:autoSpaceDN w:val="0"/>
        <w:adjustRightInd w:val="0"/>
        <w:spacing w:after="0" w:line="240" w:lineRule="auto"/>
        <w:ind w:left="284"/>
        <w:jc w:val="both"/>
        <w:rPr>
          <w:rFonts w:ascii="Times New Roman" w:hAnsi="Times New Roman"/>
          <w:sz w:val="28"/>
          <w:szCs w:val="28"/>
        </w:rPr>
      </w:pPr>
      <w:r w:rsidRPr="00E408DC">
        <w:rPr>
          <w:rFonts w:ascii="Times New Roman" w:hAnsi="Times New Roman"/>
          <w:sz w:val="28"/>
          <w:szCs w:val="28"/>
        </w:rPr>
        <w:t>Ministru kabineta 2012.gada 13.februāra rīkojuma Nr.72 "Par Koncepciju par korupcijas risku samazināšanu valsts pārvaldes iestādēs un pašvaldībās"</w:t>
      </w:r>
      <w:r w:rsidR="00625BBB">
        <w:rPr>
          <w:rFonts w:ascii="Times New Roman" w:hAnsi="Times New Roman"/>
          <w:sz w:val="28"/>
          <w:szCs w:val="28"/>
        </w:rPr>
        <w:t xml:space="preserve"> </w:t>
      </w:r>
      <w:r w:rsidR="00E76A5D" w:rsidRPr="00E408DC">
        <w:rPr>
          <w:rFonts w:ascii="Times New Roman" w:hAnsi="Times New Roman"/>
          <w:sz w:val="28"/>
          <w:szCs w:val="28"/>
        </w:rPr>
        <w:t>9.punkt</w:t>
      </w:r>
      <w:r w:rsidR="00E408DC">
        <w:rPr>
          <w:rFonts w:ascii="Times New Roman" w:hAnsi="Times New Roman"/>
          <w:sz w:val="28"/>
          <w:szCs w:val="28"/>
        </w:rPr>
        <w:t>u</w:t>
      </w:r>
      <w:r w:rsidR="00E76A5D" w:rsidRPr="00E408DC">
        <w:rPr>
          <w:rFonts w:ascii="Times New Roman" w:hAnsi="Times New Roman"/>
          <w:sz w:val="28"/>
          <w:szCs w:val="28"/>
        </w:rPr>
        <w:t xml:space="preserve"> </w:t>
      </w:r>
      <w:r w:rsidR="00C82C89">
        <w:rPr>
          <w:rFonts w:ascii="Times New Roman" w:hAnsi="Times New Roman"/>
          <w:sz w:val="28"/>
          <w:szCs w:val="28"/>
        </w:rPr>
        <w:t xml:space="preserve">– sagatavot </w:t>
      </w:r>
      <w:r w:rsidR="00E76A5D" w:rsidRPr="00E408DC">
        <w:rPr>
          <w:rFonts w:ascii="Times New Roman" w:hAnsi="Times New Roman"/>
          <w:sz w:val="28"/>
          <w:szCs w:val="28"/>
        </w:rPr>
        <w:t>informāciju par iespēju piešķirt papildu budžeta līdzekļus koncepcijā ietvertā risinājuma 3.varianta īstenošanai turpmākajos trijos gados</w:t>
      </w:r>
      <w:r w:rsidR="00C82C89">
        <w:rPr>
          <w:rFonts w:ascii="Times New Roman" w:hAnsi="Times New Roman"/>
          <w:sz w:val="28"/>
          <w:szCs w:val="28"/>
        </w:rPr>
        <w:t>: tas</w:t>
      </w:r>
      <w:r w:rsidR="00E76A5D" w:rsidRPr="00C476B2">
        <w:rPr>
          <w:rFonts w:ascii="Times New Roman" w:hAnsi="Times New Roman"/>
          <w:sz w:val="28"/>
          <w:szCs w:val="28"/>
        </w:rPr>
        <w:t xml:space="preserve"> attiecas uz iespēju palielināt atalgojumu korupcijas riskam pakļautajos amatos nodarbinātajām amatpersonām, kuru atalgojums ir kritiski zems un nepietiekošs mājsaimniecības pamatvajadzību nodrošināšanā.</w:t>
      </w:r>
    </w:p>
    <w:p w:rsidR="00036188" w:rsidRPr="00C476B2" w:rsidRDefault="006123AD" w:rsidP="006123AD">
      <w:pPr>
        <w:pStyle w:val="ListParagraph"/>
        <w:numPr>
          <w:ilvl w:val="0"/>
          <w:numId w:val="6"/>
        </w:numPr>
        <w:autoSpaceDE w:val="0"/>
        <w:autoSpaceDN w:val="0"/>
        <w:adjustRightInd w:val="0"/>
        <w:spacing w:after="0" w:line="240" w:lineRule="auto"/>
        <w:ind w:left="284" w:hanging="284"/>
        <w:jc w:val="both"/>
        <w:rPr>
          <w:rFonts w:ascii="Times New Roman" w:hAnsi="Times New Roman"/>
          <w:sz w:val="28"/>
          <w:szCs w:val="28"/>
        </w:rPr>
      </w:pPr>
      <w:r w:rsidRPr="006123AD">
        <w:rPr>
          <w:rFonts w:ascii="Times New Roman" w:hAnsi="Times New Roman"/>
          <w:sz w:val="28"/>
          <w:szCs w:val="28"/>
        </w:rPr>
        <w:t>Ministru kabineta 2013.gada 6.februāra rīkojum</w:t>
      </w:r>
      <w:r w:rsidR="00B211C4">
        <w:rPr>
          <w:rFonts w:ascii="Times New Roman" w:hAnsi="Times New Roman"/>
          <w:sz w:val="28"/>
          <w:szCs w:val="28"/>
        </w:rPr>
        <w:t>u</w:t>
      </w:r>
      <w:r w:rsidRPr="006123AD">
        <w:rPr>
          <w:rFonts w:ascii="Times New Roman" w:hAnsi="Times New Roman"/>
          <w:sz w:val="28"/>
          <w:szCs w:val="28"/>
        </w:rPr>
        <w:t xml:space="preserve"> Nr.48 "Par Valsts pārvaldes cilvēkresursu attīstības koncepciju"</w:t>
      </w:r>
      <w:r w:rsidR="00B211C4">
        <w:rPr>
          <w:rFonts w:ascii="Times New Roman" w:hAnsi="Times New Roman"/>
          <w:sz w:val="28"/>
          <w:szCs w:val="28"/>
        </w:rPr>
        <w:t xml:space="preserve"> </w:t>
      </w:r>
      <w:r w:rsidR="000D4168">
        <w:rPr>
          <w:rFonts w:ascii="Times New Roman" w:hAnsi="Times New Roman"/>
          <w:sz w:val="28"/>
          <w:szCs w:val="28"/>
        </w:rPr>
        <w:t xml:space="preserve">un ietver </w:t>
      </w:r>
      <w:r w:rsidR="00B211C4">
        <w:rPr>
          <w:rFonts w:ascii="Times New Roman" w:hAnsi="Times New Roman"/>
          <w:sz w:val="28"/>
          <w:szCs w:val="28"/>
        </w:rPr>
        <w:t>koncepcijā plānot</w:t>
      </w:r>
      <w:r w:rsidR="000D4168">
        <w:rPr>
          <w:rFonts w:ascii="Times New Roman" w:hAnsi="Times New Roman"/>
          <w:sz w:val="28"/>
          <w:szCs w:val="28"/>
        </w:rPr>
        <w:t>os</w:t>
      </w:r>
      <w:r w:rsidR="00B211C4">
        <w:rPr>
          <w:rFonts w:ascii="Times New Roman" w:hAnsi="Times New Roman"/>
          <w:sz w:val="28"/>
          <w:szCs w:val="28"/>
        </w:rPr>
        <w:t xml:space="preserve"> pasākum</w:t>
      </w:r>
      <w:r w:rsidR="000D4168">
        <w:rPr>
          <w:rFonts w:ascii="Times New Roman" w:hAnsi="Times New Roman"/>
          <w:sz w:val="28"/>
          <w:szCs w:val="28"/>
        </w:rPr>
        <w:t>us</w:t>
      </w:r>
      <w:r w:rsidR="00B211C4">
        <w:rPr>
          <w:rFonts w:ascii="Times New Roman" w:hAnsi="Times New Roman"/>
          <w:sz w:val="28"/>
          <w:szCs w:val="28"/>
        </w:rPr>
        <w:t xml:space="preserve"> par mēnešalgu diapazonu sašaurināšanu un mēnešalgu skalas zemākās robežas pārskatīšanu</w:t>
      </w:r>
      <w:r w:rsidRPr="006123AD">
        <w:rPr>
          <w:rFonts w:ascii="Times New Roman" w:hAnsi="Times New Roman"/>
          <w:sz w:val="28"/>
          <w:szCs w:val="28"/>
        </w:rPr>
        <w:t>.</w:t>
      </w:r>
    </w:p>
    <w:p w:rsidR="00E0261B" w:rsidRPr="00E408DC" w:rsidRDefault="00B40E52" w:rsidP="00D17D74">
      <w:pPr>
        <w:pStyle w:val="ListParagraph"/>
        <w:numPr>
          <w:ilvl w:val="0"/>
          <w:numId w:val="6"/>
        </w:numPr>
        <w:autoSpaceDE w:val="0"/>
        <w:autoSpaceDN w:val="0"/>
        <w:adjustRightInd w:val="0"/>
        <w:spacing w:after="0" w:line="240" w:lineRule="auto"/>
        <w:ind w:left="284"/>
        <w:jc w:val="both"/>
        <w:rPr>
          <w:rFonts w:ascii="Times New Roman" w:hAnsi="Times New Roman"/>
          <w:sz w:val="28"/>
          <w:szCs w:val="28"/>
        </w:rPr>
      </w:pPr>
      <w:r w:rsidRPr="00E408DC">
        <w:rPr>
          <w:rFonts w:ascii="Times New Roman" w:hAnsi="Times New Roman"/>
          <w:sz w:val="28"/>
          <w:szCs w:val="28"/>
        </w:rPr>
        <w:t xml:space="preserve">Valsts kontroles </w:t>
      </w:r>
      <w:r w:rsidR="00DF0214" w:rsidRPr="00E408DC">
        <w:rPr>
          <w:rFonts w:ascii="Times New Roman" w:hAnsi="Times New Roman"/>
          <w:sz w:val="28"/>
          <w:szCs w:val="28"/>
        </w:rPr>
        <w:t>revīzijas Nr.5.1-2-32/2011 „Par Latvijas Republikas 2011.gada pārskatu par valsts budžeta izpildi un par pašvaldību budžetiem” ieteikum</w:t>
      </w:r>
      <w:r w:rsidR="00C476B2">
        <w:rPr>
          <w:rFonts w:ascii="Times New Roman" w:hAnsi="Times New Roman"/>
          <w:sz w:val="28"/>
          <w:szCs w:val="28"/>
        </w:rPr>
        <w:t>u</w:t>
      </w:r>
      <w:r w:rsidR="00DF0214" w:rsidRPr="00E408DC">
        <w:rPr>
          <w:rFonts w:ascii="Times New Roman" w:hAnsi="Times New Roman"/>
          <w:sz w:val="28"/>
          <w:szCs w:val="28"/>
        </w:rPr>
        <w:t xml:space="preserve"> </w:t>
      </w:r>
      <w:r w:rsidR="00451FC4">
        <w:rPr>
          <w:rFonts w:ascii="Times New Roman" w:hAnsi="Times New Roman"/>
          <w:sz w:val="28"/>
          <w:szCs w:val="28"/>
        </w:rPr>
        <w:t>-Finanšu ministrijai</w:t>
      </w:r>
      <w:r w:rsidR="00DF0214" w:rsidRPr="00E408DC">
        <w:rPr>
          <w:rFonts w:ascii="Times New Roman" w:hAnsi="Times New Roman"/>
          <w:sz w:val="28"/>
          <w:szCs w:val="28"/>
        </w:rPr>
        <w:t xml:space="preserve"> apzināt valsts iestādēm 2012.gadā apstiprinātos izdevumus atalgojumam un, ņemot vērā iestādē noteikto darba samaksas politiku, izvērtēt valsts budžeta iestāžu līdzvērtīgās finansiālās iespējas piemērot normatīvos aktos noteiktās piemaksas (atalgojuma mainīgo daļu) darbinieku motivācijai. Par izvērtējuma rezultātiem informēt Ministru kabinetu, atbilstoši 2014.gada budžeta izstrādes laika grafikam.</w:t>
      </w:r>
    </w:p>
    <w:p w:rsidR="008B1D12" w:rsidRDefault="00496735" w:rsidP="00A1248D">
      <w:pPr>
        <w:spacing w:after="0" w:line="240" w:lineRule="auto"/>
        <w:ind w:firstLine="720"/>
        <w:jc w:val="both"/>
        <w:rPr>
          <w:rFonts w:ascii="Times New Roman" w:hAnsi="Times New Roman"/>
          <w:sz w:val="28"/>
          <w:szCs w:val="28"/>
        </w:rPr>
      </w:pPr>
      <w:r w:rsidRPr="00E408DC">
        <w:rPr>
          <w:rFonts w:ascii="Times New Roman" w:hAnsi="Times New Roman"/>
          <w:sz w:val="28"/>
          <w:szCs w:val="28"/>
        </w:rPr>
        <w:t xml:space="preserve">Informatīvā ziņojuma mērķis – </w:t>
      </w:r>
      <w:r w:rsidR="00D71521" w:rsidRPr="00E408DC">
        <w:rPr>
          <w:rFonts w:ascii="Times New Roman" w:hAnsi="Times New Roman"/>
          <w:sz w:val="28"/>
          <w:szCs w:val="28"/>
        </w:rPr>
        <w:t>iz</w:t>
      </w:r>
      <w:r w:rsidRPr="00E408DC">
        <w:rPr>
          <w:rFonts w:ascii="Times New Roman" w:hAnsi="Times New Roman"/>
          <w:sz w:val="28"/>
          <w:szCs w:val="28"/>
        </w:rPr>
        <w:t>vērtēt esošo situāciju</w:t>
      </w:r>
      <w:r w:rsidR="00860441" w:rsidRPr="00E408DC">
        <w:rPr>
          <w:rFonts w:ascii="Times New Roman" w:hAnsi="Times New Roman"/>
          <w:sz w:val="28"/>
          <w:szCs w:val="28"/>
        </w:rPr>
        <w:t xml:space="preserve"> atlīdzības jomā</w:t>
      </w:r>
      <w:r w:rsidR="00B965CC" w:rsidRPr="00E408DC">
        <w:rPr>
          <w:rFonts w:ascii="Times New Roman" w:hAnsi="Times New Roman"/>
          <w:sz w:val="28"/>
          <w:szCs w:val="28"/>
        </w:rPr>
        <w:t xml:space="preserve"> valsts tiešās pārvaldes iestādēs, </w:t>
      </w:r>
      <w:r w:rsidR="006F02D5">
        <w:rPr>
          <w:rFonts w:ascii="Times New Roman" w:hAnsi="Times New Roman"/>
          <w:sz w:val="28"/>
          <w:szCs w:val="28"/>
        </w:rPr>
        <w:t xml:space="preserve">tai skaitā </w:t>
      </w:r>
      <w:r w:rsidR="00860441" w:rsidRPr="00E408DC">
        <w:rPr>
          <w:rFonts w:ascii="Times New Roman" w:hAnsi="Times New Roman"/>
          <w:sz w:val="28"/>
          <w:szCs w:val="28"/>
        </w:rPr>
        <w:t xml:space="preserve">salīdzināt līdzīgu darbu veicēju darba samaksu </w:t>
      </w:r>
      <w:r w:rsidR="00166CAE" w:rsidRPr="00E408DC">
        <w:rPr>
          <w:rFonts w:ascii="Times New Roman" w:hAnsi="Times New Roman"/>
          <w:sz w:val="28"/>
          <w:szCs w:val="28"/>
        </w:rPr>
        <w:t xml:space="preserve">(mēnešalgu, piemaksas) </w:t>
      </w:r>
      <w:r w:rsidR="00860441" w:rsidRPr="00E408DC">
        <w:rPr>
          <w:rFonts w:ascii="Times New Roman" w:hAnsi="Times New Roman"/>
          <w:sz w:val="28"/>
          <w:szCs w:val="28"/>
        </w:rPr>
        <w:t xml:space="preserve">dažādās iestādēs, </w:t>
      </w:r>
      <w:r w:rsidR="00CB7385" w:rsidRPr="00E408DC">
        <w:rPr>
          <w:rFonts w:ascii="Times New Roman" w:hAnsi="Times New Roman"/>
          <w:sz w:val="28"/>
          <w:szCs w:val="28"/>
        </w:rPr>
        <w:t>kā arī piedāvāt risinājumu pakāpeniskai atlīdzības izlīdzināšanai starp dažādām iestādēm.</w:t>
      </w:r>
      <w:r w:rsidR="00166CAE" w:rsidRPr="00E408DC">
        <w:rPr>
          <w:rFonts w:ascii="Times New Roman" w:hAnsi="Times New Roman"/>
          <w:sz w:val="28"/>
          <w:szCs w:val="28"/>
        </w:rPr>
        <w:t xml:space="preserve"> </w:t>
      </w:r>
      <w:r w:rsidR="00166CAE" w:rsidRPr="00B40801">
        <w:rPr>
          <w:rFonts w:ascii="Times New Roman" w:hAnsi="Times New Roman"/>
          <w:sz w:val="28"/>
          <w:szCs w:val="28"/>
        </w:rPr>
        <w:t>Datu analīzei izmantota informācija, k</w:t>
      </w:r>
      <w:r w:rsidR="00122D30" w:rsidRPr="00B40801">
        <w:rPr>
          <w:rFonts w:ascii="Times New Roman" w:hAnsi="Times New Roman"/>
          <w:sz w:val="28"/>
          <w:szCs w:val="28"/>
        </w:rPr>
        <w:t>uru</w:t>
      </w:r>
      <w:r w:rsidR="00166CAE" w:rsidRPr="00B40801">
        <w:rPr>
          <w:rFonts w:ascii="Times New Roman" w:hAnsi="Times New Roman"/>
          <w:sz w:val="28"/>
          <w:szCs w:val="28"/>
        </w:rPr>
        <w:t xml:space="preserve"> iestādes </w:t>
      </w:r>
      <w:r w:rsidR="00F73C14" w:rsidRPr="00B40801">
        <w:rPr>
          <w:rFonts w:ascii="Times New Roman" w:hAnsi="Times New Roman"/>
          <w:sz w:val="28"/>
          <w:szCs w:val="28"/>
        </w:rPr>
        <w:t xml:space="preserve">ir iesniegušas </w:t>
      </w:r>
      <w:r w:rsidR="00166CAE" w:rsidRPr="00B40801">
        <w:rPr>
          <w:rFonts w:ascii="Times New Roman" w:hAnsi="Times New Roman"/>
          <w:sz w:val="28"/>
          <w:szCs w:val="28"/>
        </w:rPr>
        <w:t xml:space="preserve">Finanšu ministrijai saskaņā ar Ministru kabineta </w:t>
      </w:r>
      <w:r w:rsidR="00F73C14" w:rsidRPr="00B40801">
        <w:rPr>
          <w:rFonts w:ascii="Times New Roman" w:hAnsi="Times New Roman"/>
          <w:bCs/>
          <w:sz w:val="28"/>
          <w:szCs w:val="28"/>
        </w:rPr>
        <w:t>2010.gada 21.jūnija</w:t>
      </w:r>
      <w:r w:rsidR="00922B5B" w:rsidRPr="00B40801">
        <w:rPr>
          <w:rFonts w:ascii="Times New Roman" w:hAnsi="Times New Roman"/>
          <w:bCs/>
          <w:sz w:val="28"/>
          <w:szCs w:val="28"/>
        </w:rPr>
        <w:t xml:space="preserve"> </w:t>
      </w:r>
      <w:r w:rsidR="00F73C14" w:rsidRPr="00B40801">
        <w:rPr>
          <w:rFonts w:ascii="Times New Roman" w:hAnsi="Times New Roman"/>
          <w:bCs/>
          <w:sz w:val="28"/>
          <w:szCs w:val="28"/>
        </w:rPr>
        <w:t>noteikumiem Nr.541 „</w:t>
      </w:r>
      <w:r w:rsidR="00F73C14" w:rsidRPr="00B40801">
        <w:rPr>
          <w:rFonts w:ascii="Times New Roman" w:hAnsi="Times New Roman"/>
          <w:sz w:val="28"/>
          <w:szCs w:val="28"/>
        </w:rPr>
        <w:t xml:space="preserve">Noteikumi par valsts un pašvaldību institūciju amatpersonu un darbinieku atlīdzības uzskaites sistēmu” </w:t>
      </w:r>
      <w:r w:rsidR="009B7CF1" w:rsidRPr="00B40801">
        <w:rPr>
          <w:rFonts w:ascii="Times New Roman" w:hAnsi="Times New Roman"/>
          <w:sz w:val="28"/>
          <w:szCs w:val="28"/>
        </w:rPr>
        <w:t xml:space="preserve">par 2013.gada </w:t>
      </w:r>
      <w:r w:rsidR="009778BB" w:rsidRPr="00B40801">
        <w:rPr>
          <w:rFonts w:ascii="Times New Roman" w:hAnsi="Times New Roman"/>
          <w:sz w:val="28"/>
          <w:szCs w:val="28"/>
        </w:rPr>
        <w:t>1.ceturksni</w:t>
      </w:r>
      <w:r w:rsidR="009B7CF1" w:rsidRPr="00B40801">
        <w:rPr>
          <w:rFonts w:ascii="Times New Roman" w:hAnsi="Times New Roman"/>
          <w:sz w:val="28"/>
          <w:szCs w:val="28"/>
        </w:rPr>
        <w:t xml:space="preserve"> un</w:t>
      </w:r>
      <w:r w:rsidR="00166CAE" w:rsidRPr="00B40801">
        <w:rPr>
          <w:rFonts w:ascii="Times New Roman" w:hAnsi="Times New Roman"/>
          <w:sz w:val="28"/>
          <w:szCs w:val="28"/>
        </w:rPr>
        <w:t xml:space="preserve"> 2012.gad</w:t>
      </w:r>
      <w:r w:rsidR="009B7CF1" w:rsidRPr="00B40801">
        <w:rPr>
          <w:rFonts w:ascii="Times New Roman" w:hAnsi="Times New Roman"/>
          <w:sz w:val="28"/>
          <w:szCs w:val="28"/>
        </w:rPr>
        <w:t>u.</w:t>
      </w:r>
      <w:r w:rsidR="002D5D1C" w:rsidRPr="002D5D1C">
        <w:rPr>
          <w:rFonts w:ascii="Times New Roman" w:hAnsi="Times New Roman"/>
          <w:sz w:val="28"/>
          <w:szCs w:val="28"/>
        </w:rPr>
        <w:t xml:space="preserve"> </w:t>
      </w:r>
      <w:r w:rsidR="002D5D1C" w:rsidRPr="00FD054A">
        <w:rPr>
          <w:rFonts w:ascii="Times New Roman" w:hAnsi="Times New Roman"/>
          <w:sz w:val="28"/>
          <w:szCs w:val="28"/>
        </w:rPr>
        <w:t xml:space="preserve">Ir analizēti dati </w:t>
      </w:r>
      <w:r w:rsidR="002D5D1C">
        <w:rPr>
          <w:rFonts w:ascii="Times New Roman" w:hAnsi="Times New Roman"/>
          <w:sz w:val="28"/>
          <w:szCs w:val="28"/>
        </w:rPr>
        <w:t>par 228 iestādēm</w:t>
      </w:r>
      <w:r w:rsidR="007C040F">
        <w:rPr>
          <w:rFonts w:ascii="Times New Roman" w:hAnsi="Times New Roman"/>
          <w:sz w:val="28"/>
          <w:szCs w:val="28"/>
        </w:rPr>
        <w:t>, tajā skaitā</w:t>
      </w:r>
      <w:r w:rsidR="00A1248D">
        <w:rPr>
          <w:rFonts w:ascii="Times New Roman" w:hAnsi="Times New Roman"/>
          <w:sz w:val="28"/>
          <w:szCs w:val="28"/>
        </w:rPr>
        <w:t xml:space="preserve"> par</w:t>
      </w:r>
      <w:r w:rsidR="002D5D1C" w:rsidRPr="00FD054A">
        <w:rPr>
          <w:rFonts w:ascii="Times New Roman" w:hAnsi="Times New Roman"/>
          <w:sz w:val="28"/>
          <w:szCs w:val="28"/>
        </w:rPr>
        <w:t xml:space="preserve"> </w:t>
      </w:r>
      <w:r w:rsidR="00A1248D">
        <w:rPr>
          <w:rFonts w:ascii="Times New Roman" w:hAnsi="Times New Roman"/>
          <w:sz w:val="28"/>
          <w:szCs w:val="28"/>
        </w:rPr>
        <w:t>55762 nodarbinātajiem, iekļaujot</w:t>
      </w:r>
      <w:r w:rsidR="002D5D1C" w:rsidRPr="00D67103">
        <w:rPr>
          <w:rFonts w:ascii="Times New Roman" w:hAnsi="Times New Roman"/>
          <w:sz w:val="28"/>
          <w:szCs w:val="28"/>
        </w:rPr>
        <w:t xml:space="preserve"> arī  neatkarīgo iestāžu darbiniek</w:t>
      </w:r>
      <w:r w:rsidR="00A1248D">
        <w:rPr>
          <w:rFonts w:ascii="Times New Roman" w:hAnsi="Times New Roman"/>
          <w:sz w:val="28"/>
          <w:szCs w:val="28"/>
        </w:rPr>
        <w:t>us</w:t>
      </w:r>
      <w:r w:rsidR="00666373" w:rsidRPr="00D67103">
        <w:rPr>
          <w:rFonts w:ascii="Times New Roman" w:hAnsi="Times New Roman"/>
          <w:sz w:val="28"/>
          <w:szCs w:val="28"/>
        </w:rPr>
        <w:t>,</w:t>
      </w:r>
      <w:r w:rsidR="00D5672F" w:rsidRPr="00D67103">
        <w:rPr>
          <w:rFonts w:ascii="Times New Roman" w:hAnsi="Times New Roman"/>
          <w:sz w:val="28"/>
          <w:szCs w:val="28"/>
        </w:rPr>
        <w:t xml:space="preserve"> piem., </w:t>
      </w:r>
      <w:r w:rsidR="001D6834" w:rsidRPr="00D67103">
        <w:rPr>
          <w:rFonts w:ascii="Times New Roman" w:hAnsi="Times New Roman"/>
          <w:sz w:val="28"/>
          <w:szCs w:val="28"/>
        </w:rPr>
        <w:lastRenderedPageBreak/>
        <w:t>tiesu un prokuratūras darbiniek</w:t>
      </w:r>
      <w:r w:rsidR="00A1248D">
        <w:rPr>
          <w:rFonts w:ascii="Times New Roman" w:hAnsi="Times New Roman"/>
          <w:sz w:val="28"/>
          <w:szCs w:val="28"/>
        </w:rPr>
        <w:t>us</w:t>
      </w:r>
      <w:r w:rsidR="00CB7385" w:rsidRPr="00D67103">
        <w:rPr>
          <w:rFonts w:ascii="Times New Roman" w:hAnsi="Times New Roman"/>
          <w:sz w:val="28"/>
          <w:szCs w:val="28"/>
        </w:rPr>
        <w:t xml:space="preserve">, </w:t>
      </w:r>
      <w:r w:rsidR="00491C0A" w:rsidRPr="00D67103">
        <w:rPr>
          <w:rFonts w:ascii="Times New Roman" w:hAnsi="Times New Roman"/>
          <w:sz w:val="28"/>
          <w:szCs w:val="28"/>
        </w:rPr>
        <w:t>jo arī viņu</w:t>
      </w:r>
      <w:r w:rsidR="00122D30" w:rsidRPr="00D67103">
        <w:rPr>
          <w:rFonts w:ascii="Times New Roman" w:hAnsi="Times New Roman"/>
          <w:sz w:val="28"/>
          <w:szCs w:val="28"/>
        </w:rPr>
        <w:t xml:space="preserve"> atlīdzības jautājums ir aktuāls</w:t>
      </w:r>
      <w:r w:rsidR="00491C0A" w:rsidRPr="00D67103">
        <w:rPr>
          <w:rFonts w:ascii="Times New Roman" w:hAnsi="Times New Roman"/>
          <w:sz w:val="28"/>
          <w:szCs w:val="28"/>
        </w:rPr>
        <w:t xml:space="preserve"> un pastāvošās problēmas ir līdzīgas</w:t>
      </w:r>
      <w:r w:rsidR="006E460B" w:rsidRPr="00D67103">
        <w:rPr>
          <w:rFonts w:ascii="Times New Roman" w:hAnsi="Times New Roman"/>
          <w:sz w:val="28"/>
          <w:szCs w:val="28"/>
        </w:rPr>
        <w:t>.</w:t>
      </w:r>
      <w:r w:rsidR="008B1D12" w:rsidRPr="008B1D12">
        <w:rPr>
          <w:rFonts w:ascii="Times New Roman" w:hAnsi="Times New Roman"/>
          <w:sz w:val="28"/>
          <w:szCs w:val="28"/>
        </w:rPr>
        <w:t xml:space="preserve"> </w:t>
      </w:r>
    </w:p>
    <w:p w:rsidR="006E460B" w:rsidRPr="00E408DC" w:rsidRDefault="008B1D12" w:rsidP="008B1D12">
      <w:pPr>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Informatīvajā ziņojumā</w:t>
      </w:r>
      <w:r w:rsidRPr="00C81DE7">
        <w:rPr>
          <w:rFonts w:ascii="Times New Roman" w:hAnsi="Times New Roman"/>
          <w:sz w:val="28"/>
          <w:szCs w:val="28"/>
        </w:rPr>
        <w:t xml:space="preserve"> n</w:t>
      </w:r>
      <w:r>
        <w:rPr>
          <w:rFonts w:ascii="Times New Roman" w:hAnsi="Times New Roman"/>
          <w:sz w:val="28"/>
          <w:szCs w:val="28"/>
        </w:rPr>
        <w:t>av</w:t>
      </w:r>
      <w:r w:rsidRPr="00C81DE7">
        <w:rPr>
          <w:rFonts w:ascii="Times New Roman" w:hAnsi="Times New Roman"/>
          <w:sz w:val="28"/>
          <w:szCs w:val="28"/>
        </w:rPr>
        <w:t xml:space="preserve"> iekļauti pedagogi (tiek veikta pedagogu atalgojumu reforma saskaņā ar izglītības un zinātnes ministra parakstīto memorandu ar LIZDA), </w:t>
      </w:r>
      <w:r>
        <w:rPr>
          <w:rFonts w:ascii="Times New Roman" w:hAnsi="Times New Roman"/>
          <w:sz w:val="28"/>
          <w:szCs w:val="28"/>
        </w:rPr>
        <w:t>kā arī</w:t>
      </w:r>
      <w:r w:rsidRPr="00C81DE7">
        <w:rPr>
          <w:rFonts w:ascii="Times New Roman" w:hAnsi="Times New Roman"/>
          <w:sz w:val="28"/>
          <w:szCs w:val="28"/>
        </w:rPr>
        <w:t xml:space="preserve"> valsts un pašvaldību kapitālsabiedrībās nodarbinātie</w:t>
      </w:r>
      <w:r>
        <w:rPr>
          <w:rFonts w:ascii="Times New Roman" w:hAnsi="Times New Roman"/>
          <w:sz w:val="28"/>
          <w:szCs w:val="28"/>
        </w:rPr>
        <w:t>.</w:t>
      </w:r>
    </w:p>
    <w:p w:rsidR="00E57FA9" w:rsidRDefault="00E57FA9" w:rsidP="00E57FA9">
      <w:pPr>
        <w:autoSpaceDE w:val="0"/>
        <w:autoSpaceDN w:val="0"/>
        <w:adjustRightInd w:val="0"/>
        <w:spacing w:line="240" w:lineRule="auto"/>
        <w:ind w:firstLine="360"/>
        <w:jc w:val="both"/>
        <w:rPr>
          <w:rFonts w:ascii="Times New Roman" w:hAnsi="Times New Roman"/>
          <w:b/>
          <w:bCs/>
          <w:sz w:val="28"/>
          <w:szCs w:val="28"/>
        </w:rPr>
      </w:pPr>
    </w:p>
    <w:p w:rsidR="00E57FA9" w:rsidRDefault="00E57FA9" w:rsidP="00E57FA9">
      <w:pPr>
        <w:autoSpaceDE w:val="0"/>
        <w:autoSpaceDN w:val="0"/>
        <w:adjustRightInd w:val="0"/>
        <w:spacing w:after="0" w:line="240" w:lineRule="auto"/>
        <w:ind w:firstLine="720"/>
        <w:jc w:val="both"/>
        <w:rPr>
          <w:rFonts w:ascii="Times New Roman" w:hAnsi="Times New Roman"/>
          <w:b/>
          <w:bCs/>
          <w:sz w:val="28"/>
          <w:szCs w:val="28"/>
        </w:rPr>
      </w:pPr>
      <w:r w:rsidRPr="00572FD4">
        <w:rPr>
          <w:rFonts w:ascii="Times New Roman" w:hAnsi="Times New Roman"/>
          <w:b/>
          <w:bCs/>
          <w:sz w:val="28"/>
          <w:szCs w:val="28"/>
        </w:rPr>
        <w:t xml:space="preserve">Darba samaksas politikas mērķis </w:t>
      </w:r>
      <w:r w:rsidRPr="00572FD4">
        <w:rPr>
          <w:rFonts w:ascii="Times New Roman" w:hAnsi="Times New Roman"/>
          <w:b/>
          <w:sz w:val="28"/>
          <w:szCs w:val="28"/>
        </w:rPr>
        <w:t xml:space="preserve">– </w:t>
      </w:r>
      <w:r w:rsidRPr="00572FD4">
        <w:rPr>
          <w:rFonts w:ascii="Times New Roman" w:hAnsi="Times New Roman"/>
          <w:sz w:val="28"/>
          <w:szCs w:val="28"/>
        </w:rPr>
        <w:t>darba efektivitātes paaugstināšana valsts pārvaldē, nodrošinot vienādas iespējas valsts tiešās pārvaldes iestādēm noteikt līdzvērtīgu darba samaksu līdzīgiem amatiem, kā arī virzoties uz konkurētspējīgu darba samaksu kvalificētiem speciālistiem.</w:t>
      </w:r>
      <w:r w:rsidRPr="00E57FA9">
        <w:rPr>
          <w:rFonts w:ascii="Times New Roman" w:hAnsi="Times New Roman"/>
          <w:b/>
          <w:bCs/>
          <w:sz w:val="28"/>
          <w:szCs w:val="28"/>
        </w:rPr>
        <w:t xml:space="preserve"> </w:t>
      </w:r>
    </w:p>
    <w:p w:rsidR="00E57FA9" w:rsidRPr="00E57FA9" w:rsidRDefault="00E57FA9" w:rsidP="00E57FA9">
      <w:pPr>
        <w:autoSpaceDE w:val="0"/>
        <w:autoSpaceDN w:val="0"/>
        <w:adjustRightInd w:val="0"/>
        <w:spacing w:after="0" w:line="240" w:lineRule="auto"/>
        <w:ind w:firstLine="720"/>
        <w:jc w:val="both"/>
        <w:rPr>
          <w:rFonts w:ascii="Times New Roman" w:hAnsi="Times New Roman"/>
          <w:bCs/>
          <w:sz w:val="28"/>
          <w:szCs w:val="28"/>
        </w:rPr>
      </w:pPr>
      <w:r w:rsidRPr="00E57FA9">
        <w:rPr>
          <w:rFonts w:ascii="Times New Roman" w:hAnsi="Times New Roman"/>
          <w:bCs/>
          <w:sz w:val="28"/>
          <w:szCs w:val="28"/>
        </w:rPr>
        <w:t>Darba samaksas politikas mērķis</w:t>
      </w:r>
      <w:r>
        <w:rPr>
          <w:rFonts w:ascii="Times New Roman" w:hAnsi="Times New Roman"/>
          <w:bCs/>
          <w:sz w:val="28"/>
          <w:szCs w:val="28"/>
        </w:rPr>
        <w:t xml:space="preserve"> skatāms kontekstā ar </w:t>
      </w:r>
      <w:r w:rsidRPr="00E57FA9">
        <w:rPr>
          <w:rFonts w:ascii="Times New Roman" w:hAnsi="Times New Roman"/>
          <w:b/>
          <w:bCs/>
          <w:sz w:val="28"/>
          <w:szCs w:val="28"/>
        </w:rPr>
        <w:t>v</w:t>
      </w:r>
      <w:r w:rsidRPr="00DA4A1A">
        <w:rPr>
          <w:rFonts w:ascii="Times New Roman" w:hAnsi="Times New Roman"/>
          <w:b/>
          <w:bCs/>
          <w:sz w:val="28"/>
          <w:szCs w:val="28"/>
        </w:rPr>
        <w:t>irsmērķi valsts pārvaldes attīstībā- maza, efektīva, profesionāla un uz klientu orientēta valsts pārvalde</w:t>
      </w:r>
      <w:r>
        <w:rPr>
          <w:rFonts w:ascii="Times New Roman" w:hAnsi="Times New Roman"/>
          <w:b/>
          <w:bCs/>
          <w:sz w:val="28"/>
          <w:szCs w:val="28"/>
        </w:rPr>
        <w:t xml:space="preserve"> </w:t>
      </w:r>
      <w:r w:rsidRPr="00E57FA9">
        <w:rPr>
          <w:rFonts w:ascii="Times New Roman" w:hAnsi="Times New Roman"/>
          <w:bCs/>
          <w:sz w:val="28"/>
          <w:szCs w:val="28"/>
        </w:rPr>
        <w:t>un virsmērķa sasniegšanai veicamajiem pasākumiem:</w:t>
      </w:r>
    </w:p>
    <w:p w:rsidR="00E57FA9" w:rsidRPr="00DA4A1A" w:rsidRDefault="00E57FA9" w:rsidP="00E57FA9">
      <w:pPr>
        <w:autoSpaceDE w:val="0"/>
        <w:autoSpaceDN w:val="0"/>
        <w:adjustRightInd w:val="0"/>
        <w:spacing w:after="0" w:line="240" w:lineRule="auto"/>
        <w:jc w:val="both"/>
        <w:rPr>
          <w:rFonts w:ascii="Times New Roman" w:hAnsi="Times New Roman"/>
          <w:sz w:val="28"/>
          <w:szCs w:val="28"/>
        </w:rPr>
      </w:pPr>
      <w:r w:rsidRPr="00DA4A1A">
        <w:rPr>
          <w:rFonts w:ascii="Times New Roman" w:hAnsi="Times New Roman"/>
          <w:sz w:val="28"/>
          <w:szCs w:val="28"/>
        </w:rPr>
        <w:t>- pārskatīt iestādes funkcijas un procesus, kā arī nepieciešamos resursus, atbilstoši Ministru prezidenta 2012.gada 28.decembra rezolūcijai Nr. 2012-REZ-111-1/127-2481</w:t>
      </w:r>
      <w:r>
        <w:rPr>
          <w:rFonts w:ascii="Times New Roman" w:hAnsi="Times New Roman"/>
          <w:sz w:val="28"/>
          <w:szCs w:val="28"/>
        </w:rPr>
        <w:t>;</w:t>
      </w:r>
    </w:p>
    <w:p w:rsidR="00E57FA9" w:rsidRPr="00DA4A1A" w:rsidRDefault="00E57FA9" w:rsidP="00E57FA9">
      <w:pPr>
        <w:autoSpaceDE w:val="0"/>
        <w:autoSpaceDN w:val="0"/>
        <w:adjustRightInd w:val="0"/>
        <w:spacing w:after="0" w:line="240" w:lineRule="auto"/>
        <w:jc w:val="both"/>
        <w:rPr>
          <w:rFonts w:ascii="Times New Roman" w:hAnsi="Times New Roman"/>
          <w:sz w:val="28"/>
          <w:szCs w:val="28"/>
        </w:rPr>
      </w:pPr>
      <w:r w:rsidRPr="00DA4A1A">
        <w:rPr>
          <w:rFonts w:ascii="Times New Roman" w:hAnsi="Times New Roman"/>
          <w:sz w:val="28"/>
          <w:szCs w:val="28"/>
        </w:rPr>
        <w:t>- ieviest iestādes darbības efektivitāti monitorējošos pasākumus, piemēram, kvalitātes vadības procesu, darba laika uzskaiti</w:t>
      </w:r>
      <w:r>
        <w:rPr>
          <w:rFonts w:ascii="Times New Roman" w:hAnsi="Times New Roman"/>
          <w:sz w:val="28"/>
          <w:szCs w:val="28"/>
        </w:rPr>
        <w:t>;</w:t>
      </w:r>
    </w:p>
    <w:p w:rsidR="00E57FA9" w:rsidRPr="00DA4A1A" w:rsidRDefault="00E57FA9" w:rsidP="00E57FA9">
      <w:pPr>
        <w:autoSpaceDE w:val="0"/>
        <w:autoSpaceDN w:val="0"/>
        <w:adjustRightInd w:val="0"/>
        <w:spacing w:after="0" w:line="240" w:lineRule="auto"/>
        <w:jc w:val="both"/>
        <w:rPr>
          <w:rFonts w:ascii="Times New Roman" w:hAnsi="Times New Roman"/>
          <w:sz w:val="28"/>
          <w:szCs w:val="28"/>
        </w:rPr>
      </w:pPr>
      <w:r w:rsidRPr="00DA4A1A">
        <w:rPr>
          <w:rFonts w:ascii="Times New Roman" w:hAnsi="Times New Roman"/>
          <w:sz w:val="28"/>
          <w:szCs w:val="28"/>
        </w:rPr>
        <w:t>- ievērot valsts pārvaldē noteiktos pamatprincipus, piemēram, vienas pieturas principu, tiesību normu saprātīgas piemērošanas principu</w:t>
      </w:r>
      <w:r>
        <w:rPr>
          <w:rFonts w:ascii="Times New Roman" w:hAnsi="Times New Roman"/>
          <w:sz w:val="28"/>
          <w:szCs w:val="28"/>
        </w:rPr>
        <w:t>.</w:t>
      </w:r>
    </w:p>
    <w:p w:rsidR="00E57FA9" w:rsidRDefault="00E57FA9" w:rsidP="00E57FA9">
      <w:pPr>
        <w:autoSpaceDE w:val="0"/>
        <w:autoSpaceDN w:val="0"/>
        <w:adjustRightInd w:val="0"/>
        <w:spacing w:after="0" w:line="240" w:lineRule="auto"/>
        <w:ind w:firstLine="720"/>
        <w:jc w:val="both"/>
        <w:rPr>
          <w:rFonts w:ascii="Times New Roman" w:hAnsi="Times New Roman"/>
          <w:sz w:val="28"/>
          <w:szCs w:val="28"/>
        </w:rPr>
      </w:pPr>
    </w:p>
    <w:p w:rsidR="00E57FA9" w:rsidRPr="00E408DC" w:rsidRDefault="00E57FA9" w:rsidP="002D7E07">
      <w:pPr>
        <w:autoSpaceDE w:val="0"/>
        <w:autoSpaceDN w:val="0"/>
        <w:adjustRightInd w:val="0"/>
        <w:spacing w:after="0" w:line="240" w:lineRule="auto"/>
        <w:jc w:val="both"/>
        <w:rPr>
          <w:rFonts w:ascii="Times New Roman" w:hAnsi="Times New Roman"/>
          <w:sz w:val="28"/>
          <w:szCs w:val="28"/>
        </w:rPr>
      </w:pPr>
    </w:p>
    <w:p w:rsidR="008C5BA0" w:rsidRPr="00E408DC" w:rsidRDefault="008C5BA0" w:rsidP="008D4902">
      <w:pPr>
        <w:pStyle w:val="ListParagraph"/>
        <w:numPr>
          <w:ilvl w:val="0"/>
          <w:numId w:val="2"/>
        </w:numPr>
        <w:autoSpaceDE w:val="0"/>
        <w:autoSpaceDN w:val="0"/>
        <w:adjustRightInd w:val="0"/>
        <w:spacing w:after="0" w:line="240" w:lineRule="auto"/>
        <w:jc w:val="both"/>
        <w:rPr>
          <w:rFonts w:ascii="Times New Roman" w:hAnsi="Times New Roman"/>
          <w:b/>
          <w:bCs/>
          <w:sz w:val="28"/>
          <w:szCs w:val="28"/>
        </w:rPr>
      </w:pPr>
      <w:r w:rsidRPr="00E408DC">
        <w:rPr>
          <w:rFonts w:ascii="Times New Roman" w:hAnsi="Times New Roman"/>
          <w:b/>
          <w:bCs/>
          <w:sz w:val="28"/>
          <w:szCs w:val="28"/>
        </w:rPr>
        <w:t>Esošā situācija</w:t>
      </w:r>
    </w:p>
    <w:p w:rsidR="00867351" w:rsidRDefault="00867351" w:rsidP="007B54C3">
      <w:pPr>
        <w:autoSpaceDE w:val="0"/>
        <w:autoSpaceDN w:val="0"/>
        <w:adjustRightInd w:val="0"/>
        <w:spacing w:after="0" w:line="240" w:lineRule="auto"/>
        <w:ind w:firstLine="360"/>
        <w:jc w:val="both"/>
        <w:rPr>
          <w:rFonts w:ascii="Times New Roman" w:hAnsi="Times New Roman"/>
          <w:sz w:val="28"/>
          <w:szCs w:val="28"/>
        </w:rPr>
      </w:pPr>
    </w:p>
    <w:p w:rsidR="007120E3" w:rsidRDefault="00565B23" w:rsidP="007B54C3">
      <w:pPr>
        <w:autoSpaceDE w:val="0"/>
        <w:autoSpaceDN w:val="0"/>
        <w:adjustRightInd w:val="0"/>
        <w:spacing w:after="0" w:line="240" w:lineRule="auto"/>
        <w:ind w:firstLine="360"/>
        <w:jc w:val="both"/>
        <w:rPr>
          <w:rFonts w:ascii="Times New Roman" w:hAnsi="Times New Roman"/>
          <w:sz w:val="28"/>
          <w:szCs w:val="28"/>
        </w:rPr>
      </w:pPr>
      <w:r>
        <w:rPr>
          <w:rFonts w:ascii="Times New Roman" w:hAnsi="Times New Roman"/>
          <w:sz w:val="28"/>
          <w:szCs w:val="28"/>
        </w:rPr>
        <w:t>V</w:t>
      </w:r>
      <w:r w:rsidRPr="00565B23">
        <w:rPr>
          <w:rFonts w:ascii="Times New Roman" w:hAnsi="Times New Roman"/>
          <w:sz w:val="28"/>
          <w:szCs w:val="28"/>
        </w:rPr>
        <w:t>alsts budžeta iestādē</w:t>
      </w:r>
      <w:r>
        <w:rPr>
          <w:rFonts w:ascii="Times New Roman" w:hAnsi="Times New Roman"/>
          <w:sz w:val="28"/>
          <w:szCs w:val="28"/>
        </w:rPr>
        <w:t>s ir nodarbināti 24% no s</w:t>
      </w:r>
      <w:r w:rsidRPr="00565B23">
        <w:rPr>
          <w:rFonts w:ascii="Times New Roman" w:hAnsi="Times New Roman"/>
          <w:sz w:val="28"/>
          <w:szCs w:val="28"/>
        </w:rPr>
        <w:t>abiedriska</w:t>
      </w:r>
      <w:r>
        <w:rPr>
          <w:rFonts w:ascii="Times New Roman" w:hAnsi="Times New Roman"/>
          <w:sz w:val="28"/>
          <w:szCs w:val="28"/>
        </w:rPr>
        <w:t>jā</w:t>
      </w:r>
      <w:r w:rsidRPr="00565B23">
        <w:rPr>
          <w:rFonts w:ascii="Times New Roman" w:hAnsi="Times New Roman"/>
          <w:sz w:val="28"/>
          <w:szCs w:val="28"/>
        </w:rPr>
        <w:t xml:space="preserve"> sektor</w:t>
      </w:r>
      <w:r>
        <w:rPr>
          <w:rFonts w:ascii="Times New Roman" w:hAnsi="Times New Roman"/>
          <w:sz w:val="28"/>
          <w:szCs w:val="28"/>
        </w:rPr>
        <w:t>ā</w:t>
      </w:r>
      <w:r w:rsidRPr="00565B23">
        <w:rPr>
          <w:rFonts w:ascii="Times New Roman" w:hAnsi="Times New Roman"/>
          <w:sz w:val="28"/>
          <w:szCs w:val="28"/>
        </w:rPr>
        <w:t xml:space="preserve"> </w:t>
      </w:r>
      <w:r>
        <w:rPr>
          <w:rFonts w:ascii="Times New Roman" w:hAnsi="Times New Roman"/>
          <w:sz w:val="28"/>
          <w:szCs w:val="28"/>
        </w:rPr>
        <w:t xml:space="preserve">nodarbināto kopskaita, bet pašvaldību budžeta iestādēs – 46%. Savukārt valsts un pašvaldību  kapitālsabiedrībās strādā 30% </w:t>
      </w:r>
      <w:r w:rsidRPr="00565B23">
        <w:rPr>
          <w:rFonts w:ascii="Times New Roman" w:hAnsi="Times New Roman"/>
          <w:sz w:val="28"/>
          <w:szCs w:val="28"/>
        </w:rPr>
        <w:t xml:space="preserve">no </w:t>
      </w:r>
      <w:r>
        <w:rPr>
          <w:rFonts w:ascii="Times New Roman" w:hAnsi="Times New Roman"/>
          <w:sz w:val="28"/>
          <w:szCs w:val="28"/>
        </w:rPr>
        <w:t>s</w:t>
      </w:r>
      <w:r w:rsidRPr="00565B23">
        <w:rPr>
          <w:rFonts w:ascii="Times New Roman" w:hAnsi="Times New Roman"/>
          <w:sz w:val="28"/>
          <w:szCs w:val="28"/>
        </w:rPr>
        <w:t>abiedriska</w:t>
      </w:r>
      <w:r>
        <w:rPr>
          <w:rFonts w:ascii="Times New Roman" w:hAnsi="Times New Roman"/>
          <w:sz w:val="28"/>
          <w:szCs w:val="28"/>
        </w:rPr>
        <w:t>jā</w:t>
      </w:r>
      <w:r w:rsidRPr="00565B23">
        <w:rPr>
          <w:rFonts w:ascii="Times New Roman" w:hAnsi="Times New Roman"/>
          <w:sz w:val="28"/>
          <w:szCs w:val="28"/>
        </w:rPr>
        <w:t xml:space="preserve"> sektor</w:t>
      </w:r>
      <w:r>
        <w:rPr>
          <w:rFonts w:ascii="Times New Roman" w:hAnsi="Times New Roman"/>
          <w:sz w:val="28"/>
          <w:szCs w:val="28"/>
        </w:rPr>
        <w:t>ā</w:t>
      </w:r>
      <w:r w:rsidRPr="00565B23">
        <w:rPr>
          <w:rFonts w:ascii="Times New Roman" w:hAnsi="Times New Roman"/>
          <w:sz w:val="28"/>
          <w:szCs w:val="28"/>
        </w:rPr>
        <w:t xml:space="preserve"> </w:t>
      </w:r>
      <w:r>
        <w:rPr>
          <w:rFonts w:ascii="Times New Roman" w:hAnsi="Times New Roman"/>
          <w:sz w:val="28"/>
          <w:szCs w:val="28"/>
        </w:rPr>
        <w:t>nodarbinātajiem</w:t>
      </w:r>
      <w:r w:rsidR="00503CAE">
        <w:rPr>
          <w:rFonts w:ascii="Times New Roman" w:hAnsi="Times New Roman"/>
          <w:sz w:val="28"/>
          <w:szCs w:val="28"/>
        </w:rPr>
        <w:t xml:space="preserve"> (skat. 1.attēlu)</w:t>
      </w:r>
      <w:r>
        <w:rPr>
          <w:rFonts w:ascii="Times New Roman" w:hAnsi="Times New Roman"/>
          <w:sz w:val="28"/>
          <w:szCs w:val="28"/>
        </w:rPr>
        <w:t xml:space="preserve">. </w:t>
      </w:r>
    </w:p>
    <w:p w:rsidR="00672DA2" w:rsidRDefault="00672DA2">
      <w:pPr>
        <w:spacing w:after="0" w:line="240" w:lineRule="auto"/>
        <w:rPr>
          <w:rFonts w:ascii="Times New Roman" w:hAnsi="Times New Roman"/>
          <w:sz w:val="28"/>
          <w:szCs w:val="28"/>
        </w:rPr>
      </w:pPr>
      <w:r>
        <w:rPr>
          <w:rFonts w:ascii="Times New Roman" w:hAnsi="Times New Roman"/>
          <w:sz w:val="28"/>
          <w:szCs w:val="28"/>
        </w:rPr>
        <w:br w:type="page"/>
      </w:r>
    </w:p>
    <w:p w:rsidR="007120E3" w:rsidRDefault="007120E3" w:rsidP="007120E3">
      <w:pPr>
        <w:autoSpaceDE w:val="0"/>
        <w:autoSpaceDN w:val="0"/>
        <w:adjustRightInd w:val="0"/>
        <w:spacing w:after="0" w:line="240" w:lineRule="auto"/>
        <w:jc w:val="right"/>
        <w:rPr>
          <w:rFonts w:ascii="Times New Roman" w:hAnsi="Times New Roman"/>
          <w:sz w:val="28"/>
          <w:szCs w:val="28"/>
        </w:rPr>
      </w:pPr>
      <w:r>
        <w:rPr>
          <w:rFonts w:ascii="Times New Roman" w:hAnsi="Times New Roman"/>
          <w:sz w:val="28"/>
          <w:szCs w:val="28"/>
        </w:rPr>
        <w:lastRenderedPageBreak/>
        <w:t>1.attēls</w:t>
      </w:r>
    </w:p>
    <w:p w:rsidR="00750EEF" w:rsidRDefault="00750EEF" w:rsidP="007120E3">
      <w:pPr>
        <w:autoSpaceDE w:val="0"/>
        <w:autoSpaceDN w:val="0"/>
        <w:adjustRightInd w:val="0"/>
        <w:spacing w:after="0" w:line="240" w:lineRule="auto"/>
        <w:jc w:val="center"/>
        <w:rPr>
          <w:rFonts w:ascii="Times New Roman" w:hAnsi="Times New Roman"/>
          <w:b/>
          <w:sz w:val="28"/>
          <w:szCs w:val="28"/>
        </w:rPr>
      </w:pPr>
    </w:p>
    <w:p w:rsidR="007120E3" w:rsidRPr="007120E3" w:rsidRDefault="007120E3" w:rsidP="007120E3">
      <w:pPr>
        <w:autoSpaceDE w:val="0"/>
        <w:autoSpaceDN w:val="0"/>
        <w:adjustRightInd w:val="0"/>
        <w:spacing w:after="0" w:line="240" w:lineRule="auto"/>
        <w:jc w:val="center"/>
        <w:rPr>
          <w:rFonts w:ascii="Times New Roman" w:hAnsi="Times New Roman"/>
          <w:b/>
          <w:sz w:val="28"/>
          <w:szCs w:val="28"/>
        </w:rPr>
      </w:pPr>
      <w:r w:rsidRPr="007120E3">
        <w:rPr>
          <w:rFonts w:ascii="Times New Roman" w:hAnsi="Times New Roman"/>
          <w:b/>
          <w:sz w:val="28"/>
          <w:szCs w:val="28"/>
        </w:rPr>
        <w:t>Sabiedriskajā sektorā nodarbināto skaits 2013.gada janvārī</w:t>
      </w:r>
    </w:p>
    <w:p w:rsidR="007120E3" w:rsidRDefault="007120E3" w:rsidP="002D7E07">
      <w:pPr>
        <w:autoSpaceDE w:val="0"/>
        <w:autoSpaceDN w:val="0"/>
        <w:adjustRightInd w:val="0"/>
        <w:spacing w:after="0" w:line="240" w:lineRule="auto"/>
        <w:rPr>
          <w:rFonts w:ascii="Times New Roman" w:hAnsi="Times New Roman"/>
          <w:sz w:val="28"/>
          <w:szCs w:val="28"/>
        </w:rPr>
      </w:pPr>
    </w:p>
    <w:p w:rsidR="007120E3" w:rsidRDefault="001F1FB0" w:rsidP="002D7E07">
      <w:pPr>
        <w:autoSpaceDE w:val="0"/>
        <w:autoSpaceDN w:val="0"/>
        <w:adjustRightInd w:val="0"/>
        <w:spacing w:after="0" w:line="240" w:lineRule="auto"/>
        <w:rPr>
          <w:rFonts w:ascii="Times New Roman" w:hAnsi="Times New Roman"/>
          <w:sz w:val="28"/>
          <w:szCs w:val="28"/>
        </w:rPr>
      </w:pPr>
      <w:r>
        <w:rPr>
          <w:noProof/>
        </w:rPr>
        <w:drawing>
          <wp:inline distT="0" distB="0" distL="0" distR="0">
            <wp:extent cx="5905500" cy="4010025"/>
            <wp:effectExtent l="0" t="0" r="0" b="0"/>
            <wp:docPr id="2"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120E3" w:rsidRPr="00B47851" w:rsidRDefault="00B47851" w:rsidP="002D7E07">
      <w:pPr>
        <w:autoSpaceDE w:val="0"/>
        <w:autoSpaceDN w:val="0"/>
        <w:adjustRightInd w:val="0"/>
        <w:spacing w:after="0" w:line="240" w:lineRule="auto"/>
        <w:rPr>
          <w:rFonts w:ascii="Times New Roman" w:hAnsi="Times New Roman"/>
          <w:sz w:val="20"/>
          <w:szCs w:val="20"/>
        </w:rPr>
      </w:pPr>
      <w:r w:rsidRPr="00B47851">
        <w:rPr>
          <w:rFonts w:ascii="Times New Roman" w:hAnsi="Times New Roman"/>
          <w:sz w:val="20"/>
          <w:szCs w:val="20"/>
        </w:rPr>
        <w:t>Datu avots: Finanšu ministrija</w:t>
      </w:r>
    </w:p>
    <w:p w:rsidR="00B47851" w:rsidRDefault="00B47851" w:rsidP="00D5672F">
      <w:pPr>
        <w:spacing w:after="0" w:line="240" w:lineRule="auto"/>
        <w:ind w:firstLine="720"/>
        <w:jc w:val="both"/>
        <w:rPr>
          <w:rFonts w:ascii="Times New Roman" w:hAnsi="Times New Roman"/>
          <w:sz w:val="28"/>
          <w:szCs w:val="28"/>
        </w:rPr>
      </w:pPr>
    </w:p>
    <w:p w:rsidR="005D05E3" w:rsidRDefault="005D05E3" w:rsidP="00D5672F">
      <w:pPr>
        <w:spacing w:after="0" w:line="240" w:lineRule="auto"/>
        <w:ind w:firstLine="720"/>
        <w:jc w:val="both"/>
        <w:rPr>
          <w:rFonts w:ascii="Times New Roman" w:hAnsi="Times New Roman"/>
          <w:sz w:val="28"/>
          <w:szCs w:val="28"/>
        </w:rPr>
      </w:pPr>
    </w:p>
    <w:p w:rsidR="005D05E3" w:rsidRDefault="005D05E3" w:rsidP="00D5672F">
      <w:pPr>
        <w:spacing w:after="0" w:line="240" w:lineRule="auto"/>
        <w:ind w:firstLine="720"/>
        <w:jc w:val="both"/>
        <w:rPr>
          <w:rFonts w:ascii="Times New Roman" w:hAnsi="Times New Roman"/>
          <w:sz w:val="28"/>
          <w:szCs w:val="28"/>
        </w:rPr>
      </w:pPr>
    </w:p>
    <w:p w:rsidR="00D5672F" w:rsidRPr="00D5672F" w:rsidRDefault="00D5672F" w:rsidP="00D5672F">
      <w:pPr>
        <w:spacing w:after="0" w:line="240" w:lineRule="auto"/>
        <w:ind w:firstLine="720"/>
        <w:jc w:val="both"/>
        <w:rPr>
          <w:rFonts w:ascii="Times New Roman" w:hAnsi="Times New Roman"/>
          <w:sz w:val="28"/>
          <w:szCs w:val="28"/>
        </w:rPr>
      </w:pPr>
      <w:r w:rsidRPr="00D5672F">
        <w:rPr>
          <w:rFonts w:ascii="Times New Roman" w:hAnsi="Times New Roman"/>
          <w:sz w:val="28"/>
          <w:szCs w:val="28"/>
        </w:rPr>
        <w:t>Valsts budžeta iestādes aptver valsts tiešās pārvaldes iestādes (Valsts kanceleja, ministrijas un to padotības iestādes) un neatkarīgās iestādes. Ministrijās un Valsts kancelejā nodarbinātie veido 5</w:t>
      </w:r>
      <w:r w:rsidR="00F4569C">
        <w:rPr>
          <w:rFonts w:ascii="Times New Roman" w:hAnsi="Times New Roman"/>
          <w:sz w:val="28"/>
          <w:szCs w:val="28"/>
        </w:rPr>
        <w:t>,</w:t>
      </w:r>
      <w:r w:rsidR="00C112E3">
        <w:rPr>
          <w:rFonts w:ascii="Times New Roman" w:hAnsi="Times New Roman"/>
          <w:sz w:val="28"/>
          <w:szCs w:val="28"/>
        </w:rPr>
        <w:t>2</w:t>
      </w:r>
      <w:r w:rsidRPr="00D5672F">
        <w:rPr>
          <w:rFonts w:ascii="Times New Roman" w:hAnsi="Times New Roman"/>
          <w:sz w:val="28"/>
          <w:szCs w:val="28"/>
        </w:rPr>
        <w:t>% no nodarbināto kopskaita valsts budžeta iestādēs, savukārt pārējās valsts tiešās pārvalde</w:t>
      </w:r>
      <w:r w:rsidR="00C112E3">
        <w:rPr>
          <w:rFonts w:ascii="Times New Roman" w:hAnsi="Times New Roman"/>
          <w:sz w:val="28"/>
          <w:szCs w:val="28"/>
        </w:rPr>
        <w:t>s iestādēs nodarbinātie veido 91</w:t>
      </w:r>
      <w:r w:rsidR="00F4569C">
        <w:rPr>
          <w:rFonts w:ascii="Times New Roman" w:hAnsi="Times New Roman"/>
          <w:sz w:val="28"/>
          <w:szCs w:val="28"/>
        </w:rPr>
        <w:t>,</w:t>
      </w:r>
      <w:r w:rsidR="00C112E3">
        <w:rPr>
          <w:rFonts w:ascii="Times New Roman" w:hAnsi="Times New Roman"/>
          <w:sz w:val="28"/>
          <w:szCs w:val="28"/>
        </w:rPr>
        <w:t>3</w:t>
      </w:r>
      <w:r w:rsidRPr="00D5672F">
        <w:rPr>
          <w:rFonts w:ascii="Times New Roman" w:hAnsi="Times New Roman"/>
          <w:sz w:val="28"/>
          <w:szCs w:val="28"/>
        </w:rPr>
        <w:t>%, bet neatkarīgajās iestādēs – 3</w:t>
      </w:r>
      <w:r w:rsidR="00F4569C">
        <w:rPr>
          <w:rFonts w:ascii="Times New Roman" w:hAnsi="Times New Roman"/>
          <w:sz w:val="28"/>
          <w:szCs w:val="28"/>
        </w:rPr>
        <w:t>,</w:t>
      </w:r>
      <w:r w:rsidR="00C112E3">
        <w:rPr>
          <w:rFonts w:ascii="Times New Roman" w:hAnsi="Times New Roman"/>
          <w:sz w:val="28"/>
          <w:szCs w:val="28"/>
        </w:rPr>
        <w:t>5</w:t>
      </w:r>
      <w:r w:rsidRPr="00D5672F">
        <w:rPr>
          <w:rFonts w:ascii="Times New Roman" w:hAnsi="Times New Roman"/>
          <w:sz w:val="28"/>
          <w:szCs w:val="28"/>
        </w:rPr>
        <w:t xml:space="preserve">% no nodarbināto kopskaita valsts budžeta iestādēs. </w:t>
      </w:r>
    </w:p>
    <w:p w:rsidR="00672DA2" w:rsidRDefault="00672DA2">
      <w:pPr>
        <w:spacing w:after="0" w:line="240" w:lineRule="auto"/>
        <w:rPr>
          <w:rFonts w:ascii="Times New Roman" w:hAnsi="Times New Roman"/>
          <w:sz w:val="28"/>
          <w:szCs w:val="28"/>
        </w:rPr>
      </w:pPr>
      <w:r>
        <w:rPr>
          <w:rFonts w:ascii="Times New Roman" w:hAnsi="Times New Roman"/>
          <w:sz w:val="28"/>
          <w:szCs w:val="28"/>
        </w:rPr>
        <w:br w:type="page"/>
      </w:r>
    </w:p>
    <w:p w:rsidR="00D5672F" w:rsidRDefault="00227DF6" w:rsidP="00D5672F">
      <w:pPr>
        <w:spacing w:after="0" w:line="240" w:lineRule="auto"/>
        <w:ind w:firstLine="720"/>
        <w:jc w:val="right"/>
        <w:rPr>
          <w:rFonts w:ascii="Times New Roman" w:hAnsi="Times New Roman"/>
          <w:sz w:val="28"/>
          <w:szCs w:val="28"/>
        </w:rPr>
      </w:pPr>
      <w:r>
        <w:rPr>
          <w:rFonts w:ascii="Times New Roman" w:hAnsi="Times New Roman"/>
          <w:sz w:val="28"/>
          <w:szCs w:val="28"/>
        </w:rPr>
        <w:lastRenderedPageBreak/>
        <w:t>2</w:t>
      </w:r>
      <w:r w:rsidR="00D5672F" w:rsidRPr="00D5672F">
        <w:rPr>
          <w:rFonts w:ascii="Times New Roman" w:hAnsi="Times New Roman"/>
          <w:sz w:val="28"/>
          <w:szCs w:val="28"/>
        </w:rPr>
        <w:t>.attēls</w:t>
      </w:r>
    </w:p>
    <w:p w:rsidR="007F36C6" w:rsidRDefault="007F36C6" w:rsidP="00D5672F">
      <w:pPr>
        <w:spacing w:after="0" w:line="240" w:lineRule="auto"/>
        <w:ind w:firstLine="720"/>
        <w:jc w:val="right"/>
        <w:rPr>
          <w:rFonts w:ascii="Times New Roman" w:hAnsi="Times New Roman"/>
          <w:sz w:val="28"/>
          <w:szCs w:val="28"/>
        </w:rPr>
      </w:pPr>
    </w:p>
    <w:p w:rsidR="00630EAC" w:rsidRPr="00630EAC" w:rsidRDefault="00630EAC" w:rsidP="00630EAC">
      <w:pPr>
        <w:spacing w:after="0" w:line="240" w:lineRule="auto"/>
        <w:ind w:firstLine="720"/>
        <w:jc w:val="center"/>
        <w:rPr>
          <w:rFonts w:ascii="Times New Roman" w:hAnsi="Times New Roman"/>
          <w:sz w:val="28"/>
          <w:szCs w:val="28"/>
        </w:rPr>
      </w:pPr>
      <w:r w:rsidRPr="00630EAC">
        <w:rPr>
          <w:rFonts w:ascii="Times New Roman" w:hAnsi="Times New Roman"/>
          <w:b/>
          <w:bCs/>
          <w:sz w:val="28"/>
          <w:szCs w:val="28"/>
        </w:rPr>
        <w:t>Nodarbināto skaita īpatsvars valsts budžeta iestādēs sadalījumā pa nodarbināto grupām 2013.gada janvārī</w:t>
      </w:r>
    </w:p>
    <w:p w:rsidR="00D5672F" w:rsidRDefault="00D5672F" w:rsidP="00903882">
      <w:pPr>
        <w:spacing w:after="0" w:line="240" w:lineRule="auto"/>
        <w:ind w:firstLine="720"/>
        <w:jc w:val="both"/>
        <w:rPr>
          <w:rFonts w:ascii="Times New Roman" w:hAnsi="Times New Roman"/>
          <w:sz w:val="28"/>
          <w:szCs w:val="28"/>
        </w:rPr>
      </w:pPr>
    </w:p>
    <w:p w:rsidR="00630EAC" w:rsidRDefault="001F1FB0" w:rsidP="00630EAC">
      <w:pPr>
        <w:spacing w:after="0" w:line="240" w:lineRule="auto"/>
        <w:jc w:val="both"/>
        <w:rPr>
          <w:rFonts w:ascii="Times New Roman" w:hAnsi="Times New Roman"/>
          <w:sz w:val="28"/>
          <w:szCs w:val="28"/>
        </w:rPr>
      </w:pPr>
      <w:r>
        <w:rPr>
          <w:noProof/>
        </w:rPr>
        <w:drawing>
          <wp:inline distT="0" distB="0" distL="0" distR="0">
            <wp:extent cx="5972175" cy="3629025"/>
            <wp:effectExtent l="0" t="0" r="0" b="0"/>
            <wp:docPr id="3"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D5D26" w:rsidRPr="00B47851" w:rsidRDefault="002D5D26" w:rsidP="002D5D26">
      <w:pPr>
        <w:autoSpaceDE w:val="0"/>
        <w:autoSpaceDN w:val="0"/>
        <w:adjustRightInd w:val="0"/>
        <w:spacing w:after="0" w:line="240" w:lineRule="auto"/>
        <w:rPr>
          <w:rFonts w:ascii="Times New Roman" w:hAnsi="Times New Roman"/>
          <w:sz w:val="20"/>
          <w:szCs w:val="20"/>
        </w:rPr>
      </w:pPr>
      <w:r w:rsidRPr="00B47851">
        <w:rPr>
          <w:rFonts w:ascii="Times New Roman" w:hAnsi="Times New Roman"/>
          <w:sz w:val="20"/>
          <w:szCs w:val="20"/>
        </w:rPr>
        <w:t>Datu avots: Finanšu ministrija</w:t>
      </w:r>
    </w:p>
    <w:p w:rsidR="00741133" w:rsidRDefault="00741133" w:rsidP="00286BB5">
      <w:pPr>
        <w:spacing w:after="0" w:line="240" w:lineRule="auto"/>
        <w:ind w:firstLine="567"/>
        <w:jc w:val="both"/>
        <w:rPr>
          <w:rFonts w:ascii="Times New Roman" w:hAnsi="Times New Roman"/>
          <w:sz w:val="28"/>
          <w:szCs w:val="28"/>
        </w:rPr>
      </w:pPr>
    </w:p>
    <w:p w:rsidR="005D05E3" w:rsidRDefault="005D05E3" w:rsidP="00286BB5">
      <w:pPr>
        <w:spacing w:after="0" w:line="240" w:lineRule="auto"/>
        <w:ind w:firstLine="567"/>
        <w:jc w:val="both"/>
        <w:rPr>
          <w:rFonts w:ascii="Times New Roman" w:hAnsi="Times New Roman"/>
          <w:sz w:val="28"/>
          <w:szCs w:val="28"/>
        </w:rPr>
      </w:pPr>
    </w:p>
    <w:p w:rsidR="00836069" w:rsidRDefault="00836069" w:rsidP="00286BB5">
      <w:pPr>
        <w:spacing w:after="0" w:line="240" w:lineRule="auto"/>
        <w:ind w:firstLine="567"/>
        <w:jc w:val="both"/>
        <w:rPr>
          <w:rFonts w:ascii="Times New Roman" w:hAnsi="Times New Roman"/>
          <w:sz w:val="28"/>
          <w:szCs w:val="28"/>
        </w:rPr>
      </w:pPr>
    </w:p>
    <w:p w:rsidR="00836069" w:rsidRDefault="00836069" w:rsidP="00286BB5">
      <w:pPr>
        <w:spacing w:after="0" w:line="240" w:lineRule="auto"/>
        <w:ind w:firstLine="567"/>
        <w:jc w:val="both"/>
        <w:rPr>
          <w:rFonts w:ascii="Times New Roman" w:hAnsi="Times New Roman"/>
          <w:sz w:val="28"/>
          <w:szCs w:val="28"/>
        </w:rPr>
      </w:pPr>
    </w:p>
    <w:p w:rsidR="005D05E3" w:rsidRDefault="005D05E3" w:rsidP="00286BB5">
      <w:pPr>
        <w:spacing w:after="0" w:line="240" w:lineRule="auto"/>
        <w:ind w:firstLine="567"/>
        <w:jc w:val="both"/>
        <w:rPr>
          <w:rFonts w:ascii="Times New Roman" w:hAnsi="Times New Roman"/>
          <w:sz w:val="28"/>
          <w:szCs w:val="28"/>
        </w:rPr>
      </w:pPr>
      <w:r w:rsidRPr="005D05E3">
        <w:rPr>
          <w:rFonts w:ascii="Times New Roman" w:hAnsi="Times New Roman"/>
          <w:sz w:val="28"/>
          <w:szCs w:val="28"/>
        </w:rPr>
        <w:t>Sadalījumā pa nodarbināto grupām (2.attēls) lielu īpatsvaru veido amatpersonas ar speciālo dienesta pakāpi (Valsts policija, Valsts ugunsdzēsības un glābšanas dienests, Valsts robežsardze un Ieslodzījumu vietu pārvalde) – 22% no nodarbināto kopskaita. Savukārt ierēdņi ir 20% no valsts budžeta iestādēs nodarbinātajiem.</w:t>
      </w:r>
    </w:p>
    <w:p w:rsidR="00836069" w:rsidRDefault="00836069" w:rsidP="00286BB5">
      <w:pPr>
        <w:spacing w:after="0" w:line="240" w:lineRule="auto"/>
        <w:ind w:firstLine="567"/>
        <w:jc w:val="both"/>
        <w:rPr>
          <w:rFonts w:ascii="Times New Roman" w:hAnsi="Times New Roman"/>
          <w:sz w:val="28"/>
          <w:szCs w:val="28"/>
        </w:rPr>
      </w:pPr>
    </w:p>
    <w:p w:rsidR="00836069" w:rsidRDefault="00836069" w:rsidP="00286BB5">
      <w:pPr>
        <w:spacing w:after="0" w:line="240" w:lineRule="auto"/>
        <w:ind w:firstLine="567"/>
        <w:jc w:val="both"/>
        <w:rPr>
          <w:rFonts w:ascii="Times New Roman" w:hAnsi="Times New Roman"/>
          <w:sz w:val="28"/>
          <w:szCs w:val="28"/>
        </w:rPr>
      </w:pPr>
    </w:p>
    <w:p w:rsidR="00836069" w:rsidRDefault="00836069" w:rsidP="00286BB5">
      <w:pPr>
        <w:spacing w:after="0" w:line="240" w:lineRule="auto"/>
        <w:ind w:firstLine="567"/>
        <w:jc w:val="both"/>
        <w:rPr>
          <w:rFonts w:ascii="Times New Roman" w:hAnsi="Times New Roman"/>
          <w:sz w:val="28"/>
          <w:szCs w:val="28"/>
        </w:rPr>
      </w:pPr>
    </w:p>
    <w:p w:rsidR="00836069" w:rsidRDefault="00836069" w:rsidP="00286BB5">
      <w:pPr>
        <w:spacing w:after="0" w:line="240" w:lineRule="auto"/>
        <w:ind w:firstLine="567"/>
        <w:jc w:val="both"/>
        <w:rPr>
          <w:rFonts w:ascii="Times New Roman" w:hAnsi="Times New Roman"/>
          <w:sz w:val="28"/>
          <w:szCs w:val="28"/>
        </w:rPr>
      </w:pPr>
    </w:p>
    <w:p w:rsidR="00836069" w:rsidRDefault="00836069" w:rsidP="00286BB5">
      <w:pPr>
        <w:spacing w:after="0" w:line="240" w:lineRule="auto"/>
        <w:ind w:firstLine="567"/>
        <w:jc w:val="both"/>
        <w:rPr>
          <w:rFonts w:ascii="Times New Roman" w:hAnsi="Times New Roman"/>
          <w:sz w:val="28"/>
          <w:szCs w:val="28"/>
        </w:rPr>
      </w:pPr>
    </w:p>
    <w:p w:rsidR="00836069" w:rsidRDefault="00836069" w:rsidP="00286BB5">
      <w:pPr>
        <w:spacing w:after="0" w:line="240" w:lineRule="auto"/>
        <w:ind w:firstLine="567"/>
        <w:jc w:val="both"/>
        <w:rPr>
          <w:rFonts w:ascii="Times New Roman" w:hAnsi="Times New Roman"/>
          <w:sz w:val="28"/>
          <w:szCs w:val="28"/>
        </w:rPr>
      </w:pPr>
    </w:p>
    <w:p w:rsidR="00836069" w:rsidRDefault="00836069" w:rsidP="00286BB5">
      <w:pPr>
        <w:spacing w:after="0" w:line="240" w:lineRule="auto"/>
        <w:ind w:firstLine="567"/>
        <w:jc w:val="both"/>
        <w:rPr>
          <w:rFonts w:ascii="Times New Roman" w:hAnsi="Times New Roman"/>
          <w:sz w:val="28"/>
          <w:szCs w:val="28"/>
        </w:rPr>
      </w:pPr>
    </w:p>
    <w:p w:rsidR="00836069" w:rsidRDefault="00836069" w:rsidP="00286BB5">
      <w:pPr>
        <w:spacing w:after="0" w:line="240" w:lineRule="auto"/>
        <w:ind w:firstLine="567"/>
        <w:jc w:val="both"/>
        <w:rPr>
          <w:rFonts w:ascii="Times New Roman" w:hAnsi="Times New Roman"/>
          <w:sz w:val="28"/>
          <w:szCs w:val="28"/>
        </w:rPr>
      </w:pPr>
    </w:p>
    <w:p w:rsidR="00836069" w:rsidRDefault="00836069" w:rsidP="00286BB5">
      <w:pPr>
        <w:spacing w:after="0" w:line="240" w:lineRule="auto"/>
        <w:ind w:firstLine="567"/>
        <w:jc w:val="both"/>
        <w:rPr>
          <w:rFonts w:ascii="Times New Roman" w:hAnsi="Times New Roman"/>
          <w:sz w:val="28"/>
          <w:szCs w:val="28"/>
        </w:rPr>
      </w:pPr>
    </w:p>
    <w:p w:rsidR="00065F10" w:rsidRDefault="00286BB5" w:rsidP="00286BB5">
      <w:pPr>
        <w:spacing w:after="0" w:line="240" w:lineRule="auto"/>
        <w:ind w:firstLine="567"/>
        <w:jc w:val="both"/>
        <w:rPr>
          <w:rFonts w:ascii="Times New Roman" w:hAnsi="Times New Roman"/>
          <w:sz w:val="28"/>
          <w:szCs w:val="28"/>
        </w:rPr>
      </w:pPr>
      <w:r>
        <w:rPr>
          <w:rFonts w:ascii="Times New Roman" w:hAnsi="Times New Roman"/>
          <w:sz w:val="28"/>
          <w:szCs w:val="28"/>
        </w:rPr>
        <w:t xml:space="preserve">Valsts budžeta iestādēs, tai skaitā valsts tiešās pārvaldes iestādēs, sākot ar 2009.gadu, ievērojami samazinājās nodarbināto skaits (skat. </w:t>
      </w:r>
      <w:r w:rsidR="000716AA">
        <w:rPr>
          <w:rFonts w:ascii="Times New Roman" w:hAnsi="Times New Roman"/>
          <w:sz w:val="28"/>
          <w:szCs w:val="28"/>
        </w:rPr>
        <w:t>3</w:t>
      </w:r>
      <w:r>
        <w:rPr>
          <w:rFonts w:ascii="Times New Roman" w:hAnsi="Times New Roman"/>
          <w:sz w:val="28"/>
          <w:szCs w:val="28"/>
        </w:rPr>
        <w:t xml:space="preserve">.attēlu). </w:t>
      </w:r>
    </w:p>
    <w:p w:rsidR="000D0199" w:rsidRDefault="000D0199" w:rsidP="00286BB5">
      <w:pPr>
        <w:spacing w:after="0" w:line="240" w:lineRule="auto"/>
        <w:ind w:firstLine="567"/>
        <w:jc w:val="both"/>
        <w:rPr>
          <w:rFonts w:ascii="Times New Roman" w:hAnsi="Times New Roman"/>
          <w:sz w:val="28"/>
          <w:szCs w:val="28"/>
        </w:rPr>
      </w:pPr>
      <w:r>
        <w:rPr>
          <w:rFonts w:ascii="Times New Roman" w:hAnsi="Times New Roman"/>
          <w:sz w:val="28"/>
          <w:szCs w:val="28"/>
        </w:rPr>
        <w:t>Pirmām kārtām 2009. un 2010.gadā tika samazināts ierēdņu skaits – par 25</w:t>
      </w:r>
      <w:r w:rsidR="00F4569C">
        <w:rPr>
          <w:rFonts w:ascii="Times New Roman" w:hAnsi="Times New Roman"/>
          <w:sz w:val="28"/>
          <w:szCs w:val="28"/>
        </w:rPr>
        <w:t>,</w:t>
      </w:r>
      <w:r>
        <w:rPr>
          <w:rFonts w:ascii="Times New Roman" w:hAnsi="Times New Roman"/>
          <w:sz w:val="28"/>
          <w:szCs w:val="28"/>
        </w:rPr>
        <w:t>4% salīdzinājumā ar 2008.gadu.</w:t>
      </w:r>
      <w:r w:rsidRPr="000D0199">
        <w:rPr>
          <w:rFonts w:ascii="Times New Roman" w:hAnsi="Times New Roman"/>
          <w:sz w:val="28"/>
          <w:szCs w:val="28"/>
        </w:rPr>
        <w:t xml:space="preserve"> </w:t>
      </w:r>
      <w:r w:rsidR="00CB7EE6">
        <w:rPr>
          <w:rFonts w:ascii="Times New Roman" w:hAnsi="Times New Roman"/>
          <w:sz w:val="28"/>
          <w:szCs w:val="28"/>
        </w:rPr>
        <w:t>Nodarbināto</w:t>
      </w:r>
      <w:r w:rsidRPr="00286BB5">
        <w:rPr>
          <w:rFonts w:ascii="Times New Roman" w:hAnsi="Times New Roman"/>
          <w:sz w:val="28"/>
          <w:szCs w:val="28"/>
        </w:rPr>
        <w:t xml:space="preserve"> skaita samazināšanos</w:t>
      </w:r>
      <w:r>
        <w:rPr>
          <w:rFonts w:ascii="Times New Roman" w:hAnsi="Times New Roman"/>
          <w:sz w:val="28"/>
          <w:szCs w:val="28"/>
        </w:rPr>
        <w:t xml:space="preserve">, </w:t>
      </w:r>
      <w:r w:rsidRPr="00286BB5">
        <w:rPr>
          <w:rFonts w:ascii="Times New Roman" w:hAnsi="Times New Roman"/>
          <w:sz w:val="28"/>
          <w:szCs w:val="28"/>
        </w:rPr>
        <w:t xml:space="preserve"> īpaši</w:t>
      </w:r>
      <w:r>
        <w:rPr>
          <w:rFonts w:ascii="Times New Roman" w:hAnsi="Times New Roman"/>
          <w:sz w:val="28"/>
          <w:szCs w:val="28"/>
        </w:rPr>
        <w:t xml:space="preserve"> </w:t>
      </w:r>
      <w:r w:rsidRPr="00286BB5">
        <w:rPr>
          <w:rFonts w:ascii="Times New Roman" w:hAnsi="Times New Roman"/>
          <w:sz w:val="28"/>
          <w:szCs w:val="28"/>
        </w:rPr>
        <w:t>2009. </w:t>
      </w:r>
      <w:r>
        <w:rPr>
          <w:rFonts w:ascii="Times New Roman" w:hAnsi="Times New Roman"/>
          <w:sz w:val="28"/>
          <w:szCs w:val="28"/>
        </w:rPr>
        <w:t>g</w:t>
      </w:r>
      <w:r w:rsidRPr="00286BB5">
        <w:rPr>
          <w:rFonts w:ascii="Times New Roman" w:hAnsi="Times New Roman"/>
          <w:sz w:val="28"/>
          <w:szCs w:val="28"/>
        </w:rPr>
        <w:t>ad</w:t>
      </w:r>
      <w:r>
        <w:rPr>
          <w:rFonts w:ascii="Times New Roman" w:hAnsi="Times New Roman"/>
          <w:sz w:val="28"/>
          <w:szCs w:val="28"/>
        </w:rPr>
        <w:t>ā,</w:t>
      </w:r>
      <w:r w:rsidRPr="00286BB5">
        <w:rPr>
          <w:rFonts w:ascii="Times New Roman" w:hAnsi="Times New Roman"/>
          <w:sz w:val="28"/>
          <w:szCs w:val="28"/>
        </w:rPr>
        <w:t xml:space="preserve"> ietekmēja valdības 2009. gada 11. jūnija lēmums par nodarbināto skaita samazināšanu ministrij</w:t>
      </w:r>
      <w:r>
        <w:rPr>
          <w:rFonts w:ascii="Times New Roman" w:hAnsi="Times New Roman"/>
          <w:sz w:val="28"/>
          <w:szCs w:val="28"/>
        </w:rPr>
        <w:t>ās</w:t>
      </w:r>
      <w:r w:rsidRPr="00286BB5">
        <w:rPr>
          <w:rFonts w:ascii="Times New Roman" w:hAnsi="Times New Roman"/>
          <w:sz w:val="28"/>
          <w:szCs w:val="28"/>
        </w:rPr>
        <w:t>, kā arī valsts aģentūrās.</w:t>
      </w:r>
    </w:p>
    <w:p w:rsidR="000D0199" w:rsidRDefault="00286BB5" w:rsidP="00286BB5">
      <w:pPr>
        <w:spacing w:after="0" w:line="240" w:lineRule="auto"/>
        <w:ind w:firstLine="567"/>
        <w:jc w:val="both"/>
        <w:rPr>
          <w:rFonts w:ascii="Times New Roman" w:hAnsi="Times New Roman"/>
          <w:sz w:val="28"/>
          <w:szCs w:val="28"/>
        </w:rPr>
      </w:pPr>
      <w:r w:rsidRPr="00286BB5">
        <w:rPr>
          <w:rFonts w:ascii="Times New Roman" w:hAnsi="Times New Roman"/>
          <w:sz w:val="28"/>
          <w:szCs w:val="28"/>
        </w:rPr>
        <w:t>201</w:t>
      </w:r>
      <w:r>
        <w:rPr>
          <w:rFonts w:ascii="Times New Roman" w:hAnsi="Times New Roman"/>
          <w:sz w:val="28"/>
          <w:szCs w:val="28"/>
        </w:rPr>
        <w:t>3</w:t>
      </w:r>
      <w:r w:rsidRPr="00286BB5">
        <w:rPr>
          <w:rFonts w:ascii="Times New Roman" w:hAnsi="Times New Roman"/>
          <w:sz w:val="28"/>
          <w:szCs w:val="28"/>
        </w:rPr>
        <w:t>. </w:t>
      </w:r>
      <w:r>
        <w:rPr>
          <w:rFonts w:ascii="Times New Roman" w:hAnsi="Times New Roman"/>
          <w:sz w:val="28"/>
          <w:szCs w:val="28"/>
        </w:rPr>
        <w:t>g</w:t>
      </w:r>
      <w:r w:rsidRPr="00286BB5">
        <w:rPr>
          <w:rFonts w:ascii="Times New Roman" w:hAnsi="Times New Roman"/>
          <w:sz w:val="28"/>
          <w:szCs w:val="28"/>
        </w:rPr>
        <w:t>ad</w:t>
      </w:r>
      <w:r>
        <w:rPr>
          <w:rFonts w:ascii="Times New Roman" w:hAnsi="Times New Roman"/>
          <w:sz w:val="28"/>
          <w:szCs w:val="28"/>
        </w:rPr>
        <w:t xml:space="preserve">a janvārī, </w:t>
      </w:r>
      <w:r w:rsidRPr="00286BB5">
        <w:rPr>
          <w:rFonts w:ascii="Times New Roman" w:hAnsi="Times New Roman"/>
          <w:sz w:val="28"/>
          <w:szCs w:val="28"/>
        </w:rPr>
        <w:t>salīdzinot ar 2008. gadu, valsts budžeta iestādēs</w:t>
      </w:r>
      <w:r>
        <w:rPr>
          <w:rFonts w:ascii="Times New Roman" w:hAnsi="Times New Roman"/>
          <w:sz w:val="28"/>
          <w:szCs w:val="28"/>
        </w:rPr>
        <w:t xml:space="preserve"> </w:t>
      </w:r>
      <w:r w:rsidRPr="00286BB5">
        <w:rPr>
          <w:rFonts w:ascii="Times New Roman" w:hAnsi="Times New Roman"/>
          <w:sz w:val="28"/>
          <w:szCs w:val="28"/>
        </w:rPr>
        <w:t xml:space="preserve">nodarbināto skaits </w:t>
      </w:r>
      <w:r w:rsidR="000D0199">
        <w:rPr>
          <w:rFonts w:ascii="Times New Roman" w:hAnsi="Times New Roman"/>
          <w:sz w:val="28"/>
          <w:szCs w:val="28"/>
        </w:rPr>
        <w:t xml:space="preserve">kopumā </w:t>
      </w:r>
      <w:r w:rsidRPr="00286BB5">
        <w:rPr>
          <w:rFonts w:ascii="Times New Roman" w:hAnsi="Times New Roman"/>
          <w:sz w:val="28"/>
          <w:szCs w:val="28"/>
        </w:rPr>
        <w:t xml:space="preserve">ir samazinājies </w:t>
      </w:r>
      <w:r>
        <w:rPr>
          <w:rFonts w:ascii="Times New Roman" w:hAnsi="Times New Roman"/>
          <w:sz w:val="28"/>
          <w:szCs w:val="28"/>
        </w:rPr>
        <w:t xml:space="preserve">par </w:t>
      </w:r>
      <w:r w:rsidR="007600E5">
        <w:rPr>
          <w:rFonts w:ascii="Times New Roman" w:hAnsi="Times New Roman"/>
          <w:sz w:val="28"/>
          <w:szCs w:val="28"/>
        </w:rPr>
        <w:t xml:space="preserve">21 tūkst. darbinieku </w:t>
      </w:r>
      <w:r w:rsidRPr="00286BB5">
        <w:rPr>
          <w:rFonts w:ascii="Times New Roman" w:hAnsi="Times New Roman"/>
          <w:sz w:val="28"/>
          <w:szCs w:val="28"/>
        </w:rPr>
        <w:t>(</w:t>
      </w:r>
      <w:r w:rsidR="007600E5">
        <w:rPr>
          <w:rFonts w:ascii="Times New Roman" w:hAnsi="Times New Roman"/>
          <w:sz w:val="28"/>
          <w:szCs w:val="28"/>
        </w:rPr>
        <w:t>-</w:t>
      </w:r>
      <w:r>
        <w:rPr>
          <w:rFonts w:ascii="Times New Roman" w:hAnsi="Times New Roman"/>
          <w:sz w:val="28"/>
          <w:szCs w:val="28"/>
        </w:rPr>
        <w:t>26</w:t>
      </w:r>
      <w:r w:rsidR="00F4569C">
        <w:rPr>
          <w:rFonts w:ascii="Times New Roman" w:hAnsi="Times New Roman"/>
          <w:sz w:val="28"/>
          <w:szCs w:val="28"/>
        </w:rPr>
        <w:t>,</w:t>
      </w:r>
      <w:r>
        <w:rPr>
          <w:rFonts w:ascii="Times New Roman" w:hAnsi="Times New Roman"/>
          <w:sz w:val="28"/>
          <w:szCs w:val="28"/>
        </w:rPr>
        <w:t xml:space="preserve">8%). </w:t>
      </w:r>
    </w:p>
    <w:p w:rsidR="00286BB5" w:rsidRDefault="00286BB5" w:rsidP="00286BB5">
      <w:pPr>
        <w:spacing w:after="0" w:line="240" w:lineRule="auto"/>
        <w:ind w:firstLine="567"/>
        <w:jc w:val="both"/>
        <w:rPr>
          <w:rFonts w:ascii="Times New Roman" w:hAnsi="Times New Roman"/>
          <w:sz w:val="28"/>
          <w:szCs w:val="28"/>
        </w:rPr>
      </w:pPr>
      <w:r w:rsidRPr="00286BB5">
        <w:rPr>
          <w:rFonts w:ascii="Times New Roman" w:hAnsi="Times New Roman"/>
          <w:sz w:val="28"/>
          <w:szCs w:val="28"/>
        </w:rPr>
        <w:t>2011.</w:t>
      </w:r>
      <w:r w:rsidR="00F4569C">
        <w:rPr>
          <w:rFonts w:ascii="Times New Roman" w:hAnsi="Times New Roman"/>
          <w:sz w:val="28"/>
          <w:szCs w:val="28"/>
        </w:rPr>
        <w:t>–</w:t>
      </w:r>
      <w:r>
        <w:rPr>
          <w:rFonts w:ascii="Times New Roman" w:hAnsi="Times New Roman"/>
          <w:sz w:val="28"/>
          <w:szCs w:val="28"/>
        </w:rPr>
        <w:t xml:space="preserve">2012.gadā </w:t>
      </w:r>
      <w:r w:rsidRPr="00286BB5">
        <w:rPr>
          <w:rFonts w:ascii="Times New Roman" w:hAnsi="Times New Roman"/>
          <w:sz w:val="28"/>
          <w:szCs w:val="28"/>
        </w:rPr>
        <w:t>darbinieku skaita izmaiņas ietekmē</w:t>
      </w:r>
      <w:r>
        <w:rPr>
          <w:rFonts w:ascii="Times New Roman" w:hAnsi="Times New Roman"/>
          <w:sz w:val="28"/>
          <w:szCs w:val="28"/>
        </w:rPr>
        <w:t>ja</w:t>
      </w:r>
      <w:r w:rsidRPr="00286BB5">
        <w:rPr>
          <w:rFonts w:ascii="Times New Roman" w:hAnsi="Times New Roman"/>
          <w:sz w:val="28"/>
          <w:szCs w:val="28"/>
        </w:rPr>
        <w:t xml:space="preserve"> ne tikai veiktie optimizācijas pasākumi valsts pārvaldē, bet arī motivācijas trūkums, ko radīja </w:t>
      </w:r>
      <w:r>
        <w:rPr>
          <w:rFonts w:ascii="Times New Roman" w:hAnsi="Times New Roman"/>
          <w:sz w:val="28"/>
          <w:szCs w:val="28"/>
        </w:rPr>
        <w:t xml:space="preserve">gan krīzes laikā </w:t>
      </w:r>
      <w:r w:rsidRPr="00286BB5">
        <w:rPr>
          <w:rFonts w:ascii="Times New Roman" w:hAnsi="Times New Roman"/>
          <w:sz w:val="28"/>
          <w:szCs w:val="28"/>
        </w:rPr>
        <w:t>veiktais darba samaksas samazinājums,</w:t>
      </w:r>
      <w:r>
        <w:rPr>
          <w:rFonts w:ascii="Times New Roman" w:hAnsi="Times New Roman"/>
          <w:sz w:val="28"/>
          <w:szCs w:val="28"/>
        </w:rPr>
        <w:t xml:space="preserve"> gan arī noteiktie ierobežojumi motivācijas sistēmai, tai </w:t>
      </w:r>
      <w:r w:rsidRPr="00286BB5">
        <w:rPr>
          <w:rFonts w:ascii="Times New Roman" w:hAnsi="Times New Roman"/>
          <w:sz w:val="28"/>
          <w:szCs w:val="28"/>
        </w:rPr>
        <w:t xml:space="preserve">skaitā aizliegums prēmēt darbiniekus. </w:t>
      </w:r>
    </w:p>
    <w:p w:rsidR="00B30A10" w:rsidRDefault="000716AA" w:rsidP="006265B2">
      <w:pPr>
        <w:spacing w:after="0" w:line="240" w:lineRule="auto"/>
        <w:ind w:firstLine="567"/>
        <w:jc w:val="right"/>
        <w:rPr>
          <w:rFonts w:ascii="Times New Roman" w:hAnsi="Times New Roman"/>
          <w:sz w:val="28"/>
          <w:szCs w:val="28"/>
        </w:rPr>
      </w:pPr>
      <w:r>
        <w:rPr>
          <w:rFonts w:ascii="Times New Roman" w:hAnsi="Times New Roman"/>
          <w:sz w:val="28"/>
          <w:szCs w:val="28"/>
        </w:rPr>
        <w:t>3</w:t>
      </w:r>
      <w:r w:rsidR="006265B2">
        <w:rPr>
          <w:rFonts w:ascii="Times New Roman" w:hAnsi="Times New Roman"/>
          <w:sz w:val="28"/>
          <w:szCs w:val="28"/>
        </w:rPr>
        <w:t>.attēls</w:t>
      </w:r>
    </w:p>
    <w:p w:rsidR="00D95095" w:rsidRDefault="00D95095" w:rsidP="006265B2">
      <w:pPr>
        <w:spacing w:after="0" w:line="240" w:lineRule="auto"/>
        <w:ind w:firstLine="567"/>
        <w:jc w:val="right"/>
        <w:rPr>
          <w:rFonts w:ascii="Times New Roman" w:hAnsi="Times New Roman"/>
          <w:sz w:val="28"/>
          <w:szCs w:val="28"/>
        </w:rPr>
      </w:pPr>
    </w:p>
    <w:p w:rsidR="00B30A10" w:rsidRPr="00B30A10" w:rsidRDefault="00B30A10" w:rsidP="00B30A10">
      <w:pPr>
        <w:spacing w:after="0" w:line="240" w:lineRule="auto"/>
        <w:ind w:firstLine="567"/>
        <w:jc w:val="center"/>
        <w:rPr>
          <w:rFonts w:ascii="Times New Roman" w:hAnsi="Times New Roman"/>
          <w:b/>
          <w:sz w:val="28"/>
          <w:szCs w:val="28"/>
        </w:rPr>
      </w:pPr>
      <w:r w:rsidRPr="00B30A10">
        <w:rPr>
          <w:rFonts w:ascii="Times New Roman" w:hAnsi="Times New Roman"/>
          <w:b/>
          <w:sz w:val="28"/>
          <w:szCs w:val="28"/>
        </w:rPr>
        <w:t xml:space="preserve">Nodarbināto skaita izmaiņas </w:t>
      </w:r>
      <w:r>
        <w:rPr>
          <w:rFonts w:ascii="Times New Roman" w:hAnsi="Times New Roman"/>
          <w:b/>
          <w:sz w:val="28"/>
          <w:szCs w:val="28"/>
        </w:rPr>
        <w:t>valsts budžeta iestādēs</w:t>
      </w:r>
      <w:r w:rsidR="00B04498">
        <w:rPr>
          <w:rFonts w:ascii="Times New Roman" w:hAnsi="Times New Roman"/>
          <w:b/>
          <w:sz w:val="28"/>
          <w:szCs w:val="28"/>
        </w:rPr>
        <w:t xml:space="preserve">, tai skaitā valsts tiešās pārvaldes iestādēs, </w:t>
      </w:r>
      <w:r w:rsidRPr="00B30A10">
        <w:rPr>
          <w:rFonts w:ascii="Times New Roman" w:hAnsi="Times New Roman"/>
          <w:b/>
          <w:sz w:val="28"/>
          <w:szCs w:val="28"/>
        </w:rPr>
        <w:t>2008.</w:t>
      </w:r>
      <w:r>
        <w:rPr>
          <w:rFonts w:ascii="Times New Roman" w:hAnsi="Times New Roman"/>
          <w:b/>
          <w:sz w:val="28"/>
          <w:szCs w:val="28"/>
        </w:rPr>
        <w:t xml:space="preserve">gads līdz </w:t>
      </w:r>
      <w:r w:rsidRPr="00B30A10">
        <w:rPr>
          <w:rFonts w:ascii="Times New Roman" w:hAnsi="Times New Roman"/>
          <w:b/>
          <w:sz w:val="28"/>
          <w:szCs w:val="28"/>
        </w:rPr>
        <w:t>2013.gada janvārim</w:t>
      </w:r>
    </w:p>
    <w:p w:rsidR="00E656A4" w:rsidRDefault="00E656A4" w:rsidP="00903882">
      <w:pPr>
        <w:spacing w:after="0" w:line="240" w:lineRule="auto"/>
        <w:ind w:firstLine="720"/>
        <w:jc w:val="both"/>
        <w:rPr>
          <w:rFonts w:ascii="Times New Roman" w:hAnsi="Times New Roman"/>
          <w:sz w:val="28"/>
          <w:szCs w:val="28"/>
        </w:rPr>
      </w:pPr>
    </w:p>
    <w:p w:rsidR="00E656A4" w:rsidRDefault="009E1D48" w:rsidP="005E4B7F">
      <w:pPr>
        <w:spacing w:after="0" w:line="240" w:lineRule="auto"/>
        <w:jc w:val="both"/>
        <w:rPr>
          <w:rFonts w:ascii="Times New Roman" w:hAnsi="Times New Roman"/>
          <w:sz w:val="28"/>
          <w:szCs w:val="28"/>
        </w:rPr>
      </w:pPr>
      <w:r>
        <w:rPr>
          <w:noProof/>
        </w:rPr>
        <mc:AlternateContent>
          <mc:Choice Requires="wps">
            <w:drawing>
              <wp:anchor distT="0" distB="0" distL="114296" distR="114296" simplePos="0" relativeHeight="251675136" behindDoc="0" locked="0" layoutInCell="1" allowOverlap="1">
                <wp:simplePos x="0" y="0"/>
                <wp:positionH relativeFrom="column">
                  <wp:posOffset>5511164</wp:posOffset>
                </wp:positionH>
                <wp:positionV relativeFrom="paragraph">
                  <wp:posOffset>542290</wp:posOffset>
                </wp:positionV>
                <wp:extent cx="0" cy="1733550"/>
                <wp:effectExtent l="0" t="0" r="19050" b="19050"/>
                <wp:wrapNone/>
                <wp:docPr id="5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0"/>
                        </a:xfrm>
                        <a:prstGeom prst="straightConnector1">
                          <a:avLst/>
                        </a:prstGeom>
                        <a:noFill/>
                        <a:ln w="9525">
                          <a:solidFill>
                            <a:srgbClr val="4F81BD">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38E442" id="_x0000_t32" coordsize="21600,21600" o:spt="32" o:oned="t" path="m,l21600,21600e" filled="f">
                <v:path arrowok="t" fillok="f" o:connecttype="none"/>
                <o:lock v:ext="edit" shapetype="t"/>
              </v:shapetype>
              <v:shape id="AutoShape 41" o:spid="_x0000_s1026" type="#_x0000_t32" style="position:absolute;margin-left:433.95pt;margin-top:42.7pt;width:0;height:136.5pt;z-index:2516751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" strokecolor="#376092"/>
            </w:pict>
          </mc:Fallback>
        </mc:AlternateContent>
      </w:r>
      <w:r>
        <w:rPr>
          <w:noProof/>
        </w:rPr>
        <mc:AlternateContent>
          <mc:Choice Requires="wps">
            <w:drawing>
              <wp:anchor distT="4294967292" distB="4294967292" distL="114300" distR="114300" simplePos="0" relativeHeight="251676160" behindDoc="0" locked="0" layoutInCell="1" allowOverlap="1">
                <wp:simplePos x="0" y="0"/>
                <wp:positionH relativeFrom="column">
                  <wp:posOffset>2672715</wp:posOffset>
                </wp:positionH>
                <wp:positionV relativeFrom="paragraph">
                  <wp:posOffset>2275839</wp:posOffset>
                </wp:positionV>
                <wp:extent cx="2838450" cy="0"/>
                <wp:effectExtent l="38100" t="76200" r="0" b="95250"/>
                <wp:wrapNone/>
                <wp:docPr id="4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8450" cy="0"/>
                        </a:xfrm>
                        <a:prstGeom prst="straightConnector1">
                          <a:avLst/>
                        </a:prstGeom>
                        <a:noFill/>
                        <a:ln w="9525">
                          <a:solidFill>
                            <a:srgbClr val="4F81BD">
                              <a:lumMod val="75000"/>
                              <a:lumOff val="0"/>
                            </a:srgb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237C7" id="AutoShape 42" o:spid="_x0000_s1026" type="#_x0000_t32" style="position:absolute;margin-left:210.45pt;margin-top:179.2pt;width:223.5pt;height:0;flip:x;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" strokecolor="#376092">
                <v:stroke endarrow="block"/>
              </v:shape>
            </w:pict>
          </mc:Fallback>
        </mc:AlternateContent>
      </w:r>
      <w:r>
        <w:rPr>
          <w:noProof/>
        </w:rPr>
        <mc:AlternateContent>
          <mc:Choice Requires="wps">
            <w:drawing>
              <wp:anchor distT="0" distB="0" distL="114296" distR="114296" simplePos="0" relativeHeight="251673088" behindDoc="0" locked="0" layoutInCell="1" allowOverlap="1">
                <wp:simplePos x="0" y="0"/>
                <wp:positionH relativeFrom="column">
                  <wp:posOffset>5149214</wp:posOffset>
                </wp:positionH>
                <wp:positionV relativeFrom="paragraph">
                  <wp:posOffset>494665</wp:posOffset>
                </wp:positionV>
                <wp:extent cx="0" cy="1962150"/>
                <wp:effectExtent l="0" t="0" r="19050" b="19050"/>
                <wp:wrapNone/>
                <wp:docPr id="4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3D68A" id="AutoShape 39" o:spid="_x0000_s1026" type="#_x0000_t32" style="position:absolute;margin-left:405.45pt;margin-top:38.95pt;width:0;height:154.5pt;z-index:2516730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kskIQIAAD0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" strokecolor="#c00000"/>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2282190</wp:posOffset>
                </wp:positionH>
                <wp:positionV relativeFrom="paragraph">
                  <wp:posOffset>2456815</wp:posOffset>
                </wp:positionV>
                <wp:extent cx="2867025" cy="635"/>
                <wp:effectExtent l="38100" t="76200" r="0" b="94615"/>
                <wp:wrapNone/>
                <wp:docPr id="4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67025" cy="635"/>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1823C" id="AutoShape 40" o:spid="_x0000_s1026" type="#_x0000_t32" style="position:absolute;margin-left:179.7pt;margin-top:193.45pt;width:225.75pt;height:.05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" strokecolor="#c00000">
                <v:stroke endarrow="block"/>
              </v:shape>
            </w:pict>
          </mc:Fallback>
        </mc:AlternateContent>
      </w:r>
      <w:r w:rsidR="001F1FB0">
        <w:rPr>
          <w:rFonts w:ascii="Times New Roman" w:hAnsi="Times New Roman"/>
          <w:noProof/>
          <w:sz w:val="28"/>
          <w:szCs w:val="28"/>
        </w:rPr>
        <w:drawing>
          <wp:inline distT="0" distB="0" distL="0" distR="0">
            <wp:extent cx="6093339" cy="2952371"/>
            <wp:effectExtent l="6093" t="6095" r="6093" b="3809"/>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D5D26" w:rsidRPr="00B47851" w:rsidRDefault="002D5D26" w:rsidP="002D5D26">
      <w:pPr>
        <w:autoSpaceDE w:val="0"/>
        <w:autoSpaceDN w:val="0"/>
        <w:adjustRightInd w:val="0"/>
        <w:spacing w:after="0" w:line="240" w:lineRule="auto"/>
        <w:rPr>
          <w:rFonts w:ascii="Times New Roman" w:hAnsi="Times New Roman"/>
          <w:sz w:val="20"/>
          <w:szCs w:val="20"/>
        </w:rPr>
      </w:pPr>
      <w:r w:rsidRPr="00B47851">
        <w:rPr>
          <w:rFonts w:ascii="Times New Roman" w:hAnsi="Times New Roman"/>
          <w:sz w:val="20"/>
          <w:szCs w:val="20"/>
        </w:rPr>
        <w:t>Datu avots: Finanšu ministrija</w:t>
      </w:r>
    </w:p>
    <w:p w:rsidR="00E656A4" w:rsidRDefault="00E656A4" w:rsidP="00903882">
      <w:pPr>
        <w:spacing w:after="0" w:line="240" w:lineRule="auto"/>
        <w:ind w:firstLine="720"/>
        <w:jc w:val="both"/>
        <w:rPr>
          <w:rFonts w:ascii="Times New Roman" w:hAnsi="Times New Roman"/>
          <w:sz w:val="28"/>
          <w:szCs w:val="28"/>
        </w:rPr>
      </w:pPr>
    </w:p>
    <w:p w:rsidR="00836069" w:rsidRDefault="00836069" w:rsidP="005E54FD">
      <w:pPr>
        <w:spacing w:after="0" w:line="240" w:lineRule="auto"/>
        <w:ind w:firstLine="720"/>
        <w:jc w:val="both"/>
        <w:rPr>
          <w:rFonts w:ascii="Times New Roman" w:eastAsia="Calibri" w:hAnsi="Times New Roman"/>
          <w:sz w:val="28"/>
          <w:szCs w:val="28"/>
          <w:lang w:eastAsia="en-US"/>
        </w:rPr>
      </w:pPr>
    </w:p>
    <w:p w:rsidR="00E05071" w:rsidRDefault="00E05071" w:rsidP="00836069">
      <w:pPr>
        <w:spacing w:after="0" w:line="240" w:lineRule="auto"/>
        <w:ind w:firstLine="720"/>
        <w:jc w:val="both"/>
        <w:rPr>
          <w:rFonts w:ascii="Times New Roman" w:hAnsi="Times New Roman"/>
          <w:color w:val="000000"/>
          <w:kern w:val="24"/>
          <w:sz w:val="28"/>
          <w:szCs w:val="28"/>
        </w:rPr>
      </w:pPr>
      <w:r>
        <w:rPr>
          <w:rFonts w:ascii="Times New Roman" w:eastAsia="Calibri" w:hAnsi="Times New Roman"/>
          <w:sz w:val="28"/>
          <w:szCs w:val="28"/>
          <w:lang w:eastAsia="en-US"/>
        </w:rPr>
        <w:t xml:space="preserve">Valsts </w:t>
      </w:r>
      <w:r w:rsidRPr="00E05071">
        <w:rPr>
          <w:rFonts w:ascii="Times New Roman" w:eastAsia="Calibri" w:hAnsi="Times New Roman"/>
          <w:sz w:val="28"/>
          <w:szCs w:val="28"/>
          <w:lang w:eastAsia="en-US"/>
        </w:rPr>
        <w:t>konsolidētā kopbudžeta izdevumi atlīdzībai</w:t>
      </w:r>
      <w:r w:rsidR="00FA4CBB">
        <w:rPr>
          <w:rFonts w:ascii="Times New Roman" w:eastAsia="Calibri" w:hAnsi="Times New Roman"/>
          <w:sz w:val="28"/>
          <w:szCs w:val="28"/>
          <w:lang w:eastAsia="en-US"/>
        </w:rPr>
        <w:t>, tai skaitā valsts budžeta izdevumi atlīdzībai</w:t>
      </w:r>
      <w:r w:rsidR="0068013C">
        <w:rPr>
          <w:rFonts w:ascii="Times New Roman" w:eastAsia="Calibri" w:hAnsi="Times New Roman"/>
          <w:sz w:val="28"/>
          <w:szCs w:val="28"/>
          <w:lang w:eastAsia="en-US"/>
        </w:rPr>
        <w:t>,</w:t>
      </w:r>
      <w:r w:rsidRPr="00E05071">
        <w:rPr>
          <w:rFonts w:ascii="Times New Roman" w:eastAsia="Calibri" w:hAnsi="Times New Roman"/>
          <w:sz w:val="28"/>
          <w:szCs w:val="28"/>
          <w:lang w:eastAsia="en-US"/>
        </w:rPr>
        <w:t xml:space="preserve"> </w:t>
      </w:r>
      <w:r w:rsidR="005E54FD" w:rsidRPr="00C94851">
        <w:rPr>
          <w:rFonts w:ascii="Times New Roman" w:eastAsia="Calibri" w:hAnsi="Times New Roman"/>
          <w:sz w:val="28"/>
          <w:szCs w:val="28"/>
          <w:lang w:eastAsia="en-US"/>
        </w:rPr>
        <w:t>(skat. 4.</w:t>
      </w:r>
      <w:r w:rsidR="00FA4CBB">
        <w:rPr>
          <w:rFonts w:ascii="Times New Roman" w:eastAsia="Calibri" w:hAnsi="Times New Roman"/>
          <w:sz w:val="28"/>
          <w:szCs w:val="28"/>
          <w:lang w:eastAsia="en-US"/>
        </w:rPr>
        <w:t xml:space="preserve"> un 5.</w:t>
      </w:r>
      <w:r w:rsidR="005E54FD" w:rsidRPr="00C94851">
        <w:rPr>
          <w:rFonts w:ascii="Times New Roman" w:eastAsia="Calibri" w:hAnsi="Times New Roman"/>
          <w:sz w:val="28"/>
          <w:szCs w:val="28"/>
          <w:lang w:eastAsia="en-US"/>
        </w:rPr>
        <w:t xml:space="preserve">attēlu) 2009. un 2010.gadā strauji samazinājās un kopš 2010. gada stabili saglabājas konsolidētajā līmenī ar mērenu pieaugumu. Izdevumu atlīdzībai pieaugums sākot ar 2011. gadu pamatā skaidrojams ar minimālās mēneša darba algas pieaugumu no 180 līdz 200 latiem, tiesnešu un </w:t>
      </w:r>
      <w:r w:rsidR="005E54FD" w:rsidRPr="00C94851">
        <w:rPr>
          <w:rFonts w:ascii="Times New Roman" w:eastAsia="Calibri" w:hAnsi="Times New Roman"/>
          <w:sz w:val="28"/>
          <w:szCs w:val="28"/>
          <w:lang w:eastAsia="en-US"/>
        </w:rPr>
        <w:lastRenderedPageBreak/>
        <w:t>prokuroru atalgojuma pieaugumu (vidēji par 43%), kā arī iespēju motivēt kompetentākās amatpersonas un darbiniekus piemaksu veidā par personisko darba ieguldījumu un darba kvalitāti, ar naudas balvu, ko nosaka  Valsts un pašvaldību institūciju amatpersonu un darbinieku atlīdzības likuma 2011. gada 16. jūnija</w:t>
      </w:r>
      <w:r w:rsidR="005E54FD" w:rsidRPr="00C94851">
        <w:rPr>
          <w:rFonts w:ascii="Times New Roman" w:eastAsia="Calibri" w:hAnsi="Times New Roman"/>
          <w:color w:val="FF0000"/>
          <w:sz w:val="28"/>
          <w:szCs w:val="28"/>
          <w:lang w:eastAsia="en-US"/>
        </w:rPr>
        <w:t xml:space="preserve"> </w:t>
      </w:r>
      <w:r w:rsidR="005E54FD" w:rsidRPr="00C94851">
        <w:rPr>
          <w:rFonts w:ascii="Times New Roman" w:eastAsia="Calibri" w:hAnsi="Times New Roman"/>
          <w:sz w:val="28"/>
          <w:szCs w:val="28"/>
          <w:lang w:eastAsia="en-US"/>
        </w:rPr>
        <w:t xml:space="preserve">grozījumi, bet no 2012. gada 1. janvāra arī iespēju izmaksāt atvaļinājuma pabalstu un iespēju darba devējam apdrošināt darbinieku veselību, apmaksājot veselības polisi līdz </w:t>
      </w:r>
      <w:r w:rsidR="00F4569C">
        <w:rPr>
          <w:rFonts w:ascii="Times New Roman" w:eastAsia="Calibri" w:hAnsi="Times New Roman"/>
          <w:sz w:val="28"/>
          <w:szCs w:val="28"/>
          <w:lang w:eastAsia="en-US"/>
        </w:rPr>
        <w:t xml:space="preserve">Ls </w:t>
      </w:r>
      <w:r w:rsidR="005E54FD" w:rsidRPr="00C94851">
        <w:rPr>
          <w:rFonts w:ascii="Times New Roman" w:eastAsia="Calibri" w:hAnsi="Times New Roman"/>
          <w:sz w:val="28"/>
          <w:szCs w:val="28"/>
          <w:lang w:eastAsia="en-US"/>
        </w:rPr>
        <w:t xml:space="preserve">150. </w:t>
      </w:r>
    </w:p>
    <w:p w:rsidR="005E54FD" w:rsidRDefault="005E54FD" w:rsidP="005E54FD">
      <w:pPr>
        <w:spacing w:after="0" w:line="240" w:lineRule="auto"/>
        <w:ind w:firstLine="720"/>
        <w:jc w:val="right"/>
        <w:rPr>
          <w:rFonts w:ascii="Times New Roman" w:hAnsi="Times New Roman"/>
          <w:color w:val="000000"/>
          <w:kern w:val="24"/>
          <w:sz w:val="28"/>
          <w:szCs w:val="28"/>
        </w:rPr>
      </w:pPr>
      <w:r w:rsidRPr="00C94851">
        <w:rPr>
          <w:rFonts w:ascii="Times New Roman" w:hAnsi="Times New Roman"/>
          <w:color w:val="000000"/>
          <w:kern w:val="24"/>
          <w:sz w:val="28"/>
          <w:szCs w:val="28"/>
        </w:rPr>
        <w:t>4.attēls</w:t>
      </w:r>
    </w:p>
    <w:p w:rsidR="005E54FD" w:rsidRPr="00C94851" w:rsidRDefault="00C135D8" w:rsidP="005E54FD">
      <w:pPr>
        <w:spacing w:after="0" w:line="240" w:lineRule="auto"/>
        <w:ind w:firstLine="720"/>
        <w:jc w:val="center"/>
        <w:rPr>
          <w:rFonts w:ascii="Times New Roman" w:hAnsi="Times New Roman"/>
          <w:b/>
          <w:color w:val="000000"/>
          <w:kern w:val="24"/>
          <w:sz w:val="28"/>
          <w:szCs w:val="28"/>
        </w:rPr>
      </w:pPr>
      <w:r>
        <w:rPr>
          <w:rFonts w:ascii="Times New Roman" w:hAnsi="Times New Roman"/>
          <w:b/>
          <w:color w:val="000000"/>
          <w:kern w:val="24"/>
          <w:sz w:val="28"/>
          <w:szCs w:val="28"/>
        </w:rPr>
        <w:t>Latvijas v</w:t>
      </w:r>
      <w:r w:rsidR="00D26BEF" w:rsidRPr="00D26BEF">
        <w:rPr>
          <w:rFonts w:ascii="Times New Roman" w:hAnsi="Times New Roman"/>
          <w:b/>
          <w:color w:val="000000"/>
          <w:kern w:val="24"/>
          <w:sz w:val="28"/>
          <w:szCs w:val="28"/>
        </w:rPr>
        <w:t>alsts konsolidētā kopbudžeta izdevumi atlīdzībai (finanšu plūsma)  2008–2013.gadā un salīdzinājumā ar iepriekšējo periodu, % un milj. LVL</w:t>
      </w:r>
    </w:p>
    <w:p w:rsidR="00D26BEF" w:rsidRDefault="00D26BEF" w:rsidP="00D26BEF">
      <w:pPr>
        <w:spacing w:after="0" w:line="240" w:lineRule="auto"/>
        <w:jc w:val="both"/>
        <w:rPr>
          <w:rFonts w:ascii="Times New Roman" w:hAnsi="Times New Roman"/>
          <w:color w:val="000000"/>
          <w:kern w:val="24"/>
          <w:sz w:val="28"/>
          <w:szCs w:val="28"/>
        </w:rPr>
      </w:pPr>
      <w:r>
        <w:rPr>
          <w:noProof/>
        </w:rPr>
        <w:drawing>
          <wp:inline distT="0" distB="0" distL="0" distR="0" wp14:anchorId="1645D954" wp14:editId="10AF25D0">
            <wp:extent cx="5848350" cy="2409825"/>
            <wp:effectExtent l="0" t="0" r="1905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26BEF" w:rsidRPr="00C94851" w:rsidRDefault="00D26BEF" w:rsidP="00D26BEF">
      <w:pPr>
        <w:autoSpaceDE w:val="0"/>
        <w:autoSpaceDN w:val="0"/>
        <w:adjustRightInd w:val="0"/>
        <w:spacing w:after="0" w:line="240" w:lineRule="auto"/>
        <w:rPr>
          <w:rFonts w:ascii="Times New Roman" w:hAnsi="Times New Roman"/>
          <w:color w:val="000000"/>
          <w:kern w:val="24"/>
          <w:sz w:val="28"/>
          <w:szCs w:val="28"/>
        </w:rPr>
      </w:pPr>
      <w:r w:rsidRPr="00B47851">
        <w:rPr>
          <w:rFonts w:ascii="Times New Roman" w:hAnsi="Times New Roman"/>
          <w:sz w:val="20"/>
          <w:szCs w:val="20"/>
        </w:rPr>
        <w:t xml:space="preserve">Datu avots: </w:t>
      </w:r>
      <w:r>
        <w:rPr>
          <w:rFonts w:ascii="Times New Roman" w:hAnsi="Times New Roman"/>
          <w:sz w:val="20"/>
          <w:szCs w:val="20"/>
        </w:rPr>
        <w:t>Valsts kase</w:t>
      </w:r>
    </w:p>
    <w:p w:rsidR="00CE7225" w:rsidRPr="002D305F" w:rsidRDefault="002D305F" w:rsidP="002D305F">
      <w:pPr>
        <w:spacing w:after="0" w:line="240" w:lineRule="auto"/>
        <w:ind w:firstLine="720"/>
        <w:jc w:val="right"/>
        <w:rPr>
          <w:rFonts w:ascii="Times New Roman" w:hAnsi="Times New Roman"/>
          <w:color w:val="000000"/>
          <w:kern w:val="24"/>
          <w:sz w:val="28"/>
          <w:szCs w:val="28"/>
        </w:rPr>
      </w:pPr>
      <w:r w:rsidRPr="002D305F">
        <w:rPr>
          <w:rFonts w:ascii="Times New Roman" w:hAnsi="Times New Roman"/>
          <w:color w:val="000000"/>
          <w:kern w:val="24"/>
          <w:sz w:val="28"/>
          <w:szCs w:val="28"/>
        </w:rPr>
        <w:t>5.attēls</w:t>
      </w:r>
    </w:p>
    <w:p w:rsidR="00CE7225" w:rsidRPr="00C94851" w:rsidRDefault="00CE7225" w:rsidP="00CE7225">
      <w:pPr>
        <w:spacing w:after="0" w:line="240" w:lineRule="auto"/>
        <w:ind w:firstLine="720"/>
        <w:jc w:val="center"/>
        <w:rPr>
          <w:rFonts w:ascii="Times New Roman" w:hAnsi="Times New Roman"/>
          <w:b/>
          <w:color w:val="000000"/>
          <w:kern w:val="24"/>
          <w:sz w:val="28"/>
          <w:szCs w:val="28"/>
        </w:rPr>
      </w:pPr>
      <w:r>
        <w:rPr>
          <w:rFonts w:ascii="Times New Roman" w:hAnsi="Times New Roman"/>
          <w:b/>
          <w:color w:val="000000"/>
          <w:kern w:val="24"/>
          <w:sz w:val="28"/>
          <w:szCs w:val="28"/>
        </w:rPr>
        <w:t>Valsts b</w:t>
      </w:r>
      <w:r w:rsidRPr="00D26BEF">
        <w:rPr>
          <w:rFonts w:ascii="Times New Roman" w:hAnsi="Times New Roman"/>
          <w:b/>
          <w:color w:val="000000"/>
          <w:kern w:val="24"/>
          <w:sz w:val="28"/>
          <w:szCs w:val="28"/>
        </w:rPr>
        <w:t>udžeta izdevumi atlīdzībai</w:t>
      </w:r>
      <w:r>
        <w:rPr>
          <w:rFonts w:ascii="Times New Roman" w:hAnsi="Times New Roman"/>
          <w:b/>
          <w:color w:val="000000"/>
          <w:kern w:val="24"/>
          <w:sz w:val="28"/>
          <w:szCs w:val="28"/>
        </w:rPr>
        <w:t>,</w:t>
      </w:r>
      <w:r w:rsidRPr="00D26BEF">
        <w:rPr>
          <w:rFonts w:ascii="Times New Roman" w:hAnsi="Times New Roman"/>
          <w:b/>
          <w:color w:val="000000"/>
          <w:kern w:val="24"/>
          <w:sz w:val="28"/>
          <w:szCs w:val="28"/>
        </w:rPr>
        <w:t xml:space="preserve"> milj. LVL</w:t>
      </w:r>
    </w:p>
    <w:p w:rsidR="00D26BEF" w:rsidRDefault="00CE7225" w:rsidP="00CE7225">
      <w:pPr>
        <w:spacing w:after="0" w:line="240" w:lineRule="auto"/>
        <w:jc w:val="both"/>
        <w:rPr>
          <w:rFonts w:ascii="Times New Roman" w:hAnsi="Times New Roman"/>
          <w:color w:val="000000"/>
          <w:kern w:val="24"/>
          <w:sz w:val="28"/>
          <w:szCs w:val="28"/>
        </w:rPr>
      </w:pPr>
      <w:r>
        <w:rPr>
          <w:noProof/>
        </w:rPr>
        <w:drawing>
          <wp:inline distT="0" distB="0" distL="0" distR="0" wp14:anchorId="51917207" wp14:editId="7AD94390">
            <wp:extent cx="5848350" cy="2657475"/>
            <wp:effectExtent l="0" t="0" r="19050"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E3F32" w:rsidRPr="00C94851" w:rsidRDefault="003E3F32" w:rsidP="003E3F32">
      <w:pPr>
        <w:autoSpaceDE w:val="0"/>
        <w:autoSpaceDN w:val="0"/>
        <w:adjustRightInd w:val="0"/>
        <w:spacing w:after="0" w:line="240" w:lineRule="auto"/>
        <w:rPr>
          <w:rFonts w:ascii="Times New Roman" w:hAnsi="Times New Roman"/>
          <w:color w:val="000000"/>
          <w:kern w:val="24"/>
          <w:sz w:val="28"/>
          <w:szCs w:val="28"/>
        </w:rPr>
      </w:pPr>
      <w:r w:rsidRPr="00B47851">
        <w:rPr>
          <w:rFonts w:ascii="Times New Roman" w:hAnsi="Times New Roman"/>
          <w:sz w:val="20"/>
          <w:szCs w:val="20"/>
        </w:rPr>
        <w:t xml:space="preserve">Datu avots: </w:t>
      </w:r>
      <w:r>
        <w:rPr>
          <w:rFonts w:ascii="Times New Roman" w:hAnsi="Times New Roman"/>
          <w:sz w:val="20"/>
          <w:szCs w:val="20"/>
        </w:rPr>
        <w:t>Valsts kase</w:t>
      </w:r>
    </w:p>
    <w:p w:rsidR="00D26BEF" w:rsidRDefault="00D26BEF" w:rsidP="00BB608E">
      <w:pPr>
        <w:spacing w:after="0" w:line="240" w:lineRule="auto"/>
        <w:ind w:firstLine="720"/>
        <w:jc w:val="both"/>
        <w:rPr>
          <w:rFonts w:ascii="Times New Roman" w:hAnsi="Times New Roman"/>
          <w:color w:val="000000"/>
          <w:kern w:val="24"/>
          <w:sz w:val="28"/>
          <w:szCs w:val="28"/>
        </w:rPr>
      </w:pPr>
    </w:p>
    <w:p w:rsidR="00BB608E" w:rsidRPr="00C94851" w:rsidRDefault="00BB608E" w:rsidP="00BB608E">
      <w:pPr>
        <w:spacing w:after="0" w:line="240" w:lineRule="auto"/>
        <w:ind w:firstLine="720"/>
        <w:jc w:val="both"/>
        <w:rPr>
          <w:rFonts w:ascii="Times New Roman" w:hAnsi="Times New Roman"/>
          <w:color w:val="000000"/>
          <w:kern w:val="24"/>
          <w:sz w:val="28"/>
          <w:szCs w:val="28"/>
        </w:rPr>
      </w:pPr>
      <w:r w:rsidRPr="00C94851">
        <w:rPr>
          <w:rFonts w:ascii="Times New Roman" w:hAnsi="Times New Roman"/>
          <w:color w:val="000000"/>
          <w:kern w:val="24"/>
          <w:sz w:val="28"/>
          <w:szCs w:val="28"/>
        </w:rPr>
        <w:lastRenderedPageBreak/>
        <w:t>Salīdzinot vispārējās valdības izdevumus</w:t>
      </w:r>
      <w:r w:rsidR="00960DEA" w:rsidRPr="00C94851">
        <w:rPr>
          <w:rFonts w:ascii="Times New Roman" w:hAnsi="Times New Roman"/>
          <w:color w:val="000000"/>
          <w:kern w:val="24"/>
          <w:sz w:val="28"/>
          <w:szCs w:val="28"/>
        </w:rPr>
        <w:t xml:space="preserve"> (valsts un pašvaldību budžeta izdevumi)</w:t>
      </w:r>
      <w:r w:rsidRPr="00C94851">
        <w:rPr>
          <w:rFonts w:ascii="Times New Roman" w:hAnsi="Times New Roman"/>
          <w:color w:val="000000"/>
          <w:kern w:val="24"/>
          <w:sz w:val="28"/>
          <w:szCs w:val="28"/>
        </w:rPr>
        <w:t xml:space="preserve"> </w:t>
      </w:r>
      <w:r w:rsidR="00424C21" w:rsidRPr="00C94851">
        <w:rPr>
          <w:rFonts w:ascii="Times New Roman" w:hAnsi="Times New Roman"/>
          <w:color w:val="000000"/>
          <w:kern w:val="24"/>
          <w:sz w:val="28"/>
          <w:szCs w:val="28"/>
        </w:rPr>
        <w:t>atlīdzībai</w:t>
      </w:r>
      <w:r w:rsidRPr="00C94851">
        <w:rPr>
          <w:rFonts w:ascii="Times New Roman" w:hAnsi="Times New Roman"/>
          <w:color w:val="000000"/>
          <w:kern w:val="24"/>
          <w:sz w:val="28"/>
          <w:szCs w:val="28"/>
        </w:rPr>
        <w:t xml:space="preserve"> no </w:t>
      </w:r>
      <w:r w:rsidR="00DF35F7" w:rsidRPr="00C94851">
        <w:rPr>
          <w:rFonts w:ascii="Times New Roman" w:hAnsi="Times New Roman"/>
          <w:color w:val="000000"/>
          <w:kern w:val="24"/>
          <w:sz w:val="28"/>
          <w:szCs w:val="28"/>
        </w:rPr>
        <w:t>i</w:t>
      </w:r>
      <w:r w:rsidRPr="00C94851">
        <w:rPr>
          <w:rFonts w:ascii="Times New Roman" w:hAnsi="Times New Roman"/>
          <w:color w:val="000000"/>
          <w:kern w:val="24"/>
          <w:sz w:val="28"/>
          <w:szCs w:val="28"/>
        </w:rPr>
        <w:t>ekšzemes kopprodukta</w:t>
      </w:r>
      <w:r w:rsidR="00DF35F7" w:rsidRPr="00C94851">
        <w:rPr>
          <w:rFonts w:ascii="Times New Roman" w:hAnsi="Times New Roman"/>
          <w:color w:val="000000"/>
          <w:kern w:val="24"/>
          <w:sz w:val="28"/>
          <w:szCs w:val="28"/>
        </w:rPr>
        <w:t xml:space="preserve"> </w:t>
      </w:r>
      <w:r w:rsidR="007471BA" w:rsidRPr="00C94851">
        <w:rPr>
          <w:rFonts w:ascii="Times New Roman" w:hAnsi="Times New Roman"/>
          <w:color w:val="000000"/>
          <w:kern w:val="24"/>
          <w:sz w:val="28"/>
          <w:szCs w:val="28"/>
        </w:rPr>
        <w:t xml:space="preserve">(IKP) </w:t>
      </w:r>
      <w:r w:rsidR="00DF35F7" w:rsidRPr="00C94851">
        <w:rPr>
          <w:rFonts w:ascii="Times New Roman" w:hAnsi="Times New Roman"/>
          <w:color w:val="000000"/>
          <w:kern w:val="24"/>
          <w:sz w:val="28"/>
          <w:szCs w:val="28"/>
        </w:rPr>
        <w:t>dažādās Eiropas Savienības dalībvalstīs, var secināt, ka Latvija, Čehija, Rumānija, Slovākija un Igaunija veido valstu grupu, kurās izdevumi at</w:t>
      </w:r>
      <w:r w:rsidR="00424C21" w:rsidRPr="00C94851">
        <w:rPr>
          <w:rFonts w:ascii="Times New Roman" w:hAnsi="Times New Roman"/>
          <w:color w:val="000000"/>
          <w:kern w:val="24"/>
          <w:sz w:val="28"/>
          <w:szCs w:val="28"/>
        </w:rPr>
        <w:t>līdzībai</w:t>
      </w:r>
      <w:r w:rsidR="00DF35F7" w:rsidRPr="00C94851">
        <w:rPr>
          <w:rFonts w:ascii="Times New Roman" w:hAnsi="Times New Roman"/>
          <w:color w:val="000000"/>
          <w:kern w:val="24"/>
          <w:sz w:val="28"/>
          <w:szCs w:val="28"/>
        </w:rPr>
        <w:t xml:space="preserve"> sastāda  6,5% </w:t>
      </w:r>
      <w:r w:rsidR="00F4569C">
        <w:rPr>
          <w:rFonts w:ascii="Times New Roman" w:hAnsi="Times New Roman"/>
          <w:color w:val="000000"/>
          <w:kern w:val="24"/>
          <w:sz w:val="28"/>
          <w:szCs w:val="28"/>
        </w:rPr>
        <w:t>–</w:t>
      </w:r>
      <w:r w:rsidR="00DF35F7" w:rsidRPr="00C94851">
        <w:rPr>
          <w:rFonts w:ascii="Times New Roman" w:hAnsi="Times New Roman"/>
          <w:color w:val="000000"/>
          <w:kern w:val="24"/>
          <w:sz w:val="28"/>
          <w:szCs w:val="28"/>
        </w:rPr>
        <w:t xml:space="preserve"> 7,5% no IKP un ir zemāki salīdzinot ar citām valstīm. Īrij</w:t>
      </w:r>
      <w:r w:rsidR="007471BA" w:rsidRPr="00C94851">
        <w:rPr>
          <w:rFonts w:ascii="Times New Roman" w:hAnsi="Times New Roman"/>
          <w:color w:val="000000"/>
          <w:kern w:val="24"/>
          <w:sz w:val="28"/>
          <w:szCs w:val="28"/>
        </w:rPr>
        <w:t>ā</w:t>
      </w:r>
      <w:r w:rsidR="00DF35F7" w:rsidRPr="00C94851">
        <w:rPr>
          <w:rFonts w:ascii="Times New Roman" w:hAnsi="Times New Roman"/>
          <w:color w:val="000000"/>
          <w:kern w:val="24"/>
          <w:sz w:val="28"/>
          <w:szCs w:val="28"/>
        </w:rPr>
        <w:t>, Ungārij</w:t>
      </w:r>
      <w:r w:rsidR="007471BA" w:rsidRPr="00C94851">
        <w:rPr>
          <w:rFonts w:ascii="Times New Roman" w:hAnsi="Times New Roman"/>
          <w:color w:val="000000"/>
          <w:kern w:val="24"/>
          <w:sz w:val="28"/>
          <w:szCs w:val="28"/>
        </w:rPr>
        <w:t>ā, Polijā</w:t>
      </w:r>
      <w:r w:rsidR="00DF35F7" w:rsidRPr="00C94851">
        <w:rPr>
          <w:rFonts w:ascii="Times New Roman" w:hAnsi="Times New Roman"/>
          <w:color w:val="000000"/>
          <w:kern w:val="24"/>
          <w:sz w:val="28"/>
          <w:szCs w:val="28"/>
        </w:rPr>
        <w:t xml:space="preserve">, </w:t>
      </w:r>
      <w:r w:rsidR="007471BA" w:rsidRPr="00C94851">
        <w:rPr>
          <w:rFonts w:ascii="Times New Roman" w:hAnsi="Times New Roman"/>
          <w:color w:val="000000"/>
          <w:kern w:val="24"/>
          <w:sz w:val="28"/>
          <w:szCs w:val="28"/>
        </w:rPr>
        <w:t xml:space="preserve">Lietuvā un Nīderlandē šie izdevumi </w:t>
      </w:r>
      <w:r w:rsidR="00EC22E3" w:rsidRPr="00C94851">
        <w:rPr>
          <w:rFonts w:ascii="Times New Roman" w:hAnsi="Times New Roman"/>
          <w:color w:val="000000"/>
          <w:kern w:val="24"/>
          <w:sz w:val="28"/>
          <w:szCs w:val="28"/>
        </w:rPr>
        <w:t>ir</w:t>
      </w:r>
      <w:r w:rsidR="007471BA" w:rsidRPr="00C94851">
        <w:rPr>
          <w:rFonts w:ascii="Times New Roman" w:hAnsi="Times New Roman"/>
          <w:color w:val="000000"/>
          <w:kern w:val="24"/>
          <w:sz w:val="28"/>
          <w:szCs w:val="28"/>
        </w:rPr>
        <w:t xml:space="preserve"> 9</w:t>
      </w:r>
      <w:r w:rsidR="00F4569C">
        <w:rPr>
          <w:rFonts w:ascii="Times New Roman" w:hAnsi="Times New Roman"/>
          <w:color w:val="000000"/>
          <w:kern w:val="24"/>
          <w:sz w:val="28"/>
          <w:szCs w:val="28"/>
        </w:rPr>
        <w:t>,</w:t>
      </w:r>
      <w:r w:rsidR="007471BA" w:rsidRPr="00C94851">
        <w:rPr>
          <w:rFonts w:ascii="Times New Roman" w:hAnsi="Times New Roman"/>
          <w:color w:val="000000"/>
          <w:kern w:val="24"/>
          <w:sz w:val="28"/>
          <w:szCs w:val="28"/>
        </w:rPr>
        <w:t xml:space="preserve">1% </w:t>
      </w:r>
      <w:r w:rsidR="00F4569C">
        <w:rPr>
          <w:rFonts w:ascii="Times New Roman" w:hAnsi="Times New Roman"/>
          <w:color w:val="000000"/>
          <w:kern w:val="24"/>
          <w:sz w:val="28"/>
          <w:szCs w:val="28"/>
        </w:rPr>
        <w:t xml:space="preserve">– </w:t>
      </w:r>
      <w:r w:rsidR="007471BA" w:rsidRPr="00C94851">
        <w:rPr>
          <w:rFonts w:ascii="Times New Roman" w:hAnsi="Times New Roman"/>
          <w:color w:val="000000"/>
          <w:kern w:val="24"/>
          <w:sz w:val="28"/>
          <w:szCs w:val="28"/>
        </w:rPr>
        <w:t>11</w:t>
      </w:r>
      <w:r w:rsidR="00F4569C">
        <w:rPr>
          <w:rFonts w:ascii="Times New Roman" w:hAnsi="Times New Roman"/>
          <w:color w:val="000000"/>
          <w:kern w:val="24"/>
          <w:sz w:val="28"/>
          <w:szCs w:val="28"/>
        </w:rPr>
        <w:t>,</w:t>
      </w:r>
      <w:r w:rsidR="007471BA" w:rsidRPr="00C94851">
        <w:rPr>
          <w:rFonts w:ascii="Times New Roman" w:hAnsi="Times New Roman"/>
          <w:color w:val="000000"/>
          <w:kern w:val="24"/>
          <w:sz w:val="28"/>
          <w:szCs w:val="28"/>
        </w:rPr>
        <w:t>2%, savukārt Somijā – 13</w:t>
      </w:r>
      <w:r w:rsidR="00F4569C">
        <w:rPr>
          <w:rFonts w:ascii="Times New Roman" w:hAnsi="Times New Roman"/>
          <w:color w:val="000000"/>
          <w:kern w:val="24"/>
          <w:sz w:val="28"/>
          <w:szCs w:val="28"/>
        </w:rPr>
        <w:t>,</w:t>
      </w:r>
      <w:r w:rsidR="007471BA" w:rsidRPr="00C94851">
        <w:rPr>
          <w:rFonts w:ascii="Times New Roman" w:hAnsi="Times New Roman"/>
          <w:color w:val="000000"/>
          <w:kern w:val="24"/>
          <w:sz w:val="28"/>
          <w:szCs w:val="28"/>
        </w:rPr>
        <w:t>7% no IKP</w:t>
      </w:r>
      <w:r w:rsidR="002E36BD" w:rsidRPr="00C94851">
        <w:rPr>
          <w:rFonts w:ascii="Times New Roman" w:hAnsi="Times New Roman"/>
          <w:color w:val="000000"/>
          <w:kern w:val="24"/>
          <w:sz w:val="28"/>
          <w:szCs w:val="28"/>
        </w:rPr>
        <w:t xml:space="preserve"> (skat. </w:t>
      </w:r>
      <w:r w:rsidR="00065F10">
        <w:rPr>
          <w:rFonts w:ascii="Times New Roman" w:hAnsi="Times New Roman"/>
          <w:color w:val="000000"/>
          <w:kern w:val="24"/>
          <w:sz w:val="28"/>
          <w:szCs w:val="28"/>
        </w:rPr>
        <w:t>6</w:t>
      </w:r>
      <w:r w:rsidR="00281D57" w:rsidRPr="00C94851">
        <w:rPr>
          <w:rFonts w:ascii="Times New Roman" w:hAnsi="Times New Roman"/>
          <w:color w:val="000000"/>
          <w:kern w:val="24"/>
          <w:sz w:val="28"/>
          <w:szCs w:val="28"/>
        </w:rPr>
        <w:t>.attēlu)</w:t>
      </w:r>
      <w:r w:rsidR="007471BA" w:rsidRPr="00C94851">
        <w:rPr>
          <w:rFonts w:ascii="Times New Roman" w:hAnsi="Times New Roman"/>
          <w:color w:val="000000"/>
          <w:kern w:val="24"/>
          <w:sz w:val="28"/>
          <w:szCs w:val="28"/>
        </w:rPr>
        <w:t>.</w:t>
      </w:r>
    </w:p>
    <w:p w:rsidR="00836069" w:rsidRDefault="00836069" w:rsidP="00065F10">
      <w:pPr>
        <w:spacing w:after="0" w:line="240" w:lineRule="auto"/>
        <w:jc w:val="right"/>
        <w:rPr>
          <w:rFonts w:ascii="Times New Roman" w:hAnsi="Times New Roman"/>
          <w:color w:val="000000"/>
          <w:kern w:val="24"/>
          <w:sz w:val="28"/>
          <w:szCs w:val="28"/>
        </w:rPr>
      </w:pPr>
    </w:p>
    <w:p w:rsidR="00EB7C02" w:rsidRDefault="00065F10" w:rsidP="00065F10">
      <w:pPr>
        <w:spacing w:after="0" w:line="240" w:lineRule="auto"/>
        <w:jc w:val="right"/>
        <w:rPr>
          <w:rFonts w:ascii="Times New Roman" w:hAnsi="Times New Roman"/>
          <w:color w:val="000000"/>
          <w:kern w:val="24"/>
          <w:sz w:val="28"/>
          <w:szCs w:val="28"/>
        </w:rPr>
      </w:pPr>
      <w:r>
        <w:rPr>
          <w:rFonts w:ascii="Times New Roman" w:hAnsi="Times New Roman"/>
          <w:color w:val="000000"/>
          <w:kern w:val="24"/>
          <w:sz w:val="28"/>
          <w:szCs w:val="28"/>
        </w:rPr>
        <w:t>6</w:t>
      </w:r>
      <w:r w:rsidR="009A21AF" w:rsidRPr="00C94851">
        <w:rPr>
          <w:rFonts w:ascii="Times New Roman" w:hAnsi="Times New Roman"/>
          <w:color w:val="000000"/>
          <w:kern w:val="24"/>
          <w:sz w:val="28"/>
          <w:szCs w:val="28"/>
        </w:rPr>
        <w:t>.attēls</w:t>
      </w:r>
    </w:p>
    <w:p w:rsidR="008625E5" w:rsidRDefault="001C2903" w:rsidP="001C2903">
      <w:pPr>
        <w:spacing w:after="0" w:line="240" w:lineRule="auto"/>
        <w:ind w:firstLine="720"/>
        <w:jc w:val="center"/>
        <w:rPr>
          <w:rFonts w:ascii="Times New Roman" w:hAnsi="Times New Roman"/>
          <w:b/>
          <w:color w:val="000000"/>
          <w:kern w:val="24"/>
          <w:sz w:val="28"/>
          <w:szCs w:val="28"/>
        </w:rPr>
      </w:pPr>
      <w:r w:rsidRPr="00C94851">
        <w:rPr>
          <w:rFonts w:ascii="Times New Roman" w:hAnsi="Times New Roman"/>
          <w:b/>
          <w:color w:val="000000"/>
          <w:kern w:val="24"/>
          <w:sz w:val="28"/>
          <w:szCs w:val="28"/>
        </w:rPr>
        <w:t>Vispārējās valdības</w:t>
      </w:r>
      <w:r w:rsidR="00A80D76" w:rsidRPr="00C94851">
        <w:rPr>
          <w:rFonts w:ascii="Times New Roman" w:hAnsi="Times New Roman"/>
          <w:b/>
          <w:color w:val="000000"/>
          <w:kern w:val="24"/>
          <w:sz w:val="28"/>
          <w:szCs w:val="28"/>
        </w:rPr>
        <w:t xml:space="preserve"> </w:t>
      </w:r>
      <w:r w:rsidRPr="00C94851">
        <w:rPr>
          <w:rFonts w:ascii="Times New Roman" w:hAnsi="Times New Roman"/>
          <w:b/>
          <w:color w:val="000000"/>
          <w:kern w:val="24"/>
          <w:sz w:val="28"/>
          <w:szCs w:val="28"/>
        </w:rPr>
        <w:t>izdevumi</w:t>
      </w:r>
      <w:r w:rsidR="00A80D76" w:rsidRPr="00C94851">
        <w:rPr>
          <w:rFonts w:ascii="Times New Roman" w:hAnsi="Times New Roman"/>
          <w:b/>
          <w:color w:val="000000"/>
          <w:kern w:val="24"/>
          <w:sz w:val="28"/>
          <w:szCs w:val="28"/>
        </w:rPr>
        <w:t xml:space="preserve"> (valsts un pašvaldību budžeta izdevumi) </w:t>
      </w:r>
      <w:r w:rsidRPr="00C94851">
        <w:rPr>
          <w:rFonts w:ascii="Times New Roman" w:hAnsi="Times New Roman"/>
          <w:b/>
          <w:color w:val="000000"/>
          <w:kern w:val="24"/>
          <w:sz w:val="28"/>
          <w:szCs w:val="28"/>
        </w:rPr>
        <w:t xml:space="preserve"> </w:t>
      </w:r>
      <w:r w:rsidR="00424C21" w:rsidRPr="00C94851">
        <w:rPr>
          <w:rFonts w:ascii="Times New Roman" w:hAnsi="Times New Roman"/>
          <w:b/>
          <w:color w:val="000000"/>
          <w:kern w:val="24"/>
          <w:sz w:val="28"/>
          <w:szCs w:val="28"/>
        </w:rPr>
        <w:t>atlīdzībai</w:t>
      </w:r>
      <w:r w:rsidRPr="00C94851">
        <w:rPr>
          <w:rFonts w:ascii="Times New Roman" w:hAnsi="Times New Roman"/>
          <w:b/>
          <w:color w:val="000000"/>
          <w:kern w:val="24"/>
          <w:sz w:val="28"/>
          <w:szCs w:val="28"/>
        </w:rPr>
        <w:t xml:space="preserve"> % no IKP</w:t>
      </w:r>
    </w:p>
    <w:p w:rsidR="003E3F32" w:rsidRPr="001C2903" w:rsidRDefault="003E3F32" w:rsidP="001C2903">
      <w:pPr>
        <w:spacing w:after="0" w:line="240" w:lineRule="auto"/>
        <w:ind w:firstLine="720"/>
        <w:jc w:val="center"/>
        <w:rPr>
          <w:rFonts w:ascii="Times New Roman" w:hAnsi="Times New Roman"/>
          <w:b/>
          <w:sz w:val="28"/>
          <w:szCs w:val="28"/>
        </w:rPr>
      </w:pPr>
    </w:p>
    <w:p w:rsidR="008625E5" w:rsidRDefault="001F1FB0" w:rsidP="008625E5">
      <w:pPr>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6105525" cy="4314825"/>
            <wp:effectExtent l="0" t="0" r="9525" b="9525"/>
            <wp:docPr id="6"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67351" w:rsidRPr="00C94851" w:rsidRDefault="00867351" w:rsidP="00867351">
      <w:pPr>
        <w:autoSpaceDE w:val="0"/>
        <w:autoSpaceDN w:val="0"/>
        <w:adjustRightInd w:val="0"/>
        <w:spacing w:after="0" w:line="240" w:lineRule="auto"/>
        <w:rPr>
          <w:rFonts w:ascii="Times New Roman" w:hAnsi="Times New Roman"/>
          <w:color w:val="000000"/>
          <w:kern w:val="24"/>
          <w:sz w:val="28"/>
          <w:szCs w:val="28"/>
        </w:rPr>
      </w:pPr>
      <w:r w:rsidRPr="00B47851">
        <w:rPr>
          <w:rFonts w:ascii="Times New Roman" w:hAnsi="Times New Roman"/>
          <w:sz w:val="20"/>
          <w:szCs w:val="20"/>
        </w:rPr>
        <w:t xml:space="preserve">Datu avots: </w:t>
      </w:r>
      <w:r>
        <w:rPr>
          <w:rFonts w:ascii="Times New Roman" w:hAnsi="Times New Roman"/>
          <w:sz w:val="20"/>
          <w:szCs w:val="20"/>
        </w:rPr>
        <w:t>SVF</w:t>
      </w:r>
    </w:p>
    <w:p w:rsidR="00DA567F" w:rsidRDefault="00DA567F" w:rsidP="00DA58B6">
      <w:pPr>
        <w:spacing w:after="0" w:line="240" w:lineRule="auto"/>
        <w:jc w:val="right"/>
        <w:rPr>
          <w:rFonts w:ascii="Times New Roman" w:hAnsi="Times New Roman"/>
          <w:sz w:val="28"/>
          <w:szCs w:val="28"/>
        </w:rPr>
      </w:pPr>
    </w:p>
    <w:p w:rsidR="003E3F32" w:rsidRPr="00D55E13" w:rsidRDefault="003E3F32" w:rsidP="003E3F32">
      <w:pPr>
        <w:spacing w:after="0" w:line="240" w:lineRule="auto"/>
        <w:ind w:firstLine="720"/>
        <w:jc w:val="both"/>
        <w:rPr>
          <w:rFonts w:ascii="Times New Roman" w:hAnsi="Times New Roman"/>
          <w:color w:val="000000"/>
          <w:kern w:val="24"/>
          <w:sz w:val="28"/>
          <w:szCs w:val="28"/>
        </w:rPr>
      </w:pPr>
      <w:r>
        <w:rPr>
          <w:rFonts w:ascii="Times New Roman" w:hAnsi="Times New Roman"/>
          <w:color w:val="000000"/>
          <w:kern w:val="24"/>
          <w:sz w:val="28"/>
          <w:szCs w:val="28"/>
        </w:rPr>
        <w:t>7</w:t>
      </w:r>
      <w:r w:rsidRPr="00DA567F">
        <w:rPr>
          <w:rFonts w:ascii="Times New Roman" w:hAnsi="Times New Roman"/>
          <w:color w:val="000000"/>
          <w:kern w:val="24"/>
          <w:sz w:val="28"/>
          <w:szCs w:val="28"/>
        </w:rPr>
        <w:t>.attēlā atspoguļoti izdevumi atlīdzībai valsts budžetā procentos no IKP, un redzams, ka 2014. – 2016.gadā,  saglabājot izdevumus atlīdzībai bāzes līmenī, šo izdevumu procentuālais īpatsvars no IKP samazinās. Uzskatām, ka atlīdzības izdevumu izmaiņas būtu jāskata kontekstā ar IKP izmaiņām.</w:t>
      </w:r>
    </w:p>
    <w:p w:rsidR="00DA567F" w:rsidRDefault="00DA567F" w:rsidP="00DA58B6">
      <w:pPr>
        <w:spacing w:after="0" w:line="240" w:lineRule="auto"/>
        <w:jc w:val="right"/>
        <w:rPr>
          <w:rFonts w:ascii="Times New Roman" w:hAnsi="Times New Roman"/>
          <w:sz w:val="28"/>
          <w:szCs w:val="28"/>
        </w:rPr>
      </w:pPr>
    </w:p>
    <w:p w:rsidR="00DA567F" w:rsidRDefault="00DA567F" w:rsidP="00DA58B6">
      <w:pPr>
        <w:spacing w:after="0" w:line="240" w:lineRule="auto"/>
        <w:jc w:val="right"/>
        <w:rPr>
          <w:rFonts w:ascii="Times New Roman" w:hAnsi="Times New Roman"/>
          <w:sz w:val="28"/>
          <w:szCs w:val="28"/>
        </w:rPr>
      </w:pPr>
    </w:p>
    <w:p w:rsidR="00DA58B6" w:rsidRDefault="00065F10" w:rsidP="00DA58B6">
      <w:pPr>
        <w:spacing w:after="0" w:line="240" w:lineRule="auto"/>
        <w:jc w:val="right"/>
        <w:rPr>
          <w:rFonts w:ascii="Times New Roman" w:hAnsi="Times New Roman"/>
          <w:sz w:val="28"/>
          <w:szCs w:val="28"/>
        </w:rPr>
      </w:pPr>
      <w:r>
        <w:rPr>
          <w:rFonts w:ascii="Times New Roman" w:hAnsi="Times New Roman"/>
          <w:sz w:val="28"/>
          <w:szCs w:val="28"/>
        </w:rPr>
        <w:lastRenderedPageBreak/>
        <w:t>7</w:t>
      </w:r>
      <w:r w:rsidR="00DA58B6">
        <w:rPr>
          <w:rFonts w:ascii="Times New Roman" w:hAnsi="Times New Roman"/>
          <w:sz w:val="28"/>
          <w:szCs w:val="28"/>
        </w:rPr>
        <w:t>.attēls</w:t>
      </w:r>
    </w:p>
    <w:p w:rsidR="00DA58B6" w:rsidRDefault="00DA58B6" w:rsidP="00DA58B6">
      <w:pPr>
        <w:spacing w:after="0" w:line="240" w:lineRule="auto"/>
        <w:jc w:val="center"/>
        <w:rPr>
          <w:rFonts w:ascii="Times New Roman" w:hAnsi="Times New Roman"/>
          <w:b/>
          <w:sz w:val="28"/>
          <w:szCs w:val="28"/>
        </w:rPr>
      </w:pPr>
      <w:r w:rsidRPr="00FA019A">
        <w:rPr>
          <w:rFonts w:ascii="Times New Roman" w:hAnsi="Times New Roman"/>
          <w:b/>
          <w:sz w:val="28"/>
          <w:szCs w:val="28"/>
        </w:rPr>
        <w:t>Izdevumi atlīdzībai valsts budžetā % no IKP, Latvija</w:t>
      </w:r>
    </w:p>
    <w:p w:rsidR="00DA58B6" w:rsidRPr="00FA019A" w:rsidRDefault="00DA58B6" w:rsidP="00DA58B6">
      <w:pPr>
        <w:spacing w:after="0" w:line="240" w:lineRule="auto"/>
        <w:jc w:val="center"/>
        <w:rPr>
          <w:rFonts w:ascii="Times New Roman" w:hAnsi="Times New Roman"/>
          <w:b/>
          <w:sz w:val="28"/>
          <w:szCs w:val="28"/>
        </w:rPr>
      </w:pPr>
    </w:p>
    <w:p w:rsidR="00DA58B6" w:rsidRDefault="00AD625E" w:rsidP="00AD625E">
      <w:pPr>
        <w:pStyle w:val="ListParagraph"/>
        <w:spacing w:after="0" w:line="240" w:lineRule="auto"/>
        <w:ind w:left="0"/>
        <w:jc w:val="both"/>
        <w:rPr>
          <w:rFonts w:ascii="Times New Roman" w:hAnsi="Times New Roman"/>
          <w:b/>
          <w:sz w:val="28"/>
          <w:szCs w:val="28"/>
        </w:rPr>
      </w:pPr>
      <w:r>
        <w:rPr>
          <w:noProof/>
        </w:rPr>
        <w:drawing>
          <wp:inline distT="0" distB="0" distL="0" distR="0" wp14:anchorId="2912B636" wp14:editId="65BA4241">
            <wp:extent cx="5893905" cy="3349487"/>
            <wp:effectExtent l="0" t="0" r="12065" b="2286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D625E" w:rsidRPr="0019235D" w:rsidRDefault="00AD625E" w:rsidP="00AD625E">
      <w:pPr>
        <w:pStyle w:val="NormalWeb"/>
        <w:spacing w:before="0" w:beforeAutospacing="0" w:after="0" w:afterAutospacing="0"/>
      </w:pPr>
      <w:r w:rsidRPr="00C94851">
        <w:rPr>
          <w:color w:val="000000"/>
          <w:kern w:val="24"/>
          <w:sz w:val="20"/>
          <w:szCs w:val="20"/>
        </w:rPr>
        <w:t>Datu avots: Finanšu ministrija</w:t>
      </w:r>
    </w:p>
    <w:p w:rsidR="00AD625E" w:rsidRDefault="00AD625E" w:rsidP="00903882">
      <w:pPr>
        <w:spacing w:after="0" w:line="240" w:lineRule="auto"/>
        <w:ind w:firstLine="720"/>
        <w:jc w:val="both"/>
        <w:rPr>
          <w:rFonts w:ascii="Times New Roman" w:hAnsi="Times New Roman"/>
          <w:sz w:val="28"/>
          <w:szCs w:val="28"/>
        </w:rPr>
      </w:pPr>
    </w:p>
    <w:p w:rsidR="00AD625E" w:rsidRDefault="00AD625E" w:rsidP="00903882">
      <w:pPr>
        <w:spacing w:after="0" w:line="240" w:lineRule="auto"/>
        <w:ind w:firstLine="720"/>
        <w:jc w:val="both"/>
        <w:rPr>
          <w:rFonts w:ascii="Times New Roman" w:hAnsi="Times New Roman"/>
          <w:sz w:val="28"/>
          <w:szCs w:val="28"/>
        </w:rPr>
      </w:pPr>
    </w:p>
    <w:p w:rsidR="0076723D" w:rsidRPr="00E408DC" w:rsidRDefault="00686C5B" w:rsidP="00903882">
      <w:pPr>
        <w:spacing w:after="0" w:line="240" w:lineRule="auto"/>
        <w:ind w:firstLine="720"/>
        <w:jc w:val="both"/>
        <w:rPr>
          <w:rFonts w:ascii="Times New Roman" w:hAnsi="Times New Roman"/>
          <w:sz w:val="28"/>
          <w:szCs w:val="28"/>
        </w:rPr>
      </w:pPr>
      <w:r w:rsidRPr="00E408DC">
        <w:rPr>
          <w:rFonts w:ascii="Times New Roman" w:hAnsi="Times New Roman"/>
          <w:sz w:val="28"/>
          <w:szCs w:val="28"/>
        </w:rPr>
        <w:t>Valsts tiešās pārvades iestādēs</w:t>
      </w:r>
      <w:r w:rsidR="00B5561A" w:rsidRPr="00E408DC">
        <w:rPr>
          <w:rFonts w:ascii="Times New Roman" w:hAnsi="Times New Roman"/>
          <w:sz w:val="28"/>
          <w:szCs w:val="28"/>
        </w:rPr>
        <w:t xml:space="preserve"> un</w:t>
      </w:r>
      <w:r w:rsidR="00A23C94" w:rsidRPr="00E408DC">
        <w:rPr>
          <w:rFonts w:ascii="Times New Roman" w:hAnsi="Times New Roman"/>
          <w:sz w:val="28"/>
          <w:szCs w:val="28"/>
        </w:rPr>
        <w:t xml:space="preserve"> citās valsts iestādēs</w:t>
      </w:r>
      <w:r w:rsidRPr="00E408DC">
        <w:rPr>
          <w:rFonts w:ascii="Times New Roman" w:hAnsi="Times New Roman"/>
          <w:sz w:val="28"/>
          <w:szCs w:val="28"/>
        </w:rPr>
        <w:t xml:space="preserve"> nodarbināto </w:t>
      </w:r>
      <w:r w:rsidR="00A23C94" w:rsidRPr="00E408DC">
        <w:rPr>
          <w:rFonts w:ascii="Times New Roman" w:hAnsi="Times New Roman"/>
          <w:sz w:val="28"/>
          <w:szCs w:val="28"/>
        </w:rPr>
        <w:t xml:space="preserve">atlīdzību nosaka </w:t>
      </w:r>
      <w:r w:rsidR="008C5BA0" w:rsidRPr="00E408DC">
        <w:rPr>
          <w:rFonts w:ascii="Times New Roman" w:hAnsi="Times New Roman"/>
          <w:sz w:val="28"/>
          <w:szCs w:val="28"/>
        </w:rPr>
        <w:t>Valsts un pašvaldību institūciju amatpersonu un darbinieku atlīdzības likum</w:t>
      </w:r>
      <w:r w:rsidR="00B5561A" w:rsidRPr="00E408DC">
        <w:rPr>
          <w:rFonts w:ascii="Times New Roman" w:hAnsi="Times New Roman"/>
          <w:sz w:val="28"/>
          <w:szCs w:val="28"/>
        </w:rPr>
        <w:t>s</w:t>
      </w:r>
      <w:r w:rsidR="008C5BA0" w:rsidRPr="00E408DC">
        <w:rPr>
          <w:rFonts w:ascii="Times New Roman" w:hAnsi="Times New Roman"/>
          <w:sz w:val="28"/>
          <w:szCs w:val="28"/>
        </w:rPr>
        <w:t xml:space="preserve"> (turpmāk – Atlīdzības likums)</w:t>
      </w:r>
      <w:r w:rsidR="00416FD3" w:rsidRPr="00E408DC">
        <w:rPr>
          <w:rFonts w:ascii="Times New Roman" w:hAnsi="Times New Roman"/>
          <w:sz w:val="28"/>
          <w:szCs w:val="28"/>
        </w:rPr>
        <w:t>. Šī likuma</w:t>
      </w:r>
      <w:r w:rsidR="008C5BA0" w:rsidRPr="00E408DC">
        <w:rPr>
          <w:rFonts w:ascii="Times New Roman" w:hAnsi="Times New Roman"/>
          <w:sz w:val="28"/>
          <w:szCs w:val="28"/>
        </w:rPr>
        <w:t xml:space="preserve"> mērķis ir panākt, ka valsts un pašvaldību institūcijās amatpersonu (darbinieku) atlīdzības noteikšanā tiek ievēroti līdzvērtīgi nosacījumi. </w:t>
      </w:r>
      <w:r w:rsidR="00BF662E" w:rsidRPr="00E408DC">
        <w:rPr>
          <w:rFonts w:ascii="Times New Roman" w:hAnsi="Times New Roman"/>
          <w:sz w:val="28"/>
          <w:szCs w:val="28"/>
        </w:rPr>
        <w:t>Atlīdzības l</w:t>
      </w:r>
      <w:r w:rsidR="00F0161C" w:rsidRPr="00E408DC">
        <w:rPr>
          <w:rFonts w:ascii="Times New Roman" w:hAnsi="Times New Roman"/>
          <w:sz w:val="28"/>
          <w:szCs w:val="28"/>
        </w:rPr>
        <w:t xml:space="preserve">ikums nosaka, </w:t>
      </w:r>
      <w:r w:rsidR="0078372B" w:rsidRPr="00E408DC">
        <w:rPr>
          <w:rFonts w:ascii="Times New Roman" w:hAnsi="Times New Roman"/>
          <w:sz w:val="28"/>
          <w:szCs w:val="28"/>
        </w:rPr>
        <w:t xml:space="preserve">ka </w:t>
      </w:r>
      <w:r w:rsidR="004A7AC5" w:rsidRPr="00E408DC">
        <w:rPr>
          <w:rFonts w:ascii="Times New Roman" w:hAnsi="Times New Roman"/>
          <w:sz w:val="28"/>
          <w:szCs w:val="28"/>
        </w:rPr>
        <w:t>valsts institūcij</w:t>
      </w:r>
      <w:r w:rsidR="00F0161C" w:rsidRPr="00E408DC">
        <w:rPr>
          <w:rFonts w:ascii="Times New Roman" w:hAnsi="Times New Roman"/>
          <w:sz w:val="28"/>
          <w:szCs w:val="28"/>
        </w:rPr>
        <w:t>u</w:t>
      </w:r>
      <w:r w:rsidR="004A7AC5" w:rsidRPr="00E408DC">
        <w:rPr>
          <w:rFonts w:ascii="Times New Roman" w:hAnsi="Times New Roman"/>
          <w:sz w:val="28"/>
          <w:szCs w:val="28"/>
        </w:rPr>
        <w:t xml:space="preserve"> amatperson</w:t>
      </w:r>
      <w:r w:rsidR="00F0161C" w:rsidRPr="00E408DC">
        <w:rPr>
          <w:rFonts w:ascii="Times New Roman" w:hAnsi="Times New Roman"/>
          <w:sz w:val="28"/>
          <w:szCs w:val="28"/>
        </w:rPr>
        <w:t xml:space="preserve">u un </w:t>
      </w:r>
      <w:r w:rsidR="004A7AC5" w:rsidRPr="00E408DC">
        <w:rPr>
          <w:rFonts w:ascii="Times New Roman" w:hAnsi="Times New Roman"/>
          <w:sz w:val="28"/>
          <w:szCs w:val="28"/>
        </w:rPr>
        <w:t>darbiniek</w:t>
      </w:r>
      <w:r w:rsidR="00F0161C" w:rsidRPr="00E408DC">
        <w:rPr>
          <w:rFonts w:ascii="Times New Roman" w:hAnsi="Times New Roman"/>
          <w:sz w:val="28"/>
          <w:szCs w:val="28"/>
        </w:rPr>
        <w:t>u</w:t>
      </w:r>
      <w:r w:rsidR="004A7AC5" w:rsidRPr="00E408DC">
        <w:rPr>
          <w:rFonts w:ascii="Times New Roman" w:hAnsi="Times New Roman"/>
          <w:sz w:val="28"/>
          <w:szCs w:val="28"/>
        </w:rPr>
        <w:t xml:space="preserve"> mēnešalgas </w:t>
      </w:r>
      <w:r w:rsidR="00F0161C" w:rsidRPr="00E408DC">
        <w:rPr>
          <w:rFonts w:ascii="Times New Roman" w:hAnsi="Times New Roman"/>
          <w:sz w:val="28"/>
          <w:szCs w:val="28"/>
        </w:rPr>
        <w:t xml:space="preserve">nedrīkst </w:t>
      </w:r>
      <w:r w:rsidR="004A7AC5" w:rsidRPr="00E408DC">
        <w:rPr>
          <w:rFonts w:ascii="Times New Roman" w:hAnsi="Times New Roman"/>
          <w:sz w:val="28"/>
          <w:szCs w:val="28"/>
        </w:rPr>
        <w:t xml:space="preserve">pārsniegt Ministru prezidentam noteikto mēnešalgu </w:t>
      </w:r>
      <w:r w:rsidR="0078372B" w:rsidRPr="00E408DC">
        <w:rPr>
          <w:rFonts w:ascii="Times New Roman" w:hAnsi="Times New Roman"/>
          <w:sz w:val="28"/>
          <w:szCs w:val="28"/>
        </w:rPr>
        <w:t>(201</w:t>
      </w:r>
      <w:r w:rsidR="00F65644" w:rsidRPr="00E408DC">
        <w:rPr>
          <w:rFonts w:ascii="Times New Roman" w:hAnsi="Times New Roman"/>
          <w:sz w:val="28"/>
          <w:szCs w:val="28"/>
        </w:rPr>
        <w:t>3</w:t>
      </w:r>
      <w:r w:rsidR="0078372B" w:rsidRPr="00E408DC">
        <w:rPr>
          <w:rFonts w:ascii="Times New Roman" w:hAnsi="Times New Roman"/>
          <w:sz w:val="28"/>
          <w:szCs w:val="28"/>
        </w:rPr>
        <w:t>.gadā 19</w:t>
      </w:r>
      <w:r w:rsidR="00EA2E2B" w:rsidRPr="00E408DC">
        <w:rPr>
          <w:rFonts w:ascii="Times New Roman" w:hAnsi="Times New Roman"/>
          <w:sz w:val="28"/>
          <w:szCs w:val="28"/>
        </w:rPr>
        <w:t xml:space="preserve">20 </w:t>
      </w:r>
      <w:r w:rsidR="0078372B" w:rsidRPr="00E408DC">
        <w:rPr>
          <w:rFonts w:ascii="Times New Roman" w:hAnsi="Times New Roman"/>
          <w:sz w:val="28"/>
          <w:szCs w:val="28"/>
        </w:rPr>
        <w:t>lati)</w:t>
      </w:r>
      <w:r w:rsidR="00F0161C" w:rsidRPr="00E408DC">
        <w:rPr>
          <w:rFonts w:ascii="Times New Roman" w:hAnsi="Times New Roman"/>
          <w:sz w:val="28"/>
          <w:szCs w:val="28"/>
        </w:rPr>
        <w:t>, kuru</w:t>
      </w:r>
      <w:r w:rsidR="00737D43" w:rsidRPr="00E408DC">
        <w:rPr>
          <w:rFonts w:ascii="Times New Roman" w:hAnsi="Times New Roman"/>
          <w:sz w:val="28"/>
          <w:szCs w:val="28"/>
        </w:rPr>
        <w:t>,</w:t>
      </w:r>
      <w:r w:rsidR="00F0161C" w:rsidRPr="00E408DC">
        <w:rPr>
          <w:rFonts w:ascii="Times New Roman" w:hAnsi="Times New Roman"/>
          <w:sz w:val="28"/>
          <w:szCs w:val="28"/>
        </w:rPr>
        <w:t xml:space="preserve"> tāpat k</w:t>
      </w:r>
      <w:r w:rsidR="00903882">
        <w:rPr>
          <w:rFonts w:ascii="Times New Roman" w:hAnsi="Times New Roman"/>
          <w:sz w:val="28"/>
          <w:szCs w:val="28"/>
        </w:rPr>
        <w:t>ā</w:t>
      </w:r>
      <w:r w:rsidR="00F0161C" w:rsidRPr="00E408DC">
        <w:rPr>
          <w:rFonts w:ascii="Times New Roman" w:hAnsi="Times New Roman"/>
          <w:sz w:val="28"/>
          <w:szCs w:val="28"/>
        </w:rPr>
        <w:t xml:space="preserve"> citām vēlētajām amatpersonām</w:t>
      </w:r>
      <w:r w:rsidR="00737D43" w:rsidRPr="00E408DC">
        <w:rPr>
          <w:rFonts w:ascii="Times New Roman" w:hAnsi="Times New Roman"/>
          <w:sz w:val="28"/>
          <w:szCs w:val="28"/>
        </w:rPr>
        <w:t>,</w:t>
      </w:r>
      <w:r w:rsidR="00F0161C" w:rsidRPr="00E408DC">
        <w:rPr>
          <w:rFonts w:ascii="Times New Roman" w:hAnsi="Times New Roman"/>
          <w:sz w:val="28"/>
          <w:szCs w:val="28"/>
        </w:rPr>
        <w:t xml:space="preserve"> nosaka, </w:t>
      </w:r>
      <w:r w:rsidR="006F0875" w:rsidRPr="00E408DC">
        <w:rPr>
          <w:rFonts w:ascii="Times New Roman" w:hAnsi="Times New Roman"/>
          <w:sz w:val="28"/>
          <w:szCs w:val="28"/>
        </w:rPr>
        <w:t>piemēro</w:t>
      </w:r>
      <w:r w:rsidR="00F0161C" w:rsidRPr="00E408DC">
        <w:rPr>
          <w:rFonts w:ascii="Times New Roman" w:hAnsi="Times New Roman"/>
          <w:sz w:val="28"/>
          <w:szCs w:val="28"/>
        </w:rPr>
        <w:t xml:space="preserve">jot konkrētu </w:t>
      </w:r>
      <w:r w:rsidR="006F0875" w:rsidRPr="00E408DC">
        <w:rPr>
          <w:rFonts w:ascii="Times New Roman" w:hAnsi="Times New Roman"/>
          <w:sz w:val="28"/>
          <w:szCs w:val="28"/>
        </w:rPr>
        <w:t>koeficientu</w:t>
      </w:r>
      <w:r w:rsidR="00F0161C" w:rsidRPr="00E408DC">
        <w:rPr>
          <w:rFonts w:ascii="Times New Roman" w:hAnsi="Times New Roman"/>
          <w:sz w:val="28"/>
          <w:szCs w:val="28"/>
        </w:rPr>
        <w:t>, kas</w:t>
      </w:r>
      <w:r w:rsidR="006F0875" w:rsidRPr="00E408DC">
        <w:rPr>
          <w:rFonts w:ascii="Times New Roman" w:hAnsi="Times New Roman"/>
          <w:sz w:val="28"/>
          <w:szCs w:val="28"/>
        </w:rPr>
        <w:t xml:space="preserve"> piesaist</w:t>
      </w:r>
      <w:r w:rsidR="00F0161C" w:rsidRPr="00E408DC">
        <w:rPr>
          <w:rFonts w:ascii="Times New Roman" w:hAnsi="Times New Roman"/>
          <w:sz w:val="28"/>
          <w:szCs w:val="28"/>
        </w:rPr>
        <w:t>īts</w:t>
      </w:r>
      <w:r w:rsidR="006F0875" w:rsidRPr="00E408DC">
        <w:rPr>
          <w:rFonts w:ascii="Times New Roman" w:hAnsi="Times New Roman"/>
          <w:sz w:val="28"/>
          <w:szCs w:val="28"/>
        </w:rPr>
        <w:t xml:space="preserve"> valstī strādājošo aizpagājušā gada </w:t>
      </w:r>
      <w:r w:rsidR="00F0161C" w:rsidRPr="00E408DC">
        <w:rPr>
          <w:rFonts w:ascii="Times New Roman" w:hAnsi="Times New Roman"/>
          <w:sz w:val="28"/>
          <w:szCs w:val="28"/>
        </w:rPr>
        <w:t xml:space="preserve">vidējai </w:t>
      </w:r>
      <w:r w:rsidR="006F0875" w:rsidRPr="00E408DC">
        <w:rPr>
          <w:rFonts w:ascii="Times New Roman" w:hAnsi="Times New Roman"/>
          <w:sz w:val="28"/>
          <w:szCs w:val="28"/>
        </w:rPr>
        <w:t>darba samaksai. 2013. gadam mēnešalg</w:t>
      </w:r>
      <w:r w:rsidR="00737D43" w:rsidRPr="00E408DC">
        <w:rPr>
          <w:rFonts w:ascii="Times New Roman" w:hAnsi="Times New Roman"/>
          <w:sz w:val="28"/>
          <w:szCs w:val="28"/>
        </w:rPr>
        <w:t>as</w:t>
      </w:r>
      <w:r w:rsidR="006F0875" w:rsidRPr="00E408DC">
        <w:rPr>
          <w:rFonts w:ascii="Times New Roman" w:hAnsi="Times New Roman"/>
          <w:sz w:val="28"/>
          <w:szCs w:val="28"/>
        </w:rPr>
        <w:t xml:space="preserve"> noteikšanai pie</w:t>
      </w:r>
      <w:r w:rsidR="0076723D" w:rsidRPr="00E408DC">
        <w:rPr>
          <w:rFonts w:ascii="Times New Roman" w:hAnsi="Times New Roman"/>
          <w:sz w:val="28"/>
          <w:szCs w:val="28"/>
        </w:rPr>
        <w:t>mēro</w:t>
      </w:r>
      <w:r w:rsidR="006F0875" w:rsidRPr="00E408DC">
        <w:rPr>
          <w:rFonts w:ascii="Times New Roman" w:hAnsi="Times New Roman"/>
          <w:sz w:val="28"/>
          <w:szCs w:val="28"/>
        </w:rPr>
        <w:t xml:space="preserve"> Centrālās statistikas pārvaldes publicēto valstī strādājošo mēneša vidējās darba samaksas apmēru 2012. gada pirmajā pusgadā – 474 lati. </w:t>
      </w:r>
    </w:p>
    <w:p w:rsidR="004A5648" w:rsidRDefault="0076723D" w:rsidP="002D7E07">
      <w:pPr>
        <w:pStyle w:val="naispant"/>
        <w:spacing w:before="0" w:beforeAutospacing="0" w:after="0" w:afterAutospacing="0"/>
        <w:ind w:firstLine="720"/>
        <w:jc w:val="both"/>
        <w:rPr>
          <w:sz w:val="28"/>
          <w:szCs w:val="28"/>
        </w:rPr>
      </w:pPr>
      <w:r w:rsidRPr="00E408DC">
        <w:rPr>
          <w:sz w:val="28"/>
          <w:szCs w:val="28"/>
        </w:rPr>
        <w:t xml:space="preserve">Atlīdzības likums nosaka </w:t>
      </w:r>
      <w:r w:rsidR="00BF1BC2" w:rsidRPr="00E408DC">
        <w:rPr>
          <w:sz w:val="28"/>
          <w:szCs w:val="28"/>
        </w:rPr>
        <w:t>v</w:t>
      </w:r>
      <w:r w:rsidRPr="00E408DC">
        <w:rPr>
          <w:sz w:val="28"/>
          <w:szCs w:val="28"/>
        </w:rPr>
        <w:t>alsts tiešās pārvaldes iestāžu amatpersonu un darbinieku mēnešalgu noteikšanas pamatprincipus</w:t>
      </w:r>
      <w:r w:rsidR="008A7B36" w:rsidRPr="00E408DC">
        <w:rPr>
          <w:sz w:val="28"/>
          <w:szCs w:val="28"/>
        </w:rPr>
        <w:t>,</w:t>
      </w:r>
      <w:r w:rsidR="00763661">
        <w:rPr>
          <w:sz w:val="28"/>
          <w:szCs w:val="28"/>
        </w:rPr>
        <w:t xml:space="preserve"> mēnešalgu maksimālos apmērus,</w:t>
      </w:r>
      <w:r w:rsidR="007B76BB">
        <w:rPr>
          <w:sz w:val="28"/>
          <w:szCs w:val="28"/>
        </w:rPr>
        <w:t xml:space="preserve"> </w:t>
      </w:r>
      <w:r w:rsidR="00B52ADB">
        <w:rPr>
          <w:sz w:val="28"/>
          <w:szCs w:val="28"/>
        </w:rPr>
        <w:t xml:space="preserve">bet detalizēti </w:t>
      </w:r>
      <w:r w:rsidR="00B52ADB" w:rsidRPr="00E408DC">
        <w:rPr>
          <w:sz w:val="28"/>
          <w:szCs w:val="28"/>
        </w:rPr>
        <w:t>mēnešalgu noteikšan</w:t>
      </w:r>
      <w:r w:rsidR="00B52ADB">
        <w:rPr>
          <w:sz w:val="28"/>
          <w:szCs w:val="28"/>
        </w:rPr>
        <w:t>as kārtību</w:t>
      </w:r>
      <w:r w:rsidR="00B52ADB" w:rsidRPr="00E408DC">
        <w:rPr>
          <w:sz w:val="28"/>
          <w:szCs w:val="28"/>
        </w:rPr>
        <w:t xml:space="preserve"> un tās apmērus regulē Ministru kabineta noteikumi</w:t>
      </w:r>
      <w:r w:rsidR="004A5648">
        <w:rPr>
          <w:sz w:val="28"/>
          <w:szCs w:val="28"/>
        </w:rPr>
        <w:t>:</w:t>
      </w:r>
    </w:p>
    <w:p w:rsidR="004A5648" w:rsidRPr="004A5648" w:rsidRDefault="004A5648" w:rsidP="00047E6C">
      <w:pPr>
        <w:pStyle w:val="naispant"/>
        <w:numPr>
          <w:ilvl w:val="0"/>
          <w:numId w:val="1"/>
        </w:numPr>
        <w:autoSpaceDE w:val="0"/>
        <w:autoSpaceDN w:val="0"/>
        <w:adjustRightInd w:val="0"/>
        <w:spacing w:before="0" w:beforeAutospacing="0" w:after="0" w:afterAutospacing="0"/>
        <w:ind w:left="567" w:hanging="567"/>
        <w:jc w:val="both"/>
        <w:rPr>
          <w:sz w:val="28"/>
          <w:szCs w:val="28"/>
        </w:rPr>
      </w:pPr>
      <w:r w:rsidRPr="004A5648">
        <w:rPr>
          <w:sz w:val="28"/>
          <w:szCs w:val="28"/>
        </w:rPr>
        <w:t>laika periodā no 2013.gada 1.februāra līdz 2014.gada 1.janvārim mēnešalgu</w:t>
      </w:r>
      <w:r w:rsidR="008E7540">
        <w:rPr>
          <w:sz w:val="28"/>
          <w:szCs w:val="28"/>
        </w:rPr>
        <w:t xml:space="preserve"> noteikšanai piemēro</w:t>
      </w:r>
      <w:r w:rsidRPr="004A5648">
        <w:rPr>
          <w:sz w:val="28"/>
          <w:szCs w:val="28"/>
        </w:rPr>
        <w:t xml:space="preserve"> 22.12.2009. noteikum</w:t>
      </w:r>
      <w:r w:rsidR="008E7540">
        <w:rPr>
          <w:sz w:val="28"/>
          <w:szCs w:val="28"/>
        </w:rPr>
        <w:t>us</w:t>
      </w:r>
      <w:r w:rsidRPr="004A5648">
        <w:rPr>
          <w:sz w:val="28"/>
          <w:szCs w:val="28"/>
        </w:rPr>
        <w:t xml:space="preserve"> Nr.1651</w:t>
      </w:r>
      <w:r w:rsidRPr="004A5648">
        <w:t xml:space="preserve"> „N</w:t>
      </w:r>
      <w:r w:rsidRPr="004A5648">
        <w:rPr>
          <w:sz w:val="28"/>
          <w:szCs w:val="28"/>
        </w:rPr>
        <w:t xml:space="preserve">oteikumi par valsts un pašvaldību institūciju amatpersonu un darbinieku darba samaksu, </w:t>
      </w:r>
      <w:r w:rsidRPr="004A5648">
        <w:rPr>
          <w:sz w:val="28"/>
          <w:szCs w:val="28"/>
        </w:rPr>
        <w:lastRenderedPageBreak/>
        <w:t>kvalifikācijas pakāpēm un to noteikšanas kārtību”</w:t>
      </w:r>
      <w:r>
        <w:rPr>
          <w:sz w:val="28"/>
          <w:szCs w:val="28"/>
        </w:rPr>
        <w:t xml:space="preserve"> (turpmāk – noteikumi Nr.1651)</w:t>
      </w:r>
      <w:r w:rsidRPr="004A5648">
        <w:rPr>
          <w:sz w:val="28"/>
          <w:szCs w:val="28"/>
        </w:rPr>
        <w:t xml:space="preserve">, bet sākot ar 2014.gada 1.janvāri </w:t>
      </w:r>
      <w:r>
        <w:rPr>
          <w:sz w:val="28"/>
          <w:szCs w:val="28"/>
        </w:rPr>
        <w:t>–</w:t>
      </w:r>
      <w:r w:rsidR="008E7540">
        <w:rPr>
          <w:sz w:val="28"/>
          <w:szCs w:val="28"/>
        </w:rPr>
        <w:t xml:space="preserve">mēnešalgas </w:t>
      </w:r>
      <w:r>
        <w:rPr>
          <w:sz w:val="28"/>
          <w:szCs w:val="28"/>
        </w:rPr>
        <w:t xml:space="preserve">noteiks saskaņā ar </w:t>
      </w:r>
      <w:r w:rsidRPr="004A5648">
        <w:rPr>
          <w:sz w:val="28"/>
          <w:szCs w:val="28"/>
        </w:rPr>
        <w:t>29.01.2013.noteikumi</w:t>
      </w:r>
      <w:r>
        <w:rPr>
          <w:sz w:val="28"/>
          <w:szCs w:val="28"/>
        </w:rPr>
        <w:t xml:space="preserve">em </w:t>
      </w:r>
      <w:r w:rsidRPr="004A5648">
        <w:rPr>
          <w:sz w:val="28"/>
          <w:szCs w:val="28"/>
        </w:rPr>
        <w:t>N</w:t>
      </w:r>
      <w:r>
        <w:rPr>
          <w:sz w:val="28"/>
          <w:szCs w:val="28"/>
        </w:rPr>
        <w:t>r.</w:t>
      </w:r>
      <w:r w:rsidRPr="004A5648">
        <w:rPr>
          <w:sz w:val="28"/>
          <w:szCs w:val="28"/>
        </w:rPr>
        <w:t>66 “Noteikumi par valsts un pašvaldību institūciju amatpersonu un darbinieku darba samaksu un tās noteikšanas kārtību</w:t>
      </w:r>
      <w:r>
        <w:rPr>
          <w:sz w:val="28"/>
          <w:szCs w:val="28"/>
        </w:rPr>
        <w:t>” (turpmāk – noteikumi Nr.66).</w:t>
      </w:r>
    </w:p>
    <w:p w:rsidR="00851A34" w:rsidRDefault="00ED08AD" w:rsidP="00B07DF0">
      <w:pPr>
        <w:pStyle w:val="naispant"/>
        <w:spacing w:before="0" w:beforeAutospacing="0" w:after="0" w:afterAutospacing="0"/>
        <w:jc w:val="both"/>
        <w:rPr>
          <w:sz w:val="28"/>
          <w:szCs w:val="28"/>
        </w:rPr>
      </w:pPr>
      <w:r w:rsidRPr="00E408DC">
        <w:rPr>
          <w:sz w:val="28"/>
          <w:szCs w:val="28"/>
        </w:rPr>
        <w:t>Atlīdzības likums valsts tiešās pārvaldes iestā</w:t>
      </w:r>
      <w:r>
        <w:rPr>
          <w:sz w:val="28"/>
          <w:szCs w:val="28"/>
        </w:rPr>
        <w:t>dēs</w:t>
      </w:r>
      <w:r w:rsidR="00BF1BC2" w:rsidRPr="00E408DC">
        <w:rPr>
          <w:sz w:val="28"/>
          <w:szCs w:val="28"/>
        </w:rPr>
        <w:t xml:space="preserve"> identificē </w:t>
      </w:r>
      <w:r>
        <w:rPr>
          <w:sz w:val="28"/>
          <w:szCs w:val="28"/>
        </w:rPr>
        <w:t>arī</w:t>
      </w:r>
      <w:r w:rsidR="008B1D12">
        <w:rPr>
          <w:sz w:val="28"/>
          <w:szCs w:val="28"/>
        </w:rPr>
        <w:t xml:space="preserve"> </w:t>
      </w:r>
      <w:r w:rsidR="003B6346" w:rsidRPr="00E408DC">
        <w:rPr>
          <w:sz w:val="28"/>
          <w:szCs w:val="28"/>
        </w:rPr>
        <w:t>tādas</w:t>
      </w:r>
      <w:r w:rsidR="00BF1BC2" w:rsidRPr="00E408DC">
        <w:rPr>
          <w:sz w:val="28"/>
          <w:szCs w:val="28"/>
        </w:rPr>
        <w:t xml:space="preserve"> amatu grupas, kurām </w:t>
      </w:r>
      <w:r w:rsidR="003B6346" w:rsidRPr="00E408DC">
        <w:rPr>
          <w:sz w:val="28"/>
          <w:szCs w:val="28"/>
        </w:rPr>
        <w:t>darba (dienesta) specifiskas</w:t>
      </w:r>
      <w:r w:rsidR="008B1D12">
        <w:rPr>
          <w:sz w:val="28"/>
          <w:szCs w:val="28"/>
        </w:rPr>
        <w:t xml:space="preserve"> </w:t>
      </w:r>
      <w:r w:rsidR="003B6346" w:rsidRPr="00E408DC">
        <w:rPr>
          <w:sz w:val="28"/>
          <w:szCs w:val="28"/>
        </w:rPr>
        <w:t xml:space="preserve">dēļ </w:t>
      </w:r>
      <w:r w:rsidR="00BF1BC2" w:rsidRPr="00E408DC">
        <w:rPr>
          <w:sz w:val="28"/>
          <w:szCs w:val="28"/>
        </w:rPr>
        <w:t xml:space="preserve">ir noteikti </w:t>
      </w:r>
      <w:r w:rsidR="003B6346" w:rsidRPr="00E408DC">
        <w:rPr>
          <w:sz w:val="28"/>
          <w:szCs w:val="28"/>
        </w:rPr>
        <w:t xml:space="preserve">īpaši </w:t>
      </w:r>
      <w:r w:rsidR="00BF1BC2" w:rsidRPr="00E408DC">
        <w:rPr>
          <w:sz w:val="28"/>
          <w:szCs w:val="28"/>
        </w:rPr>
        <w:t>mēnešalgu noteikšanas principi</w:t>
      </w:r>
      <w:r w:rsidR="00BE023F">
        <w:rPr>
          <w:sz w:val="28"/>
          <w:szCs w:val="28"/>
        </w:rPr>
        <w:t>,</w:t>
      </w:r>
      <w:r w:rsidR="00851A34">
        <w:rPr>
          <w:sz w:val="28"/>
          <w:szCs w:val="28"/>
        </w:rPr>
        <w:t xml:space="preserve"> un tāpēc ir </w:t>
      </w:r>
      <w:r w:rsidR="00BE023F">
        <w:rPr>
          <w:sz w:val="28"/>
          <w:szCs w:val="28"/>
        </w:rPr>
        <w:t xml:space="preserve">noteikti </w:t>
      </w:r>
      <w:r w:rsidR="00851A34">
        <w:rPr>
          <w:sz w:val="28"/>
          <w:szCs w:val="28"/>
        </w:rPr>
        <w:t xml:space="preserve">atsevišķi </w:t>
      </w:r>
      <w:r w:rsidR="00851A34" w:rsidRPr="00E408DC">
        <w:rPr>
          <w:sz w:val="28"/>
          <w:szCs w:val="28"/>
        </w:rPr>
        <w:t>Ministru kabineta noteikumi</w:t>
      </w:r>
      <w:r w:rsidR="00851A34">
        <w:rPr>
          <w:sz w:val="28"/>
          <w:szCs w:val="28"/>
        </w:rPr>
        <w:t>:</w:t>
      </w:r>
    </w:p>
    <w:p w:rsidR="00851A34" w:rsidRPr="00E408DC" w:rsidRDefault="00851A34" w:rsidP="00047E6C">
      <w:pPr>
        <w:numPr>
          <w:ilvl w:val="0"/>
          <w:numId w:val="1"/>
        </w:numPr>
        <w:autoSpaceDE w:val="0"/>
        <w:autoSpaceDN w:val="0"/>
        <w:adjustRightInd w:val="0"/>
        <w:spacing w:after="0" w:line="240" w:lineRule="auto"/>
        <w:ind w:left="567" w:hanging="567"/>
        <w:jc w:val="both"/>
        <w:rPr>
          <w:rFonts w:ascii="Times New Roman" w:hAnsi="Times New Roman"/>
          <w:sz w:val="28"/>
          <w:szCs w:val="28"/>
        </w:rPr>
      </w:pPr>
      <w:r w:rsidRPr="00E408DC">
        <w:rPr>
          <w:rFonts w:ascii="Times New Roman" w:hAnsi="Times New Roman"/>
          <w:sz w:val="28"/>
          <w:szCs w:val="28"/>
        </w:rPr>
        <w:t xml:space="preserve">21.06.2010. noteikumi Nr. 568 “Noteikumi par Iekšlietu ministrijas sistēmas iestāžu un Ieslodzījuma vietu pārvaldes amatpersonu ar speciālajām dienesta pakāpēm mēnešalgu un speciālajām piemaksām” </w:t>
      </w:r>
    </w:p>
    <w:p w:rsidR="00851A34" w:rsidRPr="00E408DC" w:rsidRDefault="00851A34" w:rsidP="00047E6C">
      <w:pPr>
        <w:numPr>
          <w:ilvl w:val="0"/>
          <w:numId w:val="1"/>
        </w:numPr>
        <w:autoSpaceDE w:val="0"/>
        <w:autoSpaceDN w:val="0"/>
        <w:adjustRightInd w:val="0"/>
        <w:spacing w:after="0" w:line="240" w:lineRule="auto"/>
        <w:ind w:left="567" w:hanging="567"/>
        <w:jc w:val="both"/>
        <w:rPr>
          <w:rFonts w:ascii="Times New Roman" w:hAnsi="Times New Roman"/>
          <w:sz w:val="28"/>
          <w:szCs w:val="28"/>
        </w:rPr>
      </w:pPr>
      <w:r w:rsidRPr="00E408DC">
        <w:rPr>
          <w:rFonts w:ascii="Times New Roman" w:hAnsi="Times New Roman"/>
          <w:sz w:val="28"/>
          <w:szCs w:val="28"/>
        </w:rPr>
        <w:t>15.03.2011. noteikumi Nr. 190 “Noteikumi par karavīra mēnešalgas un speciālo piemaksu noteikšanas kārtību un to apmēru”.</w:t>
      </w:r>
    </w:p>
    <w:p w:rsidR="007D743F" w:rsidRDefault="008C5BA0" w:rsidP="00B221A4">
      <w:pPr>
        <w:autoSpaceDE w:val="0"/>
        <w:autoSpaceDN w:val="0"/>
        <w:adjustRightInd w:val="0"/>
        <w:spacing w:after="0" w:line="240" w:lineRule="auto"/>
        <w:ind w:firstLine="567"/>
        <w:jc w:val="both"/>
        <w:rPr>
          <w:rFonts w:ascii="Times New Roman" w:hAnsi="Times New Roman"/>
          <w:sz w:val="28"/>
          <w:szCs w:val="28"/>
        </w:rPr>
      </w:pPr>
      <w:r w:rsidRPr="00E408DC">
        <w:rPr>
          <w:rFonts w:ascii="Times New Roman" w:hAnsi="Times New Roman"/>
          <w:sz w:val="28"/>
          <w:szCs w:val="28"/>
        </w:rPr>
        <w:t xml:space="preserve">Iepriekšminētie </w:t>
      </w:r>
      <w:r w:rsidR="00AE0DDD" w:rsidRPr="00E408DC">
        <w:rPr>
          <w:rFonts w:ascii="Times New Roman" w:hAnsi="Times New Roman"/>
          <w:sz w:val="28"/>
          <w:szCs w:val="28"/>
        </w:rPr>
        <w:t xml:space="preserve">Ministru kabineta </w:t>
      </w:r>
      <w:r w:rsidRPr="00E408DC">
        <w:rPr>
          <w:rFonts w:ascii="Times New Roman" w:hAnsi="Times New Roman"/>
          <w:sz w:val="28"/>
          <w:szCs w:val="28"/>
        </w:rPr>
        <w:t>noteikumi mēnešalg</w:t>
      </w:r>
      <w:r w:rsidR="00B07DF0">
        <w:rPr>
          <w:rFonts w:ascii="Times New Roman" w:hAnsi="Times New Roman"/>
          <w:sz w:val="28"/>
          <w:szCs w:val="28"/>
        </w:rPr>
        <w:t xml:space="preserve">u apmērus </w:t>
      </w:r>
      <w:r w:rsidRPr="00E408DC">
        <w:rPr>
          <w:rFonts w:ascii="Times New Roman" w:hAnsi="Times New Roman"/>
          <w:sz w:val="28"/>
          <w:szCs w:val="28"/>
        </w:rPr>
        <w:t>nosaka vai nu</w:t>
      </w:r>
      <w:r w:rsidR="00B07DF0">
        <w:rPr>
          <w:rFonts w:ascii="Times New Roman" w:hAnsi="Times New Roman"/>
          <w:sz w:val="28"/>
          <w:szCs w:val="28"/>
        </w:rPr>
        <w:t xml:space="preserve"> kā</w:t>
      </w:r>
      <w:r w:rsidRPr="00E408DC">
        <w:rPr>
          <w:rFonts w:ascii="Times New Roman" w:hAnsi="Times New Roman"/>
          <w:sz w:val="28"/>
          <w:szCs w:val="28"/>
        </w:rPr>
        <w:t xml:space="preserve"> mēnešalgu diapazonus (zemākās un augstākās mēnešalgas</w:t>
      </w:r>
      <w:r w:rsidR="00AE0DDD" w:rsidRPr="00E408DC">
        <w:rPr>
          <w:rFonts w:ascii="Times New Roman" w:hAnsi="Times New Roman"/>
          <w:sz w:val="28"/>
          <w:szCs w:val="28"/>
        </w:rPr>
        <w:t>)</w:t>
      </w:r>
      <w:r w:rsidRPr="00E408DC">
        <w:rPr>
          <w:rFonts w:ascii="Times New Roman" w:hAnsi="Times New Roman"/>
          <w:sz w:val="28"/>
          <w:szCs w:val="28"/>
        </w:rPr>
        <w:t xml:space="preserve"> – valsts</w:t>
      </w:r>
      <w:r w:rsidR="00070AEF" w:rsidRPr="00E408DC">
        <w:rPr>
          <w:rFonts w:ascii="Times New Roman" w:hAnsi="Times New Roman"/>
          <w:sz w:val="28"/>
          <w:szCs w:val="28"/>
        </w:rPr>
        <w:t xml:space="preserve"> tiešās </w:t>
      </w:r>
      <w:r w:rsidRPr="00E408DC">
        <w:rPr>
          <w:rFonts w:ascii="Times New Roman" w:hAnsi="Times New Roman"/>
          <w:sz w:val="28"/>
          <w:szCs w:val="28"/>
        </w:rPr>
        <w:t>pārvaldes iestādēs nodarbinātajiem,</w:t>
      </w:r>
      <w:r w:rsidR="00AE0DDD" w:rsidRPr="00E408DC">
        <w:rPr>
          <w:rFonts w:ascii="Times New Roman" w:hAnsi="Times New Roman"/>
          <w:sz w:val="28"/>
          <w:szCs w:val="28"/>
        </w:rPr>
        <w:t xml:space="preserve"> k</w:t>
      </w:r>
      <w:r w:rsidR="008A2CE1" w:rsidRPr="00E408DC">
        <w:rPr>
          <w:rFonts w:ascii="Times New Roman" w:hAnsi="Times New Roman"/>
          <w:sz w:val="28"/>
          <w:szCs w:val="28"/>
        </w:rPr>
        <w:t>ā</w:t>
      </w:r>
      <w:r w:rsidR="00AE0DDD" w:rsidRPr="00E408DC">
        <w:rPr>
          <w:rFonts w:ascii="Times New Roman" w:hAnsi="Times New Roman"/>
          <w:sz w:val="28"/>
          <w:szCs w:val="28"/>
        </w:rPr>
        <w:t xml:space="preserve"> arī</w:t>
      </w:r>
      <w:r w:rsidRPr="00E408DC">
        <w:rPr>
          <w:rFonts w:ascii="Times New Roman" w:hAnsi="Times New Roman"/>
          <w:sz w:val="28"/>
          <w:szCs w:val="28"/>
        </w:rPr>
        <w:t xml:space="preserve"> Iekšlietu ministrijas sistēmas iestāžu un Ieslodzījuma vietu pārvaldes amatperson</w:t>
      </w:r>
      <w:r w:rsidR="00AE0DDD" w:rsidRPr="00E408DC">
        <w:rPr>
          <w:rFonts w:ascii="Times New Roman" w:hAnsi="Times New Roman"/>
          <w:sz w:val="28"/>
          <w:szCs w:val="28"/>
        </w:rPr>
        <w:t>ām</w:t>
      </w:r>
      <w:r w:rsidRPr="00E408DC">
        <w:rPr>
          <w:rFonts w:ascii="Times New Roman" w:hAnsi="Times New Roman"/>
          <w:sz w:val="28"/>
          <w:szCs w:val="28"/>
        </w:rPr>
        <w:t xml:space="preserve"> ar speciālajām dienesta pakāpēm, vai nu </w:t>
      </w:r>
      <w:r w:rsidR="008401A8">
        <w:rPr>
          <w:rFonts w:ascii="Times New Roman" w:hAnsi="Times New Roman"/>
          <w:sz w:val="28"/>
          <w:szCs w:val="28"/>
        </w:rPr>
        <w:t xml:space="preserve">kā </w:t>
      </w:r>
      <w:r w:rsidRPr="00E408DC">
        <w:rPr>
          <w:rFonts w:ascii="Times New Roman" w:hAnsi="Times New Roman"/>
          <w:sz w:val="28"/>
          <w:szCs w:val="28"/>
        </w:rPr>
        <w:t>kon</w:t>
      </w:r>
      <w:r w:rsidR="003322AF">
        <w:rPr>
          <w:rFonts w:ascii="Times New Roman" w:hAnsi="Times New Roman"/>
          <w:sz w:val="28"/>
          <w:szCs w:val="28"/>
        </w:rPr>
        <w:t>krētas mēnešalgas – karavīriem</w:t>
      </w:r>
      <w:r w:rsidR="008B18ED">
        <w:rPr>
          <w:rFonts w:ascii="Times New Roman" w:hAnsi="Times New Roman"/>
          <w:sz w:val="28"/>
          <w:szCs w:val="28"/>
        </w:rPr>
        <w:t>, vai kā mēnešalgu augstākās robežas piem., tiesu un prokuratūras darbiniekiem</w:t>
      </w:r>
      <w:r w:rsidR="003322AF">
        <w:rPr>
          <w:rFonts w:ascii="Times New Roman" w:hAnsi="Times New Roman"/>
          <w:sz w:val="28"/>
          <w:szCs w:val="28"/>
        </w:rPr>
        <w:t xml:space="preserve"> </w:t>
      </w:r>
      <w:r w:rsidRPr="00E408DC">
        <w:rPr>
          <w:rFonts w:ascii="Times New Roman" w:hAnsi="Times New Roman"/>
          <w:sz w:val="28"/>
          <w:szCs w:val="28"/>
        </w:rPr>
        <w:t xml:space="preserve">(skat. piemērus </w:t>
      </w:r>
      <w:r w:rsidR="00B221A4">
        <w:rPr>
          <w:rFonts w:ascii="Times New Roman" w:hAnsi="Times New Roman"/>
          <w:sz w:val="28"/>
          <w:szCs w:val="28"/>
        </w:rPr>
        <w:t>8</w:t>
      </w:r>
      <w:r w:rsidRPr="00E408DC">
        <w:rPr>
          <w:rFonts w:ascii="Times New Roman" w:hAnsi="Times New Roman"/>
          <w:sz w:val="28"/>
          <w:szCs w:val="28"/>
        </w:rPr>
        <w:t>.attēlā).</w:t>
      </w:r>
    </w:p>
    <w:p w:rsidR="008C5BA0" w:rsidRDefault="00B221A4" w:rsidP="00B221A4">
      <w:pPr>
        <w:spacing w:after="0"/>
        <w:jc w:val="right"/>
        <w:rPr>
          <w:rFonts w:ascii="Times New Roman" w:hAnsi="Times New Roman"/>
          <w:sz w:val="28"/>
          <w:szCs w:val="28"/>
        </w:rPr>
      </w:pPr>
      <w:r>
        <w:rPr>
          <w:rFonts w:ascii="Times New Roman" w:hAnsi="Times New Roman"/>
          <w:sz w:val="28"/>
          <w:szCs w:val="28"/>
        </w:rPr>
        <w:t>8</w:t>
      </w:r>
      <w:r w:rsidR="008C5BA0" w:rsidRPr="00E408DC">
        <w:rPr>
          <w:rFonts w:ascii="Times New Roman" w:hAnsi="Times New Roman"/>
          <w:sz w:val="28"/>
          <w:szCs w:val="28"/>
        </w:rPr>
        <w:t>.attēls</w:t>
      </w:r>
    </w:p>
    <w:p w:rsidR="009A4982" w:rsidRPr="009A4982" w:rsidRDefault="009A4982" w:rsidP="00B221A4">
      <w:pPr>
        <w:autoSpaceDE w:val="0"/>
        <w:autoSpaceDN w:val="0"/>
        <w:adjustRightInd w:val="0"/>
        <w:spacing w:after="0" w:line="240" w:lineRule="auto"/>
        <w:jc w:val="center"/>
        <w:rPr>
          <w:rFonts w:ascii="Times New Roman" w:hAnsi="Times New Roman"/>
          <w:b/>
          <w:sz w:val="28"/>
          <w:szCs w:val="28"/>
        </w:rPr>
      </w:pPr>
      <w:r w:rsidRPr="009A4982">
        <w:rPr>
          <w:rFonts w:ascii="Times New Roman" w:hAnsi="Times New Roman"/>
          <w:b/>
          <w:sz w:val="28"/>
          <w:szCs w:val="28"/>
        </w:rPr>
        <w:t>Piemēri mēnešalgu skalām</w:t>
      </w:r>
    </w:p>
    <w:p w:rsidR="002C759E" w:rsidRPr="00E408DC" w:rsidRDefault="009E1D48" w:rsidP="002C759E">
      <w:pPr>
        <w:autoSpaceDE w:val="0"/>
        <w:autoSpaceDN w:val="0"/>
        <w:adjustRightInd w:val="0"/>
        <w:spacing w:after="0" w:line="240" w:lineRule="auto"/>
        <w:jc w:val="both"/>
        <w:rPr>
          <w:rFonts w:ascii="Times New Roman" w:hAnsi="Times New Roman"/>
          <w:sz w:val="28"/>
          <w:szCs w:val="28"/>
        </w:rPr>
      </w:pPr>
      <w:r>
        <w:rPr>
          <w:noProof/>
        </w:rPr>
        <mc:AlternateContent>
          <mc:Choice Requires="wps">
            <w:drawing>
              <wp:anchor distT="0" distB="0" distL="114300" distR="114300" simplePos="0" relativeHeight="251641344" behindDoc="0" locked="0" layoutInCell="1" allowOverlap="1">
                <wp:simplePos x="0" y="0"/>
                <wp:positionH relativeFrom="column">
                  <wp:posOffset>4930140</wp:posOffset>
                </wp:positionH>
                <wp:positionV relativeFrom="paragraph">
                  <wp:posOffset>443230</wp:posOffset>
                </wp:positionV>
                <wp:extent cx="133350" cy="609600"/>
                <wp:effectExtent l="57150" t="0" r="19050" b="57150"/>
                <wp:wrapNone/>
                <wp:docPr id="4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9C8D50" id="AutoShape 8" o:spid="_x0000_s1026" type="#_x0000_t32" style="position:absolute;margin-left:388.2pt;margin-top:34.9pt;width:10.5pt;height:48pt;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7IQAIAAGw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">
                <v:stroke endarrow="block"/>
              </v:shap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4269105</wp:posOffset>
                </wp:positionH>
                <wp:positionV relativeFrom="paragraph">
                  <wp:posOffset>163830</wp:posOffset>
                </wp:positionV>
                <wp:extent cx="1522095" cy="280035"/>
                <wp:effectExtent l="0" t="0" r="20955" b="24765"/>
                <wp:wrapNone/>
                <wp:docPr id="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280035"/>
                        </a:xfrm>
                        <a:prstGeom prst="rect">
                          <a:avLst/>
                        </a:prstGeom>
                        <a:solidFill>
                          <a:srgbClr val="FFFFFF"/>
                        </a:solidFill>
                        <a:ln w="9525">
                          <a:solidFill>
                            <a:srgbClr val="000000"/>
                          </a:solidFill>
                          <a:miter lim="800000"/>
                          <a:headEnd/>
                          <a:tailEnd/>
                        </a:ln>
                      </wps:spPr>
                      <wps:txbx>
                        <w:txbxContent>
                          <w:p w:rsidR="00836069" w:rsidRDefault="00836069" w:rsidP="002C759E">
                            <w:r>
                              <w:t>Konkrētas  mēnešalgas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36.15pt;margin-top:12.9pt;width:119.85pt;height:22.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">
                <v:textbox>
                  <w:txbxContent>
                    <w:p w:rsidR="00836069" w:rsidRDefault="00836069" w:rsidP="002C759E">
                      <w:r>
                        <w:t>Konkrētas  mēnešalgas</w:t>
                      </w:r>
                    </w:p>
                  </w:txbxContent>
                </v:textbox>
              </v:shap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1228725</wp:posOffset>
                </wp:positionH>
                <wp:positionV relativeFrom="paragraph">
                  <wp:posOffset>1234440</wp:posOffset>
                </wp:positionV>
                <wp:extent cx="895350" cy="400050"/>
                <wp:effectExtent l="38100" t="38100" r="19050" b="19050"/>
                <wp:wrapNone/>
                <wp:docPr id="3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535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12777B" id="AutoShape 11" o:spid="_x0000_s1026" type="#_x0000_t32" style="position:absolute;margin-left:96.75pt;margin-top:97.2pt;width:70.5pt;height:31.5pt;flip:x 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">
                <v:stroke endarrow="block"/>
              </v:shape>
            </w:pict>
          </mc:Fallback>
        </mc:AlternateContent>
      </w:r>
      <w:r>
        <w:rPr>
          <w:noProof/>
        </w:rPr>
        <mc:AlternateContent>
          <mc:Choice Requires="wps">
            <w:drawing>
              <wp:anchor distT="0" distB="0" distL="114294" distR="114294" simplePos="0" relativeHeight="251639296" behindDoc="0" locked="0" layoutInCell="1" allowOverlap="1">
                <wp:simplePos x="0" y="0"/>
                <wp:positionH relativeFrom="column">
                  <wp:posOffset>2170429</wp:posOffset>
                </wp:positionH>
                <wp:positionV relativeFrom="paragraph">
                  <wp:posOffset>929640</wp:posOffset>
                </wp:positionV>
                <wp:extent cx="0" cy="704850"/>
                <wp:effectExtent l="76200" t="38100" r="57150" b="19050"/>
                <wp:wrapNone/>
                <wp:docPr id="3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04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01F8A" id="AutoShape 10" o:spid="_x0000_s1026" type="#_x0000_t32" style="position:absolute;margin-left:170.9pt;margin-top:73.2pt;width:0;height:55.5pt;flip:y;z-index:25163929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">
                <v:stroke endarrow="block"/>
              </v:shape>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1411605</wp:posOffset>
                </wp:positionH>
                <wp:positionV relativeFrom="paragraph">
                  <wp:posOffset>1634490</wp:posOffset>
                </wp:positionV>
                <wp:extent cx="1407795" cy="280035"/>
                <wp:effectExtent l="0" t="0" r="20955" b="24765"/>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280035"/>
                        </a:xfrm>
                        <a:prstGeom prst="rect">
                          <a:avLst/>
                        </a:prstGeom>
                        <a:solidFill>
                          <a:srgbClr val="FFFFFF"/>
                        </a:solidFill>
                        <a:ln w="9525">
                          <a:solidFill>
                            <a:srgbClr val="000000"/>
                          </a:solidFill>
                          <a:miter lim="800000"/>
                          <a:headEnd/>
                          <a:tailEnd/>
                        </a:ln>
                      </wps:spPr>
                      <wps:txbx>
                        <w:txbxContent>
                          <w:p w:rsidR="00836069" w:rsidRDefault="00836069" w:rsidP="002C759E">
                            <w:r>
                              <w:t>Mēnešalgu diapazoni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111.15pt;margin-top:128.7pt;width:110.85pt;height:22.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">
                <v:textbox>
                  <w:txbxContent>
                    <w:p w:rsidR="00836069" w:rsidRDefault="00836069" w:rsidP="002C759E">
                      <w:r>
                        <w:t>Mēnešalgu diapazoni</w:t>
                      </w:r>
                    </w:p>
                  </w:txbxContent>
                </v:textbox>
              </v:shape>
            </w:pict>
          </mc:Fallback>
        </mc:AlternateContent>
      </w:r>
      <w:r w:rsidR="001F1FB0">
        <w:rPr>
          <w:rFonts w:ascii="Times New Roman" w:hAnsi="Times New Roman"/>
          <w:noProof/>
        </w:rPr>
        <w:drawing>
          <wp:inline distT="0" distB="0" distL="0" distR="0">
            <wp:extent cx="6172200" cy="3848100"/>
            <wp:effectExtent l="0" t="0" r="19050" b="19050"/>
            <wp:docPr id="7"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729BD" w:rsidRDefault="0089302D" w:rsidP="00371232">
      <w:pPr>
        <w:autoSpaceDE w:val="0"/>
        <w:autoSpaceDN w:val="0"/>
        <w:adjustRightInd w:val="0"/>
        <w:spacing w:after="0" w:line="240" w:lineRule="auto"/>
        <w:jc w:val="both"/>
        <w:rPr>
          <w:rFonts w:ascii="Times New Roman" w:hAnsi="Times New Roman"/>
          <w:sz w:val="28"/>
          <w:szCs w:val="28"/>
        </w:rPr>
      </w:pPr>
      <w:r w:rsidRPr="00E408DC">
        <w:rPr>
          <w:rFonts w:ascii="Times New Roman" w:hAnsi="Times New Roman"/>
          <w:sz w:val="28"/>
          <w:szCs w:val="28"/>
        </w:rPr>
        <w:lastRenderedPageBreak/>
        <w:t>Šobrīd normatīva</w:t>
      </w:r>
      <w:r w:rsidR="00DE32AA" w:rsidRPr="00E408DC">
        <w:rPr>
          <w:rFonts w:ascii="Times New Roman" w:hAnsi="Times New Roman"/>
          <w:sz w:val="28"/>
          <w:szCs w:val="28"/>
        </w:rPr>
        <w:t>jos</w:t>
      </w:r>
      <w:r w:rsidR="00746ACD">
        <w:rPr>
          <w:rFonts w:ascii="Times New Roman" w:hAnsi="Times New Roman"/>
          <w:sz w:val="28"/>
          <w:szCs w:val="28"/>
        </w:rPr>
        <w:t xml:space="preserve"> </w:t>
      </w:r>
      <w:r w:rsidR="00DE32AA" w:rsidRPr="00E408DC">
        <w:rPr>
          <w:rFonts w:ascii="Times New Roman" w:hAnsi="Times New Roman"/>
          <w:sz w:val="28"/>
          <w:szCs w:val="28"/>
        </w:rPr>
        <w:t>a</w:t>
      </w:r>
      <w:r w:rsidRPr="00E408DC">
        <w:rPr>
          <w:rFonts w:ascii="Times New Roman" w:hAnsi="Times New Roman"/>
          <w:sz w:val="28"/>
          <w:szCs w:val="28"/>
        </w:rPr>
        <w:t>k</w:t>
      </w:r>
      <w:r w:rsidR="00DE32AA" w:rsidRPr="00E408DC">
        <w:rPr>
          <w:rFonts w:ascii="Times New Roman" w:hAnsi="Times New Roman"/>
          <w:sz w:val="28"/>
          <w:szCs w:val="28"/>
        </w:rPr>
        <w:t>tos</w:t>
      </w:r>
      <w:r w:rsidRPr="00E408DC">
        <w:rPr>
          <w:rFonts w:ascii="Times New Roman" w:hAnsi="Times New Roman"/>
          <w:sz w:val="28"/>
          <w:szCs w:val="28"/>
        </w:rPr>
        <w:t xml:space="preserve"> noteikt</w:t>
      </w:r>
      <w:r w:rsidR="00DE32AA" w:rsidRPr="00E408DC">
        <w:rPr>
          <w:rFonts w:ascii="Times New Roman" w:hAnsi="Times New Roman"/>
          <w:sz w:val="28"/>
          <w:szCs w:val="28"/>
        </w:rPr>
        <w:t>o</w:t>
      </w:r>
      <w:r w:rsidRPr="00E408DC">
        <w:rPr>
          <w:rFonts w:ascii="Times New Roman" w:hAnsi="Times New Roman"/>
          <w:sz w:val="28"/>
          <w:szCs w:val="28"/>
        </w:rPr>
        <w:t xml:space="preserve"> mēnešalg</w:t>
      </w:r>
      <w:r w:rsidR="00DE32AA" w:rsidRPr="00E408DC">
        <w:rPr>
          <w:rFonts w:ascii="Times New Roman" w:hAnsi="Times New Roman"/>
          <w:sz w:val="28"/>
          <w:szCs w:val="28"/>
        </w:rPr>
        <w:t>u apmērus ir ietekmējuši lēmumi, kas tika pieņemti ieprie</w:t>
      </w:r>
      <w:r w:rsidR="008C5BA0" w:rsidRPr="00E408DC">
        <w:rPr>
          <w:rFonts w:ascii="Times New Roman" w:hAnsi="Times New Roman"/>
          <w:sz w:val="28"/>
          <w:szCs w:val="28"/>
        </w:rPr>
        <w:t>kšējos gados, kad valdībai bija jāveic visstingrākie taupības pasākumi, lai nodrošinā</w:t>
      </w:r>
      <w:r w:rsidR="00DE32AA" w:rsidRPr="00E408DC">
        <w:rPr>
          <w:rFonts w:ascii="Times New Roman" w:hAnsi="Times New Roman"/>
          <w:sz w:val="28"/>
          <w:szCs w:val="28"/>
        </w:rPr>
        <w:t>tu valsts budžeta konsolidāciju: 2</w:t>
      </w:r>
      <w:r w:rsidR="008C5BA0" w:rsidRPr="00E408DC">
        <w:rPr>
          <w:rFonts w:ascii="Times New Roman" w:hAnsi="Times New Roman"/>
          <w:sz w:val="28"/>
          <w:szCs w:val="28"/>
        </w:rPr>
        <w:t>009.gada vidū</w:t>
      </w:r>
      <w:r w:rsidR="00DE32AA" w:rsidRPr="00E408DC">
        <w:rPr>
          <w:rFonts w:ascii="Times New Roman" w:hAnsi="Times New Roman"/>
          <w:sz w:val="28"/>
          <w:szCs w:val="28"/>
        </w:rPr>
        <w:t xml:space="preserve"> mēnešalgas</w:t>
      </w:r>
      <w:r w:rsidR="004F7A1E">
        <w:rPr>
          <w:rFonts w:ascii="Times New Roman" w:hAnsi="Times New Roman"/>
          <w:sz w:val="28"/>
          <w:szCs w:val="28"/>
        </w:rPr>
        <w:t xml:space="preserve"> valsts tiešās pārvaldes iestādēs</w:t>
      </w:r>
      <w:r w:rsidR="00DE32AA" w:rsidRPr="00E408DC">
        <w:rPr>
          <w:rFonts w:ascii="Times New Roman" w:hAnsi="Times New Roman"/>
          <w:sz w:val="28"/>
          <w:szCs w:val="28"/>
        </w:rPr>
        <w:t xml:space="preserve"> tika samazinātas </w:t>
      </w:r>
      <w:r w:rsidR="008C5BA0" w:rsidRPr="00E408DC">
        <w:rPr>
          <w:rFonts w:ascii="Times New Roman" w:hAnsi="Times New Roman"/>
          <w:sz w:val="28"/>
          <w:szCs w:val="28"/>
        </w:rPr>
        <w:t>par 20% un</w:t>
      </w:r>
      <w:r w:rsidR="00367BEC">
        <w:rPr>
          <w:rFonts w:ascii="Times New Roman" w:hAnsi="Times New Roman"/>
          <w:sz w:val="28"/>
          <w:szCs w:val="28"/>
        </w:rPr>
        <w:t xml:space="preserve"> </w:t>
      </w:r>
      <w:r w:rsidR="008C5BA0" w:rsidRPr="00E408DC">
        <w:rPr>
          <w:rFonts w:ascii="Times New Roman" w:hAnsi="Times New Roman"/>
          <w:sz w:val="28"/>
          <w:szCs w:val="28"/>
        </w:rPr>
        <w:t>ar 2010.gada 1.janvāri vēl par 5%</w:t>
      </w:r>
      <w:r w:rsidR="00DE32AA" w:rsidRPr="00E408DC">
        <w:rPr>
          <w:rFonts w:ascii="Times New Roman" w:hAnsi="Times New Roman"/>
          <w:sz w:val="28"/>
          <w:szCs w:val="28"/>
        </w:rPr>
        <w:t>.</w:t>
      </w:r>
      <w:r w:rsidR="004F7A1E">
        <w:rPr>
          <w:rFonts w:ascii="Times New Roman" w:hAnsi="Times New Roman"/>
          <w:sz w:val="28"/>
          <w:szCs w:val="28"/>
        </w:rPr>
        <w:t xml:space="preserve"> Uzlabojoties ekonomiskajai situācijai, a</w:t>
      </w:r>
      <w:r w:rsidR="006D184F" w:rsidRPr="00E408DC">
        <w:rPr>
          <w:rFonts w:ascii="Times New Roman" w:hAnsi="Times New Roman"/>
          <w:sz w:val="28"/>
          <w:szCs w:val="28"/>
        </w:rPr>
        <w:t xml:space="preserve">r </w:t>
      </w:r>
      <w:r w:rsidR="000E06B4" w:rsidRPr="00E408DC">
        <w:rPr>
          <w:rFonts w:ascii="Times New Roman" w:hAnsi="Times New Roman"/>
          <w:sz w:val="28"/>
          <w:szCs w:val="28"/>
        </w:rPr>
        <w:t>2013.gad</w:t>
      </w:r>
      <w:r w:rsidR="006D184F" w:rsidRPr="00E408DC">
        <w:rPr>
          <w:rFonts w:ascii="Times New Roman" w:hAnsi="Times New Roman"/>
          <w:sz w:val="28"/>
          <w:szCs w:val="28"/>
        </w:rPr>
        <w:t>a 1.janvāri tika pārskatīta mēnešalgu skala Iekšlietu ministrijas sistēmas iestāžu un Ieslodzījuma vietu pārvaldes amatperson</w:t>
      </w:r>
      <w:r w:rsidR="00775DF1" w:rsidRPr="00E408DC">
        <w:rPr>
          <w:rFonts w:ascii="Times New Roman" w:hAnsi="Times New Roman"/>
          <w:sz w:val="28"/>
          <w:szCs w:val="28"/>
        </w:rPr>
        <w:t>ām</w:t>
      </w:r>
      <w:r w:rsidR="006D184F" w:rsidRPr="00E408DC">
        <w:rPr>
          <w:rFonts w:ascii="Times New Roman" w:hAnsi="Times New Roman"/>
          <w:sz w:val="28"/>
          <w:szCs w:val="28"/>
        </w:rPr>
        <w:t xml:space="preserve"> ar speciālajām dienesta pakāpēm</w:t>
      </w:r>
      <w:r w:rsidR="008F068B" w:rsidRPr="00E408DC">
        <w:rPr>
          <w:rFonts w:ascii="Times New Roman" w:hAnsi="Times New Roman"/>
          <w:sz w:val="28"/>
          <w:szCs w:val="28"/>
        </w:rPr>
        <w:t xml:space="preserve"> (mēnešalgās integrēta uzturdevas kompensācija un piešķirts papildu finansējums)</w:t>
      </w:r>
      <w:r w:rsidR="006D184F" w:rsidRPr="00E408DC">
        <w:rPr>
          <w:rFonts w:ascii="Times New Roman" w:hAnsi="Times New Roman"/>
          <w:sz w:val="28"/>
          <w:szCs w:val="28"/>
        </w:rPr>
        <w:t>, bet ar 2012</w:t>
      </w:r>
      <w:r w:rsidR="004D3F83" w:rsidRPr="00E408DC">
        <w:rPr>
          <w:rFonts w:ascii="Times New Roman" w:hAnsi="Times New Roman"/>
          <w:sz w:val="28"/>
          <w:szCs w:val="28"/>
        </w:rPr>
        <w:t>.</w:t>
      </w:r>
      <w:r w:rsidR="006D184F" w:rsidRPr="00E408DC">
        <w:rPr>
          <w:rFonts w:ascii="Times New Roman" w:hAnsi="Times New Roman"/>
          <w:sz w:val="28"/>
          <w:szCs w:val="28"/>
        </w:rPr>
        <w:t>gada 1.septembri – pedagogiem</w:t>
      </w:r>
      <w:r w:rsidR="008F068B" w:rsidRPr="00E408DC">
        <w:rPr>
          <w:rFonts w:ascii="Times New Roman" w:hAnsi="Times New Roman"/>
          <w:sz w:val="28"/>
          <w:szCs w:val="28"/>
        </w:rPr>
        <w:t xml:space="preserve"> (piešķirts papildu finansējums mēnešalgu paaugstināšanai)</w:t>
      </w:r>
      <w:r w:rsidR="006D184F" w:rsidRPr="00E408DC">
        <w:rPr>
          <w:rFonts w:ascii="Times New Roman" w:hAnsi="Times New Roman"/>
          <w:sz w:val="28"/>
          <w:szCs w:val="28"/>
        </w:rPr>
        <w:t xml:space="preserve">. </w:t>
      </w:r>
      <w:r w:rsidR="002E4E4F">
        <w:rPr>
          <w:rFonts w:ascii="Times New Roman" w:hAnsi="Times New Roman"/>
          <w:sz w:val="28"/>
          <w:szCs w:val="28"/>
        </w:rPr>
        <w:t>9</w:t>
      </w:r>
      <w:r w:rsidR="00991037">
        <w:rPr>
          <w:rFonts w:ascii="Times New Roman" w:hAnsi="Times New Roman"/>
          <w:sz w:val="28"/>
          <w:szCs w:val="28"/>
        </w:rPr>
        <w:t>.attēlā redzams, ka 2013.gada janvārī, salīdzinot ar 2012.gadu, ir samazinājies darbinieku skaits, kuru mēnešalgas ir zem 300 latiem, un būtiski ir palielinājies darbinieku skaits, kuru mēnešalgas ir 400-500 latu robežās.</w:t>
      </w:r>
      <w:r w:rsidR="008D29CA">
        <w:rPr>
          <w:rFonts w:ascii="Times New Roman" w:hAnsi="Times New Roman"/>
          <w:sz w:val="28"/>
          <w:szCs w:val="28"/>
        </w:rPr>
        <w:t xml:space="preserve"> </w:t>
      </w:r>
      <w:r w:rsidR="00455717">
        <w:rPr>
          <w:rFonts w:ascii="Times New Roman" w:hAnsi="Times New Roman"/>
          <w:sz w:val="28"/>
          <w:szCs w:val="28"/>
        </w:rPr>
        <w:t xml:space="preserve">Darbinieku skaits, bet ne tik būtiski) ir palielinājies arī mēnešalgu grupās 500-600 lati un 600-700 lati. </w:t>
      </w:r>
      <w:r w:rsidR="005729BD">
        <w:rPr>
          <w:rFonts w:ascii="Times New Roman" w:hAnsi="Times New Roman"/>
          <w:sz w:val="28"/>
          <w:szCs w:val="28"/>
        </w:rPr>
        <w:t>Tai pat laikā 68% darbinieku mēnešalga nepārsniedz 500 latus.</w:t>
      </w:r>
    </w:p>
    <w:p w:rsidR="007D743F" w:rsidRDefault="005729BD" w:rsidP="002E4E4F">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Mēnešalgu</w:t>
      </w:r>
      <w:r w:rsidR="00455717">
        <w:rPr>
          <w:rFonts w:ascii="Times New Roman" w:hAnsi="Times New Roman"/>
          <w:sz w:val="28"/>
          <w:szCs w:val="28"/>
        </w:rPr>
        <w:t xml:space="preserve"> palielināšanās </w:t>
      </w:r>
      <w:r w:rsidR="00E66347">
        <w:rPr>
          <w:rFonts w:ascii="Times New Roman" w:hAnsi="Times New Roman"/>
          <w:sz w:val="28"/>
          <w:szCs w:val="28"/>
        </w:rPr>
        <w:t>izskaidrojam</w:t>
      </w:r>
      <w:r w:rsidR="00455717">
        <w:rPr>
          <w:rFonts w:ascii="Times New Roman" w:hAnsi="Times New Roman"/>
          <w:sz w:val="28"/>
          <w:szCs w:val="28"/>
        </w:rPr>
        <w:t>a</w:t>
      </w:r>
      <w:r w:rsidR="00E66347">
        <w:rPr>
          <w:rFonts w:ascii="Times New Roman" w:hAnsi="Times New Roman"/>
          <w:sz w:val="28"/>
          <w:szCs w:val="28"/>
        </w:rPr>
        <w:t xml:space="preserve"> ar uzturdevas kompensācijas (120 lati) integrēšanu mēnešalgā policistiem, robežsargiem, ugunsdzēsējiem un Ieslodzījumu vietu pārvaldes amatpersonām ar speciālajām dienesta pakāpēm</w:t>
      </w:r>
      <w:r w:rsidR="00455717">
        <w:rPr>
          <w:rFonts w:ascii="Times New Roman" w:hAnsi="Times New Roman"/>
          <w:sz w:val="28"/>
          <w:szCs w:val="28"/>
        </w:rPr>
        <w:t>, papildu finansējuma novirzīšanu Valsts probācijas dienesta darbinieku al</w:t>
      </w:r>
      <w:r w:rsidR="00F27997">
        <w:rPr>
          <w:rFonts w:ascii="Times New Roman" w:hAnsi="Times New Roman"/>
          <w:sz w:val="28"/>
          <w:szCs w:val="28"/>
        </w:rPr>
        <w:t xml:space="preserve">gām, </w:t>
      </w:r>
      <w:r w:rsidR="003401D2">
        <w:rPr>
          <w:rFonts w:ascii="Times New Roman" w:hAnsi="Times New Roman"/>
          <w:sz w:val="28"/>
          <w:szCs w:val="28"/>
        </w:rPr>
        <w:t>sociālās aprūpes centriem.</w:t>
      </w:r>
    </w:p>
    <w:p w:rsidR="002B62FF" w:rsidRDefault="002E4E4F" w:rsidP="00991037">
      <w:pPr>
        <w:autoSpaceDE w:val="0"/>
        <w:autoSpaceDN w:val="0"/>
        <w:adjustRightInd w:val="0"/>
        <w:spacing w:after="0" w:line="240" w:lineRule="auto"/>
        <w:ind w:left="360"/>
        <w:jc w:val="right"/>
        <w:rPr>
          <w:rFonts w:ascii="Times New Roman" w:hAnsi="Times New Roman"/>
          <w:sz w:val="28"/>
          <w:szCs w:val="28"/>
        </w:rPr>
      </w:pPr>
      <w:r>
        <w:rPr>
          <w:rFonts w:ascii="Times New Roman" w:hAnsi="Times New Roman"/>
          <w:sz w:val="28"/>
          <w:szCs w:val="28"/>
        </w:rPr>
        <w:t>9</w:t>
      </w:r>
      <w:r w:rsidR="00991037">
        <w:rPr>
          <w:rFonts w:ascii="Times New Roman" w:hAnsi="Times New Roman"/>
          <w:sz w:val="28"/>
          <w:szCs w:val="28"/>
        </w:rPr>
        <w:t>.attēls</w:t>
      </w:r>
    </w:p>
    <w:p w:rsidR="006E778F" w:rsidRPr="006E778F" w:rsidRDefault="00991037" w:rsidP="002E4E4F">
      <w:pPr>
        <w:rPr>
          <w:noProof/>
        </w:rPr>
      </w:pPr>
      <w:r w:rsidRPr="00392FD7">
        <w:rPr>
          <w:rFonts w:ascii="Times New Roman" w:hAnsi="Times New Roman"/>
          <w:b/>
          <w:sz w:val="28"/>
          <w:szCs w:val="28"/>
        </w:rPr>
        <w:t xml:space="preserve">Valsts budžeta iestādēs nodarbināto skaita sadalījums </w:t>
      </w:r>
      <w:r w:rsidR="00922B5B">
        <w:rPr>
          <w:rFonts w:ascii="Times New Roman" w:hAnsi="Times New Roman"/>
          <w:b/>
          <w:sz w:val="28"/>
          <w:szCs w:val="28"/>
        </w:rPr>
        <w:t>atbilstoši</w:t>
      </w:r>
      <w:r w:rsidRPr="00392FD7">
        <w:rPr>
          <w:rFonts w:ascii="Times New Roman" w:hAnsi="Times New Roman"/>
          <w:b/>
          <w:sz w:val="28"/>
          <w:szCs w:val="28"/>
        </w:rPr>
        <w:t xml:space="preserve"> mēnešalgas</w:t>
      </w:r>
      <w:r w:rsidR="00773F00" w:rsidRPr="00392FD7">
        <w:rPr>
          <w:rFonts w:ascii="Times New Roman" w:hAnsi="Times New Roman"/>
          <w:b/>
          <w:sz w:val="28"/>
          <w:szCs w:val="28"/>
        </w:rPr>
        <w:t xml:space="preserve"> (bruto)</w:t>
      </w:r>
      <w:r w:rsidR="00274D52" w:rsidRPr="00392FD7">
        <w:rPr>
          <w:rFonts w:ascii="Times New Roman" w:hAnsi="Times New Roman"/>
          <w:b/>
          <w:sz w:val="28"/>
          <w:szCs w:val="28"/>
        </w:rPr>
        <w:t xml:space="preserve"> </w:t>
      </w:r>
      <w:r w:rsidR="00773F00" w:rsidRPr="00392FD7">
        <w:rPr>
          <w:rFonts w:ascii="Times New Roman" w:hAnsi="Times New Roman"/>
          <w:b/>
          <w:sz w:val="28"/>
          <w:szCs w:val="28"/>
        </w:rPr>
        <w:t>apmēra</w:t>
      </w:r>
      <w:r w:rsidR="00922B5B">
        <w:rPr>
          <w:rFonts w:ascii="Times New Roman" w:hAnsi="Times New Roman"/>
          <w:b/>
          <w:sz w:val="28"/>
          <w:szCs w:val="28"/>
        </w:rPr>
        <w:t>m</w:t>
      </w:r>
      <w:r w:rsidR="001F1FB0">
        <w:rPr>
          <w:noProof/>
          <w:bdr w:val="single" w:sz="4" w:space="0" w:color="auto"/>
        </w:rPr>
        <w:drawing>
          <wp:inline distT="0" distB="0" distL="0" distR="0">
            <wp:extent cx="6210300" cy="3571875"/>
            <wp:effectExtent l="0" t="0" r="0" b="0"/>
            <wp:docPr id="8" name="Diagramma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6E778F" w:rsidRPr="00B47851">
        <w:rPr>
          <w:rFonts w:ascii="Times New Roman" w:hAnsi="Times New Roman"/>
          <w:sz w:val="20"/>
          <w:szCs w:val="20"/>
        </w:rPr>
        <w:t>Datu avots: Finanšu ministrija</w:t>
      </w:r>
    </w:p>
    <w:p w:rsidR="00CE3588" w:rsidRDefault="00F572D5" w:rsidP="00CE3588">
      <w:pPr>
        <w:pStyle w:val="ListParagraph"/>
        <w:numPr>
          <w:ilvl w:val="0"/>
          <w:numId w:val="2"/>
        </w:num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lastRenderedPageBreak/>
        <w:t>Pastāvošās</w:t>
      </w:r>
      <w:r w:rsidR="00CE3588">
        <w:rPr>
          <w:rFonts w:ascii="Times New Roman" w:hAnsi="Times New Roman"/>
          <w:b/>
          <w:sz w:val="28"/>
          <w:szCs w:val="28"/>
        </w:rPr>
        <w:t xml:space="preserve"> problēmas </w:t>
      </w:r>
      <w:r w:rsidR="004E45FB">
        <w:rPr>
          <w:rFonts w:ascii="Times New Roman" w:hAnsi="Times New Roman"/>
          <w:b/>
          <w:sz w:val="28"/>
          <w:szCs w:val="28"/>
        </w:rPr>
        <w:t>mēnešalgas noteikšanā</w:t>
      </w:r>
    </w:p>
    <w:p w:rsidR="00CE3588" w:rsidRDefault="00CE3588" w:rsidP="00CE3588">
      <w:pPr>
        <w:autoSpaceDE w:val="0"/>
        <w:autoSpaceDN w:val="0"/>
        <w:adjustRightInd w:val="0"/>
        <w:spacing w:after="0" w:line="240" w:lineRule="auto"/>
        <w:jc w:val="both"/>
        <w:rPr>
          <w:rFonts w:ascii="Times New Roman" w:hAnsi="Times New Roman"/>
          <w:b/>
          <w:sz w:val="28"/>
          <w:szCs w:val="28"/>
        </w:rPr>
      </w:pPr>
    </w:p>
    <w:p w:rsidR="007E65CD" w:rsidRPr="00107071" w:rsidRDefault="00904EF0" w:rsidP="008D4902">
      <w:pPr>
        <w:pStyle w:val="ListParagraph"/>
        <w:numPr>
          <w:ilvl w:val="1"/>
          <w:numId w:val="2"/>
        </w:numPr>
        <w:autoSpaceDE w:val="0"/>
        <w:autoSpaceDN w:val="0"/>
        <w:adjustRightInd w:val="0"/>
        <w:spacing w:after="0" w:line="240" w:lineRule="auto"/>
        <w:jc w:val="both"/>
        <w:rPr>
          <w:rFonts w:ascii="Times New Roman" w:hAnsi="Times New Roman"/>
          <w:b/>
          <w:sz w:val="28"/>
          <w:szCs w:val="28"/>
        </w:rPr>
      </w:pPr>
      <w:r w:rsidRPr="00107071">
        <w:rPr>
          <w:rFonts w:ascii="Times New Roman" w:hAnsi="Times New Roman"/>
          <w:b/>
          <w:sz w:val="28"/>
          <w:szCs w:val="28"/>
        </w:rPr>
        <w:t xml:space="preserve">Pastāvošās problēmas </w:t>
      </w:r>
      <w:r w:rsidR="007E65CD" w:rsidRPr="00107071">
        <w:rPr>
          <w:rFonts w:ascii="Times New Roman" w:hAnsi="Times New Roman"/>
          <w:b/>
          <w:sz w:val="28"/>
          <w:szCs w:val="28"/>
        </w:rPr>
        <w:t xml:space="preserve">līdzvērtīgas mēnešalgas noteikšanai </w:t>
      </w:r>
      <w:r w:rsidR="008056E2" w:rsidRPr="00107071">
        <w:rPr>
          <w:rFonts w:ascii="Times New Roman" w:hAnsi="Times New Roman"/>
          <w:b/>
          <w:sz w:val="28"/>
          <w:szCs w:val="28"/>
        </w:rPr>
        <w:t xml:space="preserve">līdzīgiem amatiem </w:t>
      </w:r>
      <w:r w:rsidR="007E65CD" w:rsidRPr="00107071">
        <w:rPr>
          <w:rFonts w:ascii="Times New Roman" w:hAnsi="Times New Roman"/>
          <w:b/>
          <w:sz w:val="28"/>
          <w:szCs w:val="28"/>
        </w:rPr>
        <w:t>valsts tiešās pārvaldes iestādēs</w:t>
      </w:r>
    </w:p>
    <w:p w:rsidR="007E65CD" w:rsidRPr="00E408DC" w:rsidRDefault="007E65CD" w:rsidP="002B62FF">
      <w:pPr>
        <w:autoSpaceDE w:val="0"/>
        <w:autoSpaceDN w:val="0"/>
        <w:adjustRightInd w:val="0"/>
        <w:spacing w:after="0" w:line="240" w:lineRule="auto"/>
        <w:jc w:val="both"/>
        <w:rPr>
          <w:rFonts w:ascii="Times New Roman" w:hAnsi="Times New Roman"/>
          <w:b/>
          <w:sz w:val="28"/>
          <w:szCs w:val="28"/>
        </w:rPr>
      </w:pPr>
    </w:p>
    <w:p w:rsidR="00BC54CD" w:rsidRDefault="004523DC" w:rsidP="00A047F5">
      <w:pPr>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Valsts tiešās pārvaldes iestādēs mēnešalga tiek noteikta, ņemot vērā divus kritērijus – mēnešalgu grupu un kvalifikācijas pakāpi </w:t>
      </w:r>
      <w:r w:rsidR="001A2232" w:rsidRPr="00BC54CD">
        <w:rPr>
          <w:rFonts w:ascii="Times New Roman" w:hAnsi="Times New Roman"/>
          <w:sz w:val="28"/>
          <w:szCs w:val="28"/>
        </w:rPr>
        <w:t xml:space="preserve">(nosaka iestāde, </w:t>
      </w:r>
      <w:r w:rsidR="009D148F">
        <w:rPr>
          <w:rFonts w:ascii="Times New Roman" w:hAnsi="Times New Roman"/>
          <w:sz w:val="28"/>
          <w:szCs w:val="28"/>
        </w:rPr>
        <w:t>pamatojoties uz</w:t>
      </w:r>
      <w:r w:rsidR="001A2232" w:rsidRPr="00BC54CD">
        <w:rPr>
          <w:rFonts w:ascii="Times New Roman" w:hAnsi="Times New Roman"/>
          <w:sz w:val="28"/>
          <w:szCs w:val="28"/>
        </w:rPr>
        <w:t xml:space="preserve"> darbinieka ikgadējo darba izpildes novērtējumu un nostrādāto laiku valsts dienestā)</w:t>
      </w:r>
      <w:r w:rsidR="001A2232">
        <w:rPr>
          <w:rFonts w:ascii="Times New Roman" w:hAnsi="Times New Roman"/>
          <w:sz w:val="28"/>
          <w:szCs w:val="28"/>
        </w:rPr>
        <w:t xml:space="preserve">, </w:t>
      </w:r>
      <w:r>
        <w:rPr>
          <w:rFonts w:ascii="Times New Roman" w:hAnsi="Times New Roman"/>
          <w:sz w:val="28"/>
          <w:szCs w:val="28"/>
        </w:rPr>
        <w:t xml:space="preserve">no 2014.gada 1.janvāra </w:t>
      </w:r>
      <w:r w:rsidR="00B2557E">
        <w:rPr>
          <w:rFonts w:ascii="Times New Roman" w:hAnsi="Times New Roman"/>
          <w:sz w:val="28"/>
          <w:szCs w:val="28"/>
        </w:rPr>
        <w:t>kvalifikācijas pakāp</w:t>
      </w:r>
      <w:r w:rsidR="00566E6B">
        <w:rPr>
          <w:rFonts w:ascii="Times New Roman" w:hAnsi="Times New Roman"/>
          <w:sz w:val="28"/>
          <w:szCs w:val="28"/>
        </w:rPr>
        <w:t>i aizstās</w:t>
      </w:r>
      <w:r w:rsidR="00B2557E">
        <w:rPr>
          <w:rFonts w:ascii="Times New Roman" w:hAnsi="Times New Roman"/>
          <w:sz w:val="28"/>
          <w:szCs w:val="28"/>
        </w:rPr>
        <w:t xml:space="preserve"> kategorija</w:t>
      </w:r>
      <w:r w:rsidRPr="0064030E">
        <w:rPr>
          <w:rFonts w:ascii="Times New Roman" w:hAnsi="Times New Roman"/>
          <w:sz w:val="28"/>
          <w:szCs w:val="28"/>
        </w:rPr>
        <w:t>.</w:t>
      </w:r>
      <w:r w:rsidR="0003286F" w:rsidRPr="0064030E">
        <w:rPr>
          <w:rFonts w:ascii="Times New Roman" w:hAnsi="Times New Roman"/>
          <w:sz w:val="28"/>
          <w:szCs w:val="28"/>
        </w:rPr>
        <w:t xml:space="preserve"> Būtiskākā ietekme mēnešalgas noteikšanā ir mēnešalgu grup</w:t>
      </w:r>
      <w:r w:rsidR="009C710B">
        <w:rPr>
          <w:rFonts w:ascii="Times New Roman" w:hAnsi="Times New Roman"/>
          <w:sz w:val="28"/>
          <w:szCs w:val="28"/>
        </w:rPr>
        <w:t>ai</w:t>
      </w:r>
      <w:r w:rsidR="0003286F" w:rsidRPr="0064030E">
        <w:rPr>
          <w:rFonts w:ascii="Times New Roman" w:hAnsi="Times New Roman"/>
          <w:sz w:val="28"/>
          <w:szCs w:val="28"/>
        </w:rPr>
        <w:t xml:space="preserve"> (100%-67%), </w:t>
      </w:r>
      <w:r w:rsidR="00B2557E" w:rsidRPr="00BC54CD">
        <w:rPr>
          <w:rFonts w:ascii="Times New Roman" w:hAnsi="Times New Roman"/>
          <w:sz w:val="28"/>
          <w:szCs w:val="28"/>
        </w:rPr>
        <w:t>kur</w:t>
      </w:r>
      <w:r w:rsidR="009C710B">
        <w:rPr>
          <w:rFonts w:ascii="Times New Roman" w:hAnsi="Times New Roman"/>
          <w:sz w:val="28"/>
          <w:szCs w:val="28"/>
        </w:rPr>
        <w:t xml:space="preserve">u </w:t>
      </w:r>
      <w:r w:rsidR="00B2557E" w:rsidRPr="00BC54CD">
        <w:rPr>
          <w:rFonts w:ascii="Times New Roman" w:hAnsi="Times New Roman"/>
          <w:sz w:val="28"/>
          <w:szCs w:val="28"/>
        </w:rPr>
        <w:t>nosaka amatiem atbilstoši amatu klasifikācijai amatu saimēs un līmeņos, ņemot vērā darba saturu, atbildību un sarežģītību.</w:t>
      </w:r>
      <w:r w:rsidR="00766683">
        <w:rPr>
          <w:rFonts w:ascii="Times New Roman" w:hAnsi="Times New Roman"/>
          <w:sz w:val="28"/>
          <w:szCs w:val="28"/>
        </w:rPr>
        <w:t xml:space="preserve"> </w:t>
      </w:r>
    </w:p>
    <w:p w:rsidR="00D7080F" w:rsidRDefault="00A41F61" w:rsidP="00A41F61">
      <w:pPr>
        <w:spacing w:after="0" w:line="240" w:lineRule="auto"/>
        <w:ind w:firstLine="720"/>
        <w:jc w:val="both"/>
        <w:rPr>
          <w:rFonts w:ascii="Times New Roman" w:hAnsi="Times New Roman"/>
          <w:sz w:val="28"/>
          <w:szCs w:val="28"/>
        </w:rPr>
      </w:pPr>
      <w:r>
        <w:rPr>
          <w:rFonts w:ascii="Times New Roman" w:hAnsi="Times New Roman"/>
          <w:sz w:val="28"/>
          <w:szCs w:val="28"/>
        </w:rPr>
        <w:t>10.attēlā redzams, kā Valsts kancelejā</w:t>
      </w:r>
      <w:r w:rsidR="00002F85">
        <w:rPr>
          <w:rFonts w:ascii="Times New Roman" w:hAnsi="Times New Roman"/>
          <w:sz w:val="28"/>
          <w:szCs w:val="28"/>
        </w:rPr>
        <w:t xml:space="preserve">, </w:t>
      </w:r>
      <w:r w:rsidR="00002F85" w:rsidRPr="00002F85">
        <w:rPr>
          <w:rFonts w:ascii="Times New Roman" w:hAnsi="Times New Roman"/>
          <w:sz w:val="28"/>
          <w:szCs w:val="28"/>
        </w:rPr>
        <w:t>Pārresoru koordinācijas centrā</w:t>
      </w:r>
      <w:r>
        <w:rPr>
          <w:rFonts w:ascii="Times New Roman" w:hAnsi="Times New Roman"/>
          <w:sz w:val="28"/>
          <w:szCs w:val="28"/>
        </w:rPr>
        <w:t xml:space="preserve"> un ministrijās nodarbināto amati procentuāli sadalās pa mēnešalgu grupām. Redzams, ka amatu sadalījums </w:t>
      </w:r>
      <w:r w:rsidR="00317CA9">
        <w:rPr>
          <w:rFonts w:ascii="Times New Roman" w:hAnsi="Times New Roman"/>
          <w:sz w:val="28"/>
          <w:szCs w:val="28"/>
        </w:rPr>
        <w:t xml:space="preserve">pa mēnešalgu grupām </w:t>
      </w:r>
      <w:r>
        <w:rPr>
          <w:rFonts w:ascii="Times New Roman" w:hAnsi="Times New Roman"/>
          <w:sz w:val="28"/>
          <w:szCs w:val="28"/>
        </w:rPr>
        <w:t>dažādās ministrijās ir atšķir</w:t>
      </w:r>
      <w:r w:rsidR="00317CA9">
        <w:rPr>
          <w:rFonts w:ascii="Times New Roman" w:hAnsi="Times New Roman"/>
          <w:sz w:val="28"/>
          <w:szCs w:val="28"/>
        </w:rPr>
        <w:t>īgs</w:t>
      </w:r>
      <w:r w:rsidR="00D7080F">
        <w:rPr>
          <w:rFonts w:ascii="Times New Roman" w:hAnsi="Times New Roman"/>
          <w:sz w:val="28"/>
          <w:szCs w:val="28"/>
        </w:rPr>
        <w:t>, kā rezultātā</w:t>
      </w:r>
      <w:r w:rsidR="00317CA9">
        <w:rPr>
          <w:rFonts w:ascii="Times New Roman" w:hAnsi="Times New Roman"/>
          <w:sz w:val="28"/>
          <w:szCs w:val="28"/>
        </w:rPr>
        <w:t xml:space="preserve"> arī vidējā mēnešalga dažādās ministrijās ir atšķirīga (skat. 11.attēlu)</w:t>
      </w:r>
      <w:r w:rsidR="004B5033">
        <w:rPr>
          <w:rFonts w:ascii="Times New Roman" w:hAnsi="Times New Roman"/>
          <w:sz w:val="28"/>
          <w:szCs w:val="28"/>
        </w:rPr>
        <w:t xml:space="preserve"> un nav viennozīmīgi salīdzināma</w:t>
      </w:r>
      <w:r w:rsidR="00D7080F">
        <w:rPr>
          <w:rFonts w:ascii="Times New Roman" w:hAnsi="Times New Roman"/>
          <w:sz w:val="28"/>
          <w:szCs w:val="28"/>
        </w:rPr>
        <w:t xml:space="preserve">.  </w:t>
      </w:r>
      <w:r w:rsidR="00317CA9">
        <w:rPr>
          <w:rFonts w:ascii="Times New Roman" w:hAnsi="Times New Roman"/>
          <w:sz w:val="28"/>
          <w:szCs w:val="28"/>
        </w:rPr>
        <w:t xml:space="preserve">  </w:t>
      </w:r>
    </w:p>
    <w:p w:rsidR="00A41F61" w:rsidRDefault="00317CA9" w:rsidP="00317CA9">
      <w:pPr>
        <w:spacing w:after="0" w:line="240" w:lineRule="auto"/>
        <w:ind w:firstLine="720"/>
        <w:jc w:val="right"/>
        <w:rPr>
          <w:rFonts w:ascii="Times New Roman" w:hAnsi="Times New Roman"/>
          <w:sz w:val="28"/>
          <w:szCs w:val="28"/>
        </w:rPr>
      </w:pPr>
      <w:r>
        <w:rPr>
          <w:rFonts w:ascii="Times New Roman" w:hAnsi="Times New Roman"/>
          <w:sz w:val="28"/>
          <w:szCs w:val="28"/>
        </w:rPr>
        <w:t>10.attēls</w:t>
      </w:r>
    </w:p>
    <w:p w:rsidR="00A41F61" w:rsidRPr="00317CA9" w:rsidRDefault="00317CA9" w:rsidP="00317CA9">
      <w:pPr>
        <w:spacing w:after="0" w:line="240" w:lineRule="auto"/>
        <w:ind w:firstLine="720"/>
        <w:jc w:val="center"/>
        <w:rPr>
          <w:rFonts w:ascii="Times New Roman" w:hAnsi="Times New Roman"/>
          <w:b/>
          <w:sz w:val="28"/>
          <w:szCs w:val="28"/>
        </w:rPr>
      </w:pPr>
      <w:r>
        <w:rPr>
          <w:rFonts w:ascii="Times New Roman" w:hAnsi="Times New Roman"/>
          <w:b/>
          <w:sz w:val="28"/>
          <w:szCs w:val="28"/>
        </w:rPr>
        <w:t>A</w:t>
      </w:r>
      <w:r w:rsidRPr="00317CA9">
        <w:rPr>
          <w:rFonts w:ascii="Times New Roman" w:hAnsi="Times New Roman"/>
          <w:b/>
          <w:sz w:val="28"/>
          <w:szCs w:val="28"/>
        </w:rPr>
        <w:t>mati procentuāl</w:t>
      </w:r>
      <w:r>
        <w:rPr>
          <w:rFonts w:ascii="Times New Roman" w:hAnsi="Times New Roman"/>
          <w:b/>
          <w:sz w:val="28"/>
          <w:szCs w:val="28"/>
        </w:rPr>
        <w:t>ais</w:t>
      </w:r>
      <w:r w:rsidRPr="00317CA9">
        <w:rPr>
          <w:rFonts w:ascii="Times New Roman" w:hAnsi="Times New Roman"/>
          <w:b/>
          <w:sz w:val="28"/>
          <w:szCs w:val="28"/>
        </w:rPr>
        <w:t xml:space="preserve"> sadal</w:t>
      </w:r>
      <w:r>
        <w:rPr>
          <w:rFonts w:ascii="Times New Roman" w:hAnsi="Times New Roman"/>
          <w:b/>
          <w:sz w:val="28"/>
          <w:szCs w:val="28"/>
        </w:rPr>
        <w:t>ījums</w:t>
      </w:r>
      <w:r w:rsidRPr="00317CA9">
        <w:rPr>
          <w:rFonts w:ascii="Times New Roman" w:hAnsi="Times New Roman"/>
          <w:b/>
          <w:sz w:val="28"/>
          <w:szCs w:val="28"/>
        </w:rPr>
        <w:t xml:space="preserve"> pa mēnešalgu grupām Valsts kancelejā</w:t>
      </w:r>
      <w:r>
        <w:rPr>
          <w:rFonts w:ascii="Times New Roman" w:hAnsi="Times New Roman"/>
          <w:b/>
          <w:sz w:val="28"/>
          <w:szCs w:val="28"/>
        </w:rPr>
        <w:t>,</w:t>
      </w:r>
      <w:r w:rsidRPr="00317CA9">
        <w:rPr>
          <w:rFonts w:ascii="Times New Roman" w:hAnsi="Times New Roman"/>
          <w:b/>
          <w:sz w:val="28"/>
          <w:szCs w:val="28"/>
        </w:rPr>
        <w:t xml:space="preserve"> </w:t>
      </w:r>
      <w:r w:rsidR="002B726A">
        <w:rPr>
          <w:rFonts w:ascii="Times New Roman" w:hAnsi="Times New Roman"/>
          <w:b/>
          <w:sz w:val="28"/>
          <w:szCs w:val="28"/>
        </w:rPr>
        <w:t>Pārresoru koordinācijas centrā</w:t>
      </w:r>
      <w:r w:rsidR="002B726A" w:rsidRPr="00317CA9">
        <w:rPr>
          <w:rFonts w:ascii="Times New Roman" w:hAnsi="Times New Roman"/>
          <w:b/>
          <w:sz w:val="28"/>
          <w:szCs w:val="28"/>
        </w:rPr>
        <w:t xml:space="preserve"> </w:t>
      </w:r>
      <w:r w:rsidR="002B726A">
        <w:rPr>
          <w:rFonts w:ascii="Times New Roman" w:hAnsi="Times New Roman"/>
          <w:b/>
          <w:sz w:val="28"/>
          <w:szCs w:val="28"/>
        </w:rPr>
        <w:t xml:space="preserve">un </w:t>
      </w:r>
      <w:r w:rsidRPr="00317CA9">
        <w:rPr>
          <w:rFonts w:ascii="Times New Roman" w:hAnsi="Times New Roman"/>
          <w:b/>
          <w:sz w:val="28"/>
          <w:szCs w:val="28"/>
        </w:rPr>
        <w:t xml:space="preserve">ministrijās </w:t>
      </w:r>
    </w:p>
    <w:p w:rsidR="00A41F61" w:rsidRDefault="00A41F61" w:rsidP="00A41F61">
      <w:pPr>
        <w:spacing w:after="0" w:line="240" w:lineRule="auto"/>
        <w:rPr>
          <w:rFonts w:ascii="Times New Roman" w:hAnsi="Times New Roman"/>
          <w:sz w:val="28"/>
          <w:szCs w:val="28"/>
        </w:rPr>
      </w:pPr>
      <w:r w:rsidRPr="00A41F61">
        <w:rPr>
          <w:rFonts w:ascii="Times New Roman" w:hAnsi="Times New Roman"/>
          <w:noProof/>
          <w:sz w:val="28"/>
          <w:szCs w:val="28"/>
        </w:rPr>
        <w:drawing>
          <wp:inline distT="0" distB="0" distL="0" distR="0" wp14:anchorId="0FE13C15" wp14:editId="4ECAB1B1">
            <wp:extent cx="6172200" cy="3796748"/>
            <wp:effectExtent l="0" t="0" r="19050" b="13335"/>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23C35" w:rsidRDefault="00C23C35" w:rsidP="00D34FD8">
      <w:pPr>
        <w:autoSpaceDE w:val="0"/>
        <w:autoSpaceDN w:val="0"/>
        <w:adjustRightInd w:val="0"/>
        <w:spacing w:after="0" w:line="240" w:lineRule="auto"/>
        <w:ind w:firstLine="720"/>
        <w:jc w:val="both"/>
        <w:rPr>
          <w:rFonts w:ascii="Times New Roman" w:hAnsi="Times New Roman"/>
          <w:sz w:val="20"/>
          <w:szCs w:val="20"/>
        </w:rPr>
      </w:pPr>
      <w:r>
        <w:rPr>
          <w:rFonts w:ascii="Times New Roman" w:hAnsi="Times New Roman"/>
          <w:sz w:val="20"/>
          <w:szCs w:val="20"/>
        </w:rPr>
        <w:t xml:space="preserve"> </w:t>
      </w:r>
      <w:r w:rsidRPr="00B47851">
        <w:rPr>
          <w:rFonts w:ascii="Times New Roman" w:hAnsi="Times New Roman"/>
          <w:sz w:val="20"/>
          <w:szCs w:val="20"/>
        </w:rPr>
        <w:t>Datu avots: Finanšu ministrija</w:t>
      </w:r>
    </w:p>
    <w:p w:rsidR="00D53188" w:rsidRDefault="00C23C35" w:rsidP="00D34FD8">
      <w:pPr>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 </w:t>
      </w:r>
    </w:p>
    <w:p w:rsidR="00002F85" w:rsidRPr="00002F85" w:rsidRDefault="00002F85" w:rsidP="00002F85">
      <w:pPr>
        <w:autoSpaceDE w:val="0"/>
        <w:autoSpaceDN w:val="0"/>
        <w:adjustRightInd w:val="0"/>
        <w:spacing w:after="0" w:line="240" w:lineRule="auto"/>
        <w:ind w:firstLine="720"/>
        <w:jc w:val="right"/>
        <w:rPr>
          <w:rFonts w:ascii="Times New Roman" w:hAnsi="Times New Roman"/>
          <w:sz w:val="28"/>
          <w:szCs w:val="28"/>
        </w:rPr>
      </w:pPr>
      <w:r w:rsidRPr="00002F85">
        <w:rPr>
          <w:rFonts w:ascii="Times New Roman" w:hAnsi="Times New Roman"/>
          <w:sz w:val="28"/>
          <w:szCs w:val="28"/>
        </w:rPr>
        <w:lastRenderedPageBreak/>
        <w:t>1</w:t>
      </w:r>
      <w:r>
        <w:rPr>
          <w:rFonts w:ascii="Times New Roman" w:hAnsi="Times New Roman"/>
          <w:sz w:val="28"/>
          <w:szCs w:val="28"/>
        </w:rPr>
        <w:t>1</w:t>
      </w:r>
      <w:r w:rsidRPr="00002F85">
        <w:rPr>
          <w:rFonts w:ascii="Times New Roman" w:hAnsi="Times New Roman"/>
          <w:sz w:val="28"/>
          <w:szCs w:val="28"/>
        </w:rPr>
        <w:t>.attēls</w:t>
      </w:r>
    </w:p>
    <w:p w:rsidR="008A3DE3" w:rsidRPr="00002F85" w:rsidRDefault="00534E1F" w:rsidP="00002F85">
      <w:pPr>
        <w:autoSpaceDE w:val="0"/>
        <w:autoSpaceDN w:val="0"/>
        <w:adjustRightInd w:val="0"/>
        <w:spacing w:after="0" w:line="240" w:lineRule="auto"/>
        <w:ind w:firstLine="720"/>
        <w:jc w:val="center"/>
        <w:rPr>
          <w:rFonts w:ascii="Times New Roman" w:hAnsi="Times New Roman"/>
          <w:b/>
          <w:sz w:val="28"/>
          <w:szCs w:val="28"/>
        </w:rPr>
      </w:pPr>
      <w:r>
        <w:rPr>
          <w:rFonts w:ascii="Times New Roman" w:hAnsi="Times New Roman"/>
          <w:b/>
          <w:sz w:val="28"/>
          <w:szCs w:val="28"/>
        </w:rPr>
        <w:t>Vidējā mēnešalga un darba samaksa (mēnešalga un piemaksas) 2013.gada 1.ceturksnī</w:t>
      </w:r>
      <w:r w:rsidR="00002F85" w:rsidRPr="00002F85">
        <w:rPr>
          <w:rFonts w:ascii="Times New Roman" w:hAnsi="Times New Roman"/>
          <w:b/>
          <w:sz w:val="28"/>
          <w:szCs w:val="28"/>
        </w:rPr>
        <w:t xml:space="preserve"> Valsts kancelejā, </w:t>
      </w:r>
      <w:r w:rsidRPr="00002F85">
        <w:rPr>
          <w:rFonts w:ascii="Times New Roman" w:hAnsi="Times New Roman"/>
          <w:b/>
          <w:sz w:val="28"/>
          <w:szCs w:val="28"/>
        </w:rPr>
        <w:t xml:space="preserve">Pārresoru koordinācijas centrā un </w:t>
      </w:r>
      <w:r w:rsidR="00002F85" w:rsidRPr="00002F85">
        <w:rPr>
          <w:rFonts w:ascii="Times New Roman" w:hAnsi="Times New Roman"/>
          <w:b/>
          <w:sz w:val="28"/>
          <w:szCs w:val="28"/>
        </w:rPr>
        <w:t xml:space="preserve">ministrijās </w:t>
      </w:r>
    </w:p>
    <w:p w:rsidR="008A3DE3" w:rsidRDefault="008A3DE3" w:rsidP="00D34FD8">
      <w:pPr>
        <w:autoSpaceDE w:val="0"/>
        <w:autoSpaceDN w:val="0"/>
        <w:adjustRightInd w:val="0"/>
        <w:spacing w:after="0" w:line="240" w:lineRule="auto"/>
        <w:ind w:firstLine="720"/>
        <w:jc w:val="both"/>
        <w:rPr>
          <w:rFonts w:ascii="Times New Roman" w:hAnsi="Times New Roman"/>
          <w:sz w:val="28"/>
          <w:szCs w:val="28"/>
        </w:rPr>
      </w:pPr>
    </w:p>
    <w:p w:rsidR="008A3DE3" w:rsidRDefault="008A3DE3" w:rsidP="008A3DE3">
      <w:pPr>
        <w:autoSpaceDE w:val="0"/>
        <w:autoSpaceDN w:val="0"/>
        <w:adjustRightInd w:val="0"/>
        <w:spacing w:after="0" w:line="240" w:lineRule="auto"/>
        <w:jc w:val="both"/>
        <w:rPr>
          <w:rFonts w:ascii="Times New Roman" w:hAnsi="Times New Roman"/>
          <w:sz w:val="28"/>
          <w:szCs w:val="28"/>
        </w:rPr>
      </w:pPr>
      <w:r w:rsidRPr="008A3DE3">
        <w:rPr>
          <w:rFonts w:ascii="Times New Roman" w:hAnsi="Times New Roman"/>
          <w:noProof/>
          <w:sz w:val="28"/>
          <w:szCs w:val="28"/>
        </w:rPr>
        <w:drawing>
          <wp:inline distT="0" distB="0" distL="0" distR="0" wp14:anchorId="3AEEA500" wp14:editId="703CD4A7">
            <wp:extent cx="6112565" cy="4343400"/>
            <wp:effectExtent l="0" t="0" r="21590" b="1905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53188" w:rsidRDefault="00D53188" w:rsidP="00D34FD8">
      <w:pPr>
        <w:autoSpaceDE w:val="0"/>
        <w:autoSpaceDN w:val="0"/>
        <w:adjustRightInd w:val="0"/>
        <w:spacing w:after="0" w:line="240" w:lineRule="auto"/>
        <w:ind w:firstLine="720"/>
        <w:jc w:val="both"/>
        <w:rPr>
          <w:rFonts w:ascii="Times New Roman" w:hAnsi="Times New Roman"/>
          <w:sz w:val="28"/>
          <w:szCs w:val="28"/>
        </w:rPr>
      </w:pPr>
    </w:p>
    <w:p w:rsidR="00B2153D" w:rsidRDefault="00B2153D" w:rsidP="00B2153D">
      <w:pPr>
        <w:spacing w:after="0" w:line="240" w:lineRule="auto"/>
        <w:jc w:val="both"/>
        <w:rPr>
          <w:rFonts w:ascii="Times New Roman" w:hAnsi="Times New Roman"/>
          <w:sz w:val="28"/>
          <w:szCs w:val="28"/>
        </w:rPr>
      </w:pPr>
    </w:p>
    <w:p w:rsidR="00B2153D" w:rsidRDefault="00B2153D" w:rsidP="00B2153D">
      <w:pPr>
        <w:spacing w:after="0" w:line="240" w:lineRule="auto"/>
        <w:jc w:val="both"/>
        <w:rPr>
          <w:rFonts w:ascii="Times New Roman" w:hAnsi="Times New Roman"/>
          <w:sz w:val="28"/>
          <w:szCs w:val="28"/>
        </w:rPr>
      </w:pPr>
    </w:p>
    <w:p w:rsidR="002E2558" w:rsidRDefault="0062320D" w:rsidP="00D34FD8">
      <w:pPr>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M</w:t>
      </w:r>
      <w:r w:rsidRPr="00E408DC">
        <w:rPr>
          <w:rFonts w:ascii="Times New Roman" w:hAnsi="Times New Roman"/>
          <w:sz w:val="28"/>
          <w:szCs w:val="28"/>
        </w:rPr>
        <w:t xml:space="preserve">ēnešalgu noteikšanai 2013.gadā </w:t>
      </w:r>
      <w:r>
        <w:rPr>
          <w:rFonts w:ascii="Times New Roman" w:hAnsi="Times New Roman"/>
          <w:sz w:val="28"/>
          <w:szCs w:val="28"/>
        </w:rPr>
        <w:t>v</w:t>
      </w:r>
      <w:r w:rsidR="007E65CD" w:rsidRPr="00E408DC">
        <w:rPr>
          <w:rFonts w:ascii="Times New Roman" w:hAnsi="Times New Roman"/>
          <w:sz w:val="28"/>
          <w:szCs w:val="28"/>
        </w:rPr>
        <w:t>alsts tiešās pārvaldes iestādēs piemēro Ministru kabineta noteikumus Nr.1651</w:t>
      </w:r>
      <w:r w:rsidR="002B62FF">
        <w:rPr>
          <w:rFonts w:ascii="Times New Roman" w:hAnsi="Times New Roman"/>
          <w:sz w:val="28"/>
          <w:szCs w:val="28"/>
        </w:rPr>
        <w:t>, kas nosa</w:t>
      </w:r>
      <w:r w:rsidR="0077276E" w:rsidRPr="00E408DC">
        <w:rPr>
          <w:rFonts w:ascii="Times New Roman" w:hAnsi="Times New Roman"/>
          <w:sz w:val="28"/>
          <w:szCs w:val="28"/>
        </w:rPr>
        <w:t>ka divas mēnešalgu skalas – vienu</w:t>
      </w:r>
      <w:r w:rsidR="00F4569C">
        <w:rPr>
          <w:rFonts w:ascii="Times New Roman" w:hAnsi="Times New Roman"/>
          <w:sz w:val="28"/>
          <w:szCs w:val="28"/>
        </w:rPr>
        <w:t> –</w:t>
      </w:r>
      <w:r w:rsidR="0077276E" w:rsidRPr="00E408DC">
        <w:rPr>
          <w:rFonts w:ascii="Times New Roman" w:hAnsi="Times New Roman"/>
          <w:sz w:val="28"/>
          <w:szCs w:val="28"/>
        </w:rPr>
        <w:t xml:space="preserve"> ministrijām un otru </w:t>
      </w:r>
      <w:r w:rsidR="00F4569C">
        <w:rPr>
          <w:rFonts w:ascii="Times New Roman" w:hAnsi="Times New Roman"/>
          <w:sz w:val="28"/>
          <w:szCs w:val="28"/>
        </w:rPr>
        <w:t>–</w:t>
      </w:r>
      <w:r w:rsidR="0077276E" w:rsidRPr="00E408DC">
        <w:rPr>
          <w:rFonts w:ascii="Times New Roman" w:hAnsi="Times New Roman"/>
          <w:sz w:val="28"/>
          <w:szCs w:val="28"/>
        </w:rPr>
        <w:t xml:space="preserve"> to padotības iestādēm.</w:t>
      </w:r>
      <w:r>
        <w:rPr>
          <w:rFonts w:ascii="Times New Roman" w:hAnsi="Times New Roman"/>
          <w:sz w:val="28"/>
          <w:szCs w:val="28"/>
        </w:rPr>
        <w:t xml:space="preserve"> </w:t>
      </w:r>
      <w:r w:rsidR="00AD72A5">
        <w:rPr>
          <w:rFonts w:ascii="Times New Roman" w:hAnsi="Times New Roman"/>
          <w:sz w:val="28"/>
          <w:szCs w:val="28"/>
        </w:rPr>
        <w:t>K</w:t>
      </w:r>
      <w:r w:rsidR="002B40AD" w:rsidRPr="002B40AD">
        <w:rPr>
          <w:rFonts w:ascii="Times New Roman" w:hAnsi="Times New Roman"/>
          <w:sz w:val="28"/>
          <w:szCs w:val="28"/>
        </w:rPr>
        <w:t>atrai mēnešalgu grupai atbilst noteikts mēnešalgu diapazons, kas veidojas starp mēnešalgas minimālo un maksimālo robežu</w:t>
      </w:r>
      <w:r w:rsidR="00AD72A5">
        <w:rPr>
          <w:rFonts w:ascii="Times New Roman" w:hAnsi="Times New Roman"/>
          <w:sz w:val="28"/>
          <w:szCs w:val="28"/>
        </w:rPr>
        <w:t xml:space="preserve">, skat. </w:t>
      </w:r>
      <w:r w:rsidR="00AD72A5" w:rsidRPr="002B40AD">
        <w:rPr>
          <w:rFonts w:ascii="Times New Roman" w:hAnsi="Times New Roman"/>
          <w:sz w:val="28"/>
          <w:szCs w:val="28"/>
        </w:rPr>
        <w:t>10.attēl</w:t>
      </w:r>
      <w:r w:rsidR="00AD72A5">
        <w:rPr>
          <w:rFonts w:ascii="Times New Roman" w:hAnsi="Times New Roman"/>
          <w:sz w:val="28"/>
          <w:szCs w:val="28"/>
        </w:rPr>
        <w:t>u</w:t>
      </w:r>
      <w:r w:rsidR="002B40AD" w:rsidRPr="002B40AD">
        <w:rPr>
          <w:rFonts w:ascii="Times New Roman" w:hAnsi="Times New Roman"/>
          <w:sz w:val="28"/>
          <w:szCs w:val="28"/>
        </w:rPr>
        <w:t xml:space="preserve">. </w:t>
      </w:r>
      <w:r w:rsidR="00C57E63">
        <w:rPr>
          <w:rFonts w:ascii="Times New Roman" w:hAnsi="Times New Roman"/>
          <w:sz w:val="28"/>
          <w:szCs w:val="28"/>
        </w:rPr>
        <w:t>Mēnešalgu grupām atbilstošās maksimālās mēnešalgas gan ministrijām, gan padotības iestādēm ir noteiktas vienādā apmērā</w:t>
      </w:r>
      <w:r w:rsidR="002B40AD">
        <w:rPr>
          <w:rFonts w:ascii="Times New Roman" w:hAnsi="Times New Roman"/>
          <w:sz w:val="28"/>
          <w:szCs w:val="28"/>
        </w:rPr>
        <w:t xml:space="preserve">, ievērojot nosacījumu, ka </w:t>
      </w:r>
      <w:r w:rsidR="002B40AD" w:rsidRPr="002B40AD">
        <w:rPr>
          <w:rFonts w:ascii="Times New Roman" w:hAnsi="Times New Roman"/>
          <w:sz w:val="28"/>
          <w:szCs w:val="28"/>
        </w:rPr>
        <w:t>mēnešalgas nedrīkst pārsniegt Ministru prezidentam noteikto mēnešalgu</w:t>
      </w:r>
      <w:r w:rsidR="00C57E63">
        <w:rPr>
          <w:rFonts w:ascii="Times New Roman" w:hAnsi="Times New Roman"/>
          <w:sz w:val="28"/>
          <w:szCs w:val="28"/>
        </w:rPr>
        <w:t>.</w:t>
      </w:r>
    </w:p>
    <w:p w:rsidR="00D67DB3" w:rsidRDefault="00D67DB3">
      <w:pPr>
        <w:spacing w:after="0" w:line="240" w:lineRule="auto"/>
        <w:rPr>
          <w:rFonts w:ascii="Times New Roman" w:hAnsi="Times New Roman"/>
          <w:sz w:val="28"/>
          <w:szCs w:val="28"/>
        </w:rPr>
      </w:pPr>
      <w:r>
        <w:rPr>
          <w:rFonts w:ascii="Times New Roman" w:hAnsi="Times New Roman"/>
          <w:sz w:val="28"/>
          <w:szCs w:val="28"/>
        </w:rPr>
        <w:br w:type="page"/>
      </w:r>
    </w:p>
    <w:p w:rsidR="00581F4F" w:rsidRDefault="00A41F61" w:rsidP="00A41F61">
      <w:pPr>
        <w:spacing w:after="0" w:line="240" w:lineRule="auto"/>
        <w:jc w:val="right"/>
        <w:rPr>
          <w:rFonts w:ascii="Times New Roman" w:hAnsi="Times New Roman"/>
          <w:sz w:val="28"/>
          <w:szCs w:val="28"/>
        </w:rPr>
      </w:pPr>
      <w:r>
        <w:rPr>
          <w:rFonts w:ascii="Times New Roman" w:hAnsi="Times New Roman"/>
          <w:sz w:val="28"/>
          <w:szCs w:val="28"/>
        </w:rPr>
        <w:lastRenderedPageBreak/>
        <w:t>10</w:t>
      </w:r>
      <w:r w:rsidR="00581F4F" w:rsidRPr="00E408DC">
        <w:rPr>
          <w:rFonts w:ascii="Times New Roman" w:hAnsi="Times New Roman"/>
          <w:sz w:val="28"/>
          <w:szCs w:val="28"/>
        </w:rPr>
        <w:t>.attēls</w:t>
      </w:r>
    </w:p>
    <w:p w:rsidR="00CA0AF2" w:rsidRDefault="00CA0AF2" w:rsidP="002B62FF">
      <w:pPr>
        <w:autoSpaceDE w:val="0"/>
        <w:autoSpaceDN w:val="0"/>
        <w:adjustRightInd w:val="0"/>
        <w:spacing w:after="0" w:line="240" w:lineRule="auto"/>
        <w:ind w:left="360"/>
        <w:jc w:val="right"/>
        <w:rPr>
          <w:rFonts w:ascii="Times New Roman" w:hAnsi="Times New Roman"/>
          <w:sz w:val="28"/>
          <w:szCs w:val="28"/>
        </w:rPr>
      </w:pPr>
    </w:p>
    <w:p w:rsidR="0022037A" w:rsidRPr="00E408DC" w:rsidRDefault="00581F4F" w:rsidP="002B62FF">
      <w:pPr>
        <w:autoSpaceDE w:val="0"/>
        <w:autoSpaceDN w:val="0"/>
        <w:adjustRightInd w:val="0"/>
        <w:spacing w:after="0" w:line="240" w:lineRule="auto"/>
        <w:ind w:left="360"/>
        <w:jc w:val="center"/>
        <w:rPr>
          <w:rFonts w:ascii="Times New Roman" w:hAnsi="Times New Roman"/>
          <w:b/>
          <w:sz w:val="28"/>
          <w:szCs w:val="28"/>
        </w:rPr>
      </w:pPr>
      <w:r w:rsidRPr="00E408DC">
        <w:rPr>
          <w:rFonts w:ascii="Times New Roman" w:hAnsi="Times New Roman"/>
          <w:b/>
          <w:sz w:val="28"/>
          <w:szCs w:val="28"/>
        </w:rPr>
        <w:t>Valsts tiešās pārvaldes iestāžu mēnešalgu skala</w:t>
      </w:r>
      <w:r w:rsidR="003358B6" w:rsidRPr="00E408DC">
        <w:rPr>
          <w:rFonts w:ascii="Times New Roman" w:hAnsi="Times New Roman"/>
          <w:b/>
          <w:sz w:val="28"/>
          <w:szCs w:val="28"/>
        </w:rPr>
        <w:t>s</w:t>
      </w:r>
      <w:r w:rsidRPr="00E408DC">
        <w:rPr>
          <w:rFonts w:ascii="Times New Roman" w:hAnsi="Times New Roman"/>
          <w:b/>
          <w:sz w:val="28"/>
          <w:szCs w:val="28"/>
        </w:rPr>
        <w:t xml:space="preserve"> – ministriju</w:t>
      </w:r>
      <w:r w:rsidR="003358B6" w:rsidRPr="00E408DC">
        <w:rPr>
          <w:rFonts w:ascii="Times New Roman" w:hAnsi="Times New Roman"/>
          <w:b/>
          <w:sz w:val="28"/>
          <w:szCs w:val="28"/>
        </w:rPr>
        <w:t xml:space="preserve"> skala</w:t>
      </w:r>
      <w:r w:rsidRPr="00E408DC">
        <w:rPr>
          <w:rFonts w:ascii="Times New Roman" w:hAnsi="Times New Roman"/>
          <w:b/>
          <w:sz w:val="28"/>
          <w:szCs w:val="28"/>
        </w:rPr>
        <w:t xml:space="preserve"> un padotības iestāžu</w:t>
      </w:r>
      <w:r w:rsidR="003358B6" w:rsidRPr="00E408DC">
        <w:rPr>
          <w:rFonts w:ascii="Times New Roman" w:hAnsi="Times New Roman"/>
          <w:b/>
          <w:sz w:val="28"/>
          <w:szCs w:val="28"/>
        </w:rPr>
        <w:t xml:space="preserve"> skala</w:t>
      </w:r>
    </w:p>
    <w:p w:rsidR="009D241C" w:rsidRPr="00E408DC" w:rsidRDefault="009D241C" w:rsidP="00581F4F">
      <w:pPr>
        <w:autoSpaceDE w:val="0"/>
        <w:autoSpaceDN w:val="0"/>
        <w:adjustRightInd w:val="0"/>
        <w:spacing w:after="0" w:line="240" w:lineRule="auto"/>
        <w:ind w:left="360"/>
        <w:jc w:val="center"/>
        <w:rPr>
          <w:rFonts w:ascii="Times New Roman" w:hAnsi="Times New Roman"/>
          <w:b/>
          <w:sz w:val="28"/>
          <w:szCs w:val="28"/>
        </w:rPr>
      </w:pPr>
    </w:p>
    <w:p w:rsidR="0022037A" w:rsidRPr="00E408DC" w:rsidRDefault="009E1D48" w:rsidP="001E7396">
      <w:pPr>
        <w:autoSpaceDE w:val="0"/>
        <w:autoSpaceDN w:val="0"/>
        <w:adjustRightInd w:val="0"/>
        <w:spacing w:after="0" w:line="240" w:lineRule="auto"/>
        <w:ind w:left="-142"/>
        <w:jc w:val="both"/>
        <w:rPr>
          <w:rFonts w:ascii="Times New Roman" w:hAnsi="Times New Roman"/>
          <w:sz w:val="26"/>
          <w:szCs w:val="26"/>
        </w:rPr>
      </w:pPr>
      <w:r>
        <w:rPr>
          <w:noProof/>
        </w:rPr>
        <mc:AlternateContent>
          <mc:Choice Requires="wps">
            <w:drawing>
              <wp:anchor distT="0" distB="0" distL="114300" distR="114300" simplePos="0" relativeHeight="251678208" behindDoc="0" locked="0" layoutInCell="1" allowOverlap="1">
                <wp:simplePos x="0" y="0"/>
                <wp:positionH relativeFrom="column">
                  <wp:posOffset>3796665</wp:posOffset>
                </wp:positionH>
                <wp:positionV relativeFrom="paragraph">
                  <wp:posOffset>1787525</wp:posOffset>
                </wp:positionV>
                <wp:extent cx="228600" cy="552450"/>
                <wp:effectExtent l="38100" t="38100" r="19050" b="19050"/>
                <wp:wrapNone/>
                <wp:docPr id="36"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A92D0" id="AutoShape 42" o:spid="_x0000_s1026" type="#_x0000_t32" style="position:absolute;margin-left:298.95pt;margin-top:140.75pt;width:18pt;height:43.5pt;flip:x 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">
                <v:stroke endarrow="block"/>
              </v:shape>
            </w:pict>
          </mc:Fallback>
        </mc:AlternateContent>
      </w:r>
      <w:r w:rsidR="001F1FB0">
        <w:rPr>
          <w:rFonts w:ascii="Times New Roman" w:hAnsi="Times New Roman"/>
          <w:noProof/>
          <w:sz w:val="26"/>
          <w:szCs w:val="26"/>
        </w:rPr>
        <w:drawing>
          <wp:inline distT="0" distB="0" distL="0" distR="0">
            <wp:extent cx="6219825" cy="3162300"/>
            <wp:effectExtent l="0" t="0" r="0" b="0"/>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2037A" w:rsidRPr="00E408DC" w:rsidRDefault="0022037A" w:rsidP="006D184F">
      <w:pPr>
        <w:autoSpaceDE w:val="0"/>
        <w:autoSpaceDN w:val="0"/>
        <w:adjustRightInd w:val="0"/>
        <w:spacing w:after="0" w:line="240" w:lineRule="auto"/>
        <w:ind w:left="360"/>
        <w:jc w:val="both"/>
        <w:rPr>
          <w:rFonts w:ascii="Times New Roman" w:hAnsi="Times New Roman"/>
          <w:sz w:val="26"/>
          <w:szCs w:val="26"/>
        </w:rPr>
      </w:pPr>
    </w:p>
    <w:p w:rsidR="00D215C2" w:rsidRDefault="00D215C2" w:rsidP="00371232">
      <w:pPr>
        <w:autoSpaceDE w:val="0"/>
        <w:autoSpaceDN w:val="0"/>
        <w:adjustRightInd w:val="0"/>
        <w:spacing w:after="0" w:line="240" w:lineRule="auto"/>
        <w:jc w:val="both"/>
        <w:rPr>
          <w:rFonts w:ascii="Times New Roman" w:hAnsi="Times New Roman"/>
          <w:sz w:val="28"/>
          <w:szCs w:val="28"/>
        </w:rPr>
      </w:pPr>
    </w:p>
    <w:p w:rsidR="00304F5D" w:rsidRPr="00E408DC" w:rsidRDefault="00B76194" w:rsidP="00371232">
      <w:pPr>
        <w:autoSpaceDE w:val="0"/>
        <w:autoSpaceDN w:val="0"/>
        <w:adjustRightInd w:val="0"/>
        <w:spacing w:after="0" w:line="240" w:lineRule="auto"/>
        <w:jc w:val="both"/>
        <w:rPr>
          <w:rFonts w:ascii="Times New Roman" w:hAnsi="Times New Roman"/>
          <w:sz w:val="28"/>
          <w:szCs w:val="28"/>
        </w:rPr>
      </w:pPr>
      <w:r w:rsidRPr="00E97252">
        <w:rPr>
          <w:rFonts w:ascii="Times New Roman" w:hAnsi="Times New Roman"/>
          <w:sz w:val="28"/>
          <w:szCs w:val="28"/>
        </w:rPr>
        <w:t>Šobrīd</w:t>
      </w:r>
      <w:r w:rsidR="006130E0" w:rsidRPr="00E97252">
        <w:rPr>
          <w:rFonts w:ascii="Times New Roman" w:hAnsi="Times New Roman"/>
          <w:sz w:val="28"/>
          <w:szCs w:val="28"/>
        </w:rPr>
        <w:t xml:space="preserve"> ministriju mēnešalgu skalā lielākais diapazons ir </w:t>
      </w:r>
      <w:r w:rsidR="00E97252" w:rsidRPr="00E97252">
        <w:rPr>
          <w:rFonts w:ascii="Times New Roman" w:hAnsi="Times New Roman"/>
          <w:sz w:val="28"/>
          <w:szCs w:val="28"/>
        </w:rPr>
        <w:t>33</w:t>
      </w:r>
      <w:r w:rsidR="00687FED" w:rsidRPr="00E97252">
        <w:rPr>
          <w:rFonts w:ascii="Times New Roman" w:hAnsi="Times New Roman"/>
          <w:sz w:val="28"/>
          <w:szCs w:val="28"/>
        </w:rPr>
        <w:t>% (izņēmums – Ārlietu ministrijas speciālās 13A un14A mēnešalgu grupas</w:t>
      </w:r>
      <w:r w:rsidR="00C7307A" w:rsidRPr="00E97252">
        <w:rPr>
          <w:rFonts w:ascii="Times New Roman" w:hAnsi="Times New Roman"/>
          <w:sz w:val="28"/>
          <w:szCs w:val="28"/>
        </w:rPr>
        <w:t>, kuras noteiktas diplomātu amatiem</w:t>
      </w:r>
      <w:r w:rsidR="00687FED" w:rsidRPr="00E97252">
        <w:rPr>
          <w:rFonts w:ascii="Times New Roman" w:hAnsi="Times New Roman"/>
          <w:sz w:val="28"/>
          <w:szCs w:val="28"/>
        </w:rPr>
        <w:t>)</w:t>
      </w:r>
      <w:r w:rsidR="00E97252" w:rsidRPr="00E97252">
        <w:rPr>
          <w:rFonts w:ascii="Times New Roman" w:hAnsi="Times New Roman"/>
          <w:sz w:val="28"/>
          <w:szCs w:val="28"/>
        </w:rPr>
        <w:t xml:space="preserve"> 12.mēnešalgu grupas 5. un 6.kvalifikācijas pakāpei</w:t>
      </w:r>
      <w:r w:rsidR="00E97252">
        <w:rPr>
          <w:rFonts w:ascii="Times New Roman" w:hAnsi="Times New Roman"/>
          <w:sz w:val="28"/>
          <w:szCs w:val="28"/>
        </w:rPr>
        <w:t xml:space="preserve"> </w:t>
      </w:r>
      <w:r w:rsidR="00E97252" w:rsidRPr="00E97252">
        <w:rPr>
          <w:rFonts w:ascii="Times New Roman" w:hAnsi="Times New Roman"/>
          <w:sz w:val="28"/>
          <w:szCs w:val="28"/>
        </w:rPr>
        <w:t xml:space="preserve">– tas nozīmē, ka </w:t>
      </w:r>
      <w:r w:rsidR="000B45FE">
        <w:rPr>
          <w:rFonts w:ascii="Times New Roman" w:hAnsi="Times New Roman"/>
          <w:sz w:val="28"/>
          <w:szCs w:val="28"/>
        </w:rPr>
        <w:t xml:space="preserve">šajās pakāpēs </w:t>
      </w:r>
      <w:r w:rsidR="00E97252" w:rsidRPr="00E97252">
        <w:rPr>
          <w:rFonts w:ascii="Times New Roman" w:hAnsi="Times New Roman"/>
          <w:sz w:val="28"/>
          <w:szCs w:val="28"/>
        </w:rPr>
        <w:t>zemākā mēnešalga sastāda 67% no augstākās mēnešalgas</w:t>
      </w:r>
      <w:r w:rsidR="006130E0" w:rsidRPr="00E97252">
        <w:rPr>
          <w:rFonts w:ascii="Times New Roman" w:hAnsi="Times New Roman"/>
          <w:sz w:val="28"/>
          <w:szCs w:val="28"/>
        </w:rPr>
        <w:t>, bet padotības iestāžu skal</w:t>
      </w:r>
      <w:r w:rsidRPr="00E97252">
        <w:rPr>
          <w:rFonts w:ascii="Times New Roman" w:hAnsi="Times New Roman"/>
          <w:sz w:val="28"/>
          <w:szCs w:val="28"/>
        </w:rPr>
        <w:t>ā</w:t>
      </w:r>
      <w:r w:rsidR="006130E0" w:rsidRPr="00E97252">
        <w:rPr>
          <w:rFonts w:ascii="Times New Roman" w:hAnsi="Times New Roman"/>
          <w:sz w:val="28"/>
          <w:szCs w:val="28"/>
        </w:rPr>
        <w:t xml:space="preserve"> –</w:t>
      </w:r>
      <w:r w:rsidR="000B45FE">
        <w:rPr>
          <w:rFonts w:ascii="Times New Roman" w:hAnsi="Times New Roman"/>
          <w:sz w:val="28"/>
          <w:szCs w:val="28"/>
        </w:rPr>
        <w:t xml:space="preserve"> </w:t>
      </w:r>
      <w:r w:rsidR="00E97252" w:rsidRPr="00E97252">
        <w:rPr>
          <w:rFonts w:ascii="Times New Roman" w:hAnsi="Times New Roman"/>
          <w:sz w:val="28"/>
          <w:szCs w:val="28"/>
        </w:rPr>
        <w:t>67</w:t>
      </w:r>
      <w:r w:rsidR="00687FED" w:rsidRPr="00E97252">
        <w:rPr>
          <w:rFonts w:ascii="Times New Roman" w:hAnsi="Times New Roman"/>
          <w:sz w:val="28"/>
          <w:szCs w:val="28"/>
        </w:rPr>
        <w:t>%</w:t>
      </w:r>
      <w:r w:rsidR="008E39AD" w:rsidRPr="00E97252">
        <w:rPr>
          <w:rFonts w:ascii="Times New Roman" w:hAnsi="Times New Roman"/>
          <w:sz w:val="28"/>
          <w:szCs w:val="28"/>
        </w:rPr>
        <w:t xml:space="preserve"> </w:t>
      </w:r>
      <w:r w:rsidR="00E97252" w:rsidRPr="00E97252">
        <w:rPr>
          <w:rFonts w:ascii="Times New Roman" w:hAnsi="Times New Roman"/>
          <w:sz w:val="28"/>
          <w:szCs w:val="28"/>
        </w:rPr>
        <w:t>12.mēnešalgu grupa</w:t>
      </w:r>
      <w:r w:rsidR="00E97252">
        <w:rPr>
          <w:rFonts w:ascii="Times New Roman" w:hAnsi="Times New Roman"/>
          <w:sz w:val="28"/>
          <w:szCs w:val="28"/>
        </w:rPr>
        <w:t>s</w:t>
      </w:r>
      <w:r w:rsidR="00E97252" w:rsidRPr="00E97252">
        <w:rPr>
          <w:rFonts w:ascii="Times New Roman" w:hAnsi="Times New Roman"/>
          <w:sz w:val="28"/>
          <w:szCs w:val="28"/>
        </w:rPr>
        <w:t xml:space="preserve"> 2. un 3.kvalifikācijas pakāpei </w:t>
      </w:r>
      <w:r w:rsidR="00F4569C">
        <w:rPr>
          <w:rFonts w:ascii="Times New Roman" w:hAnsi="Times New Roman"/>
          <w:sz w:val="28"/>
          <w:szCs w:val="28"/>
        </w:rPr>
        <w:t>–</w:t>
      </w:r>
      <w:r w:rsidR="000B45FE">
        <w:rPr>
          <w:rFonts w:ascii="Times New Roman" w:hAnsi="Times New Roman"/>
          <w:sz w:val="28"/>
          <w:szCs w:val="28"/>
        </w:rPr>
        <w:t xml:space="preserve"> attiecīgi</w:t>
      </w:r>
      <w:r w:rsidR="00E97252" w:rsidRPr="00E97252">
        <w:t xml:space="preserve"> </w:t>
      </w:r>
      <w:r w:rsidR="00E97252" w:rsidRPr="00E97252">
        <w:rPr>
          <w:rFonts w:ascii="Times New Roman" w:hAnsi="Times New Roman"/>
          <w:sz w:val="28"/>
          <w:szCs w:val="28"/>
        </w:rPr>
        <w:t>zemākā mēnešalga sastāda 33% no augstākās mēnešalgas</w:t>
      </w:r>
      <w:r w:rsidR="006130E0" w:rsidRPr="00E97252">
        <w:rPr>
          <w:rFonts w:ascii="Times New Roman" w:hAnsi="Times New Roman"/>
          <w:sz w:val="28"/>
          <w:szCs w:val="28"/>
        </w:rPr>
        <w:t>.</w:t>
      </w:r>
    </w:p>
    <w:p w:rsidR="00CA0AF2" w:rsidRDefault="00043223" w:rsidP="0050101F">
      <w:pPr>
        <w:autoSpaceDE w:val="0"/>
        <w:autoSpaceDN w:val="0"/>
        <w:adjustRightInd w:val="0"/>
        <w:spacing w:after="0" w:line="240" w:lineRule="auto"/>
        <w:ind w:firstLine="720"/>
        <w:jc w:val="both"/>
        <w:rPr>
          <w:rFonts w:ascii="Times New Roman" w:hAnsi="Times New Roman"/>
          <w:sz w:val="28"/>
          <w:szCs w:val="28"/>
        </w:rPr>
      </w:pPr>
      <w:r w:rsidRPr="00E408DC">
        <w:rPr>
          <w:rFonts w:ascii="Times New Roman" w:hAnsi="Times New Roman"/>
          <w:sz w:val="28"/>
          <w:szCs w:val="28"/>
        </w:rPr>
        <w:t>Katra konkrētā darbinieka mēnešalga tiek noteikta diapazona ietvaros</w:t>
      </w:r>
      <w:r w:rsidR="007512E2">
        <w:rPr>
          <w:rFonts w:ascii="Times New Roman" w:hAnsi="Times New Roman"/>
          <w:sz w:val="28"/>
          <w:szCs w:val="28"/>
        </w:rPr>
        <w:t xml:space="preserve">, ņemot </w:t>
      </w:r>
      <w:r w:rsidR="007512E2" w:rsidRPr="007512E2">
        <w:rPr>
          <w:rFonts w:ascii="Times New Roman" w:hAnsi="Times New Roman"/>
          <w:sz w:val="28"/>
          <w:szCs w:val="28"/>
        </w:rPr>
        <w:t>vērā iestādes budžeta iespējas</w:t>
      </w:r>
      <w:r w:rsidR="004B257C">
        <w:rPr>
          <w:rFonts w:ascii="Times New Roman" w:hAnsi="Times New Roman"/>
          <w:sz w:val="28"/>
          <w:szCs w:val="28"/>
        </w:rPr>
        <w:t xml:space="preserve">, kā arī </w:t>
      </w:r>
      <w:r w:rsidR="007512E2" w:rsidRPr="007512E2">
        <w:rPr>
          <w:rFonts w:ascii="Times New Roman" w:hAnsi="Times New Roman"/>
          <w:sz w:val="28"/>
          <w:szCs w:val="28"/>
        </w:rPr>
        <w:t xml:space="preserve">iestādes atlīdzības politiku. </w:t>
      </w:r>
      <w:r w:rsidR="008E39AD" w:rsidRPr="007512E2">
        <w:rPr>
          <w:rFonts w:ascii="Times New Roman" w:hAnsi="Times New Roman"/>
          <w:sz w:val="28"/>
          <w:szCs w:val="28"/>
        </w:rPr>
        <w:t xml:space="preserve"> </w:t>
      </w:r>
      <w:r w:rsidR="00A41F61">
        <w:rPr>
          <w:rFonts w:ascii="Times New Roman" w:hAnsi="Times New Roman"/>
          <w:sz w:val="28"/>
          <w:szCs w:val="28"/>
        </w:rPr>
        <w:t>11</w:t>
      </w:r>
      <w:r w:rsidR="007F6DEF" w:rsidRPr="007512E2">
        <w:rPr>
          <w:rFonts w:ascii="Times New Roman" w:hAnsi="Times New Roman"/>
          <w:sz w:val="28"/>
          <w:szCs w:val="28"/>
        </w:rPr>
        <w:t>.attēl</w:t>
      </w:r>
      <w:r w:rsidR="00AD72A5">
        <w:rPr>
          <w:rFonts w:ascii="Times New Roman" w:hAnsi="Times New Roman"/>
          <w:sz w:val="28"/>
          <w:szCs w:val="28"/>
        </w:rPr>
        <w:t>ā redzams,</w:t>
      </w:r>
      <w:r w:rsidR="007F6DEF" w:rsidRPr="007512E2">
        <w:rPr>
          <w:rFonts w:ascii="Times New Roman" w:hAnsi="Times New Roman"/>
          <w:sz w:val="28"/>
          <w:szCs w:val="28"/>
        </w:rPr>
        <w:t xml:space="preserve"> kā darbiniekiem noteiktās mēnešalgas </w:t>
      </w:r>
      <w:r w:rsidR="00F37132" w:rsidRPr="007512E2">
        <w:rPr>
          <w:rFonts w:ascii="Times New Roman" w:hAnsi="Times New Roman"/>
          <w:sz w:val="28"/>
          <w:szCs w:val="28"/>
        </w:rPr>
        <w:t>sadalās</w:t>
      </w:r>
      <w:r w:rsidR="007F6DEF" w:rsidRPr="007512E2">
        <w:rPr>
          <w:rFonts w:ascii="Times New Roman" w:hAnsi="Times New Roman"/>
          <w:sz w:val="28"/>
          <w:szCs w:val="28"/>
        </w:rPr>
        <w:t xml:space="preserve"> diapazonu ietvaros atbilstoši</w:t>
      </w:r>
      <w:r w:rsidR="007F6DEF" w:rsidRPr="00E408DC">
        <w:rPr>
          <w:rFonts w:ascii="Times New Roman" w:hAnsi="Times New Roman"/>
          <w:sz w:val="28"/>
          <w:szCs w:val="28"/>
        </w:rPr>
        <w:t xml:space="preserve"> mēnešalgu grupām.</w:t>
      </w:r>
    </w:p>
    <w:p w:rsidR="00A41F61" w:rsidRDefault="00A41F61" w:rsidP="0050101F">
      <w:pPr>
        <w:autoSpaceDE w:val="0"/>
        <w:autoSpaceDN w:val="0"/>
        <w:adjustRightInd w:val="0"/>
        <w:spacing w:after="0" w:line="240" w:lineRule="auto"/>
        <w:ind w:firstLine="720"/>
        <w:jc w:val="both"/>
        <w:rPr>
          <w:rFonts w:ascii="Times New Roman" w:hAnsi="Times New Roman"/>
          <w:sz w:val="28"/>
          <w:szCs w:val="28"/>
        </w:rPr>
      </w:pPr>
    </w:p>
    <w:p w:rsidR="007E6068" w:rsidRDefault="007E6068">
      <w:pPr>
        <w:spacing w:after="0" w:line="240" w:lineRule="auto"/>
        <w:rPr>
          <w:rFonts w:ascii="Times New Roman" w:hAnsi="Times New Roman"/>
          <w:sz w:val="28"/>
          <w:szCs w:val="28"/>
        </w:rPr>
      </w:pPr>
      <w:r>
        <w:rPr>
          <w:rFonts w:ascii="Times New Roman" w:hAnsi="Times New Roman"/>
          <w:sz w:val="28"/>
          <w:szCs w:val="28"/>
        </w:rPr>
        <w:br w:type="page"/>
      </w:r>
    </w:p>
    <w:p w:rsidR="006D1CE6" w:rsidRDefault="00A41F61" w:rsidP="00287205">
      <w:pPr>
        <w:autoSpaceDE w:val="0"/>
        <w:autoSpaceDN w:val="0"/>
        <w:adjustRightInd w:val="0"/>
        <w:spacing w:after="0" w:line="240" w:lineRule="auto"/>
        <w:ind w:left="360"/>
        <w:jc w:val="right"/>
        <w:rPr>
          <w:rFonts w:ascii="Times New Roman" w:hAnsi="Times New Roman"/>
          <w:sz w:val="28"/>
          <w:szCs w:val="28"/>
        </w:rPr>
      </w:pPr>
      <w:r>
        <w:rPr>
          <w:rFonts w:ascii="Times New Roman" w:hAnsi="Times New Roman"/>
          <w:sz w:val="28"/>
          <w:szCs w:val="28"/>
        </w:rPr>
        <w:lastRenderedPageBreak/>
        <w:t>11</w:t>
      </w:r>
      <w:r w:rsidR="00287205" w:rsidRPr="00E408DC">
        <w:rPr>
          <w:rFonts w:ascii="Times New Roman" w:hAnsi="Times New Roman"/>
          <w:sz w:val="28"/>
          <w:szCs w:val="28"/>
        </w:rPr>
        <w:t>.attēls</w:t>
      </w:r>
    </w:p>
    <w:p w:rsidR="006D1CE6" w:rsidRDefault="00416F42" w:rsidP="00416F42">
      <w:pPr>
        <w:autoSpaceDE w:val="0"/>
        <w:autoSpaceDN w:val="0"/>
        <w:adjustRightInd w:val="0"/>
        <w:spacing w:after="0" w:line="240" w:lineRule="auto"/>
        <w:ind w:left="360"/>
        <w:jc w:val="center"/>
        <w:rPr>
          <w:rFonts w:ascii="Times New Roman" w:hAnsi="Times New Roman"/>
          <w:b/>
          <w:sz w:val="28"/>
          <w:szCs w:val="28"/>
        </w:rPr>
      </w:pPr>
      <w:r w:rsidRPr="00E408DC">
        <w:rPr>
          <w:rFonts w:ascii="Times New Roman" w:hAnsi="Times New Roman"/>
          <w:b/>
          <w:sz w:val="28"/>
          <w:szCs w:val="28"/>
        </w:rPr>
        <w:t xml:space="preserve">Darbiniekiem noteiktās mēnešalgas diapazonu ietvaros </w:t>
      </w:r>
      <w:r w:rsidR="00306C48">
        <w:rPr>
          <w:rFonts w:ascii="Times New Roman" w:hAnsi="Times New Roman"/>
          <w:b/>
          <w:sz w:val="28"/>
          <w:szCs w:val="28"/>
        </w:rPr>
        <w:t>–</w:t>
      </w:r>
      <w:r w:rsidRPr="00E408DC">
        <w:rPr>
          <w:rFonts w:ascii="Times New Roman" w:hAnsi="Times New Roman"/>
          <w:b/>
          <w:sz w:val="28"/>
          <w:szCs w:val="28"/>
        </w:rPr>
        <w:t xml:space="preserve"> piemēr</w:t>
      </w:r>
      <w:r w:rsidR="00DC16C3" w:rsidRPr="00E408DC">
        <w:rPr>
          <w:rFonts w:ascii="Times New Roman" w:hAnsi="Times New Roman"/>
          <w:b/>
          <w:sz w:val="28"/>
          <w:szCs w:val="28"/>
        </w:rPr>
        <w:t>i</w:t>
      </w:r>
    </w:p>
    <w:p w:rsidR="00306C48" w:rsidRDefault="00B73BA0" w:rsidP="00B73BA0">
      <w:pPr>
        <w:autoSpaceDE w:val="0"/>
        <w:autoSpaceDN w:val="0"/>
        <w:adjustRightInd w:val="0"/>
        <w:spacing w:after="0" w:line="240" w:lineRule="auto"/>
        <w:ind w:left="360"/>
        <w:jc w:val="center"/>
        <w:rPr>
          <w:rFonts w:ascii="Times New Roman" w:hAnsi="Times New Roman"/>
          <w:b/>
          <w:sz w:val="28"/>
          <w:szCs w:val="28"/>
        </w:rPr>
      </w:pPr>
      <w:r>
        <w:rPr>
          <w:rFonts w:ascii="Times New Roman" w:hAnsi="Times New Roman"/>
          <w:b/>
          <w:sz w:val="28"/>
          <w:szCs w:val="28"/>
        </w:rPr>
        <w:t>Ministrijas</w:t>
      </w:r>
    </w:p>
    <w:p w:rsidR="00416F42" w:rsidRPr="00E408DC" w:rsidRDefault="001F1FB0" w:rsidP="00A93EC4">
      <w:pPr>
        <w:autoSpaceDE w:val="0"/>
        <w:autoSpaceDN w:val="0"/>
        <w:adjustRightInd w:val="0"/>
        <w:spacing w:after="0" w:line="240" w:lineRule="auto"/>
        <w:ind w:left="-426"/>
        <w:jc w:val="both"/>
        <w:rPr>
          <w:rFonts w:ascii="Times New Roman" w:hAnsi="Times New Roman"/>
          <w:sz w:val="28"/>
          <w:szCs w:val="28"/>
        </w:rPr>
      </w:pPr>
      <w:r>
        <w:rPr>
          <w:rFonts w:ascii="Times New Roman" w:hAnsi="Times New Roman"/>
          <w:noProof/>
          <w:sz w:val="28"/>
          <w:szCs w:val="28"/>
        </w:rPr>
        <w:drawing>
          <wp:inline distT="0" distB="0" distL="0" distR="0">
            <wp:extent cx="3095625" cy="3429000"/>
            <wp:effectExtent l="0" t="0" r="0" b="0"/>
            <wp:docPr id="1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ascii="Times New Roman" w:hAnsi="Times New Roman"/>
          <w:noProof/>
          <w:sz w:val="28"/>
          <w:szCs w:val="28"/>
        </w:rPr>
        <w:drawing>
          <wp:inline distT="0" distB="0" distL="0" distR="0">
            <wp:extent cx="3095625" cy="3419475"/>
            <wp:effectExtent l="0" t="0" r="0" b="0"/>
            <wp:docPr id="1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74B75" w:rsidRDefault="00B73BA0" w:rsidP="005A6553">
      <w:pPr>
        <w:spacing w:after="0" w:line="240" w:lineRule="auto"/>
        <w:jc w:val="center"/>
        <w:rPr>
          <w:rFonts w:ascii="Times New Roman" w:hAnsi="Times New Roman"/>
          <w:b/>
          <w:sz w:val="28"/>
          <w:szCs w:val="28"/>
        </w:rPr>
      </w:pPr>
      <w:r w:rsidRPr="00B73BA0">
        <w:rPr>
          <w:rFonts w:ascii="Times New Roman" w:hAnsi="Times New Roman"/>
          <w:b/>
          <w:sz w:val="28"/>
          <w:szCs w:val="28"/>
        </w:rPr>
        <w:t>Padotības iestādes</w:t>
      </w:r>
    </w:p>
    <w:p w:rsidR="007D3C42" w:rsidRDefault="001F1FB0" w:rsidP="00A93EC4">
      <w:pPr>
        <w:autoSpaceDE w:val="0"/>
        <w:autoSpaceDN w:val="0"/>
        <w:adjustRightInd w:val="0"/>
        <w:spacing w:after="0" w:line="240" w:lineRule="auto"/>
        <w:ind w:left="-567"/>
        <w:jc w:val="both"/>
        <w:rPr>
          <w:rFonts w:ascii="Times New Roman" w:hAnsi="Times New Roman"/>
          <w:sz w:val="28"/>
          <w:szCs w:val="28"/>
        </w:rPr>
      </w:pPr>
      <w:r>
        <w:rPr>
          <w:rFonts w:ascii="Times New Roman" w:hAnsi="Times New Roman"/>
          <w:b/>
          <w:noProof/>
          <w:sz w:val="28"/>
          <w:szCs w:val="28"/>
        </w:rPr>
        <w:drawing>
          <wp:inline distT="0" distB="0" distL="0" distR="0">
            <wp:extent cx="3133725" cy="3619500"/>
            <wp:effectExtent l="0" t="0" r="0" b="0"/>
            <wp:docPr id="1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ascii="Times New Roman" w:hAnsi="Times New Roman"/>
          <w:noProof/>
          <w:sz w:val="28"/>
          <w:szCs w:val="28"/>
        </w:rPr>
        <w:drawing>
          <wp:inline distT="0" distB="0" distL="0" distR="0">
            <wp:extent cx="3105150" cy="3619500"/>
            <wp:effectExtent l="0" t="0" r="0" b="0"/>
            <wp:docPr id="13"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D3C42" w:rsidRPr="00D95A06" w:rsidRDefault="00D95A06" w:rsidP="005004F3">
      <w:pPr>
        <w:autoSpaceDE w:val="0"/>
        <w:autoSpaceDN w:val="0"/>
        <w:adjustRightInd w:val="0"/>
        <w:spacing w:after="0" w:line="240" w:lineRule="auto"/>
        <w:jc w:val="both"/>
        <w:rPr>
          <w:rFonts w:ascii="Times New Roman" w:hAnsi="Times New Roman"/>
          <w:sz w:val="24"/>
          <w:szCs w:val="24"/>
        </w:rPr>
      </w:pPr>
      <w:r w:rsidRPr="00D95A06">
        <w:rPr>
          <w:rFonts w:ascii="Times New Roman" w:hAnsi="Times New Roman"/>
          <w:sz w:val="24"/>
          <w:szCs w:val="24"/>
        </w:rPr>
        <w:t xml:space="preserve">*izkliede zem diapazoniem skaidrojama ar </w:t>
      </w:r>
      <w:r w:rsidR="00974B75">
        <w:rPr>
          <w:rFonts w:ascii="Times New Roman" w:hAnsi="Times New Roman"/>
          <w:sz w:val="24"/>
          <w:szCs w:val="24"/>
        </w:rPr>
        <w:t>nepilnām slodzēm.</w:t>
      </w:r>
    </w:p>
    <w:p w:rsidR="00D95A06" w:rsidRDefault="000D0A68" w:rsidP="005004F3">
      <w:pPr>
        <w:autoSpaceDE w:val="0"/>
        <w:autoSpaceDN w:val="0"/>
        <w:adjustRightInd w:val="0"/>
        <w:spacing w:after="0" w:line="240" w:lineRule="auto"/>
        <w:jc w:val="both"/>
        <w:rPr>
          <w:rFonts w:ascii="Times New Roman" w:hAnsi="Times New Roman"/>
          <w:sz w:val="28"/>
          <w:szCs w:val="28"/>
        </w:rPr>
      </w:pPr>
      <w:r w:rsidRPr="00B47851">
        <w:rPr>
          <w:rFonts w:ascii="Times New Roman" w:hAnsi="Times New Roman"/>
          <w:sz w:val="20"/>
          <w:szCs w:val="20"/>
        </w:rPr>
        <w:t>Datu avots: Finanšu ministrija</w:t>
      </w:r>
    </w:p>
    <w:p w:rsidR="00E97F87" w:rsidRDefault="00BF4CC8" w:rsidP="00E97F87">
      <w:pPr>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lastRenderedPageBreak/>
        <w:t xml:space="preserve">Ņemot vērā darbiniekiem noteikto mēnešalgu izkliedi diapazona ietvaros, </w:t>
      </w:r>
      <w:r w:rsidR="00E97F87">
        <w:rPr>
          <w:rFonts w:ascii="Times New Roman" w:hAnsi="Times New Roman"/>
          <w:sz w:val="28"/>
          <w:szCs w:val="28"/>
        </w:rPr>
        <w:t xml:space="preserve">Finanšu ministrija </w:t>
      </w:r>
      <w:r>
        <w:rPr>
          <w:rFonts w:ascii="Times New Roman" w:hAnsi="Times New Roman"/>
          <w:sz w:val="28"/>
          <w:szCs w:val="28"/>
        </w:rPr>
        <w:t>valst</w:t>
      </w:r>
      <w:r w:rsidR="00EA71F8">
        <w:rPr>
          <w:rFonts w:ascii="Times New Roman" w:hAnsi="Times New Roman"/>
          <w:sz w:val="28"/>
          <w:szCs w:val="28"/>
        </w:rPr>
        <w:t>s</w:t>
      </w:r>
      <w:r>
        <w:rPr>
          <w:rFonts w:ascii="Times New Roman" w:hAnsi="Times New Roman"/>
          <w:sz w:val="28"/>
          <w:szCs w:val="28"/>
        </w:rPr>
        <w:t xml:space="preserve"> pārvaldes iestādēs noteikto mēnešalgu salīdzināšanai </w:t>
      </w:r>
      <w:r w:rsidR="00E97F87">
        <w:rPr>
          <w:rFonts w:ascii="Times New Roman" w:hAnsi="Times New Roman"/>
          <w:sz w:val="28"/>
          <w:szCs w:val="28"/>
        </w:rPr>
        <w:t>izmantoja rādītāju – darbinieka vieta mēnešalgu skalā, kas raksturo, vai darbiniekam noteiktā mēnešalga ir</w:t>
      </w:r>
      <w:r w:rsidR="00E97F87" w:rsidRPr="00336BBB">
        <w:t xml:space="preserve"> </w:t>
      </w:r>
      <w:r w:rsidR="00E97F87" w:rsidRPr="00336BBB">
        <w:rPr>
          <w:rFonts w:ascii="Times New Roman" w:hAnsi="Times New Roman"/>
          <w:sz w:val="28"/>
          <w:szCs w:val="28"/>
        </w:rPr>
        <w:t>tuvāk diapazona maksimālajai mēnešalgai</w:t>
      </w:r>
      <w:r w:rsidR="00E97F87">
        <w:rPr>
          <w:rFonts w:ascii="Times New Roman" w:hAnsi="Times New Roman"/>
          <w:sz w:val="28"/>
          <w:szCs w:val="28"/>
        </w:rPr>
        <w:t xml:space="preserve"> vai minimālajai mēnešalgai</w:t>
      </w:r>
      <w:r w:rsidR="00D77BF0">
        <w:rPr>
          <w:rFonts w:ascii="Times New Roman" w:hAnsi="Times New Roman"/>
          <w:sz w:val="28"/>
          <w:szCs w:val="28"/>
        </w:rPr>
        <w:t xml:space="preserve"> (j</w:t>
      </w:r>
      <w:r w:rsidR="00E97F87" w:rsidRPr="00336BBB">
        <w:rPr>
          <w:rFonts w:ascii="Times New Roman" w:hAnsi="Times New Roman"/>
          <w:sz w:val="28"/>
          <w:szCs w:val="28"/>
        </w:rPr>
        <w:t xml:space="preserve">a </w:t>
      </w:r>
      <w:r w:rsidR="00AD599E" w:rsidRPr="00D77BF0">
        <w:rPr>
          <w:rFonts w:ascii="Times New Roman" w:hAnsi="Times New Roman"/>
          <w:sz w:val="28"/>
          <w:szCs w:val="28"/>
        </w:rPr>
        <w:t>darbiniekam noteiktā mēnešalga</w:t>
      </w:r>
      <w:r w:rsidR="00AD599E">
        <w:rPr>
          <w:rFonts w:ascii="Times New Roman" w:hAnsi="Times New Roman"/>
          <w:sz w:val="28"/>
          <w:szCs w:val="28"/>
        </w:rPr>
        <w:t xml:space="preserve"> ir</w:t>
      </w:r>
      <w:r w:rsidR="00AD599E" w:rsidRPr="00D77BF0">
        <w:rPr>
          <w:rFonts w:ascii="Times New Roman" w:hAnsi="Times New Roman"/>
          <w:sz w:val="28"/>
          <w:szCs w:val="28"/>
        </w:rPr>
        <w:t xml:space="preserve"> </w:t>
      </w:r>
      <w:r w:rsidR="00AD599E" w:rsidRPr="00336BBB">
        <w:rPr>
          <w:rFonts w:ascii="Times New Roman" w:hAnsi="Times New Roman"/>
          <w:sz w:val="28"/>
          <w:szCs w:val="28"/>
        </w:rPr>
        <w:t>tuvāk diapazona minimālajai mēnešalgai</w:t>
      </w:r>
      <w:r w:rsidR="00AD599E">
        <w:rPr>
          <w:rFonts w:ascii="Times New Roman" w:hAnsi="Times New Roman"/>
          <w:sz w:val="28"/>
          <w:szCs w:val="28"/>
        </w:rPr>
        <w:t xml:space="preserve">, tad vieta mēnešalgu skalā </w:t>
      </w:r>
      <w:r w:rsidR="00AD599E" w:rsidRPr="00336BBB">
        <w:rPr>
          <w:rFonts w:ascii="Times New Roman" w:hAnsi="Times New Roman"/>
          <w:sz w:val="28"/>
          <w:szCs w:val="28"/>
        </w:rPr>
        <w:t xml:space="preserve"> </w:t>
      </w:r>
      <w:r w:rsidR="00E97F87" w:rsidRPr="00336BBB">
        <w:rPr>
          <w:rFonts w:ascii="Times New Roman" w:hAnsi="Times New Roman"/>
          <w:sz w:val="28"/>
          <w:szCs w:val="28"/>
        </w:rPr>
        <w:t>tuvinās 0</w:t>
      </w:r>
      <w:r w:rsidR="00AD599E">
        <w:rPr>
          <w:rFonts w:ascii="Times New Roman" w:hAnsi="Times New Roman"/>
          <w:sz w:val="28"/>
          <w:szCs w:val="28"/>
        </w:rPr>
        <w:t>; ja</w:t>
      </w:r>
      <w:r w:rsidR="00F4569C">
        <w:rPr>
          <w:rFonts w:ascii="Times New Roman" w:hAnsi="Times New Roman"/>
          <w:sz w:val="28"/>
          <w:szCs w:val="28"/>
        </w:rPr>
        <w:t xml:space="preserve"> </w:t>
      </w:r>
      <w:r w:rsidR="00AD599E">
        <w:rPr>
          <w:rFonts w:ascii="Times New Roman" w:hAnsi="Times New Roman"/>
          <w:sz w:val="28"/>
          <w:szCs w:val="28"/>
        </w:rPr>
        <w:t xml:space="preserve">tuvāk </w:t>
      </w:r>
      <w:r w:rsidR="00AD599E" w:rsidRPr="00D77BF0">
        <w:rPr>
          <w:rFonts w:ascii="Times New Roman" w:hAnsi="Times New Roman"/>
          <w:sz w:val="28"/>
          <w:szCs w:val="28"/>
        </w:rPr>
        <w:t>diapazona maksimāl</w:t>
      </w:r>
      <w:r w:rsidR="00AD599E">
        <w:rPr>
          <w:rFonts w:ascii="Times New Roman" w:hAnsi="Times New Roman"/>
          <w:sz w:val="28"/>
          <w:szCs w:val="28"/>
        </w:rPr>
        <w:t>ajai</w:t>
      </w:r>
      <w:r w:rsidR="00AD599E" w:rsidRPr="00D77BF0">
        <w:rPr>
          <w:rFonts w:ascii="Times New Roman" w:hAnsi="Times New Roman"/>
          <w:sz w:val="28"/>
          <w:szCs w:val="28"/>
        </w:rPr>
        <w:t xml:space="preserve"> mēnešalga</w:t>
      </w:r>
      <w:r w:rsidR="00AD599E">
        <w:rPr>
          <w:rFonts w:ascii="Times New Roman" w:hAnsi="Times New Roman"/>
          <w:sz w:val="28"/>
          <w:szCs w:val="28"/>
        </w:rPr>
        <w:t xml:space="preserve">i, tad  vieta mēnešalgu skalā </w:t>
      </w:r>
      <w:r w:rsidR="00AD599E" w:rsidRPr="00336BBB">
        <w:rPr>
          <w:rFonts w:ascii="Times New Roman" w:hAnsi="Times New Roman"/>
          <w:sz w:val="28"/>
          <w:szCs w:val="28"/>
        </w:rPr>
        <w:t xml:space="preserve"> </w:t>
      </w:r>
      <w:r w:rsidR="00D77BF0" w:rsidRPr="00336BBB">
        <w:rPr>
          <w:rFonts w:ascii="Times New Roman" w:hAnsi="Times New Roman"/>
          <w:sz w:val="28"/>
          <w:szCs w:val="28"/>
        </w:rPr>
        <w:t xml:space="preserve">tuvinās </w:t>
      </w:r>
      <w:r w:rsidR="00AD599E">
        <w:rPr>
          <w:rFonts w:ascii="Times New Roman" w:hAnsi="Times New Roman"/>
          <w:sz w:val="28"/>
          <w:szCs w:val="28"/>
        </w:rPr>
        <w:t>1)</w:t>
      </w:r>
      <w:r w:rsidR="00E97F87">
        <w:rPr>
          <w:rFonts w:ascii="Times New Roman" w:hAnsi="Times New Roman"/>
          <w:sz w:val="28"/>
          <w:szCs w:val="28"/>
        </w:rPr>
        <w:t>.</w:t>
      </w:r>
      <w:r w:rsidR="00E97F87" w:rsidRPr="00E97F87">
        <w:rPr>
          <w:rFonts w:ascii="Times New Roman" w:hAnsi="Times New Roman"/>
          <w:sz w:val="28"/>
          <w:szCs w:val="28"/>
        </w:rPr>
        <w:t xml:space="preserve"> </w:t>
      </w:r>
      <w:r w:rsidR="00E97F87">
        <w:rPr>
          <w:rFonts w:ascii="Times New Roman" w:hAnsi="Times New Roman"/>
          <w:sz w:val="28"/>
          <w:szCs w:val="28"/>
        </w:rPr>
        <w:t>Pamatojoties</w:t>
      </w:r>
      <w:r w:rsidR="00C4548F">
        <w:rPr>
          <w:rFonts w:ascii="Times New Roman" w:hAnsi="Times New Roman"/>
          <w:sz w:val="28"/>
          <w:szCs w:val="28"/>
        </w:rPr>
        <w:t xml:space="preserve"> uz</w:t>
      </w:r>
      <w:r w:rsidR="00E97F87">
        <w:rPr>
          <w:rFonts w:ascii="Times New Roman" w:hAnsi="Times New Roman"/>
          <w:sz w:val="28"/>
          <w:szCs w:val="28"/>
        </w:rPr>
        <w:t xml:space="preserve"> </w:t>
      </w:r>
      <w:r w:rsidR="007366FA">
        <w:rPr>
          <w:rFonts w:ascii="Times New Roman" w:hAnsi="Times New Roman"/>
          <w:sz w:val="28"/>
          <w:szCs w:val="28"/>
        </w:rPr>
        <w:t xml:space="preserve">katra iestādes </w:t>
      </w:r>
      <w:r w:rsidR="00E97F87">
        <w:rPr>
          <w:rFonts w:ascii="Times New Roman" w:hAnsi="Times New Roman"/>
          <w:sz w:val="28"/>
          <w:szCs w:val="28"/>
        </w:rPr>
        <w:t xml:space="preserve">darbinieka vietu mēnešalgu skalā, </w:t>
      </w:r>
      <w:r w:rsidR="00EA71F8">
        <w:rPr>
          <w:rFonts w:ascii="Times New Roman" w:hAnsi="Times New Roman"/>
          <w:sz w:val="28"/>
          <w:szCs w:val="28"/>
        </w:rPr>
        <w:t xml:space="preserve">tika </w:t>
      </w:r>
      <w:r w:rsidR="00E97F87">
        <w:rPr>
          <w:rFonts w:ascii="Times New Roman" w:hAnsi="Times New Roman"/>
          <w:sz w:val="28"/>
          <w:szCs w:val="28"/>
        </w:rPr>
        <w:t>aprēķināt</w:t>
      </w:r>
      <w:r w:rsidR="00EA71F8">
        <w:rPr>
          <w:rFonts w:ascii="Times New Roman" w:hAnsi="Times New Roman"/>
          <w:sz w:val="28"/>
          <w:szCs w:val="28"/>
        </w:rPr>
        <w:t>a</w:t>
      </w:r>
      <w:r w:rsidR="00E97F87">
        <w:rPr>
          <w:rFonts w:ascii="Times New Roman" w:hAnsi="Times New Roman"/>
          <w:sz w:val="28"/>
          <w:szCs w:val="28"/>
        </w:rPr>
        <w:t xml:space="preserve"> </w:t>
      </w:r>
      <w:r w:rsidR="007366FA">
        <w:rPr>
          <w:rFonts w:ascii="Times New Roman" w:hAnsi="Times New Roman"/>
          <w:sz w:val="28"/>
          <w:szCs w:val="28"/>
        </w:rPr>
        <w:t xml:space="preserve">arī </w:t>
      </w:r>
      <w:r w:rsidR="00EA71F8">
        <w:rPr>
          <w:rFonts w:ascii="Times New Roman" w:hAnsi="Times New Roman"/>
          <w:sz w:val="28"/>
          <w:szCs w:val="28"/>
        </w:rPr>
        <w:t xml:space="preserve">katras </w:t>
      </w:r>
      <w:r w:rsidR="00E97F87">
        <w:rPr>
          <w:rFonts w:ascii="Times New Roman" w:hAnsi="Times New Roman"/>
          <w:sz w:val="28"/>
          <w:szCs w:val="28"/>
        </w:rPr>
        <w:t>iestādes vieta mēnešalgu skalā</w:t>
      </w:r>
      <w:r w:rsidR="00100FC2">
        <w:rPr>
          <w:rFonts w:ascii="Times New Roman" w:hAnsi="Times New Roman"/>
          <w:sz w:val="28"/>
          <w:szCs w:val="28"/>
        </w:rPr>
        <w:t xml:space="preserve"> – gan </w:t>
      </w:r>
      <w:r w:rsidR="00C4548F">
        <w:rPr>
          <w:rFonts w:ascii="Times New Roman" w:hAnsi="Times New Roman"/>
          <w:sz w:val="28"/>
          <w:szCs w:val="28"/>
        </w:rPr>
        <w:t xml:space="preserve">pēc </w:t>
      </w:r>
      <w:r w:rsidR="00100FC2">
        <w:rPr>
          <w:rFonts w:ascii="Times New Roman" w:hAnsi="Times New Roman"/>
          <w:sz w:val="28"/>
          <w:szCs w:val="28"/>
        </w:rPr>
        <w:t>mēnešalg</w:t>
      </w:r>
      <w:r w:rsidR="00C4548F">
        <w:rPr>
          <w:rFonts w:ascii="Times New Roman" w:hAnsi="Times New Roman"/>
          <w:sz w:val="28"/>
          <w:szCs w:val="28"/>
        </w:rPr>
        <w:t>u apmēra</w:t>
      </w:r>
      <w:r w:rsidR="00100FC2">
        <w:rPr>
          <w:rFonts w:ascii="Times New Roman" w:hAnsi="Times New Roman"/>
          <w:sz w:val="28"/>
          <w:szCs w:val="28"/>
        </w:rPr>
        <w:t xml:space="preserve">, gan </w:t>
      </w:r>
      <w:r w:rsidR="00C4548F">
        <w:rPr>
          <w:rFonts w:ascii="Times New Roman" w:hAnsi="Times New Roman"/>
          <w:sz w:val="28"/>
          <w:szCs w:val="28"/>
        </w:rPr>
        <w:t>pēc</w:t>
      </w:r>
      <w:r w:rsidR="00111790">
        <w:rPr>
          <w:rFonts w:ascii="Times New Roman" w:hAnsi="Times New Roman"/>
          <w:sz w:val="28"/>
          <w:szCs w:val="28"/>
        </w:rPr>
        <w:t xml:space="preserve"> </w:t>
      </w:r>
      <w:r w:rsidR="00100FC2">
        <w:rPr>
          <w:rFonts w:ascii="Times New Roman" w:hAnsi="Times New Roman"/>
          <w:sz w:val="28"/>
          <w:szCs w:val="28"/>
        </w:rPr>
        <w:t>mēnešalgu un piemaksu (par papildu darbu,</w:t>
      </w:r>
      <w:r w:rsidR="009D07F6">
        <w:rPr>
          <w:rFonts w:ascii="Times New Roman" w:hAnsi="Times New Roman"/>
          <w:sz w:val="28"/>
          <w:szCs w:val="28"/>
        </w:rPr>
        <w:t xml:space="preserve"> aizvietošanu, vakanta amata pienākumu pildīšanu, par personisko darba ieguldījumu un kvalitāti, par diplomātisko rangu)</w:t>
      </w:r>
      <w:r w:rsidR="00100FC2">
        <w:rPr>
          <w:rFonts w:ascii="Times New Roman" w:hAnsi="Times New Roman"/>
          <w:sz w:val="28"/>
          <w:szCs w:val="28"/>
        </w:rPr>
        <w:t xml:space="preserve"> </w:t>
      </w:r>
      <w:r w:rsidR="00C4548F">
        <w:rPr>
          <w:rFonts w:ascii="Times New Roman" w:hAnsi="Times New Roman"/>
          <w:sz w:val="28"/>
          <w:szCs w:val="28"/>
        </w:rPr>
        <w:t>apmēra</w:t>
      </w:r>
      <w:r w:rsidR="002612C9">
        <w:rPr>
          <w:rFonts w:ascii="Times New Roman" w:hAnsi="Times New Roman"/>
          <w:sz w:val="28"/>
          <w:szCs w:val="28"/>
        </w:rPr>
        <w:t xml:space="preserve"> (skat. 12.attēlu)</w:t>
      </w:r>
      <w:r w:rsidR="00E97F87">
        <w:rPr>
          <w:rFonts w:ascii="Times New Roman" w:hAnsi="Times New Roman"/>
          <w:sz w:val="28"/>
          <w:szCs w:val="28"/>
        </w:rPr>
        <w:t>.</w:t>
      </w:r>
    </w:p>
    <w:p w:rsidR="00E97F87" w:rsidRDefault="00E97F87" w:rsidP="00E97F87">
      <w:pPr>
        <w:autoSpaceDE w:val="0"/>
        <w:autoSpaceDN w:val="0"/>
        <w:adjustRightInd w:val="0"/>
        <w:spacing w:after="0" w:line="240" w:lineRule="auto"/>
        <w:ind w:firstLine="720"/>
        <w:jc w:val="both"/>
        <w:rPr>
          <w:rFonts w:ascii="Times New Roman" w:hAnsi="Times New Roman"/>
          <w:sz w:val="28"/>
          <w:szCs w:val="28"/>
        </w:rPr>
      </w:pPr>
    </w:p>
    <w:p w:rsidR="00E97F87" w:rsidRDefault="002612C9" w:rsidP="00E97F87">
      <w:pPr>
        <w:spacing w:after="0" w:line="240" w:lineRule="auto"/>
        <w:jc w:val="right"/>
        <w:rPr>
          <w:rFonts w:ascii="Times New Roman" w:hAnsi="Times New Roman"/>
          <w:sz w:val="28"/>
          <w:szCs w:val="28"/>
        </w:rPr>
      </w:pPr>
      <w:r>
        <w:rPr>
          <w:rFonts w:ascii="Times New Roman" w:hAnsi="Times New Roman"/>
          <w:sz w:val="28"/>
          <w:szCs w:val="28"/>
        </w:rPr>
        <w:t>12</w:t>
      </w:r>
      <w:r w:rsidR="00E97F87">
        <w:rPr>
          <w:rFonts w:ascii="Times New Roman" w:hAnsi="Times New Roman"/>
          <w:sz w:val="28"/>
          <w:szCs w:val="28"/>
        </w:rPr>
        <w:t>.attēls</w:t>
      </w:r>
    </w:p>
    <w:p w:rsidR="00EA71F8" w:rsidRDefault="00E97F87" w:rsidP="00E97F87">
      <w:pPr>
        <w:spacing w:after="0" w:line="240" w:lineRule="auto"/>
        <w:jc w:val="center"/>
        <w:rPr>
          <w:rFonts w:ascii="Times New Roman" w:hAnsi="Times New Roman"/>
          <w:b/>
          <w:sz w:val="28"/>
          <w:szCs w:val="28"/>
        </w:rPr>
      </w:pPr>
      <w:r>
        <w:rPr>
          <w:rFonts w:ascii="Times New Roman" w:hAnsi="Times New Roman"/>
          <w:b/>
          <w:sz w:val="28"/>
          <w:szCs w:val="28"/>
        </w:rPr>
        <w:t>Valsts kancelejas, Pārresoru koordinācijas centra un m</w:t>
      </w:r>
      <w:r w:rsidRPr="002645D5">
        <w:rPr>
          <w:rFonts w:ascii="Times New Roman" w:hAnsi="Times New Roman"/>
          <w:b/>
          <w:sz w:val="28"/>
          <w:szCs w:val="28"/>
        </w:rPr>
        <w:t>inistriju vieta mēnešalgu skalā</w:t>
      </w:r>
      <w:r>
        <w:rPr>
          <w:rFonts w:ascii="Times New Roman" w:hAnsi="Times New Roman"/>
          <w:b/>
          <w:sz w:val="28"/>
          <w:szCs w:val="28"/>
        </w:rPr>
        <w:t xml:space="preserve"> </w:t>
      </w:r>
      <w:r w:rsidRPr="002645D5">
        <w:rPr>
          <w:rFonts w:ascii="Times New Roman" w:hAnsi="Times New Roman"/>
          <w:b/>
          <w:sz w:val="28"/>
          <w:szCs w:val="28"/>
        </w:rPr>
        <w:t xml:space="preserve"> (aprēķināta pēc 2013.gada 1. ceturkšņa vidējās </w:t>
      </w:r>
      <w:r w:rsidR="00932F33">
        <w:rPr>
          <w:rFonts w:ascii="Times New Roman" w:hAnsi="Times New Roman"/>
          <w:b/>
          <w:sz w:val="28"/>
          <w:szCs w:val="28"/>
        </w:rPr>
        <w:t>mēneš</w:t>
      </w:r>
      <w:r w:rsidRPr="002645D5">
        <w:rPr>
          <w:rFonts w:ascii="Times New Roman" w:hAnsi="Times New Roman"/>
          <w:b/>
          <w:sz w:val="28"/>
          <w:szCs w:val="28"/>
        </w:rPr>
        <w:t xml:space="preserve">algas un piemaksām) </w:t>
      </w:r>
    </w:p>
    <w:p w:rsidR="00EA71F8" w:rsidRDefault="00EA71F8" w:rsidP="00E97F87">
      <w:pPr>
        <w:spacing w:after="0" w:line="240" w:lineRule="auto"/>
        <w:jc w:val="center"/>
        <w:rPr>
          <w:rFonts w:ascii="Times New Roman" w:hAnsi="Times New Roman"/>
          <w:b/>
          <w:sz w:val="28"/>
          <w:szCs w:val="28"/>
        </w:rPr>
      </w:pPr>
    </w:p>
    <w:p w:rsidR="00E97F87" w:rsidRDefault="00E97F87" w:rsidP="00E97F87">
      <w:pPr>
        <w:spacing w:after="0" w:line="240" w:lineRule="auto"/>
        <w:jc w:val="center"/>
        <w:rPr>
          <w:rFonts w:ascii="Times New Roman" w:hAnsi="Times New Roman"/>
          <w:sz w:val="28"/>
          <w:szCs w:val="28"/>
        </w:rPr>
      </w:pPr>
      <w:r w:rsidRPr="002645D5">
        <w:rPr>
          <w:rFonts w:ascii="Times New Roman" w:hAnsi="Times New Roman"/>
          <w:noProof/>
          <w:sz w:val="28"/>
          <w:szCs w:val="28"/>
        </w:rPr>
        <w:drawing>
          <wp:inline distT="0" distB="0" distL="0" distR="0" wp14:anchorId="4C9110A0" wp14:editId="74379C2B">
            <wp:extent cx="5874026" cy="4055165"/>
            <wp:effectExtent l="0" t="0" r="12700" b="21590"/>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97F87" w:rsidRDefault="00932F33" w:rsidP="005004F3">
      <w:pPr>
        <w:autoSpaceDE w:val="0"/>
        <w:autoSpaceDN w:val="0"/>
        <w:adjustRightInd w:val="0"/>
        <w:spacing w:after="0" w:line="240" w:lineRule="auto"/>
        <w:jc w:val="both"/>
        <w:rPr>
          <w:rFonts w:ascii="Times New Roman" w:hAnsi="Times New Roman"/>
          <w:sz w:val="28"/>
          <w:szCs w:val="28"/>
        </w:rPr>
      </w:pPr>
      <w:r w:rsidRPr="00B47851">
        <w:rPr>
          <w:rFonts w:ascii="Times New Roman" w:hAnsi="Times New Roman"/>
          <w:sz w:val="20"/>
          <w:szCs w:val="20"/>
        </w:rPr>
        <w:t>Datu avots: Finanšu ministrija</w:t>
      </w:r>
    </w:p>
    <w:p w:rsidR="00E97F87" w:rsidRDefault="00E97F87" w:rsidP="005004F3">
      <w:pPr>
        <w:autoSpaceDE w:val="0"/>
        <w:autoSpaceDN w:val="0"/>
        <w:adjustRightInd w:val="0"/>
        <w:spacing w:after="0" w:line="240" w:lineRule="auto"/>
        <w:jc w:val="both"/>
        <w:rPr>
          <w:rFonts w:ascii="Times New Roman" w:hAnsi="Times New Roman"/>
          <w:sz w:val="28"/>
          <w:szCs w:val="28"/>
        </w:rPr>
      </w:pPr>
    </w:p>
    <w:p w:rsidR="00E97F87" w:rsidRDefault="00E97F87" w:rsidP="005004F3">
      <w:pPr>
        <w:autoSpaceDE w:val="0"/>
        <w:autoSpaceDN w:val="0"/>
        <w:adjustRightInd w:val="0"/>
        <w:spacing w:after="0" w:line="240" w:lineRule="auto"/>
        <w:jc w:val="both"/>
        <w:rPr>
          <w:rFonts w:ascii="Times New Roman" w:hAnsi="Times New Roman"/>
          <w:sz w:val="28"/>
          <w:szCs w:val="28"/>
        </w:rPr>
      </w:pPr>
    </w:p>
    <w:p w:rsidR="00E97F87" w:rsidRDefault="00E97F87" w:rsidP="005004F3">
      <w:pPr>
        <w:autoSpaceDE w:val="0"/>
        <w:autoSpaceDN w:val="0"/>
        <w:adjustRightInd w:val="0"/>
        <w:spacing w:after="0" w:line="240" w:lineRule="auto"/>
        <w:jc w:val="both"/>
        <w:rPr>
          <w:rFonts w:ascii="Times New Roman" w:hAnsi="Times New Roman"/>
          <w:sz w:val="28"/>
          <w:szCs w:val="28"/>
        </w:rPr>
      </w:pPr>
    </w:p>
    <w:p w:rsidR="008237C5" w:rsidRPr="00E408DC" w:rsidRDefault="00863C0E" w:rsidP="00863C0E">
      <w:pPr>
        <w:autoSpaceDE w:val="0"/>
        <w:autoSpaceDN w:val="0"/>
        <w:adjustRightInd w:val="0"/>
        <w:spacing w:after="0" w:line="240" w:lineRule="auto"/>
        <w:ind w:firstLine="720"/>
        <w:jc w:val="both"/>
        <w:rPr>
          <w:rFonts w:ascii="Times New Roman" w:hAnsi="Times New Roman"/>
          <w:b/>
          <w:sz w:val="28"/>
          <w:szCs w:val="28"/>
        </w:rPr>
      </w:pPr>
      <w:r>
        <w:rPr>
          <w:rFonts w:ascii="Times New Roman" w:hAnsi="Times New Roman"/>
          <w:sz w:val="28"/>
          <w:szCs w:val="28"/>
        </w:rPr>
        <w:t xml:space="preserve">Šobrīd normatīvajā aktā noteiktie </w:t>
      </w:r>
      <w:r w:rsidR="005721C8" w:rsidRPr="00E408DC">
        <w:rPr>
          <w:rFonts w:ascii="Times New Roman" w:hAnsi="Times New Roman"/>
          <w:sz w:val="28"/>
          <w:szCs w:val="28"/>
        </w:rPr>
        <w:t xml:space="preserve">mēnešalgu diapazoni </w:t>
      </w:r>
      <w:r>
        <w:rPr>
          <w:rFonts w:ascii="Times New Roman" w:hAnsi="Times New Roman"/>
          <w:sz w:val="28"/>
          <w:szCs w:val="28"/>
        </w:rPr>
        <w:t xml:space="preserve">no vienas puses </w:t>
      </w:r>
      <w:r w:rsidR="005721C8" w:rsidRPr="00E408DC">
        <w:rPr>
          <w:rFonts w:ascii="Times New Roman" w:hAnsi="Times New Roman"/>
          <w:sz w:val="28"/>
          <w:szCs w:val="28"/>
        </w:rPr>
        <w:t>nodrošina pietiekami lielu elastību iestādes vadītājam, nosakot darbinieku mēnešalgu</w:t>
      </w:r>
      <w:r w:rsidR="00E063AA">
        <w:rPr>
          <w:rFonts w:ascii="Times New Roman" w:hAnsi="Times New Roman"/>
          <w:sz w:val="28"/>
          <w:szCs w:val="28"/>
        </w:rPr>
        <w:t xml:space="preserve"> </w:t>
      </w:r>
      <w:r w:rsidR="005721C8" w:rsidRPr="00E408DC">
        <w:rPr>
          <w:rFonts w:ascii="Times New Roman" w:hAnsi="Times New Roman"/>
          <w:sz w:val="28"/>
          <w:szCs w:val="28"/>
        </w:rPr>
        <w:t>un pielietojot iestādes izvēlētu</w:t>
      </w:r>
      <w:r w:rsidR="00482106" w:rsidRPr="00E408DC">
        <w:rPr>
          <w:rFonts w:ascii="Times New Roman" w:hAnsi="Times New Roman"/>
          <w:sz w:val="28"/>
          <w:szCs w:val="28"/>
        </w:rPr>
        <w:t xml:space="preserve"> mēnešalgu noteikšanas politiku, piemēram</w:t>
      </w:r>
      <w:r w:rsidR="000350F8">
        <w:rPr>
          <w:rFonts w:ascii="Times New Roman" w:hAnsi="Times New Roman"/>
          <w:sz w:val="28"/>
          <w:szCs w:val="28"/>
        </w:rPr>
        <w:t>,</w:t>
      </w:r>
      <w:r w:rsidR="00482106" w:rsidRPr="00E408DC">
        <w:rPr>
          <w:rFonts w:ascii="Times New Roman" w:hAnsi="Times New Roman"/>
          <w:sz w:val="28"/>
          <w:szCs w:val="28"/>
        </w:rPr>
        <w:t xml:space="preserve"> nosakot darbiniekiem augstākas mēnešalgas</w:t>
      </w:r>
      <w:r w:rsidR="005721C8" w:rsidRPr="00E408DC">
        <w:rPr>
          <w:rFonts w:ascii="Times New Roman" w:hAnsi="Times New Roman"/>
          <w:sz w:val="28"/>
          <w:szCs w:val="28"/>
        </w:rPr>
        <w:t xml:space="preserve"> un mazāku darba samaksas mainīgo daļu vai </w:t>
      </w:r>
      <w:r w:rsidR="00482106" w:rsidRPr="00E408DC">
        <w:rPr>
          <w:rFonts w:ascii="Times New Roman" w:hAnsi="Times New Roman"/>
          <w:sz w:val="28"/>
          <w:szCs w:val="28"/>
        </w:rPr>
        <w:t xml:space="preserve">arī </w:t>
      </w:r>
      <w:r w:rsidR="005721C8" w:rsidRPr="00E408DC">
        <w:rPr>
          <w:rFonts w:ascii="Times New Roman" w:hAnsi="Times New Roman"/>
          <w:sz w:val="28"/>
          <w:szCs w:val="28"/>
        </w:rPr>
        <w:t>otrādi.</w:t>
      </w:r>
      <w:r w:rsidR="00A60EAD">
        <w:rPr>
          <w:rFonts w:ascii="Times New Roman" w:hAnsi="Times New Roman"/>
          <w:sz w:val="28"/>
          <w:szCs w:val="28"/>
        </w:rPr>
        <w:t xml:space="preserve"> </w:t>
      </w:r>
      <w:r w:rsidR="008237C5" w:rsidRPr="00E408DC">
        <w:rPr>
          <w:rFonts w:ascii="Times New Roman" w:hAnsi="Times New Roman"/>
          <w:b/>
          <w:sz w:val="28"/>
          <w:szCs w:val="28"/>
        </w:rPr>
        <w:t xml:space="preserve">No otras puses plašie mēnešalgu diapazoni un iestāžu rīcībā esošie atšķirīgie atlīdzības fondi </w:t>
      </w:r>
      <w:r w:rsidR="00914A28" w:rsidRPr="00E408DC">
        <w:rPr>
          <w:rFonts w:ascii="Times New Roman" w:hAnsi="Times New Roman"/>
          <w:b/>
          <w:sz w:val="28"/>
          <w:szCs w:val="28"/>
        </w:rPr>
        <w:t xml:space="preserve">ir radījuši šādas </w:t>
      </w:r>
      <w:r w:rsidR="008237C5" w:rsidRPr="009D5C22">
        <w:rPr>
          <w:rFonts w:ascii="Times New Roman" w:hAnsi="Times New Roman"/>
          <w:b/>
          <w:sz w:val="28"/>
          <w:szCs w:val="28"/>
        </w:rPr>
        <w:t>problēm</w:t>
      </w:r>
      <w:r w:rsidR="004B367E" w:rsidRPr="009D5C22">
        <w:rPr>
          <w:rFonts w:ascii="Times New Roman" w:hAnsi="Times New Roman"/>
          <w:b/>
          <w:sz w:val="28"/>
          <w:szCs w:val="28"/>
        </w:rPr>
        <w:t>as</w:t>
      </w:r>
      <w:r w:rsidR="008237C5" w:rsidRPr="00E408DC">
        <w:rPr>
          <w:rFonts w:ascii="Times New Roman" w:hAnsi="Times New Roman"/>
          <w:b/>
          <w:sz w:val="28"/>
          <w:szCs w:val="28"/>
        </w:rPr>
        <w:t>:</w:t>
      </w:r>
    </w:p>
    <w:p w:rsidR="008237C5" w:rsidRPr="000C7344" w:rsidRDefault="009A7543" w:rsidP="00CB6D97">
      <w:pPr>
        <w:pStyle w:val="ListParagraph"/>
        <w:numPr>
          <w:ilvl w:val="0"/>
          <w:numId w:val="3"/>
        </w:numPr>
        <w:autoSpaceDE w:val="0"/>
        <w:autoSpaceDN w:val="0"/>
        <w:adjustRightInd w:val="0"/>
        <w:spacing w:after="0" w:line="240" w:lineRule="auto"/>
        <w:jc w:val="both"/>
        <w:rPr>
          <w:rFonts w:ascii="Times New Roman" w:hAnsi="Times New Roman"/>
          <w:sz w:val="28"/>
          <w:szCs w:val="28"/>
        </w:rPr>
      </w:pPr>
      <w:r w:rsidRPr="00E408DC">
        <w:rPr>
          <w:rFonts w:ascii="Times New Roman" w:hAnsi="Times New Roman"/>
          <w:sz w:val="28"/>
          <w:szCs w:val="28"/>
        </w:rPr>
        <w:t>D</w:t>
      </w:r>
      <w:r w:rsidR="005004F3" w:rsidRPr="00E408DC">
        <w:rPr>
          <w:rFonts w:ascii="Times New Roman" w:hAnsi="Times New Roman"/>
          <w:sz w:val="28"/>
          <w:szCs w:val="28"/>
        </w:rPr>
        <w:t>ažādā</w:t>
      </w:r>
      <w:r w:rsidR="005004F3">
        <w:rPr>
          <w:rFonts w:ascii="Times New Roman" w:hAnsi="Times New Roman"/>
          <w:sz w:val="28"/>
          <w:szCs w:val="28"/>
        </w:rPr>
        <w:t>s</w:t>
      </w:r>
      <w:r>
        <w:rPr>
          <w:rFonts w:ascii="Times New Roman" w:hAnsi="Times New Roman"/>
          <w:sz w:val="28"/>
          <w:szCs w:val="28"/>
        </w:rPr>
        <w:t xml:space="preserve"> </w:t>
      </w:r>
      <w:r w:rsidR="005004F3">
        <w:rPr>
          <w:rFonts w:ascii="Times New Roman" w:hAnsi="Times New Roman"/>
          <w:sz w:val="28"/>
          <w:szCs w:val="28"/>
        </w:rPr>
        <w:t xml:space="preserve">iestādēs mēnešalgas apmērs </w:t>
      </w:r>
      <w:r w:rsidR="005004F3" w:rsidRPr="00E408DC">
        <w:rPr>
          <w:rFonts w:ascii="Times New Roman" w:hAnsi="Times New Roman"/>
          <w:sz w:val="28"/>
          <w:szCs w:val="28"/>
        </w:rPr>
        <w:t xml:space="preserve">līdzīgiem amatiem </w:t>
      </w:r>
      <w:r w:rsidR="005004F3">
        <w:rPr>
          <w:rFonts w:ascii="Times New Roman" w:hAnsi="Times New Roman"/>
          <w:sz w:val="28"/>
          <w:szCs w:val="28"/>
        </w:rPr>
        <w:t>var atšķirties</w:t>
      </w:r>
      <w:r w:rsidR="006130E0" w:rsidRPr="00E408DC">
        <w:rPr>
          <w:rFonts w:ascii="Times New Roman" w:hAnsi="Times New Roman"/>
          <w:sz w:val="28"/>
          <w:szCs w:val="28"/>
        </w:rPr>
        <w:t xml:space="preserve">.  </w:t>
      </w:r>
      <w:r w:rsidR="006130E0" w:rsidRPr="000C7344">
        <w:rPr>
          <w:rFonts w:ascii="Times New Roman" w:hAnsi="Times New Roman"/>
          <w:sz w:val="28"/>
          <w:szCs w:val="28"/>
        </w:rPr>
        <w:t>Informācija par 201</w:t>
      </w:r>
      <w:r w:rsidR="00CE09D8" w:rsidRPr="000C7344">
        <w:rPr>
          <w:rFonts w:ascii="Times New Roman" w:hAnsi="Times New Roman"/>
          <w:sz w:val="28"/>
          <w:szCs w:val="28"/>
        </w:rPr>
        <w:t>3</w:t>
      </w:r>
      <w:r w:rsidR="006130E0" w:rsidRPr="000C7344">
        <w:rPr>
          <w:rFonts w:ascii="Times New Roman" w:hAnsi="Times New Roman"/>
          <w:sz w:val="28"/>
          <w:szCs w:val="28"/>
        </w:rPr>
        <w:t xml:space="preserve">.gada </w:t>
      </w:r>
      <w:r w:rsidR="00AE141C">
        <w:rPr>
          <w:rFonts w:ascii="Times New Roman" w:hAnsi="Times New Roman"/>
          <w:sz w:val="28"/>
          <w:szCs w:val="28"/>
        </w:rPr>
        <w:t>martā</w:t>
      </w:r>
      <w:r w:rsidR="00CE09D8" w:rsidRPr="000C7344">
        <w:rPr>
          <w:rFonts w:ascii="Times New Roman" w:hAnsi="Times New Roman"/>
          <w:sz w:val="28"/>
          <w:szCs w:val="28"/>
        </w:rPr>
        <w:t xml:space="preserve"> </w:t>
      </w:r>
      <w:r w:rsidR="006130E0" w:rsidRPr="000C7344">
        <w:rPr>
          <w:rFonts w:ascii="Times New Roman" w:hAnsi="Times New Roman"/>
          <w:sz w:val="28"/>
          <w:szCs w:val="28"/>
        </w:rPr>
        <w:t>parāda, ka</w:t>
      </w:r>
      <w:r w:rsidR="00E62905">
        <w:rPr>
          <w:rFonts w:ascii="Times New Roman" w:hAnsi="Times New Roman"/>
          <w:sz w:val="28"/>
          <w:szCs w:val="28"/>
        </w:rPr>
        <w:t>,</w:t>
      </w:r>
      <w:r w:rsidR="006130E0" w:rsidRPr="000C7344">
        <w:rPr>
          <w:rFonts w:ascii="Times New Roman" w:hAnsi="Times New Roman"/>
          <w:sz w:val="28"/>
          <w:szCs w:val="28"/>
        </w:rPr>
        <w:t xml:space="preserve"> piemēram</w:t>
      </w:r>
      <w:r w:rsidR="00E62905">
        <w:rPr>
          <w:rFonts w:ascii="Times New Roman" w:hAnsi="Times New Roman"/>
          <w:sz w:val="28"/>
          <w:szCs w:val="28"/>
        </w:rPr>
        <w:t>,</w:t>
      </w:r>
      <w:r w:rsidR="00B37482">
        <w:rPr>
          <w:rFonts w:ascii="Times New Roman" w:hAnsi="Times New Roman"/>
          <w:sz w:val="28"/>
          <w:szCs w:val="28"/>
        </w:rPr>
        <w:t xml:space="preserve"> </w:t>
      </w:r>
      <w:r w:rsidR="00CB6D97">
        <w:rPr>
          <w:rFonts w:ascii="Times New Roman" w:hAnsi="Times New Roman"/>
          <w:sz w:val="28"/>
          <w:szCs w:val="28"/>
        </w:rPr>
        <w:t>inspektoram (</w:t>
      </w:r>
      <w:r w:rsidR="00CB6D97" w:rsidRPr="00CB6D97">
        <w:rPr>
          <w:rFonts w:ascii="Times New Roman" w:hAnsi="Times New Roman"/>
          <w:sz w:val="28"/>
          <w:szCs w:val="28"/>
        </w:rPr>
        <w:t>26.3. Privātpersonu kontrole III līm</w:t>
      </w:r>
      <w:r w:rsidR="00CB6D97">
        <w:rPr>
          <w:rFonts w:ascii="Times New Roman" w:hAnsi="Times New Roman"/>
          <w:sz w:val="28"/>
          <w:szCs w:val="28"/>
        </w:rPr>
        <w:t>enis</w:t>
      </w:r>
      <w:r w:rsidR="00CB6D97" w:rsidRPr="00CB6D97">
        <w:rPr>
          <w:rFonts w:ascii="Times New Roman" w:hAnsi="Times New Roman"/>
          <w:sz w:val="28"/>
          <w:szCs w:val="28"/>
        </w:rPr>
        <w:t xml:space="preserve"> </w:t>
      </w:r>
      <w:r w:rsidR="000350F8">
        <w:rPr>
          <w:rFonts w:ascii="Times New Roman" w:hAnsi="Times New Roman"/>
          <w:sz w:val="28"/>
          <w:szCs w:val="28"/>
        </w:rPr>
        <w:t xml:space="preserve">- </w:t>
      </w:r>
      <w:r w:rsidR="00CB6D97" w:rsidRPr="00CB6D97">
        <w:rPr>
          <w:rFonts w:ascii="Times New Roman" w:hAnsi="Times New Roman"/>
          <w:sz w:val="28"/>
          <w:szCs w:val="28"/>
        </w:rPr>
        <w:t>9.</w:t>
      </w:r>
      <w:r w:rsidR="000350F8">
        <w:rPr>
          <w:rFonts w:ascii="Times New Roman" w:hAnsi="Times New Roman"/>
          <w:sz w:val="28"/>
          <w:szCs w:val="28"/>
        </w:rPr>
        <w:t xml:space="preserve">mēnešalgu grupa </w:t>
      </w:r>
      <w:r w:rsidR="00CB6D97">
        <w:rPr>
          <w:rFonts w:ascii="Times New Roman" w:hAnsi="Times New Roman"/>
          <w:sz w:val="28"/>
          <w:szCs w:val="28"/>
        </w:rPr>
        <w:t>6</w:t>
      </w:r>
      <w:r w:rsidR="006130E0" w:rsidRPr="000C7344">
        <w:rPr>
          <w:rFonts w:ascii="Times New Roman" w:hAnsi="Times New Roman"/>
          <w:sz w:val="28"/>
          <w:szCs w:val="28"/>
        </w:rPr>
        <w:t xml:space="preserve">.kvalifikācijas pakāpe) </w:t>
      </w:r>
      <w:r w:rsidR="00E62905">
        <w:rPr>
          <w:rFonts w:ascii="Times New Roman" w:hAnsi="Times New Roman"/>
          <w:sz w:val="28"/>
          <w:szCs w:val="28"/>
        </w:rPr>
        <w:t>mēnešalga ir noteikta</w:t>
      </w:r>
      <w:r w:rsidR="00CB6D97">
        <w:rPr>
          <w:rFonts w:ascii="Times New Roman" w:hAnsi="Times New Roman"/>
          <w:sz w:val="28"/>
          <w:szCs w:val="28"/>
        </w:rPr>
        <w:t xml:space="preserve"> </w:t>
      </w:r>
      <w:r w:rsidR="00CB6D97" w:rsidRPr="00CB6D97">
        <w:rPr>
          <w:rFonts w:ascii="Times New Roman" w:hAnsi="Times New Roman"/>
          <w:sz w:val="28"/>
          <w:szCs w:val="28"/>
        </w:rPr>
        <w:t>334</w:t>
      </w:r>
      <w:r w:rsidR="000350F8">
        <w:rPr>
          <w:rFonts w:ascii="Times New Roman" w:hAnsi="Times New Roman"/>
          <w:sz w:val="28"/>
          <w:szCs w:val="28"/>
        </w:rPr>
        <w:t xml:space="preserve"> </w:t>
      </w:r>
      <w:r w:rsidR="00CB6D97">
        <w:rPr>
          <w:rFonts w:ascii="Times New Roman" w:hAnsi="Times New Roman"/>
          <w:sz w:val="28"/>
          <w:szCs w:val="28"/>
        </w:rPr>
        <w:t xml:space="preserve">līdz </w:t>
      </w:r>
      <w:r w:rsidR="00CB6D97" w:rsidRPr="00CB6D97">
        <w:rPr>
          <w:rFonts w:ascii="Times New Roman" w:hAnsi="Times New Roman"/>
          <w:sz w:val="28"/>
          <w:szCs w:val="28"/>
        </w:rPr>
        <w:t xml:space="preserve">698 </w:t>
      </w:r>
      <w:r w:rsidR="000C7344">
        <w:rPr>
          <w:rFonts w:ascii="Times New Roman" w:hAnsi="Times New Roman"/>
          <w:sz w:val="28"/>
          <w:szCs w:val="28"/>
        </w:rPr>
        <w:t>latu robežās;</w:t>
      </w:r>
    </w:p>
    <w:p w:rsidR="0022037A" w:rsidRPr="00E408DC" w:rsidRDefault="00E62905" w:rsidP="008D4902">
      <w:pPr>
        <w:pStyle w:val="ListParagraph"/>
        <w:numPr>
          <w:ilvl w:val="0"/>
          <w:numId w:val="3"/>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tā kā </w:t>
      </w:r>
      <w:r w:rsidRPr="00E408DC">
        <w:rPr>
          <w:rFonts w:ascii="Times New Roman" w:hAnsi="Times New Roman"/>
          <w:sz w:val="28"/>
          <w:szCs w:val="28"/>
        </w:rPr>
        <w:t>dažād</w:t>
      </w:r>
      <w:r>
        <w:rPr>
          <w:rFonts w:ascii="Times New Roman" w:hAnsi="Times New Roman"/>
          <w:sz w:val="28"/>
          <w:szCs w:val="28"/>
        </w:rPr>
        <w:t>u mēnešalgu grupu</w:t>
      </w:r>
      <w:r w:rsidR="009A7543">
        <w:rPr>
          <w:rFonts w:ascii="Times New Roman" w:hAnsi="Times New Roman"/>
          <w:sz w:val="28"/>
          <w:szCs w:val="28"/>
        </w:rPr>
        <w:t xml:space="preserve"> </w:t>
      </w:r>
      <w:r>
        <w:rPr>
          <w:rFonts w:ascii="Times New Roman" w:hAnsi="Times New Roman"/>
          <w:sz w:val="28"/>
          <w:szCs w:val="28"/>
        </w:rPr>
        <w:t>mēnešalgu diapazoni savstarpēji pārklājas</w:t>
      </w:r>
      <w:r w:rsidR="004B367E" w:rsidRPr="00E408DC">
        <w:rPr>
          <w:rFonts w:ascii="Times New Roman" w:hAnsi="Times New Roman"/>
          <w:sz w:val="28"/>
          <w:szCs w:val="28"/>
        </w:rPr>
        <w:t xml:space="preserve">, </w:t>
      </w:r>
      <w:r w:rsidR="00CE09D8" w:rsidRPr="00E408DC">
        <w:rPr>
          <w:rFonts w:ascii="Times New Roman" w:hAnsi="Times New Roman"/>
          <w:sz w:val="28"/>
          <w:szCs w:val="28"/>
        </w:rPr>
        <w:t xml:space="preserve">tad </w:t>
      </w:r>
      <w:r>
        <w:rPr>
          <w:rFonts w:ascii="Times New Roman" w:hAnsi="Times New Roman"/>
          <w:sz w:val="28"/>
          <w:szCs w:val="28"/>
        </w:rPr>
        <w:t xml:space="preserve">pastāv iespēja </w:t>
      </w:r>
      <w:r w:rsidR="004B367E" w:rsidRPr="00E408DC">
        <w:rPr>
          <w:rFonts w:ascii="Times New Roman" w:hAnsi="Times New Roman"/>
          <w:sz w:val="28"/>
          <w:szCs w:val="28"/>
        </w:rPr>
        <w:t xml:space="preserve">darbiniekam, kura amats atbilst </w:t>
      </w:r>
      <w:r w:rsidR="004B78AD" w:rsidRPr="00E408DC">
        <w:rPr>
          <w:rFonts w:ascii="Times New Roman" w:hAnsi="Times New Roman"/>
          <w:sz w:val="28"/>
          <w:szCs w:val="28"/>
        </w:rPr>
        <w:t>zemākai</w:t>
      </w:r>
      <w:r w:rsidR="00B37482">
        <w:rPr>
          <w:rFonts w:ascii="Times New Roman" w:hAnsi="Times New Roman"/>
          <w:sz w:val="28"/>
          <w:szCs w:val="28"/>
        </w:rPr>
        <w:t xml:space="preserve"> </w:t>
      </w:r>
      <w:r w:rsidR="004B78AD" w:rsidRPr="00E408DC">
        <w:rPr>
          <w:rFonts w:ascii="Times New Roman" w:hAnsi="Times New Roman"/>
          <w:sz w:val="28"/>
          <w:szCs w:val="28"/>
        </w:rPr>
        <w:t>mēnešalgu</w:t>
      </w:r>
      <w:r w:rsidR="004B367E" w:rsidRPr="00E408DC">
        <w:rPr>
          <w:rFonts w:ascii="Times New Roman" w:hAnsi="Times New Roman"/>
          <w:sz w:val="28"/>
          <w:szCs w:val="28"/>
        </w:rPr>
        <w:t xml:space="preserve"> grupai</w:t>
      </w:r>
      <w:r>
        <w:rPr>
          <w:rFonts w:ascii="Times New Roman" w:hAnsi="Times New Roman"/>
          <w:sz w:val="28"/>
          <w:szCs w:val="28"/>
        </w:rPr>
        <w:t>,</w:t>
      </w:r>
      <w:r w:rsidR="004B367E" w:rsidRPr="00E408DC">
        <w:rPr>
          <w:rFonts w:ascii="Times New Roman" w:hAnsi="Times New Roman"/>
          <w:sz w:val="28"/>
          <w:szCs w:val="28"/>
        </w:rPr>
        <w:t xml:space="preserve"> noteikt augstāku mēnešalgu</w:t>
      </w:r>
      <w:r w:rsidR="004B78AD" w:rsidRPr="00E408DC">
        <w:rPr>
          <w:rFonts w:ascii="Times New Roman" w:hAnsi="Times New Roman"/>
          <w:sz w:val="28"/>
          <w:szCs w:val="28"/>
        </w:rPr>
        <w:t>,</w:t>
      </w:r>
      <w:r w:rsidR="004B367E" w:rsidRPr="00E408DC">
        <w:rPr>
          <w:rFonts w:ascii="Times New Roman" w:hAnsi="Times New Roman"/>
          <w:sz w:val="28"/>
          <w:szCs w:val="28"/>
        </w:rPr>
        <w:t xml:space="preserve"> salīdzinot ar darbinieku, </w:t>
      </w:r>
      <w:r w:rsidR="004B78AD" w:rsidRPr="00E408DC">
        <w:rPr>
          <w:rFonts w:ascii="Times New Roman" w:hAnsi="Times New Roman"/>
          <w:sz w:val="28"/>
          <w:szCs w:val="28"/>
        </w:rPr>
        <w:t>kura</w:t>
      </w:r>
      <w:r w:rsidR="004B367E" w:rsidRPr="00E408DC">
        <w:rPr>
          <w:rFonts w:ascii="Times New Roman" w:hAnsi="Times New Roman"/>
          <w:sz w:val="28"/>
          <w:szCs w:val="28"/>
        </w:rPr>
        <w:t xml:space="preserve"> amats atbilst </w:t>
      </w:r>
      <w:r w:rsidR="004B78AD" w:rsidRPr="00E408DC">
        <w:rPr>
          <w:rFonts w:ascii="Times New Roman" w:hAnsi="Times New Roman"/>
          <w:sz w:val="28"/>
          <w:szCs w:val="28"/>
        </w:rPr>
        <w:t>augstākai</w:t>
      </w:r>
      <w:r w:rsidR="00B37482">
        <w:rPr>
          <w:rFonts w:ascii="Times New Roman" w:hAnsi="Times New Roman"/>
          <w:sz w:val="28"/>
          <w:szCs w:val="28"/>
        </w:rPr>
        <w:t xml:space="preserve"> </w:t>
      </w:r>
      <w:r w:rsidR="004B78AD" w:rsidRPr="00E408DC">
        <w:rPr>
          <w:rFonts w:ascii="Times New Roman" w:hAnsi="Times New Roman"/>
          <w:sz w:val="28"/>
          <w:szCs w:val="28"/>
        </w:rPr>
        <w:t>mēnešalgu</w:t>
      </w:r>
      <w:r w:rsidR="004B367E" w:rsidRPr="00E408DC">
        <w:rPr>
          <w:rFonts w:ascii="Times New Roman" w:hAnsi="Times New Roman"/>
          <w:sz w:val="28"/>
          <w:szCs w:val="28"/>
        </w:rPr>
        <w:t xml:space="preserve"> grupai.</w:t>
      </w:r>
    </w:p>
    <w:p w:rsidR="00F51B23" w:rsidRPr="00E408DC" w:rsidRDefault="00F51B23" w:rsidP="008D4902">
      <w:pPr>
        <w:pStyle w:val="ListParagraph"/>
        <w:numPr>
          <w:ilvl w:val="0"/>
          <w:numId w:val="3"/>
        </w:numPr>
        <w:spacing w:after="0" w:line="240" w:lineRule="auto"/>
        <w:jc w:val="both"/>
        <w:rPr>
          <w:rFonts w:ascii="Times New Roman" w:hAnsi="Times New Roman"/>
          <w:sz w:val="28"/>
          <w:szCs w:val="28"/>
        </w:rPr>
      </w:pPr>
      <w:r w:rsidRPr="00E408DC">
        <w:rPr>
          <w:rFonts w:ascii="Times New Roman" w:hAnsi="Times New Roman"/>
          <w:sz w:val="28"/>
          <w:szCs w:val="28"/>
        </w:rPr>
        <w:t>turpinās darbinieku aizplūšana uz privāto sektoru, k</w:t>
      </w:r>
      <w:r w:rsidR="00E02B5B">
        <w:rPr>
          <w:rFonts w:ascii="Times New Roman" w:hAnsi="Times New Roman"/>
          <w:sz w:val="28"/>
          <w:szCs w:val="28"/>
        </w:rPr>
        <w:t>ā</w:t>
      </w:r>
      <w:r w:rsidRPr="00E408DC">
        <w:rPr>
          <w:rFonts w:ascii="Times New Roman" w:hAnsi="Times New Roman"/>
          <w:sz w:val="28"/>
          <w:szCs w:val="28"/>
        </w:rPr>
        <w:t xml:space="preserve"> arī darbinieku migrēšana starp valsts iestādēm, ņemot vēr</w:t>
      </w:r>
      <w:r w:rsidR="000350F8">
        <w:rPr>
          <w:rFonts w:ascii="Times New Roman" w:hAnsi="Times New Roman"/>
          <w:sz w:val="28"/>
          <w:szCs w:val="28"/>
        </w:rPr>
        <w:t>ā</w:t>
      </w:r>
      <w:r w:rsidRPr="00E408DC">
        <w:rPr>
          <w:rFonts w:ascii="Times New Roman" w:hAnsi="Times New Roman"/>
          <w:sz w:val="28"/>
          <w:szCs w:val="28"/>
        </w:rPr>
        <w:t xml:space="preserve"> atšķirības darba samaksā.</w:t>
      </w:r>
    </w:p>
    <w:p w:rsidR="00CE3588" w:rsidRDefault="00CE3588" w:rsidP="00CE3588">
      <w:pPr>
        <w:autoSpaceDE w:val="0"/>
        <w:autoSpaceDN w:val="0"/>
        <w:adjustRightInd w:val="0"/>
        <w:spacing w:after="0" w:line="240" w:lineRule="auto"/>
        <w:jc w:val="both"/>
        <w:rPr>
          <w:rFonts w:ascii="Times New Roman" w:hAnsi="Times New Roman"/>
          <w:sz w:val="28"/>
          <w:szCs w:val="28"/>
        </w:rPr>
      </w:pPr>
    </w:p>
    <w:p w:rsidR="00CE3588" w:rsidRPr="00E408DC" w:rsidRDefault="00CE3588" w:rsidP="004B1078">
      <w:pPr>
        <w:autoSpaceDE w:val="0"/>
        <w:autoSpaceDN w:val="0"/>
        <w:adjustRightInd w:val="0"/>
        <w:spacing w:after="0" w:line="240" w:lineRule="auto"/>
        <w:ind w:left="360"/>
        <w:jc w:val="both"/>
        <w:rPr>
          <w:rFonts w:ascii="Times New Roman" w:hAnsi="Times New Roman"/>
          <w:sz w:val="28"/>
          <w:szCs w:val="28"/>
        </w:rPr>
      </w:pPr>
    </w:p>
    <w:p w:rsidR="005812F3" w:rsidRPr="00E408DC" w:rsidRDefault="005812F3" w:rsidP="008D4902">
      <w:pPr>
        <w:pStyle w:val="ListParagraph"/>
        <w:numPr>
          <w:ilvl w:val="1"/>
          <w:numId w:val="2"/>
        </w:numPr>
        <w:spacing w:after="0" w:line="240" w:lineRule="auto"/>
        <w:jc w:val="both"/>
        <w:rPr>
          <w:rFonts w:ascii="Times New Roman" w:hAnsi="Times New Roman"/>
          <w:b/>
          <w:sz w:val="28"/>
          <w:szCs w:val="28"/>
        </w:rPr>
      </w:pPr>
      <w:r w:rsidRPr="00E408DC">
        <w:rPr>
          <w:rFonts w:ascii="Times New Roman" w:hAnsi="Times New Roman"/>
          <w:b/>
          <w:sz w:val="28"/>
          <w:szCs w:val="28"/>
        </w:rPr>
        <w:t xml:space="preserve">Pastāvošās problēmas </w:t>
      </w:r>
      <w:r w:rsidR="00107BB9" w:rsidRPr="00E408DC">
        <w:rPr>
          <w:rFonts w:ascii="Times New Roman" w:hAnsi="Times New Roman"/>
          <w:b/>
          <w:sz w:val="28"/>
          <w:szCs w:val="28"/>
        </w:rPr>
        <w:t xml:space="preserve">konkurētspējīgas darba samaksas noteikšanai </w:t>
      </w:r>
      <w:r w:rsidR="009A0CE9" w:rsidRPr="00E408DC">
        <w:rPr>
          <w:rFonts w:ascii="Times New Roman" w:hAnsi="Times New Roman"/>
          <w:b/>
          <w:sz w:val="28"/>
          <w:szCs w:val="28"/>
        </w:rPr>
        <w:t xml:space="preserve">kvalificētiem speciālistiem </w:t>
      </w:r>
      <w:r w:rsidR="00107BB9" w:rsidRPr="00E408DC">
        <w:rPr>
          <w:rFonts w:ascii="Times New Roman" w:hAnsi="Times New Roman"/>
          <w:b/>
          <w:sz w:val="28"/>
          <w:szCs w:val="28"/>
        </w:rPr>
        <w:t>valsts tiešās pārvaldes iestādēs</w:t>
      </w:r>
    </w:p>
    <w:p w:rsidR="005812F3" w:rsidRPr="00E408DC" w:rsidRDefault="005812F3" w:rsidP="001947E9">
      <w:pPr>
        <w:pStyle w:val="ListParagraph"/>
        <w:autoSpaceDE w:val="0"/>
        <w:autoSpaceDN w:val="0"/>
        <w:adjustRightInd w:val="0"/>
        <w:spacing w:after="0" w:line="240" w:lineRule="auto"/>
        <w:ind w:left="1080"/>
        <w:jc w:val="both"/>
        <w:rPr>
          <w:rFonts w:ascii="Times New Roman" w:hAnsi="Times New Roman"/>
          <w:sz w:val="28"/>
          <w:szCs w:val="28"/>
        </w:rPr>
      </w:pPr>
    </w:p>
    <w:p w:rsidR="004B1078" w:rsidRPr="00E408DC" w:rsidRDefault="004B1078" w:rsidP="0023746B">
      <w:pPr>
        <w:pStyle w:val="ListParagraph"/>
        <w:autoSpaceDE w:val="0"/>
        <w:autoSpaceDN w:val="0"/>
        <w:adjustRightInd w:val="0"/>
        <w:spacing w:after="0" w:line="240" w:lineRule="auto"/>
        <w:ind w:left="0" w:firstLine="720"/>
        <w:jc w:val="both"/>
        <w:rPr>
          <w:rFonts w:ascii="Times New Roman" w:hAnsi="Times New Roman"/>
          <w:sz w:val="28"/>
          <w:szCs w:val="28"/>
        </w:rPr>
      </w:pPr>
      <w:r w:rsidRPr="00E408DC">
        <w:rPr>
          <w:rFonts w:ascii="Times New Roman" w:hAnsi="Times New Roman"/>
          <w:sz w:val="28"/>
          <w:szCs w:val="28"/>
        </w:rPr>
        <w:t>Ņemot vērā 2009. un 2010.gadā veiktos mēnešalgu samazinājumus</w:t>
      </w:r>
      <w:r w:rsidR="001947E9">
        <w:rPr>
          <w:rFonts w:ascii="Times New Roman" w:hAnsi="Times New Roman"/>
          <w:sz w:val="28"/>
          <w:szCs w:val="28"/>
        </w:rPr>
        <w:t xml:space="preserve">, kad tika </w:t>
      </w:r>
      <w:r w:rsidRPr="00E408DC">
        <w:rPr>
          <w:rFonts w:ascii="Times New Roman" w:hAnsi="Times New Roman"/>
          <w:sz w:val="28"/>
          <w:szCs w:val="28"/>
        </w:rPr>
        <w:t xml:space="preserve">pārskatītas mēnešalgu skalas un </w:t>
      </w:r>
      <w:r w:rsidR="00E124A6">
        <w:rPr>
          <w:rFonts w:ascii="Times New Roman" w:hAnsi="Times New Roman"/>
          <w:sz w:val="28"/>
          <w:szCs w:val="28"/>
        </w:rPr>
        <w:t>no</w:t>
      </w:r>
      <w:r w:rsidR="00EF0CE9" w:rsidRPr="00E408DC">
        <w:rPr>
          <w:rFonts w:ascii="Times New Roman" w:hAnsi="Times New Roman"/>
          <w:sz w:val="28"/>
          <w:szCs w:val="28"/>
        </w:rPr>
        <w:t xml:space="preserve"> 2010.gada līdz 2013.gadam – </w:t>
      </w:r>
      <w:r w:rsidRPr="00E408DC">
        <w:rPr>
          <w:rFonts w:ascii="Times New Roman" w:hAnsi="Times New Roman"/>
          <w:sz w:val="28"/>
          <w:szCs w:val="28"/>
        </w:rPr>
        <w:t>iesaldētas</w:t>
      </w:r>
      <w:r w:rsidR="00EF0CE9" w:rsidRPr="00E408DC">
        <w:rPr>
          <w:rFonts w:ascii="Times New Roman" w:hAnsi="Times New Roman"/>
          <w:sz w:val="28"/>
          <w:szCs w:val="28"/>
        </w:rPr>
        <w:t>,</w:t>
      </w:r>
      <w:r w:rsidR="00E124A6">
        <w:rPr>
          <w:rFonts w:ascii="Times New Roman" w:hAnsi="Times New Roman"/>
          <w:sz w:val="28"/>
          <w:szCs w:val="28"/>
        </w:rPr>
        <w:t xml:space="preserve"> </w:t>
      </w:r>
      <w:r w:rsidRPr="00E408DC">
        <w:rPr>
          <w:rFonts w:ascii="Times New Roman" w:hAnsi="Times New Roman"/>
          <w:sz w:val="28"/>
          <w:szCs w:val="28"/>
        </w:rPr>
        <w:t xml:space="preserve">ir izveidojusies situācija, ka valsts pārvaldē nodarbināto algas ir zaudējušas konkurētspēju ar privātā sektora algām, īpaši krasas atšķirības vērojamas vadības līmeņa amatos (skat. </w:t>
      </w:r>
      <w:r w:rsidR="00C36C55">
        <w:rPr>
          <w:rFonts w:ascii="Times New Roman" w:hAnsi="Times New Roman"/>
          <w:sz w:val="28"/>
          <w:szCs w:val="28"/>
        </w:rPr>
        <w:t>1</w:t>
      </w:r>
      <w:r w:rsidR="00AE141C">
        <w:rPr>
          <w:rFonts w:ascii="Times New Roman" w:hAnsi="Times New Roman"/>
          <w:sz w:val="28"/>
          <w:szCs w:val="28"/>
        </w:rPr>
        <w:t>3</w:t>
      </w:r>
      <w:r w:rsidR="00115971">
        <w:rPr>
          <w:rFonts w:ascii="Times New Roman" w:hAnsi="Times New Roman"/>
          <w:sz w:val="28"/>
          <w:szCs w:val="28"/>
        </w:rPr>
        <w:t>.</w:t>
      </w:r>
      <w:r w:rsidRPr="00E408DC">
        <w:rPr>
          <w:rFonts w:ascii="Times New Roman" w:hAnsi="Times New Roman"/>
          <w:sz w:val="28"/>
          <w:szCs w:val="28"/>
        </w:rPr>
        <w:t xml:space="preserve">attēlu). </w:t>
      </w:r>
      <w:r w:rsidR="00422055">
        <w:rPr>
          <w:rFonts w:ascii="Times New Roman" w:hAnsi="Times New Roman"/>
          <w:sz w:val="28"/>
          <w:szCs w:val="28"/>
        </w:rPr>
        <w:t>V</w:t>
      </w:r>
      <w:r w:rsidR="00422055" w:rsidRPr="00E408DC">
        <w:rPr>
          <w:rFonts w:ascii="Times New Roman" w:hAnsi="Times New Roman"/>
          <w:sz w:val="28"/>
          <w:szCs w:val="28"/>
        </w:rPr>
        <w:t>alsts sekretāra</w:t>
      </w:r>
      <w:r w:rsidR="00422055">
        <w:rPr>
          <w:rFonts w:ascii="Times New Roman" w:hAnsi="Times New Roman"/>
          <w:sz w:val="28"/>
          <w:szCs w:val="28"/>
        </w:rPr>
        <w:t>m noteiktā</w:t>
      </w:r>
      <w:r w:rsidR="00422055" w:rsidRPr="00E408DC">
        <w:rPr>
          <w:rFonts w:ascii="Times New Roman" w:hAnsi="Times New Roman"/>
          <w:sz w:val="28"/>
          <w:szCs w:val="28"/>
        </w:rPr>
        <w:t xml:space="preserve"> mēnešalga sastāda aptuveni 4</w:t>
      </w:r>
      <w:r w:rsidR="00422055">
        <w:rPr>
          <w:rFonts w:ascii="Times New Roman" w:hAnsi="Times New Roman"/>
          <w:sz w:val="28"/>
          <w:szCs w:val="28"/>
        </w:rPr>
        <w:t>5</w:t>
      </w:r>
      <w:r w:rsidR="00422055" w:rsidRPr="00E408DC">
        <w:rPr>
          <w:rFonts w:ascii="Times New Roman" w:hAnsi="Times New Roman"/>
          <w:sz w:val="28"/>
          <w:szCs w:val="28"/>
        </w:rPr>
        <w:t>% no privātā sektora līdzvērtīgu amatu algas mediānas</w:t>
      </w:r>
      <w:r w:rsidR="00E124A6">
        <w:rPr>
          <w:rFonts w:ascii="Times New Roman" w:hAnsi="Times New Roman"/>
          <w:sz w:val="28"/>
          <w:szCs w:val="28"/>
        </w:rPr>
        <w:t xml:space="preserve"> </w:t>
      </w:r>
      <w:r w:rsidR="00B21A69" w:rsidRPr="00E408DC">
        <w:rPr>
          <w:rFonts w:ascii="Times New Roman" w:hAnsi="Times New Roman"/>
          <w:sz w:val="28"/>
          <w:szCs w:val="28"/>
        </w:rPr>
        <w:t>(algu viduspunkts)</w:t>
      </w:r>
      <w:r w:rsidR="00422055" w:rsidRPr="00E408DC">
        <w:rPr>
          <w:rFonts w:ascii="Times New Roman" w:hAnsi="Times New Roman"/>
          <w:sz w:val="28"/>
          <w:szCs w:val="28"/>
        </w:rPr>
        <w:t>.</w:t>
      </w:r>
      <w:r w:rsidR="00E124A6">
        <w:rPr>
          <w:rFonts w:ascii="Times New Roman" w:hAnsi="Times New Roman"/>
          <w:sz w:val="28"/>
          <w:szCs w:val="28"/>
        </w:rPr>
        <w:t xml:space="preserve"> S</w:t>
      </w:r>
      <w:r w:rsidR="0023746B" w:rsidRPr="00E408DC">
        <w:rPr>
          <w:rFonts w:ascii="Times New Roman" w:hAnsi="Times New Roman"/>
          <w:sz w:val="28"/>
          <w:szCs w:val="28"/>
        </w:rPr>
        <w:t xml:space="preserve">avukārt </w:t>
      </w:r>
      <w:r w:rsidRPr="00E408DC">
        <w:rPr>
          <w:rFonts w:ascii="Times New Roman" w:hAnsi="Times New Roman"/>
          <w:sz w:val="28"/>
          <w:szCs w:val="28"/>
        </w:rPr>
        <w:t xml:space="preserve">speciālistu amatos </w:t>
      </w:r>
      <w:r w:rsidR="00B21A69">
        <w:rPr>
          <w:rFonts w:ascii="Times New Roman" w:hAnsi="Times New Roman"/>
          <w:sz w:val="28"/>
          <w:szCs w:val="28"/>
        </w:rPr>
        <w:t xml:space="preserve">– 52-54% </w:t>
      </w:r>
      <w:r w:rsidRPr="00E408DC">
        <w:rPr>
          <w:rFonts w:ascii="Times New Roman" w:hAnsi="Times New Roman"/>
          <w:sz w:val="28"/>
          <w:szCs w:val="28"/>
        </w:rPr>
        <w:t>no privātā sektora līdzvērtīgu amatu algas mediānas.</w:t>
      </w:r>
    </w:p>
    <w:p w:rsidR="001A637F" w:rsidRDefault="00AE141C" w:rsidP="00B25567">
      <w:pPr>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14</w:t>
      </w:r>
      <w:r w:rsidR="00F90B7A" w:rsidRPr="00C94851">
        <w:rPr>
          <w:rFonts w:ascii="Times New Roman" w:hAnsi="Times New Roman"/>
          <w:color w:val="000000"/>
          <w:sz w:val="28"/>
          <w:szCs w:val="28"/>
        </w:rPr>
        <w:t>.attēlā atspoguļota situācija 2007.gadā</w:t>
      </w:r>
      <w:r w:rsidR="00681B3C" w:rsidRPr="00C94851">
        <w:rPr>
          <w:rFonts w:ascii="Times New Roman" w:hAnsi="Times New Roman"/>
          <w:color w:val="000000"/>
          <w:sz w:val="28"/>
          <w:szCs w:val="28"/>
        </w:rPr>
        <w:t xml:space="preserve">, kad mēnešalgu skalā noteiktās mēnešalgas deva iespēju noteikt </w:t>
      </w:r>
      <w:r w:rsidR="00AB52F5" w:rsidRPr="00C94851">
        <w:rPr>
          <w:rFonts w:ascii="Times New Roman" w:hAnsi="Times New Roman"/>
          <w:color w:val="000000"/>
          <w:sz w:val="28"/>
          <w:szCs w:val="28"/>
        </w:rPr>
        <w:t>darbiniekiem līdzvērtīgas algas ar privāto sektoru.</w:t>
      </w:r>
    </w:p>
    <w:p w:rsidR="005E7EAA" w:rsidRDefault="005E7EAA" w:rsidP="00B25567">
      <w:pPr>
        <w:spacing w:after="0" w:line="240" w:lineRule="auto"/>
        <w:ind w:firstLine="720"/>
        <w:jc w:val="both"/>
        <w:rPr>
          <w:rFonts w:ascii="Times New Roman" w:hAnsi="Times New Roman"/>
          <w:color w:val="000000"/>
          <w:sz w:val="28"/>
          <w:szCs w:val="28"/>
        </w:rPr>
      </w:pPr>
    </w:p>
    <w:p w:rsidR="005E7EAA" w:rsidRPr="00C94851" w:rsidRDefault="005E7EAA" w:rsidP="00B25567">
      <w:pPr>
        <w:spacing w:after="0" w:line="240" w:lineRule="auto"/>
        <w:ind w:firstLine="720"/>
        <w:jc w:val="both"/>
        <w:rPr>
          <w:rFonts w:ascii="Times New Roman" w:hAnsi="Times New Roman"/>
          <w:color w:val="000000"/>
          <w:sz w:val="28"/>
          <w:szCs w:val="28"/>
        </w:rPr>
      </w:pPr>
    </w:p>
    <w:p w:rsidR="001462CC" w:rsidRPr="00C94851" w:rsidRDefault="001462CC" w:rsidP="001462CC">
      <w:pPr>
        <w:jc w:val="both"/>
        <w:rPr>
          <w:rFonts w:ascii="Times New Roman" w:hAnsi="Times New Roman"/>
          <w:color w:val="000000"/>
          <w:sz w:val="28"/>
          <w:szCs w:val="28"/>
        </w:rPr>
      </w:pPr>
    </w:p>
    <w:p w:rsidR="00C36C55" w:rsidRPr="00C94851" w:rsidRDefault="00C36C55" w:rsidP="001462CC">
      <w:pPr>
        <w:jc w:val="both"/>
        <w:rPr>
          <w:rFonts w:ascii="Times New Roman" w:hAnsi="Times New Roman"/>
          <w:color w:val="000000"/>
          <w:sz w:val="28"/>
          <w:szCs w:val="28"/>
        </w:rPr>
      </w:pPr>
    </w:p>
    <w:p w:rsidR="00C36C55" w:rsidRPr="00C94851" w:rsidRDefault="00C36C55" w:rsidP="001462CC">
      <w:pPr>
        <w:jc w:val="both"/>
        <w:rPr>
          <w:rFonts w:ascii="Times New Roman" w:hAnsi="Times New Roman"/>
          <w:color w:val="000000"/>
          <w:sz w:val="28"/>
          <w:szCs w:val="28"/>
        </w:rPr>
      </w:pPr>
    </w:p>
    <w:p w:rsidR="006453A4" w:rsidRDefault="006453A4" w:rsidP="00B25567">
      <w:pPr>
        <w:spacing w:after="0" w:line="240" w:lineRule="auto"/>
        <w:ind w:firstLine="720"/>
        <w:jc w:val="right"/>
        <w:rPr>
          <w:rFonts w:ascii="Times New Roman" w:hAnsi="Times New Roman"/>
          <w:color w:val="000000"/>
          <w:sz w:val="28"/>
          <w:szCs w:val="28"/>
        </w:rPr>
      </w:pPr>
    </w:p>
    <w:p w:rsidR="00B25567" w:rsidRPr="00C94851" w:rsidRDefault="00C36C55" w:rsidP="00B25567">
      <w:pPr>
        <w:spacing w:after="0" w:line="240" w:lineRule="auto"/>
        <w:ind w:firstLine="720"/>
        <w:jc w:val="right"/>
        <w:rPr>
          <w:rFonts w:ascii="Times New Roman" w:hAnsi="Times New Roman"/>
          <w:color w:val="000000"/>
          <w:sz w:val="28"/>
          <w:szCs w:val="28"/>
        </w:rPr>
      </w:pPr>
      <w:r w:rsidRPr="00C94851">
        <w:rPr>
          <w:rFonts w:ascii="Times New Roman" w:hAnsi="Times New Roman"/>
          <w:color w:val="000000"/>
          <w:sz w:val="28"/>
          <w:szCs w:val="28"/>
        </w:rPr>
        <w:lastRenderedPageBreak/>
        <w:t>1</w:t>
      </w:r>
      <w:r w:rsidR="00AE141C">
        <w:rPr>
          <w:rFonts w:ascii="Times New Roman" w:hAnsi="Times New Roman"/>
          <w:color w:val="000000"/>
          <w:sz w:val="28"/>
          <w:szCs w:val="28"/>
        </w:rPr>
        <w:t>3</w:t>
      </w:r>
      <w:r w:rsidR="00B25567" w:rsidRPr="00C94851">
        <w:rPr>
          <w:rFonts w:ascii="Times New Roman" w:hAnsi="Times New Roman"/>
          <w:color w:val="000000"/>
          <w:sz w:val="28"/>
          <w:szCs w:val="28"/>
        </w:rPr>
        <w:t>.attēls</w:t>
      </w:r>
    </w:p>
    <w:p w:rsidR="001A637F" w:rsidRPr="00C94851" w:rsidRDefault="001A637F" w:rsidP="006B3F7F">
      <w:pPr>
        <w:spacing w:after="0" w:line="240" w:lineRule="auto"/>
        <w:jc w:val="center"/>
        <w:rPr>
          <w:rFonts w:ascii="Times New Roman" w:hAnsi="Times New Roman"/>
          <w:b/>
          <w:color w:val="000000"/>
          <w:sz w:val="28"/>
          <w:szCs w:val="28"/>
        </w:rPr>
      </w:pPr>
      <w:r w:rsidRPr="00C94851">
        <w:rPr>
          <w:rFonts w:ascii="Times New Roman" w:hAnsi="Times New Roman"/>
          <w:b/>
          <w:color w:val="000000"/>
          <w:sz w:val="28"/>
          <w:szCs w:val="28"/>
        </w:rPr>
        <w:t xml:space="preserve">Valsts pārvaldes maksimālo mēnešalgu </w:t>
      </w:r>
      <w:r w:rsidR="001C6775" w:rsidRPr="00C94851">
        <w:rPr>
          <w:rFonts w:ascii="Times New Roman" w:hAnsi="Times New Roman"/>
          <w:b/>
          <w:color w:val="000000"/>
          <w:sz w:val="28"/>
          <w:szCs w:val="28"/>
        </w:rPr>
        <w:t xml:space="preserve">un mediānas </w:t>
      </w:r>
      <w:r w:rsidR="00DE75BD" w:rsidRPr="00C94851">
        <w:rPr>
          <w:rFonts w:ascii="Times New Roman" w:hAnsi="Times New Roman"/>
          <w:b/>
          <w:color w:val="000000"/>
          <w:sz w:val="28"/>
          <w:szCs w:val="28"/>
        </w:rPr>
        <w:t>(2013.gads)</w:t>
      </w:r>
      <w:r w:rsidR="009A7543" w:rsidRPr="00C94851">
        <w:rPr>
          <w:rFonts w:ascii="Times New Roman" w:hAnsi="Times New Roman"/>
          <w:b/>
          <w:color w:val="000000"/>
          <w:sz w:val="28"/>
          <w:szCs w:val="28"/>
        </w:rPr>
        <w:t xml:space="preserve"> </w:t>
      </w:r>
      <w:r w:rsidRPr="00C94851">
        <w:rPr>
          <w:rFonts w:ascii="Times New Roman" w:hAnsi="Times New Roman"/>
          <w:b/>
          <w:color w:val="000000"/>
          <w:sz w:val="28"/>
          <w:szCs w:val="28"/>
        </w:rPr>
        <w:t>salīdzinājums ar privātā sektora mēnešalgu mediān</w:t>
      </w:r>
      <w:r w:rsidR="0014751C" w:rsidRPr="00C94851">
        <w:rPr>
          <w:rFonts w:ascii="Times New Roman" w:hAnsi="Times New Roman"/>
          <w:b/>
          <w:color w:val="000000"/>
          <w:sz w:val="28"/>
          <w:szCs w:val="28"/>
        </w:rPr>
        <w:t>u (201</w:t>
      </w:r>
      <w:r w:rsidR="00175C0B" w:rsidRPr="00C94851">
        <w:rPr>
          <w:rFonts w:ascii="Times New Roman" w:hAnsi="Times New Roman"/>
          <w:b/>
          <w:color w:val="000000"/>
          <w:sz w:val="28"/>
          <w:szCs w:val="28"/>
        </w:rPr>
        <w:t>2</w:t>
      </w:r>
      <w:r w:rsidR="0014751C" w:rsidRPr="00C94851">
        <w:rPr>
          <w:rFonts w:ascii="Times New Roman" w:hAnsi="Times New Roman"/>
          <w:b/>
          <w:color w:val="000000"/>
          <w:sz w:val="28"/>
          <w:szCs w:val="28"/>
        </w:rPr>
        <w:t>.gads)</w:t>
      </w:r>
    </w:p>
    <w:p w:rsidR="001A637F" w:rsidRPr="00C94851" w:rsidRDefault="009E1D48" w:rsidP="009C5A21">
      <w:pPr>
        <w:ind w:left="-567"/>
        <w:jc w:val="both"/>
        <w:rPr>
          <w:rFonts w:ascii="Times New Roman" w:hAnsi="Times New Roman"/>
          <w:color w:val="000000"/>
          <w:sz w:val="28"/>
          <w:szCs w:val="28"/>
        </w:rPr>
      </w:pPr>
      <w:r>
        <w:rPr>
          <w:noProof/>
        </w:rPr>
        <mc:AlternateContent>
          <mc:Choice Requires="wps">
            <w:drawing>
              <wp:anchor distT="0" distB="0" distL="114300" distR="114300" simplePos="0" relativeHeight="251657728" behindDoc="0" locked="0" layoutInCell="1" allowOverlap="1">
                <wp:simplePos x="0" y="0"/>
                <wp:positionH relativeFrom="column">
                  <wp:posOffset>586740</wp:posOffset>
                </wp:positionH>
                <wp:positionV relativeFrom="paragraph">
                  <wp:posOffset>1139190</wp:posOffset>
                </wp:positionV>
                <wp:extent cx="1670050" cy="346710"/>
                <wp:effectExtent l="0" t="0" r="25400" b="15240"/>
                <wp:wrapNone/>
                <wp:docPr id="56"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0" cy="346710"/>
                        </a:xfrm>
                        <a:prstGeom prst="rect">
                          <a:avLst/>
                        </a:prstGeom>
                        <a:solidFill>
                          <a:sysClr val="window" lastClr="FFFFFF"/>
                        </a:solidFill>
                        <a:ln>
                          <a:solidFill>
                            <a:sysClr val="windowText" lastClr="000000"/>
                          </a:solidFill>
                        </a:ln>
                      </wps:spPr>
                      <wps:txbx>
                        <w:txbxContent>
                          <w:p w:rsidR="00836069" w:rsidRDefault="00836069" w:rsidP="00FE4634">
                            <w:pPr>
                              <w:pStyle w:val="NormalWeb"/>
                              <w:spacing w:before="0" w:beforeAutospacing="0" w:after="0" w:afterAutospacing="0"/>
                            </w:pPr>
                            <w:r>
                              <w:rPr>
                                <w:rFonts w:ascii="Calibri" w:eastAsia="+mn-ea" w:hAnsi="Calibri" w:cs="+mn-cs"/>
                                <w:sz w:val="22"/>
                                <w:szCs w:val="22"/>
                              </w:rPr>
                              <w:t>Valsts pārvaldes mediāna</w:t>
                            </w:r>
                          </w:p>
                        </w:txbxContent>
                      </wps:txbx>
                      <wps:bodyPr vertOverflow="clip" wrap="square" rtlCol="0">
                        <a:noAutofit/>
                      </wps:bodyPr>
                    </wps:wsp>
                  </a:graphicData>
                </a:graphic>
                <wp14:sizeRelH relativeFrom="page">
                  <wp14:pctWidth>0</wp14:pctWidth>
                </wp14:sizeRelH>
                <wp14:sizeRelV relativeFrom="page">
                  <wp14:pctHeight>0</wp14:pctHeight>
                </wp14:sizeRelV>
              </wp:anchor>
            </w:drawing>
          </mc:Choice>
          <mc:Fallback>
            <w:pict>
              <v:shape id="TextBox 3" o:spid="_x0000_s1028" type="#_x0000_t202" style="position:absolute;left:0;text-align:left;margin-left:46.2pt;margin-top:89.7pt;width:131.5pt;height:27.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" fillcolor="window" strokecolor="windowText">
                <v:path arrowok="t"/>
                <v:textbox>
                  <w:txbxContent>
                    <w:p w:rsidR="00836069" w:rsidRDefault="00836069" w:rsidP="00FE4634">
                      <w:pPr>
                        <w:pStyle w:val="NormalWeb"/>
                        <w:spacing w:before="0" w:beforeAutospacing="0" w:after="0" w:afterAutospacing="0"/>
                      </w:pPr>
                      <w:r>
                        <w:rPr>
                          <w:rFonts w:ascii="Calibri" w:eastAsia="+mn-ea" w:hAnsi="Calibri" w:cs="+mn-cs"/>
                          <w:sz w:val="22"/>
                          <w:szCs w:val="22"/>
                        </w:rPr>
                        <w:t>Valsts pārvaldes mediāna</w:t>
                      </w:r>
                    </w:p>
                  </w:txbxContent>
                </v:textbox>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2330450</wp:posOffset>
                </wp:positionH>
                <wp:positionV relativeFrom="paragraph">
                  <wp:posOffset>939165</wp:posOffset>
                </wp:positionV>
                <wp:extent cx="2335530" cy="247650"/>
                <wp:effectExtent l="0" t="0" r="26670" b="19050"/>
                <wp:wrapNone/>
                <wp:docPr id="40"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5530" cy="247650"/>
                        </a:xfrm>
                        <a:prstGeom prst="rect">
                          <a:avLst/>
                        </a:prstGeom>
                        <a:solidFill>
                          <a:sysClr val="window" lastClr="FFFFFF"/>
                        </a:solidFill>
                        <a:ln>
                          <a:solidFill>
                            <a:sysClr val="windowText" lastClr="000000"/>
                          </a:solidFill>
                        </a:ln>
                      </wps:spPr>
                      <wps:txbx>
                        <w:txbxContent>
                          <w:p w:rsidR="00836069" w:rsidRDefault="00836069" w:rsidP="005F0270">
                            <w:pPr>
                              <w:pStyle w:val="NormalWeb"/>
                              <w:spacing w:before="0" w:beforeAutospacing="0" w:after="0" w:afterAutospacing="0"/>
                            </w:pPr>
                            <w:r w:rsidRPr="00C94851">
                              <w:rPr>
                                <w:rFonts w:ascii="Calibri" w:hAnsi="Calibri"/>
                                <w:sz w:val="22"/>
                                <w:szCs w:val="22"/>
                              </w:rPr>
                              <w:t>Valsts pārvaldes skalas maksimums</w:t>
                            </w:r>
                          </w:p>
                        </w:txbxContent>
                      </wps:txbx>
                      <wps:bodyPr wrap="square" rtlCol="0"/>
                    </wps:wsp>
                  </a:graphicData>
                </a:graphic>
                <wp14:sizeRelH relativeFrom="page">
                  <wp14:pctWidth>0</wp14:pctWidth>
                </wp14:sizeRelH>
                <wp14:sizeRelV relativeFrom="page">
                  <wp14:pctHeight>0</wp14:pctHeight>
                </wp14:sizeRelV>
              </wp:anchor>
            </w:drawing>
          </mc:Choice>
          <mc:Fallback>
            <w:pict>
              <v:shape id="TextBox 1" o:spid="_x0000_s1029" type="#_x0000_t202" style="position:absolute;left:0;text-align:left;margin-left:183.5pt;margin-top:73.95pt;width:183.9pt;height:1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" fillcolor="window" strokecolor="windowText">
                <v:path arrowok="t"/>
                <v:textbox>
                  <w:txbxContent>
                    <w:p w:rsidR="00836069" w:rsidRDefault="00836069" w:rsidP="005F0270">
                      <w:pPr>
                        <w:pStyle w:val="NormalWeb"/>
                        <w:spacing w:before="0" w:beforeAutospacing="0" w:after="0" w:afterAutospacing="0"/>
                      </w:pPr>
                      <w:r w:rsidRPr="00C94851">
                        <w:rPr>
                          <w:rFonts w:ascii="Calibri" w:hAnsi="Calibri"/>
                          <w:sz w:val="22"/>
                          <w:szCs w:val="22"/>
                        </w:rPr>
                        <w:t>Valsts pārvaldes skalas maksimums</w:t>
                      </w:r>
                    </w:p>
                  </w:txbxContent>
                </v:textbox>
              </v:shape>
            </w:pict>
          </mc:Fallback>
        </mc:AlternateContent>
      </w:r>
      <w:r>
        <w:rPr>
          <w:noProof/>
        </w:rPr>
        <mc:AlternateContent>
          <mc:Choice Requires="wps">
            <w:drawing>
              <wp:anchor distT="0" distB="0" distL="114293" distR="114293" simplePos="0" relativeHeight="251655680" behindDoc="0" locked="0" layoutInCell="1" allowOverlap="1">
                <wp:simplePos x="0" y="0"/>
                <wp:positionH relativeFrom="column">
                  <wp:posOffset>3204209</wp:posOffset>
                </wp:positionH>
                <wp:positionV relativeFrom="paragraph">
                  <wp:posOffset>2637155</wp:posOffset>
                </wp:positionV>
                <wp:extent cx="0" cy="285115"/>
                <wp:effectExtent l="95250" t="0" r="57150" b="57785"/>
                <wp:wrapNone/>
                <wp:docPr id="52"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5115"/>
                        </a:xfrm>
                        <a:prstGeom prst="straightConnector1">
                          <a:avLst/>
                        </a:prstGeom>
                        <a:solidFill>
                          <a:srgbClr val="4F81BD"/>
                        </a:solidFill>
                        <a:ln w="9525" cap="flat" cmpd="sng" algn="ctr">
                          <a:solidFill>
                            <a:sysClr val="windowText" lastClr="000000"/>
                          </a:solidFill>
                          <a:prstDash val="solid"/>
                          <a:round/>
                          <a:headEnd type="none" w="med" len="me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6CD4C8E2" id="Straight Arrow Connector 11" o:spid="_x0000_s1026" type="#_x0000_t32" style="position:absolute;margin-left:252.3pt;margin-top:207.65pt;width:0;height:22.45pt;z-index:25165568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" filled="t" fillcolor="#4f81bd" strokecolor="windowText">
                <v:stroke endarrow="open"/>
                <o:lock v:ext="edit" shapetype="f"/>
              </v:shape>
            </w:pict>
          </mc:Fallback>
        </mc:AlternateContent>
      </w:r>
      <w:r>
        <w:rPr>
          <w:noProof/>
        </w:rPr>
        <mc:AlternateContent>
          <mc:Choice Requires="wps">
            <w:drawing>
              <wp:anchor distT="0" distB="0" distL="114293" distR="114293" simplePos="0" relativeHeight="251654656" behindDoc="0" locked="0" layoutInCell="1" allowOverlap="1">
                <wp:simplePos x="0" y="0"/>
                <wp:positionH relativeFrom="column">
                  <wp:posOffset>3423284</wp:posOffset>
                </wp:positionH>
                <wp:positionV relativeFrom="paragraph">
                  <wp:posOffset>2635885</wp:posOffset>
                </wp:positionV>
                <wp:extent cx="0" cy="285115"/>
                <wp:effectExtent l="95250" t="0" r="57150" b="57785"/>
                <wp:wrapNone/>
                <wp:docPr id="5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5115"/>
                        </a:xfrm>
                        <a:prstGeom prst="straightConnector1">
                          <a:avLst/>
                        </a:prstGeom>
                        <a:solidFill>
                          <a:srgbClr val="4F81BD"/>
                        </a:solidFill>
                        <a:ln w="9525" cap="flat" cmpd="sng" algn="ctr">
                          <a:solidFill>
                            <a:sysClr val="windowText" lastClr="000000"/>
                          </a:solidFill>
                          <a:prstDash val="solid"/>
                          <a:round/>
                          <a:headEnd type="none" w="med" len="me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7FA2F673" id="Straight Arrow Connector 11" o:spid="_x0000_s1026" type="#_x0000_t32" style="position:absolute;margin-left:269.55pt;margin-top:207.55pt;width:0;height:22.45pt;z-index:25165465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" filled="t" fillcolor="#4f81bd" strokecolor="windowText">
                <v:stroke endarrow="open"/>
                <o:lock v:ext="edit" shapetype="f"/>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3053715</wp:posOffset>
                </wp:positionH>
                <wp:positionV relativeFrom="paragraph">
                  <wp:posOffset>2919730</wp:posOffset>
                </wp:positionV>
                <wp:extent cx="874395" cy="409575"/>
                <wp:effectExtent l="0" t="0" r="20955" b="28575"/>
                <wp:wrapNone/>
                <wp:docPr id="48"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4395" cy="409575"/>
                        </a:xfrm>
                        <a:prstGeom prst="rect">
                          <a:avLst/>
                        </a:prstGeom>
                        <a:ln>
                          <a:solidFill>
                            <a:sysClr val="windowText" lastClr="000000"/>
                          </a:solidFill>
                        </a:ln>
                      </wps:spPr>
                      <wps:txbx>
                        <w:txbxContent>
                          <w:p w:rsidR="00836069" w:rsidRDefault="00836069" w:rsidP="00B51A4F">
                            <w:pPr>
                              <w:pStyle w:val="NormalWeb"/>
                              <w:spacing w:before="0" w:beforeAutospacing="0" w:after="0" w:afterAutospacing="0"/>
                            </w:pPr>
                            <w:r>
                              <w:rPr>
                                <w:rFonts w:eastAsia="+mn-ea"/>
                              </w:rPr>
                              <w:t>Vecākais referents</w:t>
                            </w:r>
                          </w:p>
                        </w:txbxContent>
                      </wps:txbx>
                      <wps:bodyPr vertOverflow="clip" wrap="square" rtlCol="0">
                        <a:noAutofit/>
                      </wps:bodyPr>
                    </wps:wsp>
                  </a:graphicData>
                </a:graphic>
                <wp14:sizeRelH relativeFrom="page">
                  <wp14:pctWidth>0</wp14:pctWidth>
                </wp14:sizeRelH>
                <wp14:sizeRelV relativeFrom="margin">
                  <wp14:pctHeight>0</wp14:pctHeight>
                </wp14:sizeRelV>
              </wp:anchor>
            </w:drawing>
          </mc:Choice>
          <mc:Fallback>
            <w:pict>
              <v:shape id="TextBox 2" o:spid="_x0000_s1030" type="#_x0000_t202" style="position:absolute;left:0;text-align:left;margin-left:240.45pt;margin-top:229.9pt;width:68.85pt;height:32.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" filled="f" strokecolor="windowText">
                <v:path arrowok="t"/>
                <v:textbox>
                  <w:txbxContent>
                    <w:p w:rsidR="00836069" w:rsidRDefault="00836069" w:rsidP="00B51A4F">
                      <w:pPr>
                        <w:pStyle w:val="NormalWeb"/>
                        <w:spacing w:before="0" w:beforeAutospacing="0" w:after="0" w:afterAutospacing="0"/>
                      </w:pPr>
                      <w:r>
                        <w:rPr>
                          <w:rFonts w:eastAsia="+mn-ea"/>
                        </w:rPr>
                        <w:t>Vecākais referents</w:t>
                      </w:r>
                    </w:p>
                  </w:txbxContent>
                </v:textbox>
              </v:shap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4168140</wp:posOffset>
                </wp:positionH>
                <wp:positionV relativeFrom="paragraph">
                  <wp:posOffset>2920365</wp:posOffset>
                </wp:positionV>
                <wp:extent cx="1009650" cy="409575"/>
                <wp:effectExtent l="0" t="0" r="19050" b="28575"/>
                <wp:wrapNone/>
                <wp:docPr id="35"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409575"/>
                        </a:xfrm>
                        <a:prstGeom prst="rect">
                          <a:avLst/>
                        </a:prstGeom>
                        <a:ln>
                          <a:solidFill>
                            <a:sysClr val="windowText" lastClr="000000"/>
                          </a:solidFill>
                        </a:ln>
                      </wps:spPr>
                      <wps:txbx>
                        <w:txbxContent>
                          <w:p w:rsidR="00836069" w:rsidRDefault="00836069" w:rsidP="001A637F">
                            <w:pPr>
                              <w:pStyle w:val="NormalWeb"/>
                              <w:spacing w:before="0" w:beforeAutospacing="0" w:after="0" w:afterAutospacing="0"/>
                              <w:textAlignment w:val="baseline"/>
                            </w:pPr>
                            <w:r w:rsidRPr="00C94851">
                              <w:rPr>
                                <w:color w:val="000000"/>
                                <w:kern w:val="24"/>
                                <w:sz w:val="22"/>
                                <w:szCs w:val="22"/>
                              </w:rPr>
                              <w:t>Departamenta direktors</w:t>
                            </w: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id="_x0000_s1031" type="#_x0000_t202" style="position:absolute;left:0;text-align:left;margin-left:328.2pt;margin-top:229.95pt;width:79.5pt;height:32.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" filled="f" strokecolor="windowText">
                <v:path arrowok="t"/>
                <v:textbox>
                  <w:txbxContent>
                    <w:p w:rsidR="00836069" w:rsidRDefault="00836069" w:rsidP="001A637F">
                      <w:pPr>
                        <w:pStyle w:val="NormalWeb"/>
                        <w:spacing w:before="0" w:beforeAutospacing="0" w:after="0" w:afterAutospacing="0"/>
                        <w:textAlignment w:val="baseline"/>
                      </w:pPr>
                      <w:r w:rsidRPr="00C94851">
                        <w:rPr>
                          <w:color w:val="000000"/>
                          <w:kern w:val="24"/>
                          <w:sz w:val="22"/>
                          <w:szCs w:val="22"/>
                        </w:rPr>
                        <w:t>Departamenta direktors</w:t>
                      </w:r>
                    </w:p>
                  </w:txbxContent>
                </v:textbox>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5234940</wp:posOffset>
                </wp:positionH>
                <wp:positionV relativeFrom="paragraph">
                  <wp:posOffset>2939415</wp:posOffset>
                </wp:positionV>
                <wp:extent cx="747395" cy="390525"/>
                <wp:effectExtent l="0" t="0" r="14605" b="28575"/>
                <wp:wrapNone/>
                <wp:docPr id="34"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390525"/>
                        </a:xfrm>
                        <a:prstGeom prst="rect">
                          <a:avLst/>
                        </a:prstGeom>
                        <a:ln>
                          <a:solidFill>
                            <a:sysClr val="windowText" lastClr="000000"/>
                          </a:solidFill>
                        </a:ln>
                      </wps:spPr>
                      <wps:txbx>
                        <w:txbxContent>
                          <w:p w:rsidR="00836069" w:rsidRDefault="00836069" w:rsidP="001A637F">
                            <w:pPr>
                              <w:pStyle w:val="NormalWeb"/>
                              <w:spacing w:before="0" w:beforeAutospacing="0" w:after="0" w:afterAutospacing="0"/>
                              <w:textAlignment w:val="baseline"/>
                            </w:pPr>
                            <w:r w:rsidRPr="00C94851">
                              <w:rPr>
                                <w:color w:val="000000"/>
                                <w:kern w:val="24"/>
                                <w:sz w:val="22"/>
                                <w:szCs w:val="22"/>
                              </w:rPr>
                              <w:t>Valsts sekretārs</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412.2pt;margin-top:231.45pt;width:58.85pt;height:3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" filled="f" strokecolor="windowText">
                <v:path arrowok="t"/>
                <v:textbox>
                  <w:txbxContent>
                    <w:p w:rsidR="00836069" w:rsidRDefault="00836069" w:rsidP="001A637F">
                      <w:pPr>
                        <w:pStyle w:val="NormalWeb"/>
                        <w:spacing w:before="0" w:beforeAutospacing="0" w:after="0" w:afterAutospacing="0"/>
                        <w:textAlignment w:val="baseline"/>
                      </w:pPr>
                      <w:r w:rsidRPr="00C94851">
                        <w:rPr>
                          <w:color w:val="000000"/>
                          <w:kern w:val="24"/>
                          <w:sz w:val="22"/>
                          <w:szCs w:val="22"/>
                        </w:rPr>
                        <w:t>Valsts sekretārs</w:t>
                      </w:r>
                    </w:p>
                  </w:txbxContent>
                </v:textbox>
              </v:shap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-590550</wp:posOffset>
                </wp:positionH>
                <wp:positionV relativeFrom="paragraph">
                  <wp:posOffset>2551430</wp:posOffset>
                </wp:positionV>
                <wp:extent cx="1504950" cy="285115"/>
                <wp:effectExtent l="0" t="0" r="0" b="0"/>
                <wp:wrapNone/>
                <wp:docPr id="33"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285115"/>
                        </a:xfrm>
                        <a:prstGeom prst="rect">
                          <a:avLst/>
                        </a:prstGeom>
                      </wps:spPr>
                      <wps:txbx>
                        <w:txbxContent>
                          <w:p w:rsidR="00836069" w:rsidRPr="001B5245" w:rsidRDefault="00836069" w:rsidP="001A637F">
                            <w:pPr>
                              <w:pStyle w:val="NormalWeb"/>
                              <w:spacing w:before="0" w:beforeAutospacing="0" w:after="0" w:afterAutospacing="0"/>
                              <w:textAlignment w:val="baseline"/>
                            </w:pPr>
                            <w:r w:rsidRPr="00C94851">
                              <w:rPr>
                                <w:color w:val="000000"/>
                                <w:kern w:val="24"/>
                              </w:rPr>
                              <w:t>Mēnešalgu grupa</w:t>
                            </w:r>
                          </w:p>
                        </w:txbxContent>
                      </wps:txbx>
                      <wps:bodyPr wrap="square" rtlCol="0"/>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46.5pt;margin-top:200.9pt;width:118.5pt;height:22.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" filled="f" stroked="f">
                <v:path arrowok="t"/>
                <v:textbox>
                  <w:txbxContent>
                    <w:p w:rsidR="00836069" w:rsidRPr="001B5245" w:rsidRDefault="00836069" w:rsidP="001A637F">
                      <w:pPr>
                        <w:pStyle w:val="NormalWeb"/>
                        <w:spacing w:before="0" w:beforeAutospacing="0" w:after="0" w:afterAutospacing="0"/>
                        <w:textAlignment w:val="baseline"/>
                      </w:pPr>
                      <w:r w:rsidRPr="00C94851">
                        <w:rPr>
                          <w:color w:val="000000"/>
                          <w:kern w:val="24"/>
                        </w:rPr>
                        <w:t>Mēnešalgu grupa</w:t>
                      </w:r>
                    </w:p>
                  </w:txbxContent>
                </v:textbox>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3348990</wp:posOffset>
                </wp:positionH>
                <wp:positionV relativeFrom="paragraph">
                  <wp:posOffset>1186815</wp:posOffset>
                </wp:positionV>
                <wp:extent cx="1628775" cy="418465"/>
                <wp:effectExtent l="0" t="0" r="66675" b="7683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28775" cy="41846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9308A14" id="Straight Arrow Connector 46" o:spid="_x0000_s1026" type="#_x0000_t32" style="position:absolute;margin-left:263.7pt;margin-top:93.45pt;width:128.25pt;height:32.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" strokecolor="windowText">
                <v:stroke endarrow="open"/>
                <o:lock v:ext="edit" shapetype="f"/>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189865</wp:posOffset>
                </wp:positionH>
                <wp:positionV relativeFrom="paragraph">
                  <wp:posOffset>72390</wp:posOffset>
                </wp:positionV>
                <wp:extent cx="3235325" cy="443865"/>
                <wp:effectExtent l="0" t="0" r="22225" b="13335"/>
                <wp:wrapNone/>
                <wp:docPr id="55"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5325" cy="443865"/>
                        </a:xfrm>
                        <a:prstGeom prst="rect">
                          <a:avLst/>
                        </a:prstGeom>
                        <a:ln>
                          <a:solidFill>
                            <a:sysClr val="windowText" lastClr="000000"/>
                          </a:solidFill>
                        </a:ln>
                      </wps:spPr>
                      <wps:txbx>
                        <w:txbxContent>
                          <w:p w:rsidR="00836069" w:rsidRDefault="00836069" w:rsidP="00076FCF">
                            <w:pPr>
                              <w:pStyle w:val="NormalWeb"/>
                              <w:spacing w:before="0" w:beforeAutospacing="0" w:after="0" w:afterAutospacing="0"/>
                            </w:pPr>
                            <w:r>
                              <w:rPr>
                                <w:rFonts w:ascii="Calibri" w:eastAsia="+mn-ea" w:hAnsi="Calibri" w:cs="+mn-cs"/>
                                <w:sz w:val="22"/>
                                <w:szCs w:val="22"/>
                              </w:rPr>
                              <w:t xml:space="preserve">Valsts sekretāra mēnešalga = 45% no privātā sektora līdzvērtīgu amatu algas mediānas </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id="TextBox 4" o:spid="_x0000_s1034" type="#_x0000_t202" style="position:absolute;left:0;text-align:left;margin-left:14.95pt;margin-top:5.7pt;width:254.75pt;height:34.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" filled="f" strokecolor="windowText">
                <v:path arrowok="t"/>
                <v:textbox>
                  <w:txbxContent>
                    <w:p w:rsidR="00836069" w:rsidRDefault="00836069" w:rsidP="00076FCF">
                      <w:pPr>
                        <w:pStyle w:val="NormalWeb"/>
                        <w:spacing w:before="0" w:beforeAutospacing="0" w:after="0" w:afterAutospacing="0"/>
                      </w:pPr>
                      <w:r>
                        <w:rPr>
                          <w:rFonts w:ascii="Calibri" w:eastAsia="+mn-ea" w:hAnsi="Calibri" w:cs="+mn-cs"/>
                          <w:sz w:val="22"/>
                          <w:szCs w:val="22"/>
                        </w:rPr>
                        <w:t xml:space="preserve">Valsts sekretāra mēnešalga = 45% no privātā sektora līdzvērtīgu amatu algas mediānas </w:t>
                      </w:r>
                    </w:p>
                  </w:txbxContent>
                </v:textbox>
              </v:shape>
            </w:pict>
          </mc:Fallback>
        </mc:AlternateContent>
      </w:r>
      <w:r w:rsidR="001F1FB0">
        <w:rPr>
          <w:noProof/>
        </w:rPr>
        <w:drawing>
          <wp:inline distT="0" distB="0" distL="0" distR="0">
            <wp:extent cx="6400800" cy="3343275"/>
            <wp:effectExtent l="0" t="0" r="0" b="0"/>
            <wp:docPr id="14" name="Chart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rPr>
        <mc:AlternateContent>
          <mc:Choice Requires="wps">
            <w:drawing>
              <wp:anchor distT="0" distB="0" distL="114300" distR="114300" simplePos="0" relativeHeight="251648512" behindDoc="0" locked="0" layoutInCell="1" allowOverlap="1">
                <wp:simplePos x="0" y="0"/>
                <wp:positionH relativeFrom="column">
                  <wp:posOffset>3206115</wp:posOffset>
                </wp:positionH>
                <wp:positionV relativeFrom="paragraph">
                  <wp:posOffset>567690</wp:posOffset>
                </wp:positionV>
                <wp:extent cx="1676400" cy="247650"/>
                <wp:effectExtent l="0" t="0" r="19050" b="19050"/>
                <wp:wrapNone/>
                <wp:docPr id="32"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247650"/>
                        </a:xfrm>
                        <a:prstGeom prst="rect">
                          <a:avLst/>
                        </a:prstGeom>
                        <a:solidFill>
                          <a:sysClr val="window" lastClr="FFFFFF"/>
                        </a:solidFill>
                        <a:ln>
                          <a:solidFill>
                            <a:sysClr val="windowText" lastClr="000000"/>
                          </a:solidFill>
                        </a:ln>
                      </wps:spPr>
                      <wps:txbx>
                        <w:txbxContent>
                          <w:p w:rsidR="00836069" w:rsidRDefault="00836069" w:rsidP="005F0270">
                            <w:pPr>
                              <w:pStyle w:val="NormalWeb"/>
                              <w:spacing w:before="0" w:beforeAutospacing="0" w:after="0" w:afterAutospacing="0"/>
                            </w:pPr>
                            <w:r w:rsidRPr="00C94851">
                              <w:rPr>
                                <w:rFonts w:ascii="Calibri" w:hAnsi="Calibri"/>
                                <w:sz w:val="22"/>
                                <w:szCs w:val="22"/>
                              </w:rPr>
                              <w:t>Privātā sektora mediāna</w:t>
                            </w:r>
                          </w:p>
                        </w:txbxContent>
                      </wps:txbx>
                      <wps:bodyPr wrap="square" rtlCol="0"/>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52.45pt;margin-top:44.7pt;width:132pt;height:1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" fillcolor="window" strokecolor="windowText">
                <v:path arrowok="t"/>
                <v:textbox>
                  <w:txbxContent>
                    <w:p w:rsidR="00836069" w:rsidRDefault="00836069" w:rsidP="005F0270">
                      <w:pPr>
                        <w:pStyle w:val="NormalWeb"/>
                        <w:spacing w:before="0" w:beforeAutospacing="0" w:after="0" w:afterAutospacing="0"/>
                      </w:pPr>
                      <w:r w:rsidRPr="00C94851">
                        <w:rPr>
                          <w:rFonts w:ascii="Calibri" w:hAnsi="Calibri"/>
                          <w:sz w:val="22"/>
                          <w:szCs w:val="22"/>
                        </w:rPr>
                        <w:t>Privātā sektora mediāna</w:t>
                      </w:r>
                    </w:p>
                  </w:txbxContent>
                </v:textbox>
              </v:shape>
            </w:pict>
          </mc:Fallback>
        </mc:AlternateContent>
      </w:r>
      <w:r>
        <w:rPr>
          <w:noProof/>
        </w:rPr>
        <mc:AlternateContent>
          <mc:Choice Requires="wps">
            <w:drawing>
              <wp:anchor distT="0" distB="0" distL="114293" distR="114293" simplePos="0" relativeHeight="251653632" behindDoc="0" locked="0" layoutInCell="1" allowOverlap="1">
                <wp:simplePos x="0" y="0"/>
                <wp:positionH relativeFrom="column">
                  <wp:posOffset>5709284</wp:posOffset>
                </wp:positionH>
                <wp:positionV relativeFrom="paragraph">
                  <wp:posOffset>2635885</wp:posOffset>
                </wp:positionV>
                <wp:extent cx="0" cy="285115"/>
                <wp:effectExtent l="95250" t="0" r="57150" b="57785"/>
                <wp:wrapNone/>
                <wp:docPr id="50"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5115"/>
                        </a:xfrm>
                        <a:prstGeom prst="straightConnector1">
                          <a:avLst/>
                        </a:prstGeom>
                        <a:solidFill>
                          <a:srgbClr val="4F81BD"/>
                        </a:solidFill>
                        <a:ln w="9525" cap="flat" cmpd="sng" algn="ctr">
                          <a:solidFill>
                            <a:sysClr val="windowText" lastClr="000000"/>
                          </a:solidFill>
                          <a:prstDash val="solid"/>
                          <a:round/>
                          <a:headEnd type="none" w="med" len="me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5FCA72F5" id="Straight Arrow Connector 11" o:spid="_x0000_s1026" type="#_x0000_t32" style="position:absolute;margin-left:449.55pt;margin-top:207.55pt;width:0;height:22.45pt;z-index:25165363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" filled="t" fillcolor="#4f81bd" strokecolor="windowText">
                <v:stroke endarrow="open"/>
                <o:lock v:ext="edit" shapetype="f"/>
              </v:shape>
            </w:pict>
          </mc:Fallback>
        </mc:AlternateContent>
      </w:r>
      <w:r>
        <w:rPr>
          <w:noProof/>
        </w:rPr>
        <mc:AlternateContent>
          <mc:Choice Requires="wps">
            <w:drawing>
              <wp:anchor distT="0" distB="0" distL="114293" distR="114293" simplePos="0" relativeHeight="251652608" behindDoc="0" locked="0" layoutInCell="1" allowOverlap="1">
                <wp:simplePos x="0" y="0"/>
                <wp:positionH relativeFrom="column">
                  <wp:posOffset>4975859</wp:posOffset>
                </wp:positionH>
                <wp:positionV relativeFrom="paragraph">
                  <wp:posOffset>2635250</wp:posOffset>
                </wp:positionV>
                <wp:extent cx="0" cy="285115"/>
                <wp:effectExtent l="95250" t="0" r="57150" b="57785"/>
                <wp:wrapNone/>
                <wp:docPr id="49"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5115"/>
                        </a:xfrm>
                        <a:prstGeom prst="straightConnector1">
                          <a:avLst/>
                        </a:prstGeom>
                        <a:solidFill>
                          <a:srgbClr val="4F81BD"/>
                        </a:solidFill>
                        <a:ln w="9525" cap="flat" cmpd="sng" algn="ctr">
                          <a:solidFill>
                            <a:sysClr val="windowText" lastClr="000000"/>
                          </a:solidFill>
                          <a:prstDash val="solid"/>
                          <a:round/>
                          <a:headEnd type="none" w="med" len="me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4B86D861" id="Straight Arrow Connector 11" o:spid="_x0000_s1026" type="#_x0000_t32" style="position:absolute;margin-left:391.8pt;margin-top:207.5pt;width:0;height:22.45pt;z-index:25165260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" filled="t" fillcolor="#4f81bd" strokecolor="windowText">
                <v:stroke endarrow="open"/>
                <o:lock v:ext="edit" shapetype="f"/>
              </v:shape>
            </w:pict>
          </mc:Fallback>
        </mc:AlternateContent>
      </w:r>
      <w:r>
        <w:rPr>
          <w:noProof/>
        </w:rPr>
        <mc:AlternateContent>
          <mc:Choice Requires="wps">
            <w:drawing>
              <wp:anchor distT="0" distB="0" distL="114293" distR="114293" simplePos="0" relativeHeight="251645440" behindDoc="0" locked="0" layoutInCell="1" allowOverlap="1">
                <wp:simplePos x="0" y="0"/>
                <wp:positionH relativeFrom="column">
                  <wp:posOffset>4747259</wp:posOffset>
                </wp:positionH>
                <wp:positionV relativeFrom="paragraph">
                  <wp:posOffset>2635885</wp:posOffset>
                </wp:positionV>
                <wp:extent cx="0" cy="285115"/>
                <wp:effectExtent l="95250" t="0" r="57150" b="57785"/>
                <wp:wrapNone/>
                <wp:docPr id="2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5115"/>
                        </a:xfrm>
                        <a:prstGeom prst="straightConnector1">
                          <a:avLst/>
                        </a:prstGeom>
                        <a:solidFill>
                          <a:srgbClr val="4F81BD"/>
                        </a:solidFill>
                        <a:ln w="9525" cap="flat" cmpd="sng" algn="ctr">
                          <a:solidFill>
                            <a:sysClr val="windowText" lastClr="000000"/>
                          </a:solidFill>
                          <a:prstDash val="solid"/>
                          <a:round/>
                          <a:headEnd type="none" w="med" len="me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5E95AE92" id="Straight Arrow Connector 11" o:spid="_x0000_s1026" type="#_x0000_t32" style="position:absolute;margin-left:373.8pt;margin-top:207.55pt;width:0;height:22.45pt;z-index:2516454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" filled="t" fillcolor="#4f81bd" strokecolor="windowText">
                <v:stroke endarrow="open"/>
                <o:lock v:ext="edit" shapetype="f"/>
              </v:shap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-354965</wp:posOffset>
                </wp:positionH>
                <wp:positionV relativeFrom="paragraph">
                  <wp:posOffset>127635</wp:posOffset>
                </wp:positionV>
                <wp:extent cx="405130" cy="285115"/>
                <wp:effectExtent l="0" t="0" r="0" b="0"/>
                <wp:wrapNone/>
                <wp:docPr id="30"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130" cy="285115"/>
                        </a:xfrm>
                        <a:prstGeom prst="rect">
                          <a:avLst/>
                        </a:prstGeom>
                      </wps:spPr>
                      <wps:txbx>
                        <w:txbxContent>
                          <w:p w:rsidR="00836069" w:rsidRPr="00386FE1" w:rsidRDefault="00836069" w:rsidP="001A637F">
                            <w:pPr>
                              <w:pStyle w:val="NormalWeb"/>
                              <w:spacing w:before="0" w:beforeAutospacing="0" w:after="0" w:afterAutospacing="0"/>
                              <w:textAlignment w:val="baseline"/>
                            </w:pPr>
                            <w:r w:rsidRPr="00C94851">
                              <w:rPr>
                                <w:color w:val="000000"/>
                                <w:kern w:val="24"/>
                              </w:rPr>
                              <w:t>Ls</w:t>
                            </w:r>
                          </w:p>
                        </w:txbxContent>
                      </wps:txbx>
                      <wps:bodyPr wrap="square" rtlCol="0"/>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7.95pt;margin-top:10.05pt;width:31.9pt;height:22.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" filled="f" stroked="f">
                <v:path arrowok="t"/>
                <v:textbox>
                  <w:txbxContent>
                    <w:p w:rsidR="00836069" w:rsidRPr="00386FE1" w:rsidRDefault="00836069" w:rsidP="001A637F">
                      <w:pPr>
                        <w:pStyle w:val="NormalWeb"/>
                        <w:spacing w:before="0" w:beforeAutospacing="0" w:after="0" w:afterAutospacing="0"/>
                        <w:textAlignment w:val="baseline"/>
                      </w:pPr>
                      <w:r w:rsidRPr="00C94851">
                        <w:rPr>
                          <w:color w:val="000000"/>
                          <w:kern w:val="24"/>
                        </w:rPr>
                        <w:t>Ls</w:t>
                      </w:r>
                    </w:p>
                  </w:txbxContent>
                </v:textbox>
              </v:shape>
            </w:pict>
          </mc:Fallback>
        </mc:AlternateContent>
      </w:r>
    </w:p>
    <w:p w:rsidR="006B3F7F" w:rsidRPr="00C94851" w:rsidRDefault="00C36C55" w:rsidP="0019235D">
      <w:pPr>
        <w:spacing w:after="0" w:line="240" w:lineRule="auto"/>
        <w:ind w:left="-567" w:firstLine="720"/>
        <w:jc w:val="right"/>
        <w:rPr>
          <w:rFonts w:ascii="Times New Roman" w:hAnsi="Times New Roman"/>
          <w:color w:val="000000"/>
          <w:sz w:val="28"/>
          <w:szCs w:val="28"/>
        </w:rPr>
      </w:pPr>
      <w:r w:rsidRPr="00C94851">
        <w:rPr>
          <w:rFonts w:ascii="Times New Roman" w:hAnsi="Times New Roman"/>
          <w:color w:val="000000"/>
          <w:sz w:val="28"/>
          <w:szCs w:val="28"/>
        </w:rPr>
        <w:t>1</w:t>
      </w:r>
      <w:r w:rsidR="00AE141C">
        <w:rPr>
          <w:rFonts w:ascii="Times New Roman" w:hAnsi="Times New Roman"/>
          <w:color w:val="000000"/>
          <w:sz w:val="28"/>
          <w:szCs w:val="28"/>
        </w:rPr>
        <w:t>4</w:t>
      </w:r>
      <w:r w:rsidR="006B3F7F" w:rsidRPr="00C94851">
        <w:rPr>
          <w:rFonts w:ascii="Times New Roman" w:hAnsi="Times New Roman"/>
          <w:color w:val="000000"/>
          <w:sz w:val="28"/>
          <w:szCs w:val="28"/>
        </w:rPr>
        <w:t>.attēls</w:t>
      </w:r>
    </w:p>
    <w:p w:rsidR="00854200" w:rsidRPr="00C94851" w:rsidRDefault="00854200" w:rsidP="0038610C">
      <w:pPr>
        <w:spacing w:after="0" w:line="240" w:lineRule="auto"/>
        <w:ind w:left="-567" w:firstLine="720"/>
        <w:jc w:val="center"/>
        <w:rPr>
          <w:rFonts w:ascii="Times New Roman" w:hAnsi="Times New Roman"/>
          <w:color w:val="000000"/>
          <w:sz w:val="28"/>
          <w:szCs w:val="28"/>
        </w:rPr>
      </w:pPr>
      <w:r w:rsidRPr="00C94851">
        <w:rPr>
          <w:rFonts w:ascii="Times New Roman" w:hAnsi="Times New Roman"/>
          <w:b/>
          <w:color w:val="000000"/>
          <w:sz w:val="28"/>
          <w:szCs w:val="28"/>
        </w:rPr>
        <w:t xml:space="preserve">Valsts pārvaldes maksimālo mēnešalgu </w:t>
      </w:r>
      <w:r w:rsidR="00502EB8" w:rsidRPr="00C94851">
        <w:rPr>
          <w:rFonts w:ascii="Times New Roman" w:hAnsi="Times New Roman"/>
          <w:b/>
          <w:color w:val="000000"/>
          <w:sz w:val="28"/>
          <w:szCs w:val="28"/>
        </w:rPr>
        <w:t xml:space="preserve">un mediānas </w:t>
      </w:r>
      <w:r w:rsidRPr="00C94851">
        <w:rPr>
          <w:rFonts w:ascii="Times New Roman" w:hAnsi="Times New Roman"/>
          <w:b/>
          <w:color w:val="000000"/>
          <w:sz w:val="28"/>
          <w:szCs w:val="28"/>
        </w:rPr>
        <w:t>salīdzinājums ar privātā sektora mēnešalgu mediānu (2007.gads)</w:t>
      </w:r>
    </w:p>
    <w:p w:rsidR="00D73A76" w:rsidRPr="00C94851" w:rsidRDefault="009E1D48" w:rsidP="00D73A76">
      <w:pPr>
        <w:spacing w:after="0" w:line="240" w:lineRule="auto"/>
        <w:ind w:left="-567"/>
        <w:jc w:val="both"/>
        <w:rPr>
          <w:rFonts w:ascii="Times New Roman" w:hAnsi="Times New Roman"/>
          <w:color w:val="000000"/>
          <w:sz w:val="28"/>
          <w:szCs w:val="28"/>
        </w:rPr>
      </w:pPr>
      <w:r>
        <w:rPr>
          <w:noProof/>
        </w:rPr>
        <mc:AlternateContent>
          <mc:Choice Requires="wps">
            <w:drawing>
              <wp:anchor distT="0" distB="0" distL="114293" distR="114293" simplePos="0" relativeHeight="251670016" behindDoc="0" locked="0" layoutInCell="1" allowOverlap="1">
                <wp:simplePos x="0" y="0"/>
                <wp:positionH relativeFrom="column">
                  <wp:posOffset>4518024</wp:posOffset>
                </wp:positionH>
                <wp:positionV relativeFrom="paragraph">
                  <wp:posOffset>2633345</wp:posOffset>
                </wp:positionV>
                <wp:extent cx="0" cy="285115"/>
                <wp:effectExtent l="95250" t="0" r="57150" b="57785"/>
                <wp:wrapNone/>
                <wp:docPr id="289"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5115"/>
                        </a:xfrm>
                        <a:prstGeom prst="straightConnector1">
                          <a:avLst/>
                        </a:prstGeom>
                        <a:solidFill>
                          <a:srgbClr val="4F81BD"/>
                        </a:solidFill>
                        <a:ln w="9525" cap="flat" cmpd="sng" algn="ctr">
                          <a:solidFill>
                            <a:sysClr val="windowText" lastClr="000000"/>
                          </a:solidFill>
                          <a:prstDash val="solid"/>
                          <a:round/>
                          <a:headEnd type="none" w="med" len="me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5D800ED6" id="Straight Arrow Connector 11" o:spid="_x0000_s1026" type="#_x0000_t32" style="position:absolute;margin-left:355.75pt;margin-top:207.35pt;width:0;height:22.45pt;z-index:2516700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" filled="t" fillcolor="#4f81bd" strokecolor="windowText">
                <v:stroke endarrow="open"/>
                <o:lock v:ext="edit" shapetype="f"/>
              </v:shape>
            </w:pict>
          </mc:Fallback>
        </mc:AlternateContent>
      </w:r>
      <w:r>
        <w:rPr>
          <w:noProof/>
        </w:rPr>
        <mc:AlternateContent>
          <mc:Choice Requires="wps">
            <w:drawing>
              <wp:anchor distT="0" distB="0" distL="114293" distR="114293" simplePos="0" relativeHeight="251672064" behindDoc="0" locked="0" layoutInCell="1" allowOverlap="1">
                <wp:simplePos x="0" y="0"/>
                <wp:positionH relativeFrom="column">
                  <wp:posOffset>3051809</wp:posOffset>
                </wp:positionH>
                <wp:positionV relativeFrom="paragraph">
                  <wp:posOffset>2632710</wp:posOffset>
                </wp:positionV>
                <wp:extent cx="0" cy="285115"/>
                <wp:effectExtent l="95250" t="0" r="57150" b="57785"/>
                <wp:wrapNone/>
                <wp:docPr id="29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5115"/>
                        </a:xfrm>
                        <a:prstGeom prst="straightConnector1">
                          <a:avLst/>
                        </a:prstGeom>
                        <a:solidFill>
                          <a:srgbClr val="4F81BD"/>
                        </a:solidFill>
                        <a:ln w="9525" cap="flat" cmpd="sng" algn="ctr">
                          <a:solidFill>
                            <a:sysClr val="windowText" lastClr="000000"/>
                          </a:solidFill>
                          <a:prstDash val="solid"/>
                          <a:round/>
                          <a:headEnd type="none" w="med" len="me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56F560EE" id="Straight Arrow Connector 11" o:spid="_x0000_s1026" type="#_x0000_t32" style="position:absolute;margin-left:240.3pt;margin-top:207.3pt;width:0;height:22.45pt;z-index:25167206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" filled="t" fillcolor="#4f81bd" strokecolor="windowText">
                <v:stroke endarrow="open"/>
                <o:lock v:ext="edit" shapetype="f"/>
              </v:shape>
            </w:pict>
          </mc:Fallback>
        </mc:AlternateContent>
      </w:r>
      <w:r>
        <w:rPr>
          <w:noProof/>
        </w:rPr>
        <mc:AlternateContent>
          <mc:Choice Requires="wps">
            <w:drawing>
              <wp:anchor distT="0" distB="0" distL="114293" distR="114293" simplePos="0" relativeHeight="251671040" behindDoc="0" locked="0" layoutInCell="1" allowOverlap="1">
                <wp:simplePos x="0" y="0"/>
                <wp:positionH relativeFrom="column">
                  <wp:posOffset>3448684</wp:posOffset>
                </wp:positionH>
                <wp:positionV relativeFrom="paragraph">
                  <wp:posOffset>2632075</wp:posOffset>
                </wp:positionV>
                <wp:extent cx="0" cy="285115"/>
                <wp:effectExtent l="95250" t="0" r="57150" b="57785"/>
                <wp:wrapNone/>
                <wp:docPr id="290"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5115"/>
                        </a:xfrm>
                        <a:prstGeom prst="straightConnector1">
                          <a:avLst/>
                        </a:prstGeom>
                        <a:solidFill>
                          <a:srgbClr val="4F81BD"/>
                        </a:solidFill>
                        <a:ln w="9525" cap="flat" cmpd="sng" algn="ctr">
                          <a:solidFill>
                            <a:sysClr val="windowText" lastClr="000000"/>
                          </a:solidFill>
                          <a:prstDash val="solid"/>
                          <a:round/>
                          <a:headEnd type="none" w="med" len="me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17EA30D3" id="Straight Arrow Connector 11" o:spid="_x0000_s1026" type="#_x0000_t32" style="position:absolute;margin-left:271.55pt;margin-top:207.25pt;width:0;height:22.45pt;z-index:2516710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" filled="t" fillcolor="#4f81bd" strokecolor="windowText">
                <v:stroke endarrow="open"/>
                <o:lock v:ext="edit" shapetype="f"/>
              </v:shape>
            </w:pict>
          </mc:Fallback>
        </mc:AlternateContent>
      </w:r>
      <w:r>
        <w:rPr>
          <w:noProof/>
        </w:rPr>
        <mc:AlternateContent>
          <mc:Choice Requires="wps">
            <w:drawing>
              <wp:anchor distT="0" distB="0" distL="114293" distR="114293" simplePos="0" relativeHeight="251668992" behindDoc="0" locked="0" layoutInCell="1" allowOverlap="1">
                <wp:simplePos x="0" y="0"/>
                <wp:positionH relativeFrom="column">
                  <wp:posOffset>4880609</wp:posOffset>
                </wp:positionH>
                <wp:positionV relativeFrom="paragraph">
                  <wp:posOffset>2632710</wp:posOffset>
                </wp:positionV>
                <wp:extent cx="0" cy="285115"/>
                <wp:effectExtent l="95250" t="0" r="57150" b="57785"/>
                <wp:wrapNone/>
                <wp:docPr id="288"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5115"/>
                        </a:xfrm>
                        <a:prstGeom prst="straightConnector1">
                          <a:avLst/>
                        </a:prstGeom>
                        <a:solidFill>
                          <a:srgbClr val="4F81BD"/>
                        </a:solidFill>
                        <a:ln w="9525" cap="flat" cmpd="sng" algn="ctr">
                          <a:solidFill>
                            <a:sysClr val="windowText" lastClr="000000"/>
                          </a:solidFill>
                          <a:prstDash val="solid"/>
                          <a:round/>
                          <a:headEnd type="none" w="med" len="me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54FFD4FE" id="Straight Arrow Connector 11" o:spid="_x0000_s1026" type="#_x0000_t32" style="position:absolute;margin-left:384.3pt;margin-top:207.3pt;width:0;height:22.45pt;z-index:25166899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" filled="t" fillcolor="#4f81bd" strokecolor="windowText">
                <v:stroke endarrow="open"/>
                <o:lock v:ext="edit" shapetype="f"/>
              </v:shape>
            </w:pict>
          </mc:Fallback>
        </mc:AlternateContent>
      </w:r>
      <w:r>
        <w:rPr>
          <w:noProof/>
        </w:rPr>
        <mc:AlternateContent>
          <mc:Choice Requires="wps">
            <w:drawing>
              <wp:anchor distT="0" distB="0" distL="114293" distR="114293" simplePos="0" relativeHeight="251667968" behindDoc="0" locked="0" layoutInCell="1" allowOverlap="1">
                <wp:simplePos x="0" y="0"/>
                <wp:positionH relativeFrom="column">
                  <wp:posOffset>5709284</wp:posOffset>
                </wp:positionH>
                <wp:positionV relativeFrom="paragraph">
                  <wp:posOffset>2632710</wp:posOffset>
                </wp:positionV>
                <wp:extent cx="0" cy="285115"/>
                <wp:effectExtent l="95250" t="0" r="57150" b="57785"/>
                <wp:wrapNone/>
                <wp:docPr id="63"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5115"/>
                        </a:xfrm>
                        <a:prstGeom prst="straightConnector1">
                          <a:avLst/>
                        </a:prstGeom>
                        <a:solidFill>
                          <a:srgbClr val="4F81BD"/>
                        </a:solidFill>
                        <a:ln w="9525" cap="flat" cmpd="sng" algn="ctr">
                          <a:solidFill>
                            <a:sysClr val="windowText" lastClr="000000"/>
                          </a:solidFill>
                          <a:prstDash val="solid"/>
                          <a:round/>
                          <a:headEnd type="none" w="med" len="me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4061CCE4" id="Straight Arrow Connector 11" o:spid="_x0000_s1026" type="#_x0000_t32" style="position:absolute;margin-left:449.55pt;margin-top:207.3pt;width:0;height:22.45pt;z-index:25166796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" filled="t" fillcolor="#4f81bd" strokecolor="windowText">
                <v:stroke endarrow="open"/>
                <o:lock v:ext="edit" shapetype="f"/>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5234940</wp:posOffset>
                </wp:positionH>
                <wp:positionV relativeFrom="paragraph">
                  <wp:posOffset>2916555</wp:posOffset>
                </wp:positionV>
                <wp:extent cx="747395" cy="390525"/>
                <wp:effectExtent l="0" t="0" r="14605" b="28575"/>
                <wp:wrapNone/>
                <wp:docPr id="62"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390525"/>
                        </a:xfrm>
                        <a:prstGeom prst="rect">
                          <a:avLst/>
                        </a:prstGeom>
                        <a:ln>
                          <a:solidFill>
                            <a:sysClr val="windowText" lastClr="000000"/>
                          </a:solidFill>
                        </a:ln>
                      </wps:spPr>
                      <wps:txbx>
                        <w:txbxContent>
                          <w:p w:rsidR="00836069" w:rsidRDefault="00836069" w:rsidP="00157635">
                            <w:pPr>
                              <w:pStyle w:val="NormalWeb"/>
                              <w:spacing w:before="0" w:beforeAutospacing="0" w:after="0" w:afterAutospacing="0"/>
                              <w:textAlignment w:val="baseline"/>
                            </w:pPr>
                            <w:r w:rsidRPr="00C94851">
                              <w:rPr>
                                <w:color w:val="000000"/>
                                <w:kern w:val="24"/>
                                <w:sz w:val="22"/>
                                <w:szCs w:val="22"/>
                              </w:rPr>
                              <w:t>Valsts sekretārs</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412.2pt;margin-top:229.65pt;width:58.85pt;height:3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" filled="f" strokecolor="windowText">
                <v:path arrowok="t"/>
                <v:textbox>
                  <w:txbxContent>
                    <w:p w:rsidR="00836069" w:rsidRDefault="00836069" w:rsidP="00157635">
                      <w:pPr>
                        <w:pStyle w:val="NormalWeb"/>
                        <w:spacing w:before="0" w:beforeAutospacing="0" w:after="0" w:afterAutospacing="0"/>
                        <w:textAlignment w:val="baseline"/>
                      </w:pPr>
                      <w:r w:rsidRPr="00C94851">
                        <w:rPr>
                          <w:color w:val="000000"/>
                          <w:kern w:val="24"/>
                          <w:sz w:val="22"/>
                          <w:szCs w:val="22"/>
                        </w:rPr>
                        <w:t>Valsts sekretārs</w:t>
                      </w:r>
                    </w:p>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4072890</wp:posOffset>
                </wp:positionH>
                <wp:positionV relativeFrom="paragraph">
                  <wp:posOffset>2916555</wp:posOffset>
                </wp:positionV>
                <wp:extent cx="1009650" cy="409575"/>
                <wp:effectExtent l="0" t="0" r="19050" b="28575"/>
                <wp:wrapNone/>
                <wp:docPr id="6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409575"/>
                        </a:xfrm>
                        <a:prstGeom prst="rect">
                          <a:avLst/>
                        </a:prstGeom>
                        <a:ln>
                          <a:solidFill>
                            <a:sysClr val="windowText" lastClr="000000"/>
                          </a:solidFill>
                        </a:ln>
                      </wps:spPr>
                      <wps:txbx>
                        <w:txbxContent>
                          <w:p w:rsidR="00836069" w:rsidRDefault="00836069" w:rsidP="00157635">
                            <w:pPr>
                              <w:pStyle w:val="NormalWeb"/>
                              <w:spacing w:before="0" w:beforeAutospacing="0" w:after="0" w:afterAutospacing="0"/>
                              <w:textAlignment w:val="baseline"/>
                            </w:pPr>
                            <w:r w:rsidRPr="00C94851">
                              <w:rPr>
                                <w:color w:val="000000"/>
                                <w:kern w:val="24"/>
                                <w:sz w:val="22"/>
                                <w:szCs w:val="22"/>
                              </w:rPr>
                              <w:t>Departamenta direktors</w:t>
                            </w: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id="_x0000_s1038" type="#_x0000_t202" style="position:absolute;left:0;text-align:left;margin-left:320.7pt;margin-top:229.65pt;width:79.5pt;height:3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" filled="f" strokecolor="windowText">
                <v:path arrowok="t"/>
                <v:textbox>
                  <w:txbxContent>
                    <w:p w:rsidR="00836069" w:rsidRDefault="00836069" w:rsidP="00157635">
                      <w:pPr>
                        <w:pStyle w:val="NormalWeb"/>
                        <w:spacing w:before="0" w:beforeAutospacing="0" w:after="0" w:afterAutospacing="0"/>
                        <w:textAlignment w:val="baseline"/>
                      </w:pPr>
                      <w:r w:rsidRPr="00C94851">
                        <w:rPr>
                          <w:color w:val="000000"/>
                          <w:kern w:val="24"/>
                          <w:sz w:val="22"/>
                          <w:szCs w:val="22"/>
                        </w:rPr>
                        <w:t>Departamenta direktors</w:t>
                      </w:r>
                    </w:p>
                  </w:txbxContent>
                </v:textbox>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2958465</wp:posOffset>
                </wp:positionH>
                <wp:positionV relativeFrom="paragraph">
                  <wp:posOffset>2896870</wp:posOffset>
                </wp:positionV>
                <wp:extent cx="874395" cy="409575"/>
                <wp:effectExtent l="0" t="0" r="20955" b="28575"/>
                <wp:wrapNone/>
                <wp:docPr id="60"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4395" cy="409575"/>
                        </a:xfrm>
                        <a:prstGeom prst="rect">
                          <a:avLst/>
                        </a:prstGeom>
                        <a:ln>
                          <a:solidFill>
                            <a:sysClr val="windowText" lastClr="000000"/>
                          </a:solidFill>
                        </a:ln>
                      </wps:spPr>
                      <wps:txbx>
                        <w:txbxContent>
                          <w:p w:rsidR="00836069" w:rsidRDefault="00836069" w:rsidP="00157635">
                            <w:pPr>
                              <w:pStyle w:val="NormalWeb"/>
                              <w:spacing w:before="0" w:beforeAutospacing="0" w:after="0" w:afterAutospacing="0"/>
                            </w:pPr>
                            <w:r>
                              <w:rPr>
                                <w:rFonts w:eastAsia="+mn-ea"/>
                              </w:rPr>
                              <w:t>Vecākais referents</w:t>
                            </w:r>
                          </w:p>
                        </w:txbxContent>
                      </wps:txbx>
                      <wps:bodyPr vertOverflow="clip" wrap="square" rtlCol="0">
                        <a:noAutofit/>
                      </wps:bodyPr>
                    </wps:wsp>
                  </a:graphicData>
                </a:graphic>
                <wp14:sizeRelH relativeFrom="page">
                  <wp14:pctWidth>0</wp14:pctWidth>
                </wp14:sizeRelH>
                <wp14:sizeRelV relativeFrom="margin">
                  <wp14:pctHeight>0</wp14:pctHeight>
                </wp14:sizeRelV>
              </wp:anchor>
            </w:drawing>
          </mc:Choice>
          <mc:Fallback>
            <w:pict>
              <v:shape id="_x0000_s1039" type="#_x0000_t202" style="position:absolute;left:0;text-align:left;margin-left:232.95pt;margin-top:228.1pt;width:68.85pt;height:3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" filled="f" strokecolor="windowText">
                <v:path arrowok="t"/>
                <v:textbox>
                  <w:txbxContent>
                    <w:p w:rsidR="00836069" w:rsidRDefault="00836069" w:rsidP="00157635">
                      <w:pPr>
                        <w:pStyle w:val="NormalWeb"/>
                        <w:spacing w:before="0" w:beforeAutospacing="0" w:after="0" w:afterAutospacing="0"/>
                      </w:pPr>
                      <w:r>
                        <w:rPr>
                          <w:rFonts w:eastAsia="+mn-ea"/>
                        </w:rPr>
                        <w:t>Vecākais referents</w:t>
                      </w:r>
                    </w:p>
                  </w:txbxContent>
                </v:textbox>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-647700</wp:posOffset>
                </wp:positionH>
                <wp:positionV relativeFrom="paragraph">
                  <wp:posOffset>2604770</wp:posOffset>
                </wp:positionV>
                <wp:extent cx="1504950" cy="285115"/>
                <wp:effectExtent l="0" t="0" r="0" b="0"/>
                <wp:wrapNone/>
                <wp:docPr id="59"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285115"/>
                        </a:xfrm>
                        <a:prstGeom prst="rect">
                          <a:avLst/>
                        </a:prstGeom>
                      </wps:spPr>
                      <wps:txbx>
                        <w:txbxContent>
                          <w:p w:rsidR="00836069" w:rsidRPr="001B5245" w:rsidRDefault="00836069" w:rsidP="00157635">
                            <w:pPr>
                              <w:pStyle w:val="NormalWeb"/>
                              <w:spacing w:before="0" w:beforeAutospacing="0" w:after="0" w:afterAutospacing="0"/>
                              <w:textAlignment w:val="baseline"/>
                            </w:pPr>
                            <w:r w:rsidRPr="00C94851">
                              <w:rPr>
                                <w:color w:val="000000"/>
                                <w:kern w:val="24"/>
                              </w:rPr>
                              <w:t>Mēnešalgu grupa</w:t>
                            </w:r>
                          </w:p>
                        </w:txbxContent>
                      </wps:txbx>
                      <wps:bodyPr wrap="square" rtlCol="0"/>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51pt;margin-top:205.1pt;width:118.5pt;height:22.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" filled="f" stroked="f">
                <v:path arrowok="t"/>
                <v:textbox>
                  <w:txbxContent>
                    <w:p w:rsidR="00836069" w:rsidRPr="001B5245" w:rsidRDefault="00836069" w:rsidP="00157635">
                      <w:pPr>
                        <w:pStyle w:val="NormalWeb"/>
                        <w:spacing w:before="0" w:beforeAutospacing="0" w:after="0" w:afterAutospacing="0"/>
                        <w:textAlignment w:val="baseline"/>
                      </w:pPr>
                      <w:r w:rsidRPr="00C94851">
                        <w:rPr>
                          <w:color w:val="000000"/>
                          <w:kern w:val="24"/>
                        </w:rPr>
                        <w:t>Mēnešalgu grupa</w:t>
                      </w:r>
                    </w:p>
                  </w:txbxContent>
                </v:textbox>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3206115</wp:posOffset>
                </wp:positionH>
                <wp:positionV relativeFrom="paragraph">
                  <wp:posOffset>535305</wp:posOffset>
                </wp:positionV>
                <wp:extent cx="1676400" cy="247650"/>
                <wp:effectExtent l="0" t="0" r="19050" b="19050"/>
                <wp:wrapNone/>
                <wp:docPr id="58"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247650"/>
                        </a:xfrm>
                        <a:prstGeom prst="rect">
                          <a:avLst/>
                        </a:prstGeom>
                        <a:solidFill>
                          <a:sysClr val="window" lastClr="FFFFFF"/>
                        </a:solidFill>
                        <a:ln>
                          <a:solidFill>
                            <a:sysClr val="windowText" lastClr="000000"/>
                          </a:solidFill>
                        </a:ln>
                      </wps:spPr>
                      <wps:txbx>
                        <w:txbxContent>
                          <w:p w:rsidR="00836069" w:rsidRDefault="00836069" w:rsidP="006E4FEC">
                            <w:pPr>
                              <w:pStyle w:val="NormalWeb"/>
                              <w:spacing w:before="0" w:beforeAutospacing="0" w:after="0" w:afterAutospacing="0"/>
                            </w:pPr>
                            <w:r w:rsidRPr="00C94851">
                              <w:rPr>
                                <w:rFonts w:ascii="Calibri" w:hAnsi="Calibri"/>
                                <w:sz w:val="22"/>
                                <w:szCs w:val="22"/>
                              </w:rPr>
                              <w:t>Privātā sektora mediāna</w:t>
                            </w:r>
                          </w:p>
                        </w:txbxContent>
                      </wps:txbx>
                      <wps:bodyPr wrap="square" rtlCol="0"/>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252.45pt;margin-top:42.15pt;width:132pt;height:1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" fillcolor="window" strokecolor="windowText">
                <v:path arrowok="t"/>
                <v:textbox>
                  <w:txbxContent>
                    <w:p w:rsidR="00836069" w:rsidRDefault="00836069" w:rsidP="006E4FEC">
                      <w:pPr>
                        <w:pStyle w:val="NormalWeb"/>
                        <w:spacing w:before="0" w:beforeAutospacing="0" w:after="0" w:afterAutospacing="0"/>
                      </w:pPr>
                      <w:r w:rsidRPr="00C94851">
                        <w:rPr>
                          <w:rFonts w:ascii="Calibri" w:hAnsi="Calibri"/>
                          <w:sz w:val="22"/>
                          <w:szCs w:val="22"/>
                        </w:rPr>
                        <w:t>Privātā sektora mediāna</w:t>
                      </w:r>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2330450</wp:posOffset>
                </wp:positionH>
                <wp:positionV relativeFrom="paragraph">
                  <wp:posOffset>887730</wp:posOffset>
                </wp:positionV>
                <wp:extent cx="2180590" cy="247650"/>
                <wp:effectExtent l="0" t="0" r="10160" b="19050"/>
                <wp:wrapNone/>
                <wp:docPr id="57"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47650"/>
                        </a:xfrm>
                        <a:prstGeom prst="rect">
                          <a:avLst/>
                        </a:prstGeom>
                        <a:solidFill>
                          <a:sysClr val="window" lastClr="FFFFFF"/>
                        </a:solidFill>
                        <a:ln>
                          <a:solidFill>
                            <a:sysClr val="windowText" lastClr="000000"/>
                          </a:solidFill>
                        </a:ln>
                      </wps:spPr>
                      <wps:txbx>
                        <w:txbxContent>
                          <w:p w:rsidR="00836069" w:rsidRDefault="00836069" w:rsidP="006E4FEC">
                            <w:pPr>
                              <w:pStyle w:val="NormalWeb"/>
                              <w:spacing w:before="0" w:beforeAutospacing="0" w:after="0" w:afterAutospacing="0"/>
                            </w:pPr>
                            <w:r w:rsidRPr="00C94851">
                              <w:rPr>
                                <w:rFonts w:ascii="Calibri" w:hAnsi="Calibri"/>
                                <w:sz w:val="22"/>
                                <w:szCs w:val="22"/>
                              </w:rPr>
                              <w:t>Valsts pārvaldes skalas maksimums</w:t>
                            </w:r>
                          </w:p>
                        </w:txbxContent>
                      </wps:txbx>
                      <wps:bodyPr wrap="square" rtlCol="0"/>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183.5pt;margin-top:69.9pt;width:171.7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" fillcolor="window" strokecolor="windowText">
                <v:path arrowok="t"/>
                <v:textbox>
                  <w:txbxContent>
                    <w:p w:rsidR="00836069" w:rsidRDefault="00836069" w:rsidP="006E4FEC">
                      <w:pPr>
                        <w:pStyle w:val="NormalWeb"/>
                        <w:spacing w:before="0" w:beforeAutospacing="0" w:after="0" w:afterAutospacing="0"/>
                      </w:pPr>
                      <w:r w:rsidRPr="00C94851">
                        <w:rPr>
                          <w:rFonts w:ascii="Calibri" w:hAnsi="Calibri"/>
                          <w:sz w:val="22"/>
                          <w:szCs w:val="22"/>
                        </w:rPr>
                        <w:t>Valsts pārvaldes skalas maksimums</w:t>
                      </w:r>
                    </w:p>
                  </w:txbxContent>
                </v:textbox>
              </v:shape>
            </w:pict>
          </mc:Fallback>
        </mc:AlternateContent>
      </w:r>
      <w:r w:rsidR="001F1FB0">
        <w:rPr>
          <w:noProof/>
        </w:rPr>
        <w:drawing>
          <wp:inline distT="0" distB="0" distL="0" distR="0">
            <wp:extent cx="6343650" cy="3333750"/>
            <wp:effectExtent l="0" t="0" r="0" b="0"/>
            <wp:docPr id="15"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9235D" w:rsidRPr="0019235D" w:rsidRDefault="0019235D" w:rsidP="0019235D">
      <w:pPr>
        <w:pStyle w:val="NormalWeb"/>
        <w:spacing w:before="0" w:beforeAutospacing="0" w:after="0" w:afterAutospacing="0"/>
      </w:pPr>
      <w:r w:rsidRPr="00C94851">
        <w:rPr>
          <w:color w:val="000000"/>
          <w:kern w:val="24"/>
          <w:sz w:val="20"/>
          <w:szCs w:val="20"/>
        </w:rPr>
        <w:t>Datu avots: Finanšu ministrija; SIA Fontes Latvija</w:t>
      </w:r>
    </w:p>
    <w:p w:rsidR="00C7530B" w:rsidRPr="00C94851" w:rsidRDefault="00C55592" w:rsidP="009F2A45">
      <w:pPr>
        <w:spacing w:after="0" w:line="240" w:lineRule="auto"/>
        <w:ind w:firstLine="720"/>
        <w:jc w:val="both"/>
        <w:rPr>
          <w:rFonts w:ascii="Times New Roman" w:hAnsi="Times New Roman"/>
          <w:color w:val="000000"/>
          <w:sz w:val="28"/>
          <w:szCs w:val="28"/>
        </w:rPr>
      </w:pPr>
      <w:r w:rsidRPr="00C94851">
        <w:rPr>
          <w:rFonts w:ascii="Times New Roman" w:hAnsi="Times New Roman"/>
          <w:color w:val="000000"/>
          <w:sz w:val="28"/>
          <w:szCs w:val="28"/>
        </w:rPr>
        <w:lastRenderedPageBreak/>
        <w:t>T</w:t>
      </w:r>
      <w:r w:rsidR="001A637F" w:rsidRPr="00C94851">
        <w:rPr>
          <w:rFonts w:ascii="Times New Roman" w:hAnsi="Times New Roman"/>
          <w:color w:val="000000"/>
          <w:sz w:val="28"/>
          <w:szCs w:val="28"/>
        </w:rPr>
        <w:t xml:space="preserve">ā kā </w:t>
      </w:r>
      <w:r w:rsidR="00D85459" w:rsidRPr="00C94851">
        <w:rPr>
          <w:rFonts w:ascii="Times New Roman" w:hAnsi="Times New Roman"/>
          <w:color w:val="000000"/>
          <w:sz w:val="28"/>
          <w:szCs w:val="28"/>
        </w:rPr>
        <w:t>valsts tiešās pārvaldes</w:t>
      </w:r>
      <w:r w:rsidR="00903EF6" w:rsidRPr="00C94851">
        <w:rPr>
          <w:rFonts w:ascii="Times New Roman" w:hAnsi="Times New Roman"/>
          <w:color w:val="000000"/>
          <w:sz w:val="28"/>
          <w:szCs w:val="28"/>
        </w:rPr>
        <w:t xml:space="preserve"> iestā</w:t>
      </w:r>
      <w:r w:rsidR="0014751C" w:rsidRPr="00C94851">
        <w:rPr>
          <w:rFonts w:ascii="Times New Roman" w:hAnsi="Times New Roman"/>
          <w:color w:val="000000"/>
          <w:sz w:val="28"/>
          <w:szCs w:val="28"/>
        </w:rPr>
        <w:t>žu</w:t>
      </w:r>
      <w:r w:rsidR="00D85459" w:rsidRPr="00C94851">
        <w:rPr>
          <w:rFonts w:ascii="Times New Roman" w:hAnsi="Times New Roman"/>
          <w:color w:val="000000"/>
          <w:sz w:val="28"/>
          <w:szCs w:val="28"/>
        </w:rPr>
        <w:t xml:space="preserve"> a</w:t>
      </w:r>
      <w:r w:rsidR="001A637F" w:rsidRPr="00C94851">
        <w:rPr>
          <w:rFonts w:ascii="Times New Roman" w:hAnsi="Times New Roman"/>
          <w:color w:val="000000"/>
          <w:sz w:val="28"/>
          <w:szCs w:val="28"/>
        </w:rPr>
        <w:t>matpersonu</w:t>
      </w:r>
      <w:r w:rsidR="00D85459" w:rsidRPr="00C94851">
        <w:rPr>
          <w:rFonts w:ascii="Times New Roman" w:hAnsi="Times New Roman"/>
          <w:color w:val="000000"/>
          <w:sz w:val="28"/>
          <w:szCs w:val="28"/>
        </w:rPr>
        <w:t xml:space="preserve"> (</w:t>
      </w:r>
      <w:r w:rsidR="001A637F" w:rsidRPr="00C94851">
        <w:rPr>
          <w:rFonts w:ascii="Times New Roman" w:hAnsi="Times New Roman"/>
          <w:color w:val="000000"/>
          <w:sz w:val="28"/>
          <w:szCs w:val="28"/>
        </w:rPr>
        <w:t>darbinieku</w:t>
      </w:r>
      <w:r w:rsidR="00D85459" w:rsidRPr="00C94851">
        <w:rPr>
          <w:rFonts w:ascii="Times New Roman" w:hAnsi="Times New Roman"/>
          <w:color w:val="000000"/>
          <w:sz w:val="28"/>
          <w:szCs w:val="28"/>
        </w:rPr>
        <w:t>)</w:t>
      </w:r>
      <w:r w:rsidR="001B6E03" w:rsidRPr="00C94851">
        <w:rPr>
          <w:rFonts w:ascii="Times New Roman" w:hAnsi="Times New Roman"/>
          <w:color w:val="000000"/>
          <w:sz w:val="28"/>
          <w:szCs w:val="28"/>
        </w:rPr>
        <w:t xml:space="preserve"> </w:t>
      </w:r>
      <w:r w:rsidR="001A637F" w:rsidRPr="00C94851">
        <w:rPr>
          <w:rFonts w:ascii="Times New Roman" w:hAnsi="Times New Roman"/>
          <w:color w:val="000000"/>
          <w:sz w:val="28"/>
          <w:szCs w:val="28"/>
        </w:rPr>
        <w:t xml:space="preserve">mēnešalga nedrīkst pārsniegt Ministru prezidenta mēnešalgu, tad mēnešalgu skalas </w:t>
      </w:r>
      <w:r w:rsidR="00D85459" w:rsidRPr="00C94851">
        <w:rPr>
          <w:rFonts w:ascii="Times New Roman" w:hAnsi="Times New Roman"/>
          <w:color w:val="000000"/>
          <w:sz w:val="28"/>
          <w:szCs w:val="28"/>
        </w:rPr>
        <w:t>diapazonu maksimālās mēnešalgas</w:t>
      </w:r>
      <w:r w:rsidR="00D1694E" w:rsidRPr="00C94851">
        <w:rPr>
          <w:rFonts w:ascii="Times New Roman" w:hAnsi="Times New Roman"/>
          <w:color w:val="000000"/>
          <w:sz w:val="28"/>
          <w:szCs w:val="28"/>
        </w:rPr>
        <w:t xml:space="preserve"> </w:t>
      </w:r>
      <w:r w:rsidR="001A637F" w:rsidRPr="00C94851">
        <w:rPr>
          <w:rFonts w:ascii="Times New Roman" w:hAnsi="Times New Roman"/>
          <w:color w:val="000000"/>
          <w:sz w:val="28"/>
          <w:szCs w:val="28"/>
        </w:rPr>
        <w:t xml:space="preserve">izmaiņas iespējamas tikai tad, </w:t>
      </w:r>
      <w:r w:rsidR="00D85459" w:rsidRPr="00C94851">
        <w:rPr>
          <w:rFonts w:ascii="Times New Roman" w:hAnsi="Times New Roman"/>
          <w:color w:val="000000"/>
          <w:sz w:val="28"/>
          <w:szCs w:val="28"/>
        </w:rPr>
        <w:t>ja</w:t>
      </w:r>
      <w:r w:rsidR="009634D6">
        <w:rPr>
          <w:rFonts w:ascii="Times New Roman" w:hAnsi="Times New Roman"/>
          <w:color w:val="000000"/>
          <w:sz w:val="28"/>
          <w:szCs w:val="28"/>
        </w:rPr>
        <w:t xml:space="preserve"> izmainās </w:t>
      </w:r>
      <w:r w:rsidR="00D85459" w:rsidRPr="00C94851">
        <w:rPr>
          <w:rFonts w:ascii="Times New Roman" w:hAnsi="Times New Roman"/>
          <w:color w:val="000000"/>
          <w:sz w:val="28"/>
          <w:szCs w:val="28"/>
        </w:rPr>
        <w:t>Ministru prezidenta mēnešalga. 2014.gadā Ministru prezidenta</w:t>
      </w:r>
      <w:r w:rsidR="00957BF4" w:rsidRPr="00C94851">
        <w:rPr>
          <w:rFonts w:ascii="Times New Roman" w:hAnsi="Times New Roman"/>
          <w:color w:val="000000"/>
          <w:sz w:val="28"/>
          <w:szCs w:val="28"/>
        </w:rPr>
        <w:t>m</w:t>
      </w:r>
      <w:r w:rsidR="00E124A6" w:rsidRPr="00C94851">
        <w:rPr>
          <w:rFonts w:ascii="Times New Roman" w:hAnsi="Times New Roman"/>
          <w:color w:val="000000"/>
          <w:sz w:val="28"/>
          <w:szCs w:val="28"/>
        </w:rPr>
        <w:t xml:space="preserve"> </w:t>
      </w:r>
      <w:r w:rsidR="00903EF6" w:rsidRPr="00C94851">
        <w:rPr>
          <w:rFonts w:ascii="Times New Roman" w:hAnsi="Times New Roman"/>
          <w:color w:val="000000"/>
          <w:sz w:val="28"/>
          <w:szCs w:val="28"/>
        </w:rPr>
        <w:t xml:space="preserve">aprēķinātā mēnešalga </w:t>
      </w:r>
      <w:r w:rsidR="00E124A6" w:rsidRPr="00C94851">
        <w:rPr>
          <w:rFonts w:ascii="Times New Roman" w:hAnsi="Times New Roman"/>
          <w:color w:val="000000"/>
          <w:sz w:val="28"/>
          <w:szCs w:val="28"/>
        </w:rPr>
        <w:t xml:space="preserve">ir 1948 lati </w:t>
      </w:r>
      <w:r w:rsidR="00D85459" w:rsidRPr="00C94851">
        <w:rPr>
          <w:rFonts w:ascii="Times New Roman" w:hAnsi="Times New Roman"/>
          <w:color w:val="000000"/>
          <w:sz w:val="28"/>
          <w:szCs w:val="28"/>
        </w:rPr>
        <w:t>(2012.gada vidējā darba samaksa</w:t>
      </w:r>
      <w:r w:rsidR="00E124A6" w:rsidRPr="00C94851">
        <w:rPr>
          <w:rFonts w:ascii="Times New Roman" w:hAnsi="Times New Roman"/>
          <w:color w:val="000000"/>
          <w:sz w:val="28"/>
          <w:szCs w:val="28"/>
        </w:rPr>
        <w:t xml:space="preserve"> valstī</w:t>
      </w:r>
      <w:r w:rsidR="00D85459" w:rsidRPr="00C94851">
        <w:rPr>
          <w:rFonts w:ascii="Times New Roman" w:hAnsi="Times New Roman"/>
          <w:color w:val="000000"/>
          <w:sz w:val="28"/>
          <w:szCs w:val="28"/>
        </w:rPr>
        <w:t xml:space="preserve"> – 481 lat</w:t>
      </w:r>
      <w:r w:rsidR="00903EF6" w:rsidRPr="00C94851">
        <w:rPr>
          <w:rFonts w:ascii="Times New Roman" w:hAnsi="Times New Roman"/>
          <w:color w:val="000000"/>
          <w:sz w:val="28"/>
          <w:szCs w:val="28"/>
        </w:rPr>
        <w:t>s</w:t>
      </w:r>
      <w:r w:rsidR="00D85459" w:rsidRPr="00C94851">
        <w:rPr>
          <w:rFonts w:ascii="Times New Roman" w:hAnsi="Times New Roman"/>
          <w:color w:val="000000"/>
          <w:sz w:val="28"/>
          <w:szCs w:val="28"/>
        </w:rPr>
        <w:t xml:space="preserve"> reizin</w:t>
      </w:r>
      <w:r w:rsidR="00903EF6" w:rsidRPr="00C94851">
        <w:rPr>
          <w:rFonts w:ascii="Times New Roman" w:hAnsi="Times New Roman"/>
          <w:color w:val="000000"/>
          <w:sz w:val="28"/>
          <w:szCs w:val="28"/>
        </w:rPr>
        <w:t>āts</w:t>
      </w:r>
      <w:r w:rsidR="00D85459" w:rsidRPr="00C94851">
        <w:rPr>
          <w:rFonts w:ascii="Times New Roman" w:hAnsi="Times New Roman"/>
          <w:color w:val="000000"/>
          <w:sz w:val="28"/>
          <w:szCs w:val="28"/>
        </w:rPr>
        <w:t xml:space="preserve"> ar </w:t>
      </w:r>
      <w:r w:rsidR="00903EF6" w:rsidRPr="00C94851">
        <w:rPr>
          <w:rFonts w:ascii="Times New Roman" w:hAnsi="Times New Roman"/>
          <w:color w:val="000000"/>
          <w:sz w:val="28"/>
          <w:szCs w:val="28"/>
        </w:rPr>
        <w:t xml:space="preserve">koeficientu </w:t>
      </w:r>
      <w:r w:rsidR="00D85459" w:rsidRPr="00C94851">
        <w:rPr>
          <w:rFonts w:ascii="Times New Roman" w:hAnsi="Times New Roman"/>
          <w:color w:val="000000"/>
          <w:sz w:val="28"/>
          <w:szCs w:val="28"/>
        </w:rPr>
        <w:t>4</w:t>
      </w:r>
      <w:r w:rsidR="00F4569C">
        <w:rPr>
          <w:rFonts w:ascii="Times New Roman" w:hAnsi="Times New Roman"/>
          <w:color w:val="000000"/>
          <w:sz w:val="28"/>
          <w:szCs w:val="28"/>
        </w:rPr>
        <w:t>,</w:t>
      </w:r>
      <w:r w:rsidR="00D85459" w:rsidRPr="00C94851">
        <w:rPr>
          <w:rFonts w:ascii="Times New Roman" w:hAnsi="Times New Roman"/>
          <w:color w:val="000000"/>
          <w:sz w:val="28"/>
          <w:szCs w:val="28"/>
        </w:rPr>
        <w:t>05</w:t>
      </w:r>
      <w:r w:rsidR="00903EF6" w:rsidRPr="00C94851">
        <w:rPr>
          <w:rFonts w:ascii="Times New Roman" w:hAnsi="Times New Roman"/>
          <w:color w:val="000000"/>
          <w:sz w:val="28"/>
          <w:szCs w:val="28"/>
        </w:rPr>
        <w:t>)</w:t>
      </w:r>
      <w:r w:rsidR="00D85459" w:rsidRPr="00C94851">
        <w:rPr>
          <w:rFonts w:ascii="Times New Roman" w:hAnsi="Times New Roman"/>
          <w:color w:val="000000"/>
          <w:sz w:val="28"/>
          <w:szCs w:val="28"/>
        </w:rPr>
        <w:t>,</w:t>
      </w:r>
      <w:r w:rsidR="00770763" w:rsidRPr="00C94851">
        <w:rPr>
          <w:rFonts w:ascii="Times New Roman" w:hAnsi="Times New Roman"/>
          <w:color w:val="000000"/>
          <w:sz w:val="28"/>
          <w:szCs w:val="28"/>
        </w:rPr>
        <w:t xml:space="preserve"> skat. 1</w:t>
      </w:r>
      <w:r w:rsidR="00234019">
        <w:rPr>
          <w:rFonts w:ascii="Times New Roman" w:hAnsi="Times New Roman"/>
          <w:color w:val="000000"/>
          <w:sz w:val="28"/>
          <w:szCs w:val="28"/>
        </w:rPr>
        <w:t>5</w:t>
      </w:r>
      <w:r w:rsidR="00770763" w:rsidRPr="00C94851">
        <w:rPr>
          <w:rFonts w:ascii="Times New Roman" w:hAnsi="Times New Roman"/>
          <w:color w:val="000000"/>
          <w:sz w:val="28"/>
          <w:szCs w:val="28"/>
        </w:rPr>
        <w:t>.attēlu,</w:t>
      </w:r>
      <w:r w:rsidR="00D85459" w:rsidRPr="00C94851">
        <w:rPr>
          <w:rFonts w:ascii="Times New Roman" w:hAnsi="Times New Roman"/>
          <w:color w:val="000000"/>
          <w:sz w:val="28"/>
          <w:szCs w:val="28"/>
        </w:rPr>
        <w:t xml:space="preserve"> tātad </w:t>
      </w:r>
      <w:r w:rsidR="00903EF6" w:rsidRPr="00C94851">
        <w:rPr>
          <w:rFonts w:ascii="Times New Roman" w:hAnsi="Times New Roman"/>
          <w:color w:val="000000"/>
          <w:sz w:val="28"/>
          <w:szCs w:val="28"/>
        </w:rPr>
        <w:t>pieaugums</w:t>
      </w:r>
      <w:r w:rsidR="009F2199" w:rsidRPr="00C94851">
        <w:rPr>
          <w:rFonts w:ascii="Times New Roman" w:hAnsi="Times New Roman"/>
          <w:color w:val="000000"/>
          <w:sz w:val="28"/>
          <w:szCs w:val="28"/>
        </w:rPr>
        <w:t xml:space="preserve"> </w:t>
      </w:r>
      <w:r w:rsidR="00E124A6" w:rsidRPr="00C94851">
        <w:rPr>
          <w:rFonts w:ascii="Times New Roman" w:hAnsi="Times New Roman"/>
          <w:color w:val="000000"/>
          <w:sz w:val="28"/>
          <w:szCs w:val="28"/>
        </w:rPr>
        <w:t>pret</w:t>
      </w:r>
      <w:r w:rsidR="009F2199" w:rsidRPr="00C94851">
        <w:rPr>
          <w:rFonts w:ascii="Times New Roman" w:hAnsi="Times New Roman"/>
          <w:color w:val="000000"/>
          <w:sz w:val="28"/>
          <w:szCs w:val="28"/>
        </w:rPr>
        <w:t xml:space="preserve"> 2012.gadu </w:t>
      </w:r>
      <w:r w:rsidR="00E124A6" w:rsidRPr="00C94851">
        <w:rPr>
          <w:rFonts w:ascii="Times New Roman" w:hAnsi="Times New Roman"/>
          <w:color w:val="000000"/>
          <w:sz w:val="28"/>
          <w:szCs w:val="28"/>
        </w:rPr>
        <w:t>ir</w:t>
      </w:r>
      <w:r w:rsidR="00D85459" w:rsidRPr="00C94851">
        <w:rPr>
          <w:rFonts w:ascii="Times New Roman" w:hAnsi="Times New Roman"/>
          <w:color w:val="000000"/>
          <w:sz w:val="28"/>
          <w:szCs w:val="28"/>
        </w:rPr>
        <w:t xml:space="preserve"> </w:t>
      </w:r>
      <w:r w:rsidR="00903EF6" w:rsidRPr="00C94851">
        <w:rPr>
          <w:rFonts w:ascii="Times New Roman" w:hAnsi="Times New Roman"/>
          <w:color w:val="000000"/>
          <w:sz w:val="28"/>
          <w:szCs w:val="28"/>
        </w:rPr>
        <w:t>28</w:t>
      </w:r>
      <w:r w:rsidR="001B6E03" w:rsidRPr="00C94851">
        <w:rPr>
          <w:rFonts w:ascii="Times New Roman" w:hAnsi="Times New Roman"/>
          <w:color w:val="000000"/>
          <w:sz w:val="28"/>
          <w:szCs w:val="28"/>
        </w:rPr>
        <w:t xml:space="preserve"> </w:t>
      </w:r>
      <w:r w:rsidR="00903EF6" w:rsidRPr="00C94851">
        <w:rPr>
          <w:rFonts w:ascii="Times New Roman" w:hAnsi="Times New Roman"/>
          <w:color w:val="000000"/>
          <w:sz w:val="28"/>
          <w:szCs w:val="28"/>
        </w:rPr>
        <w:t xml:space="preserve">lati </w:t>
      </w:r>
      <w:r w:rsidR="009F2199" w:rsidRPr="00C94851">
        <w:rPr>
          <w:rFonts w:ascii="Times New Roman" w:hAnsi="Times New Roman"/>
          <w:color w:val="000000"/>
          <w:sz w:val="28"/>
          <w:szCs w:val="28"/>
        </w:rPr>
        <w:t>jeb 1</w:t>
      </w:r>
      <w:r w:rsidR="00F4569C">
        <w:rPr>
          <w:rFonts w:ascii="Times New Roman" w:hAnsi="Times New Roman"/>
          <w:color w:val="000000"/>
          <w:sz w:val="28"/>
          <w:szCs w:val="28"/>
        </w:rPr>
        <w:t>,</w:t>
      </w:r>
      <w:r w:rsidR="009F2199" w:rsidRPr="00C94851">
        <w:rPr>
          <w:rFonts w:ascii="Times New Roman" w:hAnsi="Times New Roman"/>
          <w:color w:val="000000"/>
          <w:sz w:val="28"/>
          <w:szCs w:val="28"/>
        </w:rPr>
        <w:t>46%</w:t>
      </w:r>
      <w:r w:rsidR="00E124A6" w:rsidRPr="00C94851">
        <w:rPr>
          <w:rFonts w:ascii="Times New Roman" w:hAnsi="Times New Roman"/>
          <w:color w:val="000000"/>
          <w:sz w:val="28"/>
          <w:szCs w:val="28"/>
        </w:rPr>
        <w:t xml:space="preserve">. </w:t>
      </w:r>
      <w:r w:rsidR="001731B6" w:rsidRPr="00C94851">
        <w:rPr>
          <w:rFonts w:ascii="Times New Roman" w:hAnsi="Times New Roman"/>
          <w:color w:val="000000"/>
          <w:sz w:val="28"/>
          <w:szCs w:val="28"/>
        </w:rPr>
        <w:t xml:space="preserve">Līdz ar to, </w:t>
      </w:r>
      <w:r w:rsidR="00E124A6" w:rsidRPr="00C94851">
        <w:rPr>
          <w:rFonts w:ascii="Times New Roman" w:hAnsi="Times New Roman"/>
          <w:color w:val="000000"/>
          <w:sz w:val="28"/>
          <w:szCs w:val="28"/>
        </w:rPr>
        <w:t xml:space="preserve">ja tiks pārskatīta mēnešalgu skala, tad diapazonu maksimālo mēnešalgu pieaugums būs simbolisks kā rezultātā </w:t>
      </w:r>
      <w:r w:rsidR="001731B6" w:rsidRPr="00C94851">
        <w:rPr>
          <w:rFonts w:ascii="Times New Roman" w:hAnsi="Times New Roman"/>
          <w:color w:val="000000"/>
          <w:sz w:val="28"/>
          <w:szCs w:val="28"/>
        </w:rPr>
        <w:t xml:space="preserve">augsti kvalificētiem </w:t>
      </w:r>
      <w:r w:rsidR="00E124A6" w:rsidRPr="00C94851">
        <w:rPr>
          <w:rFonts w:ascii="Times New Roman" w:hAnsi="Times New Roman"/>
          <w:color w:val="000000"/>
          <w:sz w:val="28"/>
          <w:szCs w:val="28"/>
        </w:rPr>
        <w:t xml:space="preserve">speciālistu mēnešalgas </w:t>
      </w:r>
      <w:r w:rsidR="001731B6" w:rsidRPr="00C94851">
        <w:rPr>
          <w:rFonts w:ascii="Times New Roman" w:hAnsi="Times New Roman"/>
          <w:color w:val="000000"/>
          <w:sz w:val="28"/>
          <w:szCs w:val="28"/>
        </w:rPr>
        <w:t>vēl vairāk zaudē</w:t>
      </w:r>
      <w:r w:rsidR="00E124A6" w:rsidRPr="00C94851">
        <w:rPr>
          <w:rFonts w:ascii="Times New Roman" w:hAnsi="Times New Roman"/>
          <w:color w:val="000000"/>
          <w:sz w:val="28"/>
          <w:szCs w:val="28"/>
        </w:rPr>
        <w:t>s</w:t>
      </w:r>
      <w:r w:rsidR="001731B6" w:rsidRPr="00C94851">
        <w:rPr>
          <w:rFonts w:ascii="Times New Roman" w:hAnsi="Times New Roman"/>
          <w:color w:val="000000"/>
          <w:sz w:val="28"/>
          <w:szCs w:val="28"/>
        </w:rPr>
        <w:t xml:space="preserve"> k</w:t>
      </w:r>
      <w:r w:rsidR="00E124A6" w:rsidRPr="00C94851">
        <w:rPr>
          <w:rFonts w:ascii="Times New Roman" w:hAnsi="Times New Roman"/>
          <w:color w:val="000000"/>
          <w:sz w:val="28"/>
          <w:szCs w:val="28"/>
        </w:rPr>
        <w:t xml:space="preserve">onkurētspēju ar privāto sektoru. </w:t>
      </w:r>
      <w:r w:rsidR="001A637F" w:rsidRPr="00C94851">
        <w:rPr>
          <w:rFonts w:ascii="Times New Roman" w:hAnsi="Times New Roman"/>
          <w:color w:val="000000"/>
          <w:sz w:val="28"/>
          <w:szCs w:val="28"/>
        </w:rPr>
        <w:t xml:space="preserve">Tas nozīmē, ka </w:t>
      </w:r>
      <w:r w:rsidR="00107071" w:rsidRPr="00C94851">
        <w:rPr>
          <w:rFonts w:ascii="Times New Roman" w:hAnsi="Times New Roman"/>
          <w:b/>
          <w:color w:val="000000"/>
          <w:sz w:val="28"/>
          <w:szCs w:val="28"/>
        </w:rPr>
        <w:t xml:space="preserve">nepieciešamas </w:t>
      </w:r>
      <w:r w:rsidR="00B018CF" w:rsidRPr="00C94851">
        <w:rPr>
          <w:rFonts w:ascii="Times New Roman" w:hAnsi="Times New Roman"/>
          <w:b/>
          <w:color w:val="000000"/>
          <w:sz w:val="28"/>
          <w:szCs w:val="28"/>
        </w:rPr>
        <w:t xml:space="preserve">darba samaksas </w:t>
      </w:r>
      <w:r w:rsidR="001A637F" w:rsidRPr="00C94851">
        <w:rPr>
          <w:rFonts w:ascii="Times New Roman" w:hAnsi="Times New Roman"/>
          <w:b/>
          <w:color w:val="000000"/>
          <w:sz w:val="28"/>
          <w:szCs w:val="28"/>
        </w:rPr>
        <w:t>politikas izmaiņ</w:t>
      </w:r>
      <w:r w:rsidR="00107071" w:rsidRPr="00C94851">
        <w:rPr>
          <w:rFonts w:ascii="Times New Roman" w:hAnsi="Times New Roman"/>
          <w:b/>
          <w:color w:val="000000"/>
          <w:sz w:val="28"/>
          <w:szCs w:val="28"/>
        </w:rPr>
        <w:t>as, lai</w:t>
      </w:r>
      <w:r w:rsidR="004F6591" w:rsidRPr="00C94851">
        <w:rPr>
          <w:rFonts w:ascii="Times New Roman" w:hAnsi="Times New Roman"/>
          <w:b/>
          <w:color w:val="000000"/>
          <w:sz w:val="28"/>
          <w:szCs w:val="28"/>
        </w:rPr>
        <w:t xml:space="preserve"> </w:t>
      </w:r>
      <w:r w:rsidR="00B018CF" w:rsidRPr="00C94851">
        <w:rPr>
          <w:rFonts w:ascii="Times New Roman" w:hAnsi="Times New Roman"/>
          <w:b/>
          <w:color w:val="000000"/>
          <w:sz w:val="28"/>
          <w:szCs w:val="28"/>
        </w:rPr>
        <w:t>ilgstoši</w:t>
      </w:r>
      <w:r w:rsidR="001A637F" w:rsidRPr="00C94851">
        <w:rPr>
          <w:rFonts w:ascii="Times New Roman" w:hAnsi="Times New Roman"/>
          <w:b/>
          <w:color w:val="000000"/>
          <w:sz w:val="28"/>
          <w:szCs w:val="28"/>
        </w:rPr>
        <w:t xml:space="preserve"> noturēt</w:t>
      </w:r>
      <w:r w:rsidR="00107071" w:rsidRPr="00C94851">
        <w:rPr>
          <w:rFonts w:ascii="Times New Roman" w:hAnsi="Times New Roman"/>
          <w:b/>
          <w:color w:val="000000"/>
          <w:sz w:val="28"/>
          <w:szCs w:val="28"/>
        </w:rPr>
        <w:t>u</w:t>
      </w:r>
      <w:r w:rsidR="001A637F" w:rsidRPr="00C94851">
        <w:rPr>
          <w:rFonts w:ascii="Times New Roman" w:hAnsi="Times New Roman"/>
          <w:b/>
          <w:color w:val="000000"/>
          <w:sz w:val="28"/>
          <w:szCs w:val="28"/>
        </w:rPr>
        <w:t xml:space="preserve"> augsti kvalificētus speciālistus valsts pārvaldē</w:t>
      </w:r>
      <w:r w:rsidR="002928E4" w:rsidRPr="00C94851">
        <w:rPr>
          <w:rFonts w:ascii="Times New Roman" w:hAnsi="Times New Roman"/>
          <w:b/>
          <w:color w:val="000000"/>
          <w:sz w:val="28"/>
          <w:szCs w:val="28"/>
        </w:rPr>
        <w:t>.</w:t>
      </w:r>
      <w:r w:rsidR="00E124A6" w:rsidRPr="00C94851">
        <w:rPr>
          <w:rFonts w:ascii="Times New Roman" w:hAnsi="Times New Roman"/>
          <w:b/>
          <w:color w:val="000000"/>
          <w:sz w:val="28"/>
          <w:szCs w:val="28"/>
        </w:rPr>
        <w:t xml:space="preserve"> </w:t>
      </w:r>
      <w:r w:rsidR="008520F9" w:rsidRPr="00C94851">
        <w:rPr>
          <w:rFonts w:ascii="Times New Roman" w:hAnsi="Times New Roman"/>
          <w:color w:val="000000"/>
          <w:sz w:val="28"/>
          <w:szCs w:val="28"/>
        </w:rPr>
        <w:t xml:space="preserve">2012.gadā ministrijās un Valsts kancelejā amatus atstājušo darbinieku skaits bija </w:t>
      </w:r>
      <w:r w:rsidR="00FA33E1" w:rsidRPr="00C94851">
        <w:rPr>
          <w:rFonts w:ascii="Times New Roman" w:hAnsi="Times New Roman"/>
          <w:color w:val="000000"/>
          <w:sz w:val="28"/>
          <w:szCs w:val="28"/>
        </w:rPr>
        <w:t>409</w:t>
      </w:r>
      <w:r w:rsidR="008520F9" w:rsidRPr="00C94851">
        <w:rPr>
          <w:rFonts w:ascii="Times New Roman" w:hAnsi="Times New Roman"/>
          <w:color w:val="000000"/>
          <w:sz w:val="28"/>
          <w:szCs w:val="28"/>
        </w:rPr>
        <w:t xml:space="preserve"> darbinieki (1</w:t>
      </w:r>
      <w:r w:rsidR="00FA33E1" w:rsidRPr="00C94851">
        <w:rPr>
          <w:rFonts w:ascii="Times New Roman" w:hAnsi="Times New Roman"/>
          <w:color w:val="000000"/>
          <w:sz w:val="28"/>
          <w:szCs w:val="28"/>
        </w:rPr>
        <w:t xml:space="preserve">3.7% </w:t>
      </w:r>
      <w:r w:rsidR="000F07C5" w:rsidRPr="00C94851">
        <w:rPr>
          <w:rFonts w:ascii="Times New Roman" w:hAnsi="Times New Roman"/>
          <w:color w:val="000000"/>
          <w:sz w:val="28"/>
          <w:szCs w:val="28"/>
        </w:rPr>
        <w:t xml:space="preserve"> </w:t>
      </w:r>
      <w:r w:rsidR="00FA33E1" w:rsidRPr="00C94851">
        <w:rPr>
          <w:rFonts w:ascii="Times New Roman" w:hAnsi="Times New Roman"/>
          <w:color w:val="000000"/>
          <w:sz w:val="28"/>
          <w:szCs w:val="28"/>
        </w:rPr>
        <w:t>no kopējā darbinieku skaita)</w:t>
      </w:r>
      <w:r w:rsidR="008520F9" w:rsidRPr="00C94851">
        <w:rPr>
          <w:rFonts w:ascii="Times New Roman" w:hAnsi="Times New Roman"/>
          <w:color w:val="000000"/>
          <w:sz w:val="28"/>
          <w:szCs w:val="28"/>
        </w:rPr>
        <w:t>.</w:t>
      </w:r>
    </w:p>
    <w:p w:rsidR="00770763" w:rsidRPr="00C94851" w:rsidRDefault="00770763" w:rsidP="00A12EC9">
      <w:pPr>
        <w:jc w:val="right"/>
        <w:rPr>
          <w:rFonts w:ascii="Times New Roman" w:hAnsi="Times New Roman"/>
          <w:color w:val="000000"/>
          <w:sz w:val="28"/>
          <w:szCs w:val="28"/>
        </w:rPr>
      </w:pPr>
      <w:r w:rsidRPr="00C94851">
        <w:rPr>
          <w:rFonts w:ascii="Times New Roman" w:hAnsi="Times New Roman"/>
          <w:color w:val="000000"/>
          <w:sz w:val="28"/>
          <w:szCs w:val="28"/>
        </w:rPr>
        <w:t>1</w:t>
      </w:r>
      <w:r w:rsidR="00234019">
        <w:rPr>
          <w:rFonts w:ascii="Times New Roman" w:hAnsi="Times New Roman"/>
          <w:color w:val="000000"/>
          <w:sz w:val="28"/>
          <w:szCs w:val="28"/>
        </w:rPr>
        <w:t>5</w:t>
      </w:r>
      <w:r w:rsidRPr="00C94851">
        <w:rPr>
          <w:rFonts w:ascii="Times New Roman" w:hAnsi="Times New Roman"/>
          <w:color w:val="000000"/>
          <w:sz w:val="28"/>
          <w:szCs w:val="28"/>
        </w:rPr>
        <w:t>.attēls</w:t>
      </w:r>
    </w:p>
    <w:p w:rsidR="00770763" w:rsidRPr="00C94851" w:rsidRDefault="00770763" w:rsidP="00770763">
      <w:pPr>
        <w:spacing w:after="0" w:line="240" w:lineRule="auto"/>
        <w:ind w:firstLine="720"/>
        <w:jc w:val="center"/>
        <w:rPr>
          <w:rFonts w:ascii="Times New Roman" w:hAnsi="Times New Roman"/>
          <w:b/>
          <w:color w:val="000000"/>
          <w:sz w:val="28"/>
          <w:szCs w:val="28"/>
        </w:rPr>
      </w:pPr>
      <w:r w:rsidRPr="00C94851">
        <w:rPr>
          <w:rFonts w:ascii="Times New Roman" w:hAnsi="Times New Roman"/>
          <w:b/>
          <w:color w:val="000000"/>
          <w:sz w:val="28"/>
          <w:szCs w:val="28"/>
        </w:rPr>
        <w:t xml:space="preserve">Ministru prezidenta un ministru prognozētās mēnešalgas </w:t>
      </w:r>
    </w:p>
    <w:p w:rsidR="000F07C5" w:rsidRPr="00C94851" w:rsidRDefault="00770763" w:rsidP="00770763">
      <w:pPr>
        <w:spacing w:after="0" w:line="240" w:lineRule="auto"/>
        <w:ind w:firstLine="720"/>
        <w:jc w:val="center"/>
        <w:rPr>
          <w:rFonts w:ascii="Times New Roman" w:hAnsi="Times New Roman"/>
          <w:b/>
          <w:color w:val="000000"/>
          <w:sz w:val="28"/>
          <w:szCs w:val="28"/>
        </w:rPr>
      </w:pPr>
      <w:r w:rsidRPr="00C94851">
        <w:rPr>
          <w:rFonts w:ascii="Times New Roman" w:hAnsi="Times New Roman"/>
          <w:b/>
          <w:color w:val="000000"/>
          <w:sz w:val="28"/>
          <w:szCs w:val="28"/>
        </w:rPr>
        <w:t>(līdz 2016.gadam), piemērojot spēkā esošos koeficientus vidējai darba samaksai valstī</w:t>
      </w:r>
    </w:p>
    <w:p w:rsidR="000F07C5" w:rsidRPr="00C94851" w:rsidRDefault="000F07C5" w:rsidP="009F2A45">
      <w:pPr>
        <w:spacing w:after="0" w:line="240" w:lineRule="auto"/>
        <w:ind w:firstLine="720"/>
        <w:jc w:val="both"/>
        <w:rPr>
          <w:rFonts w:ascii="Times New Roman" w:hAnsi="Times New Roman"/>
          <w:color w:val="000000"/>
          <w:sz w:val="28"/>
          <w:szCs w:val="28"/>
        </w:rPr>
      </w:pPr>
    </w:p>
    <w:p w:rsidR="000F07C5" w:rsidRPr="00C94851" w:rsidRDefault="001F1FB0" w:rsidP="000F07C5">
      <w:pPr>
        <w:spacing w:after="0" w:line="240" w:lineRule="auto"/>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5972175" cy="3552825"/>
            <wp:effectExtent l="0" t="0" r="9525" b="9525"/>
            <wp:docPr id="1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F7F7C" w:rsidRPr="0019235D" w:rsidRDefault="005F7F7C" w:rsidP="005F7F7C">
      <w:pPr>
        <w:pStyle w:val="NormalWeb"/>
        <w:spacing w:before="0" w:beforeAutospacing="0" w:after="0" w:afterAutospacing="0"/>
      </w:pPr>
      <w:r w:rsidRPr="00C94851">
        <w:rPr>
          <w:color w:val="000000"/>
          <w:kern w:val="24"/>
          <w:sz w:val="20"/>
          <w:szCs w:val="20"/>
        </w:rPr>
        <w:t>Datu avots: Finanšu ministrija</w:t>
      </w:r>
    </w:p>
    <w:p w:rsidR="000F07C5" w:rsidRPr="00C94851" w:rsidRDefault="000F07C5" w:rsidP="009F2A45">
      <w:pPr>
        <w:spacing w:after="0" w:line="240" w:lineRule="auto"/>
        <w:ind w:firstLine="720"/>
        <w:jc w:val="both"/>
        <w:rPr>
          <w:rFonts w:ascii="Times New Roman" w:hAnsi="Times New Roman"/>
          <w:color w:val="000000"/>
          <w:sz w:val="28"/>
          <w:szCs w:val="28"/>
        </w:rPr>
      </w:pPr>
    </w:p>
    <w:p w:rsidR="00593699" w:rsidRPr="00C94851" w:rsidRDefault="00593699" w:rsidP="00940C6F">
      <w:pPr>
        <w:spacing w:after="0" w:line="240" w:lineRule="auto"/>
        <w:ind w:firstLine="720"/>
        <w:jc w:val="right"/>
        <w:rPr>
          <w:rFonts w:ascii="Times New Roman" w:hAnsi="Times New Roman"/>
          <w:color w:val="000000"/>
          <w:sz w:val="28"/>
          <w:szCs w:val="28"/>
        </w:rPr>
      </w:pPr>
    </w:p>
    <w:p w:rsidR="00234019" w:rsidRDefault="00234019" w:rsidP="00940C6F">
      <w:pPr>
        <w:spacing w:after="0" w:line="240" w:lineRule="auto"/>
        <w:ind w:firstLine="720"/>
        <w:jc w:val="right"/>
        <w:rPr>
          <w:rFonts w:ascii="Times New Roman" w:hAnsi="Times New Roman"/>
          <w:color w:val="000000"/>
          <w:sz w:val="28"/>
          <w:szCs w:val="28"/>
        </w:rPr>
      </w:pPr>
    </w:p>
    <w:p w:rsidR="00EE09BD" w:rsidRPr="00C94851" w:rsidRDefault="00EE09BD" w:rsidP="00EE09BD">
      <w:pPr>
        <w:spacing w:after="0" w:line="240" w:lineRule="auto"/>
        <w:ind w:firstLine="720"/>
        <w:jc w:val="both"/>
        <w:rPr>
          <w:rFonts w:ascii="Times New Roman" w:hAnsi="Times New Roman"/>
          <w:color w:val="000000"/>
          <w:sz w:val="28"/>
          <w:szCs w:val="28"/>
        </w:rPr>
      </w:pPr>
      <w:r w:rsidRPr="00C94851">
        <w:rPr>
          <w:rFonts w:ascii="Times New Roman" w:hAnsi="Times New Roman"/>
          <w:color w:val="000000"/>
          <w:sz w:val="28"/>
          <w:szCs w:val="28"/>
        </w:rPr>
        <w:lastRenderedPageBreak/>
        <w:t>1</w:t>
      </w:r>
      <w:r>
        <w:rPr>
          <w:rFonts w:ascii="Times New Roman" w:hAnsi="Times New Roman"/>
          <w:color w:val="000000"/>
          <w:sz w:val="28"/>
          <w:szCs w:val="28"/>
        </w:rPr>
        <w:t>6</w:t>
      </w:r>
      <w:r w:rsidRPr="00C94851">
        <w:rPr>
          <w:rFonts w:ascii="Times New Roman" w:hAnsi="Times New Roman"/>
          <w:color w:val="000000"/>
          <w:sz w:val="28"/>
          <w:szCs w:val="28"/>
        </w:rPr>
        <w:t>.attēlā attēlots Eiropas Komisijas ierēdņu mēnešalgu salīdzinājums ar Ministru kabineta locekļu Latvijā mēnešalgām, bet 1</w:t>
      </w:r>
      <w:r>
        <w:rPr>
          <w:rFonts w:ascii="Times New Roman" w:hAnsi="Times New Roman"/>
          <w:color w:val="000000"/>
          <w:sz w:val="28"/>
          <w:szCs w:val="28"/>
        </w:rPr>
        <w:t>7</w:t>
      </w:r>
      <w:r w:rsidRPr="00C94851">
        <w:rPr>
          <w:rFonts w:ascii="Times New Roman" w:hAnsi="Times New Roman"/>
          <w:color w:val="000000"/>
          <w:sz w:val="28"/>
          <w:szCs w:val="28"/>
        </w:rPr>
        <w:t>.attēlā Latvijas valsts augstāko amatpersonu mēnešalgas 2013.gadā.</w:t>
      </w:r>
    </w:p>
    <w:p w:rsidR="00940C6F" w:rsidRPr="00C94851" w:rsidRDefault="009E0F8C" w:rsidP="00940C6F">
      <w:pPr>
        <w:spacing w:after="0" w:line="240" w:lineRule="auto"/>
        <w:ind w:firstLine="720"/>
        <w:jc w:val="right"/>
        <w:rPr>
          <w:rFonts w:ascii="Times New Roman" w:hAnsi="Times New Roman"/>
          <w:color w:val="000000"/>
          <w:sz w:val="28"/>
          <w:szCs w:val="28"/>
        </w:rPr>
      </w:pPr>
      <w:r w:rsidRPr="00C94851">
        <w:rPr>
          <w:rFonts w:ascii="Times New Roman" w:hAnsi="Times New Roman"/>
          <w:color w:val="000000"/>
          <w:sz w:val="28"/>
          <w:szCs w:val="28"/>
        </w:rPr>
        <w:t>1</w:t>
      </w:r>
      <w:r w:rsidR="00234019">
        <w:rPr>
          <w:rFonts w:ascii="Times New Roman" w:hAnsi="Times New Roman"/>
          <w:color w:val="000000"/>
          <w:sz w:val="28"/>
          <w:szCs w:val="28"/>
        </w:rPr>
        <w:t>6</w:t>
      </w:r>
      <w:r w:rsidR="00940C6F" w:rsidRPr="00C94851">
        <w:rPr>
          <w:rFonts w:ascii="Times New Roman" w:hAnsi="Times New Roman"/>
          <w:color w:val="000000"/>
          <w:sz w:val="28"/>
          <w:szCs w:val="28"/>
        </w:rPr>
        <w:t>.attēls</w:t>
      </w:r>
    </w:p>
    <w:p w:rsidR="00940C6F" w:rsidRPr="00C94851" w:rsidRDefault="00940C6F" w:rsidP="00940C6F">
      <w:pPr>
        <w:spacing w:after="0" w:line="240" w:lineRule="auto"/>
        <w:ind w:firstLine="720"/>
        <w:jc w:val="center"/>
        <w:rPr>
          <w:rFonts w:ascii="Times New Roman" w:hAnsi="Times New Roman"/>
          <w:b/>
          <w:color w:val="000000"/>
          <w:sz w:val="28"/>
          <w:szCs w:val="28"/>
        </w:rPr>
      </w:pPr>
      <w:r w:rsidRPr="00C94851">
        <w:rPr>
          <w:rFonts w:ascii="Times New Roman" w:hAnsi="Times New Roman"/>
          <w:b/>
          <w:color w:val="000000"/>
          <w:sz w:val="28"/>
          <w:szCs w:val="28"/>
        </w:rPr>
        <w:t>EK ierēdņu un Latvijas Ministru kabineta locekļu mēnešalgas 2013.gadā, latos</w:t>
      </w:r>
    </w:p>
    <w:p w:rsidR="00940C6F" w:rsidRPr="00C94851" w:rsidRDefault="003D5CD5" w:rsidP="004512B3">
      <w:pPr>
        <w:spacing w:after="0" w:line="240" w:lineRule="auto"/>
        <w:jc w:val="right"/>
        <w:rPr>
          <w:rFonts w:ascii="Times New Roman" w:hAnsi="Times New Roman"/>
          <w:color w:val="000000"/>
          <w:sz w:val="28"/>
          <w:szCs w:val="28"/>
        </w:rPr>
      </w:pPr>
      <w:r>
        <w:rPr>
          <w:noProof/>
        </w:rPr>
        <w:drawing>
          <wp:inline distT="0" distB="0" distL="0" distR="0">
            <wp:extent cx="5943600" cy="2667000"/>
            <wp:effectExtent l="0" t="0" r="19050" b="1905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5388D" w:rsidRPr="0019235D" w:rsidRDefault="0065388D" w:rsidP="0065388D">
      <w:pPr>
        <w:pStyle w:val="NormalWeb"/>
        <w:spacing w:before="0" w:beforeAutospacing="0" w:after="0" w:afterAutospacing="0"/>
      </w:pPr>
      <w:r w:rsidRPr="00C94851">
        <w:rPr>
          <w:color w:val="000000"/>
          <w:kern w:val="24"/>
          <w:sz w:val="20"/>
          <w:szCs w:val="20"/>
        </w:rPr>
        <w:t>Datu avots: Finanšu ministrija</w:t>
      </w:r>
    </w:p>
    <w:p w:rsidR="00940C6F" w:rsidRPr="00C94851" w:rsidRDefault="00940C6F" w:rsidP="00940C6F">
      <w:pPr>
        <w:spacing w:after="0" w:line="240" w:lineRule="auto"/>
        <w:ind w:firstLine="720"/>
        <w:jc w:val="right"/>
        <w:rPr>
          <w:rFonts w:ascii="Times New Roman" w:hAnsi="Times New Roman"/>
          <w:color w:val="000000"/>
          <w:sz w:val="28"/>
          <w:szCs w:val="28"/>
        </w:rPr>
      </w:pPr>
    </w:p>
    <w:p w:rsidR="00940C6F" w:rsidRPr="00C94851" w:rsidRDefault="00E92389" w:rsidP="00940C6F">
      <w:pPr>
        <w:spacing w:after="0" w:line="240" w:lineRule="auto"/>
        <w:ind w:firstLine="720"/>
        <w:jc w:val="right"/>
        <w:rPr>
          <w:rFonts w:ascii="Times New Roman" w:hAnsi="Times New Roman"/>
          <w:color w:val="000000"/>
          <w:sz w:val="28"/>
          <w:szCs w:val="28"/>
        </w:rPr>
      </w:pPr>
      <w:r w:rsidRPr="00C94851">
        <w:rPr>
          <w:rFonts w:ascii="Times New Roman" w:hAnsi="Times New Roman"/>
          <w:color w:val="000000"/>
          <w:sz w:val="28"/>
          <w:szCs w:val="28"/>
        </w:rPr>
        <w:t>1</w:t>
      </w:r>
      <w:r w:rsidR="00234019">
        <w:rPr>
          <w:rFonts w:ascii="Times New Roman" w:hAnsi="Times New Roman"/>
          <w:color w:val="000000"/>
          <w:sz w:val="28"/>
          <w:szCs w:val="28"/>
        </w:rPr>
        <w:t>7</w:t>
      </w:r>
      <w:r w:rsidR="00940C6F" w:rsidRPr="00C94851">
        <w:rPr>
          <w:rFonts w:ascii="Times New Roman" w:hAnsi="Times New Roman"/>
          <w:color w:val="000000"/>
          <w:sz w:val="28"/>
          <w:szCs w:val="28"/>
        </w:rPr>
        <w:t>.attēls</w:t>
      </w:r>
    </w:p>
    <w:p w:rsidR="00940C6F" w:rsidRPr="00C94851" w:rsidRDefault="00940C6F" w:rsidP="00940C6F">
      <w:pPr>
        <w:spacing w:after="0" w:line="240" w:lineRule="auto"/>
        <w:ind w:firstLine="720"/>
        <w:jc w:val="center"/>
        <w:rPr>
          <w:rFonts w:ascii="Times New Roman" w:hAnsi="Times New Roman"/>
          <w:b/>
          <w:color w:val="000000"/>
          <w:sz w:val="28"/>
          <w:szCs w:val="28"/>
        </w:rPr>
      </w:pPr>
      <w:r w:rsidRPr="00C94851">
        <w:rPr>
          <w:rFonts w:ascii="Times New Roman" w:hAnsi="Times New Roman"/>
          <w:b/>
          <w:color w:val="000000"/>
          <w:sz w:val="28"/>
          <w:szCs w:val="28"/>
        </w:rPr>
        <w:t>Latvijas augstāko amatpersonu mēnešalgas 2013.gadā, latos</w:t>
      </w:r>
    </w:p>
    <w:p w:rsidR="00E13000" w:rsidRPr="00C94851" w:rsidRDefault="00E13000" w:rsidP="00940C6F">
      <w:pPr>
        <w:spacing w:after="0" w:line="240" w:lineRule="auto"/>
        <w:ind w:firstLine="720"/>
        <w:jc w:val="center"/>
        <w:rPr>
          <w:rFonts w:ascii="Times New Roman" w:hAnsi="Times New Roman"/>
          <w:b/>
          <w:color w:val="000000"/>
          <w:sz w:val="28"/>
          <w:szCs w:val="28"/>
        </w:rPr>
      </w:pPr>
    </w:p>
    <w:p w:rsidR="00940C6F" w:rsidRPr="00C94851" w:rsidRDefault="001F1FB0" w:rsidP="00E13000">
      <w:pPr>
        <w:spacing w:after="0" w:line="240" w:lineRule="auto"/>
        <w:jc w:val="right"/>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5957304" cy="2952371"/>
            <wp:effectExtent l="6101" t="6095" r="8770" b="3809"/>
            <wp:docPr id="18"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40C6F" w:rsidRPr="00C94851" w:rsidRDefault="004014E7" w:rsidP="004014E7">
      <w:pPr>
        <w:spacing w:after="0" w:line="240" w:lineRule="auto"/>
        <w:jc w:val="both"/>
        <w:rPr>
          <w:rFonts w:ascii="Times New Roman" w:hAnsi="Times New Roman"/>
          <w:color w:val="000000"/>
          <w:sz w:val="28"/>
          <w:szCs w:val="28"/>
        </w:rPr>
      </w:pPr>
      <w:r w:rsidRPr="00C94851">
        <w:rPr>
          <w:rFonts w:ascii="Times New Roman" w:hAnsi="Times New Roman"/>
          <w:color w:val="000000"/>
          <w:sz w:val="28"/>
          <w:szCs w:val="28"/>
        </w:rPr>
        <w:t xml:space="preserve">* </w:t>
      </w:r>
      <w:r w:rsidRPr="00C94851">
        <w:rPr>
          <w:rFonts w:ascii="Times New Roman" w:hAnsi="Times New Roman"/>
          <w:color w:val="000000"/>
          <w:sz w:val="24"/>
          <w:szCs w:val="24"/>
        </w:rPr>
        <w:t>kopā ar reprezentācijas piemaksu</w:t>
      </w:r>
    </w:p>
    <w:p w:rsidR="00572FD4" w:rsidRPr="00572FD4" w:rsidRDefault="00BC43D7" w:rsidP="00572FD4">
      <w:pPr>
        <w:pStyle w:val="NormalWeb"/>
        <w:spacing w:before="0" w:beforeAutospacing="0" w:after="0" w:afterAutospacing="0"/>
      </w:pPr>
      <w:r w:rsidRPr="00C94851">
        <w:rPr>
          <w:color w:val="000000"/>
          <w:kern w:val="24"/>
          <w:sz w:val="20"/>
          <w:szCs w:val="20"/>
        </w:rPr>
        <w:t>Datu avots: Finanšu ministrija</w:t>
      </w:r>
    </w:p>
    <w:p w:rsidR="00572FD4" w:rsidRPr="00572FD4" w:rsidRDefault="00572FD4" w:rsidP="00B34358">
      <w:pPr>
        <w:pStyle w:val="ListParagraph"/>
        <w:numPr>
          <w:ilvl w:val="0"/>
          <w:numId w:val="2"/>
        </w:numPr>
        <w:autoSpaceDE w:val="0"/>
        <w:autoSpaceDN w:val="0"/>
        <w:adjustRightInd w:val="0"/>
        <w:spacing w:after="0" w:line="240" w:lineRule="auto"/>
        <w:jc w:val="both"/>
        <w:rPr>
          <w:rFonts w:ascii="Times New Roman" w:hAnsi="Times New Roman"/>
          <w:sz w:val="28"/>
          <w:szCs w:val="28"/>
        </w:rPr>
      </w:pPr>
      <w:r w:rsidRPr="00572FD4">
        <w:rPr>
          <w:rFonts w:ascii="Times New Roman" w:hAnsi="Times New Roman"/>
          <w:b/>
          <w:bCs/>
          <w:sz w:val="28"/>
          <w:szCs w:val="28"/>
        </w:rPr>
        <w:lastRenderedPageBreak/>
        <w:t>Piedāvātais risinājums vidējam termiņam 2014. līdz 2016.gadam</w:t>
      </w:r>
      <w:r w:rsidRPr="00572FD4">
        <w:rPr>
          <w:rFonts w:ascii="Times New Roman" w:hAnsi="Times New Roman"/>
          <w:sz w:val="28"/>
          <w:szCs w:val="28"/>
        </w:rPr>
        <w:t xml:space="preserve"> </w:t>
      </w:r>
    </w:p>
    <w:p w:rsidR="00B34358" w:rsidRDefault="00B34358" w:rsidP="00B34358">
      <w:pPr>
        <w:autoSpaceDE w:val="0"/>
        <w:autoSpaceDN w:val="0"/>
        <w:adjustRightInd w:val="0"/>
        <w:spacing w:after="0" w:line="240" w:lineRule="auto"/>
        <w:ind w:left="360"/>
        <w:rPr>
          <w:rFonts w:ascii="Times New Roman" w:hAnsi="Times New Roman"/>
          <w:sz w:val="28"/>
          <w:szCs w:val="28"/>
        </w:rPr>
      </w:pPr>
    </w:p>
    <w:p w:rsidR="00B34358" w:rsidRDefault="00B34358" w:rsidP="00B3435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Piedāvātais risinājums ietver divus galvenos pasākumus:</w:t>
      </w:r>
    </w:p>
    <w:p w:rsidR="00916FA0" w:rsidRPr="00B34358" w:rsidRDefault="002308CC" w:rsidP="00D17D74">
      <w:pPr>
        <w:pStyle w:val="ListParagraph"/>
        <w:numPr>
          <w:ilvl w:val="0"/>
          <w:numId w:val="16"/>
        </w:numPr>
        <w:autoSpaceDE w:val="0"/>
        <w:autoSpaceDN w:val="0"/>
        <w:adjustRightInd w:val="0"/>
        <w:spacing w:after="0" w:line="240" w:lineRule="auto"/>
        <w:jc w:val="both"/>
        <w:rPr>
          <w:rFonts w:ascii="Times New Roman" w:hAnsi="Times New Roman"/>
          <w:sz w:val="28"/>
          <w:szCs w:val="28"/>
        </w:rPr>
      </w:pPr>
      <w:r w:rsidRPr="00B34358">
        <w:rPr>
          <w:rFonts w:ascii="Times New Roman" w:hAnsi="Times New Roman"/>
          <w:sz w:val="28"/>
          <w:szCs w:val="28"/>
        </w:rPr>
        <w:t xml:space="preserve">Prioritāri virzīties uz konkurētspējīgu mēnešalgu </w:t>
      </w:r>
      <w:r w:rsidR="00B34358">
        <w:rPr>
          <w:rFonts w:ascii="Times New Roman" w:hAnsi="Times New Roman"/>
          <w:sz w:val="28"/>
          <w:szCs w:val="28"/>
        </w:rPr>
        <w:t xml:space="preserve">speciālistiem </w:t>
      </w:r>
      <w:r w:rsidRPr="00B34358">
        <w:rPr>
          <w:rFonts w:ascii="Times New Roman" w:hAnsi="Times New Roman"/>
          <w:sz w:val="28"/>
          <w:szCs w:val="28"/>
        </w:rPr>
        <w:t>noteikšanu esošā finansējuma ietvaros.</w:t>
      </w:r>
    </w:p>
    <w:p w:rsidR="00916FA0" w:rsidRDefault="002308CC" w:rsidP="00D17D74">
      <w:pPr>
        <w:pStyle w:val="ListParagraph"/>
        <w:numPr>
          <w:ilvl w:val="0"/>
          <w:numId w:val="16"/>
        </w:numPr>
        <w:autoSpaceDE w:val="0"/>
        <w:autoSpaceDN w:val="0"/>
        <w:adjustRightInd w:val="0"/>
        <w:spacing w:after="0" w:line="240" w:lineRule="auto"/>
        <w:jc w:val="both"/>
        <w:rPr>
          <w:rFonts w:ascii="Times New Roman" w:hAnsi="Times New Roman"/>
          <w:sz w:val="28"/>
          <w:szCs w:val="28"/>
        </w:rPr>
      </w:pPr>
      <w:r w:rsidRPr="00B34358">
        <w:rPr>
          <w:rFonts w:ascii="Times New Roman" w:hAnsi="Times New Roman"/>
          <w:sz w:val="28"/>
          <w:szCs w:val="28"/>
        </w:rPr>
        <w:t xml:space="preserve">Pakāpeniski izlīdzināt mēnešalgas līdzīgu darbu veicējiem, sašaurinot mēnešalgu skalas diapazonus un </w:t>
      </w:r>
      <w:r w:rsidR="00BB27E8" w:rsidRPr="00B34358">
        <w:rPr>
          <w:rFonts w:ascii="Times New Roman" w:hAnsi="Times New Roman"/>
          <w:sz w:val="28"/>
          <w:szCs w:val="28"/>
        </w:rPr>
        <w:t xml:space="preserve">paredzot </w:t>
      </w:r>
      <w:r w:rsidRPr="00B34358">
        <w:rPr>
          <w:rFonts w:ascii="Times New Roman" w:hAnsi="Times New Roman"/>
          <w:sz w:val="28"/>
          <w:szCs w:val="28"/>
        </w:rPr>
        <w:t>papildu finansējumu</w:t>
      </w:r>
      <w:r w:rsidR="00BB27E8">
        <w:rPr>
          <w:rFonts w:ascii="Times New Roman" w:hAnsi="Times New Roman"/>
          <w:sz w:val="28"/>
          <w:szCs w:val="28"/>
        </w:rPr>
        <w:t xml:space="preserve">, tai skaitā arī </w:t>
      </w:r>
      <w:r w:rsidRPr="00B34358">
        <w:rPr>
          <w:rFonts w:ascii="Times New Roman" w:hAnsi="Times New Roman"/>
          <w:sz w:val="28"/>
          <w:szCs w:val="28"/>
        </w:rPr>
        <w:t xml:space="preserve">saistībā ar minimālās algas paaugstināšanu. </w:t>
      </w:r>
    </w:p>
    <w:p w:rsidR="00A942C7" w:rsidRDefault="00A942C7" w:rsidP="00A942C7">
      <w:pPr>
        <w:spacing w:after="0" w:line="240" w:lineRule="auto"/>
        <w:jc w:val="both"/>
        <w:rPr>
          <w:rFonts w:ascii="Times New Roman" w:hAnsi="Times New Roman"/>
          <w:sz w:val="28"/>
          <w:szCs w:val="28"/>
        </w:rPr>
      </w:pPr>
    </w:p>
    <w:p w:rsidR="00A942C7" w:rsidRPr="009042FE" w:rsidRDefault="00A942C7" w:rsidP="00A942C7">
      <w:pPr>
        <w:spacing w:after="0" w:line="240" w:lineRule="auto"/>
        <w:jc w:val="both"/>
        <w:rPr>
          <w:rFonts w:ascii="Times New Roman" w:hAnsi="Times New Roman"/>
          <w:sz w:val="28"/>
          <w:szCs w:val="28"/>
        </w:rPr>
      </w:pPr>
      <w:r w:rsidRPr="009042FE">
        <w:rPr>
          <w:rFonts w:ascii="Times New Roman" w:hAnsi="Times New Roman"/>
          <w:sz w:val="28"/>
          <w:szCs w:val="28"/>
        </w:rPr>
        <w:t xml:space="preserve">Amatpersonu (darbinieku) mērķa grupas: </w:t>
      </w:r>
    </w:p>
    <w:p w:rsidR="00A942C7" w:rsidRPr="009042FE" w:rsidRDefault="00A942C7" w:rsidP="00D17D74">
      <w:pPr>
        <w:pStyle w:val="ListParagraph"/>
        <w:numPr>
          <w:ilvl w:val="0"/>
          <w:numId w:val="8"/>
        </w:numPr>
        <w:autoSpaceDE w:val="0"/>
        <w:autoSpaceDN w:val="0"/>
        <w:adjustRightInd w:val="0"/>
        <w:spacing w:after="0" w:line="240" w:lineRule="auto"/>
        <w:ind w:left="0" w:firstLine="0"/>
        <w:jc w:val="both"/>
        <w:rPr>
          <w:rFonts w:ascii="Times New Roman" w:hAnsi="Times New Roman"/>
          <w:sz w:val="28"/>
          <w:szCs w:val="28"/>
        </w:rPr>
      </w:pPr>
      <w:r w:rsidRPr="009042FE">
        <w:rPr>
          <w:rFonts w:ascii="Times New Roman" w:hAnsi="Times New Roman"/>
          <w:sz w:val="28"/>
          <w:szCs w:val="28"/>
        </w:rPr>
        <w:t>valsts tiešās pārvaldes iestāžu darbinieki, kuru mēnešalgas nosaka saskaņā ar noteikumiem Nr.1651 (no 2014.gada 1.janvāra noteikumiem Nr.66):</w:t>
      </w:r>
    </w:p>
    <w:p w:rsidR="00A942C7" w:rsidRPr="009042FE" w:rsidRDefault="00A942C7" w:rsidP="00D17D74">
      <w:pPr>
        <w:pStyle w:val="ListParagraph"/>
        <w:numPr>
          <w:ilvl w:val="1"/>
          <w:numId w:val="5"/>
        </w:numPr>
        <w:autoSpaceDE w:val="0"/>
        <w:autoSpaceDN w:val="0"/>
        <w:adjustRightInd w:val="0"/>
        <w:spacing w:after="0" w:line="240" w:lineRule="auto"/>
        <w:ind w:left="1418"/>
        <w:jc w:val="both"/>
        <w:rPr>
          <w:rFonts w:ascii="Times New Roman" w:hAnsi="Times New Roman"/>
          <w:sz w:val="28"/>
          <w:szCs w:val="28"/>
        </w:rPr>
      </w:pPr>
      <w:r w:rsidRPr="009042FE">
        <w:rPr>
          <w:rFonts w:ascii="Times New Roman" w:hAnsi="Times New Roman"/>
          <w:sz w:val="28"/>
          <w:szCs w:val="28"/>
        </w:rPr>
        <w:t xml:space="preserve">ministrijās nodarbinātie;                                                                                                                                                                                                                                                                                                                                                                                                                                                                                                                                                                                                                                                                                                                                                                                                                                    </w:t>
      </w:r>
    </w:p>
    <w:p w:rsidR="00A942C7" w:rsidRPr="009042FE" w:rsidRDefault="00A942C7" w:rsidP="00D17D74">
      <w:pPr>
        <w:pStyle w:val="ListParagraph"/>
        <w:numPr>
          <w:ilvl w:val="1"/>
          <w:numId w:val="5"/>
        </w:numPr>
        <w:autoSpaceDE w:val="0"/>
        <w:autoSpaceDN w:val="0"/>
        <w:adjustRightInd w:val="0"/>
        <w:spacing w:after="0" w:line="240" w:lineRule="auto"/>
        <w:ind w:left="709" w:firstLine="0"/>
        <w:jc w:val="both"/>
        <w:rPr>
          <w:rFonts w:ascii="Times New Roman" w:hAnsi="Times New Roman"/>
          <w:sz w:val="28"/>
          <w:szCs w:val="28"/>
        </w:rPr>
      </w:pPr>
      <w:r w:rsidRPr="009042FE">
        <w:rPr>
          <w:rFonts w:ascii="Times New Roman" w:hAnsi="Times New Roman"/>
          <w:sz w:val="28"/>
          <w:szCs w:val="28"/>
        </w:rPr>
        <w:t>padotības iestādēs nodarbinātie.</w:t>
      </w:r>
    </w:p>
    <w:p w:rsidR="00A942C7" w:rsidRPr="009042FE" w:rsidRDefault="00A942C7" w:rsidP="00A942C7">
      <w:pPr>
        <w:spacing w:after="0" w:line="240" w:lineRule="auto"/>
        <w:jc w:val="both"/>
        <w:rPr>
          <w:rFonts w:ascii="Times New Roman" w:hAnsi="Times New Roman"/>
          <w:sz w:val="28"/>
          <w:szCs w:val="28"/>
        </w:rPr>
      </w:pPr>
      <w:r w:rsidRPr="009042FE">
        <w:rPr>
          <w:rFonts w:ascii="Times New Roman" w:hAnsi="Times New Roman"/>
          <w:sz w:val="28"/>
          <w:szCs w:val="28"/>
        </w:rPr>
        <w:t>2) valsts tiešās pārvaldes iestāžu darbinieki, kuru mēnešalgas nosaka saskaņā ar citiem darba samaksas noteikumiem - Iekšlietu ministrijas sistēmas iestāžu un Ieslodzījuma vietu pārvaldes amatpersonas ar speciālajām dienesta pakāpēm</w:t>
      </w:r>
      <w:r w:rsidR="00D27FDE" w:rsidRPr="009042FE">
        <w:rPr>
          <w:rFonts w:ascii="Times New Roman" w:hAnsi="Times New Roman"/>
          <w:sz w:val="28"/>
          <w:szCs w:val="28"/>
        </w:rPr>
        <w:t>, karavīri</w:t>
      </w:r>
      <w:r w:rsidRPr="009042FE">
        <w:rPr>
          <w:rFonts w:ascii="Times New Roman" w:hAnsi="Times New Roman"/>
          <w:sz w:val="28"/>
          <w:szCs w:val="28"/>
        </w:rPr>
        <w:t>.</w:t>
      </w:r>
    </w:p>
    <w:p w:rsidR="00A942C7" w:rsidRPr="00C81DE7" w:rsidRDefault="00A942C7" w:rsidP="00A942C7">
      <w:pPr>
        <w:spacing w:after="0" w:line="240" w:lineRule="auto"/>
        <w:jc w:val="both"/>
        <w:rPr>
          <w:rFonts w:ascii="Times New Roman" w:hAnsi="Times New Roman"/>
          <w:sz w:val="28"/>
          <w:szCs w:val="28"/>
        </w:rPr>
      </w:pPr>
      <w:r w:rsidRPr="009042FE">
        <w:rPr>
          <w:rFonts w:ascii="Times New Roman" w:hAnsi="Times New Roman"/>
          <w:sz w:val="28"/>
          <w:szCs w:val="28"/>
        </w:rPr>
        <w:t>3) neatkarīgo iestāžu darbiniek</w:t>
      </w:r>
      <w:r w:rsidR="00D27FDE" w:rsidRPr="009042FE">
        <w:rPr>
          <w:rFonts w:ascii="Times New Roman" w:hAnsi="Times New Roman"/>
          <w:sz w:val="28"/>
          <w:szCs w:val="28"/>
        </w:rPr>
        <w:t>i</w:t>
      </w:r>
      <w:r w:rsidRPr="009042FE">
        <w:rPr>
          <w:rFonts w:ascii="Times New Roman" w:hAnsi="Times New Roman"/>
          <w:sz w:val="28"/>
          <w:szCs w:val="28"/>
        </w:rPr>
        <w:t xml:space="preserve"> (piem.,  tiesu un prokuratūras darbinieki).</w:t>
      </w:r>
    </w:p>
    <w:p w:rsidR="00A942C7" w:rsidRDefault="00A942C7" w:rsidP="00A942C7">
      <w:pPr>
        <w:spacing w:after="0" w:line="240" w:lineRule="auto"/>
        <w:jc w:val="both"/>
        <w:rPr>
          <w:rFonts w:ascii="Times New Roman" w:hAnsi="Times New Roman"/>
          <w:sz w:val="28"/>
          <w:szCs w:val="28"/>
        </w:rPr>
      </w:pPr>
    </w:p>
    <w:p w:rsidR="008D739D" w:rsidRPr="008D739D" w:rsidRDefault="008D739D" w:rsidP="008D739D">
      <w:pPr>
        <w:spacing w:after="0" w:line="240" w:lineRule="auto"/>
        <w:jc w:val="both"/>
        <w:rPr>
          <w:rFonts w:ascii="Times New Roman" w:hAnsi="Times New Roman"/>
          <w:b/>
          <w:sz w:val="28"/>
          <w:szCs w:val="28"/>
        </w:rPr>
      </w:pPr>
    </w:p>
    <w:p w:rsidR="00463B67" w:rsidRPr="00463B67" w:rsidRDefault="00463B67" w:rsidP="00463B67">
      <w:pPr>
        <w:pStyle w:val="ListParagraph"/>
        <w:numPr>
          <w:ilvl w:val="1"/>
          <w:numId w:val="2"/>
        </w:numPr>
        <w:spacing w:after="0" w:line="240" w:lineRule="auto"/>
        <w:jc w:val="both"/>
        <w:rPr>
          <w:rFonts w:ascii="Times New Roman" w:hAnsi="Times New Roman"/>
          <w:b/>
          <w:sz w:val="28"/>
          <w:szCs w:val="28"/>
        </w:rPr>
      </w:pPr>
      <w:r w:rsidRPr="00463B67">
        <w:rPr>
          <w:rFonts w:ascii="Times New Roman" w:hAnsi="Times New Roman"/>
          <w:b/>
          <w:sz w:val="28"/>
          <w:szCs w:val="28"/>
        </w:rPr>
        <w:t>Virzība uz konkurētspējīgu mēnešalgu kvalificētiem speciālistiem</w:t>
      </w:r>
    </w:p>
    <w:p w:rsidR="006A0110" w:rsidRDefault="006A0110" w:rsidP="006A0110">
      <w:pPr>
        <w:spacing w:after="0" w:line="240" w:lineRule="auto"/>
        <w:ind w:left="360"/>
        <w:jc w:val="both"/>
        <w:rPr>
          <w:rFonts w:ascii="Times New Roman" w:hAnsi="Times New Roman"/>
          <w:sz w:val="28"/>
          <w:szCs w:val="28"/>
        </w:rPr>
      </w:pPr>
    </w:p>
    <w:p w:rsidR="00E859E8" w:rsidRDefault="006A0110" w:rsidP="006A0110">
      <w:pPr>
        <w:spacing w:after="0" w:line="240" w:lineRule="auto"/>
        <w:ind w:firstLine="720"/>
        <w:jc w:val="both"/>
        <w:rPr>
          <w:rFonts w:ascii="Times New Roman" w:hAnsi="Times New Roman"/>
          <w:sz w:val="28"/>
          <w:szCs w:val="28"/>
        </w:rPr>
      </w:pPr>
      <w:r>
        <w:rPr>
          <w:rFonts w:ascii="Times New Roman" w:hAnsi="Times New Roman"/>
          <w:sz w:val="28"/>
          <w:szCs w:val="28"/>
        </w:rPr>
        <w:t>Lai motivētu kvalificētus speciālistus turpināt darbu valsts pārvaldē, kā arī piesaistītu jaunus speciālistus, nepieciešams sasaistīt darba samaksu valsts pārvaldē ar darba samaksu privātajā sektorā.</w:t>
      </w:r>
    </w:p>
    <w:p w:rsidR="00060F46" w:rsidRDefault="00E859E8" w:rsidP="006A0110">
      <w:pPr>
        <w:spacing w:after="0" w:line="240" w:lineRule="auto"/>
        <w:ind w:firstLine="720"/>
        <w:jc w:val="both"/>
        <w:rPr>
          <w:rFonts w:ascii="Times New Roman" w:hAnsi="Times New Roman"/>
          <w:sz w:val="28"/>
          <w:szCs w:val="28"/>
        </w:rPr>
      </w:pPr>
      <w:r w:rsidRPr="00060F46">
        <w:rPr>
          <w:rFonts w:ascii="Times New Roman" w:hAnsi="Times New Roman"/>
          <w:sz w:val="28"/>
          <w:szCs w:val="28"/>
          <w:u w:val="single"/>
        </w:rPr>
        <w:t>Mērķis</w:t>
      </w:r>
      <w:r>
        <w:rPr>
          <w:rFonts w:ascii="Times New Roman" w:hAnsi="Times New Roman"/>
          <w:sz w:val="28"/>
          <w:szCs w:val="28"/>
        </w:rPr>
        <w:t xml:space="preserve"> </w:t>
      </w:r>
      <w:r w:rsidR="00060F46">
        <w:rPr>
          <w:rFonts w:ascii="Times New Roman" w:hAnsi="Times New Roman"/>
          <w:sz w:val="28"/>
          <w:szCs w:val="28"/>
        </w:rPr>
        <w:t>–</w:t>
      </w:r>
      <w:r>
        <w:rPr>
          <w:rFonts w:ascii="Times New Roman" w:hAnsi="Times New Roman"/>
          <w:sz w:val="28"/>
          <w:szCs w:val="28"/>
        </w:rPr>
        <w:t xml:space="preserve"> </w:t>
      </w:r>
      <w:r w:rsidR="00AB1367" w:rsidRPr="006A0110">
        <w:rPr>
          <w:rFonts w:ascii="Times New Roman" w:hAnsi="Times New Roman"/>
          <w:sz w:val="28"/>
          <w:szCs w:val="28"/>
        </w:rPr>
        <w:t>valsts pārvald</w:t>
      </w:r>
      <w:r w:rsidR="00AB1367">
        <w:rPr>
          <w:rFonts w:ascii="Times New Roman" w:hAnsi="Times New Roman"/>
          <w:sz w:val="28"/>
          <w:szCs w:val="28"/>
        </w:rPr>
        <w:t>ē speciālist</w:t>
      </w:r>
      <w:r w:rsidR="00E6124B">
        <w:rPr>
          <w:rFonts w:ascii="Times New Roman" w:hAnsi="Times New Roman"/>
          <w:sz w:val="28"/>
          <w:szCs w:val="28"/>
        </w:rPr>
        <w:t>iem</w:t>
      </w:r>
      <w:r w:rsidR="00AB1367">
        <w:rPr>
          <w:rFonts w:ascii="Times New Roman" w:hAnsi="Times New Roman"/>
          <w:sz w:val="28"/>
          <w:szCs w:val="28"/>
        </w:rPr>
        <w:t xml:space="preserve"> mēnešalgu </w:t>
      </w:r>
      <w:r w:rsidR="00AB1367" w:rsidRPr="006A0110">
        <w:rPr>
          <w:rFonts w:ascii="Times New Roman" w:hAnsi="Times New Roman"/>
          <w:sz w:val="28"/>
          <w:szCs w:val="28"/>
        </w:rPr>
        <w:t>apmēr</w:t>
      </w:r>
      <w:r w:rsidR="00AB1367">
        <w:rPr>
          <w:rFonts w:ascii="Times New Roman" w:hAnsi="Times New Roman"/>
          <w:sz w:val="28"/>
          <w:szCs w:val="28"/>
        </w:rPr>
        <w:t>s sastāda</w:t>
      </w:r>
      <w:r w:rsidR="00AB1367" w:rsidRPr="006A0110">
        <w:rPr>
          <w:rFonts w:ascii="Times New Roman" w:hAnsi="Times New Roman"/>
          <w:sz w:val="28"/>
          <w:szCs w:val="28"/>
        </w:rPr>
        <w:t xml:space="preserve"> 80% no  </w:t>
      </w:r>
      <w:r w:rsidR="00AB1367">
        <w:rPr>
          <w:rFonts w:ascii="Times New Roman" w:hAnsi="Times New Roman"/>
          <w:sz w:val="28"/>
          <w:szCs w:val="28"/>
        </w:rPr>
        <w:t>līdzvērtīgu amatu</w:t>
      </w:r>
      <w:r w:rsidR="00AB1367" w:rsidRPr="006A0110">
        <w:rPr>
          <w:rFonts w:ascii="Times New Roman" w:hAnsi="Times New Roman"/>
          <w:sz w:val="28"/>
          <w:szCs w:val="28"/>
        </w:rPr>
        <w:t xml:space="preserve"> privāt</w:t>
      </w:r>
      <w:r w:rsidR="00AB1367">
        <w:rPr>
          <w:rFonts w:ascii="Times New Roman" w:hAnsi="Times New Roman"/>
          <w:sz w:val="28"/>
          <w:szCs w:val="28"/>
        </w:rPr>
        <w:t>aj</w:t>
      </w:r>
      <w:r w:rsidR="00AB1367" w:rsidRPr="006A0110">
        <w:rPr>
          <w:rFonts w:ascii="Times New Roman" w:hAnsi="Times New Roman"/>
          <w:sz w:val="28"/>
          <w:szCs w:val="28"/>
        </w:rPr>
        <w:t>ā sektor</w:t>
      </w:r>
      <w:r w:rsidR="00AB1367">
        <w:rPr>
          <w:rFonts w:ascii="Times New Roman" w:hAnsi="Times New Roman"/>
          <w:sz w:val="28"/>
          <w:szCs w:val="28"/>
        </w:rPr>
        <w:t>ā</w:t>
      </w:r>
      <w:r w:rsidR="00AB1367" w:rsidRPr="006A0110">
        <w:rPr>
          <w:rFonts w:ascii="Times New Roman" w:hAnsi="Times New Roman"/>
          <w:sz w:val="28"/>
          <w:szCs w:val="28"/>
        </w:rPr>
        <w:t xml:space="preserve"> </w:t>
      </w:r>
      <w:r w:rsidR="00AB1367">
        <w:rPr>
          <w:rFonts w:ascii="Times New Roman" w:hAnsi="Times New Roman"/>
          <w:sz w:val="28"/>
          <w:szCs w:val="28"/>
        </w:rPr>
        <w:t>mēneš</w:t>
      </w:r>
      <w:r w:rsidR="00AB1367" w:rsidRPr="006A0110">
        <w:rPr>
          <w:rFonts w:ascii="Times New Roman" w:hAnsi="Times New Roman"/>
          <w:sz w:val="28"/>
          <w:szCs w:val="28"/>
        </w:rPr>
        <w:t>algu apmēra</w:t>
      </w:r>
      <w:r w:rsidR="00AB1367">
        <w:rPr>
          <w:rFonts w:ascii="Times New Roman" w:hAnsi="Times New Roman"/>
          <w:sz w:val="28"/>
          <w:szCs w:val="28"/>
        </w:rPr>
        <w:t xml:space="preserve">, ko nodrošina </w:t>
      </w:r>
      <w:r>
        <w:rPr>
          <w:rFonts w:ascii="Times New Roman" w:hAnsi="Times New Roman"/>
          <w:sz w:val="28"/>
          <w:szCs w:val="28"/>
        </w:rPr>
        <w:t>t</w:t>
      </w:r>
      <w:r w:rsidR="006A0110" w:rsidRPr="006A0110">
        <w:rPr>
          <w:rFonts w:ascii="Times New Roman" w:hAnsi="Times New Roman"/>
          <w:sz w:val="28"/>
          <w:szCs w:val="28"/>
        </w:rPr>
        <w:t>urpmāk</w:t>
      </w:r>
      <w:r w:rsidR="00060F46">
        <w:rPr>
          <w:rFonts w:ascii="Times New Roman" w:hAnsi="Times New Roman"/>
          <w:sz w:val="28"/>
          <w:szCs w:val="28"/>
        </w:rPr>
        <w:t xml:space="preserve"> </w:t>
      </w:r>
      <w:r w:rsidR="00AB1367" w:rsidRPr="006A0110">
        <w:rPr>
          <w:rFonts w:ascii="Times New Roman" w:hAnsi="Times New Roman"/>
          <w:sz w:val="28"/>
          <w:szCs w:val="28"/>
        </w:rPr>
        <w:t>ik gadu pārskat</w:t>
      </w:r>
      <w:r w:rsidR="00AB1367">
        <w:rPr>
          <w:rFonts w:ascii="Times New Roman" w:hAnsi="Times New Roman"/>
          <w:sz w:val="28"/>
          <w:szCs w:val="28"/>
        </w:rPr>
        <w:t>o</w:t>
      </w:r>
      <w:r w:rsidR="00AB1367" w:rsidRPr="006A0110">
        <w:rPr>
          <w:rFonts w:ascii="Times New Roman" w:hAnsi="Times New Roman"/>
          <w:sz w:val="28"/>
          <w:szCs w:val="28"/>
        </w:rPr>
        <w:t>t</w:t>
      </w:r>
      <w:r w:rsidR="00AB1367">
        <w:rPr>
          <w:rFonts w:ascii="Times New Roman" w:hAnsi="Times New Roman"/>
          <w:sz w:val="28"/>
          <w:szCs w:val="28"/>
        </w:rPr>
        <w:t xml:space="preserve"> </w:t>
      </w:r>
      <w:r w:rsidR="00060F46">
        <w:rPr>
          <w:rFonts w:ascii="Times New Roman" w:hAnsi="Times New Roman"/>
          <w:sz w:val="28"/>
          <w:szCs w:val="28"/>
        </w:rPr>
        <w:t xml:space="preserve">valsts tiešās pārvaldes </w:t>
      </w:r>
      <w:r w:rsidR="006A0110" w:rsidRPr="006A0110">
        <w:rPr>
          <w:rFonts w:ascii="Times New Roman" w:hAnsi="Times New Roman"/>
          <w:sz w:val="28"/>
          <w:szCs w:val="28"/>
        </w:rPr>
        <w:t>mēnešalgu skalu, pamatojoties uz darba ti</w:t>
      </w:r>
      <w:r w:rsidR="00AB1367">
        <w:rPr>
          <w:rFonts w:ascii="Times New Roman" w:hAnsi="Times New Roman"/>
          <w:sz w:val="28"/>
          <w:szCs w:val="28"/>
        </w:rPr>
        <w:t>rgus atalgojuma pētījuma datiem</w:t>
      </w:r>
      <w:r w:rsidR="006A0110" w:rsidRPr="006A0110">
        <w:rPr>
          <w:rFonts w:ascii="Times New Roman" w:hAnsi="Times New Roman"/>
          <w:sz w:val="28"/>
          <w:szCs w:val="28"/>
        </w:rPr>
        <w:t xml:space="preserve">.  </w:t>
      </w:r>
    </w:p>
    <w:p w:rsidR="007E46F0" w:rsidRPr="00F04DC6" w:rsidRDefault="007E46F0" w:rsidP="006A0110">
      <w:pPr>
        <w:spacing w:after="0" w:line="240" w:lineRule="auto"/>
        <w:ind w:firstLine="720"/>
        <w:jc w:val="both"/>
        <w:rPr>
          <w:rFonts w:ascii="Times New Roman" w:hAnsi="Times New Roman"/>
          <w:b/>
          <w:sz w:val="28"/>
          <w:szCs w:val="28"/>
        </w:rPr>
      </w:pPr>
      <w:r w:rsidRPr="00F04DC6">
        <w:rPr>
          <w:rFonts w:ascii="Times New Roman" w:hAnsi="Times New Roman"/>
          <w:b/>
          <w:sz w:val="28"/>
          <w:szCs w:val="28"/>
        </w:rPr>
        <w:t>Finansējums speciālistu mēnešalgu izmaiņām nodrošināms esošā atlīdzības fonda ietvaros, veicot optimizācijas pasākumus un ceļot darba efektivitāti.</w:t>
      </w:r>
    </w:p>
    <w:p w:rsidR="007E46F0" w:rsidRDefault="007E46F0" w:rsidP="006A0110">
      <w:pPr>
        <w:spacing w:after="0" w:line="240" w:lineRule="auto"/>
        <w:ind w:firstLine="720"/>
        <w:jc w:val="both"/>
        <w:rPr>
          <w:rFonts w:ascii="Times New Roman" w:hAnsi="Times New Roman"/>
          <w:sz w:val="28"/>
          <w:szCs w:val="28"/>
        </w:rPr>
      </w:pPr>
    </w:p>
    <w:p w:rsidR="00BA3076" w:rsidRDefault="00BA3076" w:rsidP="00EC00B9">
      <w:pPr>
        <w:spacing w:after="0" w:line="240" w:lineRule="auto"/>
        <w:ind w:firstLine="720"/>
        <w:jc w:val="both"/>
        <w:rPr>
          <w:rFonts w:ascii="Times New Roman" w:hAnsi="Times New Roman"/>
          <w:sz w:val="28"/>
          <w:szCs w:val="28"/>
        </w:rPr>
      </w:pPr>
      <w:r>
        <w:rPr>
          <w:rFonts w:ascii="Times New Roman" w:hAnsi="Times New Roman"/>
          <w:sz w:val="28"/>
          <w:szCs w:val="28"/>
        </w:rPr>
        <w:t>M</w:t>
      </w:r>
      <w:r w:rsidRPr="00E408DC">
        <w:rPr>
          <w:rFonts w:ascii="Times New Roman" w:hAnsi="Times New Roman"/>
          <w:sz w:val="28"/>
          <w:szCs w:val="28"/>
        </w:rPr>
        <w:t xml:space="preserve">ēnešalgu skalas </w:t>
      </w:r>
      <w:r>
        <w:rPr>
          <w:rFonts w:ascii="Times New Roman" w:hAnsi="Times New Roman"/>
          <w:sz w:val="28"/>
          <w:szCs w:val="28"/>
        </w:rPr>
        <w:t>pārskatīšana</w:t>
      </w:r>
      <w:r w:rsidR="00695AD1">
        <w:rPr>
          <w:rFonts w:ascii="Times New Roman" w:hAnsi="Times New Roman"/>
          <w:sz w:val="28"/>
          <w:szCs w:val="28"/>
        </w:rPr>
        <w:t>s piemērs</w:t>
      </w:r>
      <w:r w:rsidRPr="00E408DC">
        <w:rPr>
          <w:rFonts w:ascii="Times New Roman" w:hAnsi="Times New Roman"/>
          <w:sz w:val="28"/>
          <w:szCs w:val="28"/>
        </w:rPr>
        <w:t>,</w:t>
      </w:r>
      <w:r>
        <w:rPr>
          <w:rFonts w:ascii="Times New Roman" w:hAnsi="Times New Roman"/>
          <w:sz w:val="28"/>
          <w:szCs w:val="28"/>
        </w:rPr>
        <w:t xml:space="preserve"> </w:t>
      </w:r>
      <w:r w:rsidR="00695AD1">
        <w:rPr>
          <w:rFonts w:ascii="Times New Roman" w:hAnsi="Times New Roman"/>
          <w:sz w:val="28"/>
          <w:szCs w:val="28"/>
        </w:rPr>
        <w:t xml:space="preserve">kas </w:t>
      </w:r>
      <w:r w:rsidR="00EC00B9">
        <w:rPr>
          <w:rFonts w:ascii="Times New Roman" w:hAnsi="Times New Roman"/>
          <w:sz w:val="28"/>
          <w:szCs w:val="28"/>
        </w:rPr>
        <w:t>nodrošinātu</w:t>
      </w:r>
      <w:r w:rsidR="00695AD1">
        <w:rPr>
          <w:rFonts w:ascii="Times New Roman" w:hAnsi="Times New Roman"/>
          <w:sz w:val="28"/>
          <w:szCs w:val="28"/>
        </w:rPr>
        <w:t xml:space="preserve"> </w:t>
      </w:r>
      <w:r w:rsidRPr="00E408DC">
        <w:rPr>
          <w:rFonts w:ascii="Times New Roman" w:hAnsi="Times New Roman"/>
          <w:sz w:val="28"/>
          <w:szCs w:val="28"/>
        </w:rPr>
        <w:t xml:space="preserve">iespēju </w:t>
      </w:r>
      <w:r w:rsidR="00695AD1">
        <w:rPr>
          <w:rFonts w:ascii="Times New Roman" w:hAnsi="Times New Roman"/>
          <w:sz w:val="28"/>
          <w:szCs w:val="28"/>
        </w:rPr>
        <w:t>noteikt konkurētspējīgas</w:t>
      </w:r>
      <w:r w:rsidRPr="00E408DC">
        <w:rPr>
          <w:rFonts w:ascii="Times New Roman" w:hAnsi="Times New Roman"/>
          <w:sz w:val="28"/>
          <w:szCs w:val="28"/>
        </w:rPr>
        <w:t xml:space="preserve"> mēnešalgas augsti kvalificētiem speciālistiem</w:t>
      </w:r>
      <w:r w:rsidR="00695AD1">
        <w:rPr>
          <w:rFonts w:ascii="Times New Roman" w:hAnsi="Times New Roman"/>
          <w:sz w:val="28"/>
          <w:szCs w:val="28"/>
        </w:rPr>
        <w:t>,</w:t>
      </w:r>
      <w:r>
        <w:rPr>
          <w:rFonts w:ascii="Times New Roman" w:hAnsi="Times New Roman"/>
          <w:sz w:val="28"/>
          <w:szCs w:val="28"/>
        </w:rPr>
        <w:t xml:space="preserve"> ir </w:t>
      </w:r>
      <w:r w:rsidR="009D4C03">
        <w:rPr>
          <w:rFonts w:ascii="Times New Roman" w:hAnsi="Times New Roman"/>
          <w:sz w:val="28"/>
          <w:szCs w:val="28"/>
        </w:rPr>
        <w:t>attēlots</w:t>
      </w:r>
      <w:r w:rsidR="00515E6F">
        <w:rPr>
          <w:rFonts w:ascii="Times New Roman" w:hAnsi="Times New Roman"/>
          <w:sz w:val="28"/>
          <w:szCs w:val="28"/>
        </w:rPr>
        <w:t xml:space="preserve"> 18</w:t>
      </w:r>
      <w:r>
        <w:rPr>
          <w:rFonts w:ascii="Times New Roman" w:hAnsi="Times New Roman"/>
          <w:sz w:val="28"/>
          <w:szCs w:val="28"/>
        </w:rPr>
        <w:t>.attēlā.</w:t>
      </w:r>
    </w:p>
    <w:p w:rsidR="008D739D" w:rsidRDefault="008D739D">
      <w:pPr>
        <w:spacing w:after="0" w:line="240" w:lineRule="auto"/>
        <w:rPr>
          <w:rFonts w:ascii="Times New Roman" w:hAnsi="Times New Roman"/>
          <w:sz w:val="28"/>
          <w:szCs w:val="28"/>
        </w:rPr>
      </w:pPr>
      <w:r>
        <w:rPr>
          <w:rFonts w:ascii="Times New Roman" w:hAnsi="Times New Roman"/>
          <w:sz w:val="28"/>
          <w:szCs w:val="28"/>
        </w:rPr>
        <w:br w:type="page"/>
      </w:r>
    </w:p>
    <w:p w:rsidR="00BA3076" w:rsidRDefault="00515E6F" w:rsidP="00BA3076">
      <w:pPr>
        <w:spacing w:after="0" w:line="240" w:lineRule="auto"/>
        <w:jc w:val="right"/>
        <w:rPr>
          <w:rFonts w:ascii="Times New Roman" w:hAnsi="Times New Roman"/>
          <w:sz w:val="28"/>
          <w:szCs w:val="28"/>
        </w:rPr>
      </w:pPr>
      <w:r>
        <w:rPr>
          <w:rFonts w:ascii="Times New Roman" w:hAnsi="Times New Roman"/>
          <w:sz w:val="28"/>
          <w:szCs w:val="28"/>
        </w:rPr>
        <w:lastRenderedPageBreak/>
        <w:t>18</w:t>
      </w:r>
      <w:r w:rsidR="00BA3076">
        <w:rPr>
          <w:rFonts w:ascii="Times New Roman" w:hAnsi="Times New Roman"/>
          <w:sz w:val="28"/>
          <w:szCs w:val="28"/>
        </w:rPr>
        <w:t>.attēls</w:t>
      </w:r>
    </w:p>
    <w:p w:rsidR="00BA3076" w:rsidRDefault="00BA3076" w:rsidP="00BA3076">
      <w:pPr>
        <w:spacing w:after="0" w:line="240" w:lineRule="auto"/>
        <w:jc w:val="right"/>
        <w:rPr>
          <w:rFonts w:ascii="Times New Roman" w:hAnsi="Times New Roman"/>
          <w:sz w:val="28"/>
          <w:szCs w:val="28"/>
        </w:rPr>
      </w:pPr>
    </w:p>
    <w:p w:rsidR="00BA3076" w:rsidRDefault="00BA3076" w:rsidP="00BA3076">
      <w:pPr>
        <w:spacing w:after="0" w:line="240" w:lineRule="auto"/>
        <w:jc w:val="center"/>
        <w:rPr>
          <w:rFonts w:ascii="Times New Roman" w:hAnsi="Times New Roman"/>
          <w:b/>
          <w:sz w:val="28"/>
          <w:szCs w:val="28"/>
        </w:rPr>
      </w:pPr>
      <w:r>
        <w:rPr>
          <w:rFonts w:ascii="Times New Roman" w:hAnsi="Times New Roman"/>
          <w:b/>
          <w:sz w:val="28"/>
          <w:szCs w:val="28"/>
        </w:rPr>
        <w:t>M</w:t>
      </w:r>
      <w:r w:rsidRPr="00F35126">
        <w:rPr>
          <w:rFonts w:ascii="Times New Roman" w:hAnsi="Times New Roman"/>
          <w:b/>
          <w:sz w:val="28"/>
          <w:szCs w:val="28"/>
        </w:rPr>
        <w:t xml:space="preserve">ēnešalgu skalas </w:t>
      </w:r>
      <w:r>
        <w:rPr>
          <w:rFonts w:ascii="Times New Roman" w:hAnsi="Times New Roman"/>
          <w:b/>
          <w:sz w:val="28"/>
          <w:szCs w:val="28"/>
        </w:rPr>
        <w:t>pārskatīšanas piemērs</w:t>
      </w:r>
    </w:p>
    <w:p w:rsidR="00BA3076" w:rsidRDefault="00BA3076" w:rsidP="00BA3076">
      <w:pPr>
        <w:spacing w:after="0" w:line="240" w:lineRule="auto"/>
        <w:jc w:val="both"/>
        <w:rPr>
          <w:rFonts w:ascii="Times New Roman" w:hAnsi="Times New Roman"/>
          <w:sz w:val="28"/>
          <w:szCs w:val="28"/>
        </w:rPr>
      </w:pPr>
    </w:p>
    <w:p w:rsidR="00BA3076" w:rsidRDefault="009E1D48" w:rsidP="00BA3076">
      <w:pPr>
        <w:spacing w:after="0" w:line="240" w:lineRule="auto"/>
        <w:jc w:val="both"/>
        <w:rPr>
          <w:rFonts w:ascii="Times New Roman" w:hAnsi="Times New Roman"/>
          <w:sz w:val="28"/>
          <w:szCs w:val="28"/>
        </w:rPr>
      </w:pPr>
      <w:r>
        <w:rPr>
          <w:noProof/>
        </w:rPr>
        <mc:AlternateContent>
          <mc:Choice Requires="wps">
            <w:drawing>
              <wp:anchor distT="0" distB="0" distL="114300" distR="114300" simplePos="0" relativeHeight="251658752" behindDoc="0" locked="0" layoutInCell="1" allowOverlap="1">
                <wp:simplePos x="0" y="0"/>
                <wp:positionH relativeFrom="column">
                  <wp:posOffset>1291590</wp:posOffset>
                </wp:positionH>
                <wp:positionV relativeFrom="paragraph">
                  <wp:posOffset>471170</wp:posOffset>
                </wp:positionV>
                <wp:extent cx="2647950" cy="488315"/>
                <wp:effectExtent l="0" t="0" r="19050" b="26035"/>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88315"/>
                        </a:xfrm>
                        <a:prstGeom prst="rect">
                          <a:avLst/>
                        </a:prstGeom>
                        <a:solidFill>
                          <a:srgbClr val="FFFFFF"/>
                        </a:solidFill>
                        <a:ln w="9525">
                          <a:solidFill>
                            <a:srgbClr val="000000"/>
                          </a:solidFill>
                          <a:miter lim="800000"/>
                          <a:headEnd/>
                          <a:tailEnd/>
                        </a:ln>
                      </wps:spPr>
                      <wps:txbx>
                        <w:txbxContent>
                          <w:p w:rsidR="00836069" w:rsidRPr="0048472D" w:rsidRDefault="00836069" w:rsidP="00BA3076">
                            <w:pPr>
                              <w:rPr>
                                <w:rFonts w:ascii="Times New Roman" w:hAnsi="Times New Roman"/>
                                <w:sz w:val="24"/>
                                <w:szCs w:val="24"/>
                              </w:rPr>
                            </w:pPr>
                            <w:r w:rsidRPr="0048472D">
                              <w:rPr>
                                <w:rFonts w:ascii="Times New Roman" w:hAnsi="Times New Roman"/>
                                <w:sz w:val="24"/>
                                <w:szCs w:val="24"/>
                              </w:rPr>
                              <w:t>Ir iespēja paaugstināt mēnešalgas augsti kvalificētiem speciālistiem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43" type="#_x0000_t202" style="position:absolute;left:0;text-align:left;margin-left:101.7pt;margin-top:37.1pt;width:208.5pt;height:38.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">
                <v:textbox>
                  <w:txbxContent>
                    <w:p w:rsidR="00836069" w:rsidRPr="0048472D" w:rsidRDefault="00836069" w:rsidP="00BA3076">
                      <w:pPr>
                        <w:rPr>
                          <w:rFonts w:ascii="Times New Roman" w:hAnsi="Times New Roman"/>
                          <w:sz w:val="24"/>
                          <w:szCs w:val="24"/>
                        </w:rPr>
                      </w:pPr>
                      <w:r w:rsidRPr="0048472D">
                        <w:rPr>
                          <w:rFonts w:ascii="Times New Roman" w:hAnsi="Times New Roman"/>
                          <w:sz w:val="24"/>
                          <w:szCs w:val="24"/>
                        </w:rPr>
                        <w:t>Ir iespēja paaugstināt mēnešalgas augsti kvalificētiem speciālistiem</w:t>
                      </w:r>
                    </w:p>
                  </w:txbxContent>
                </v:textbox>
              </v:shape>
            </w:pict>
          </mc:Fallback>
        </mc:AlternateContent>
      </w:r>
      <w:r w:rsidR="00BA3076">
        <w:rPr>
          <w:noProof/>
        </w:rPr>
        <w:drawing>
          <wp:inline distT="0" distB="0" distL="0" distR="0">
            <wp:extent cx="5924550" cy="3600450"/>
            <wp:effectExtent l="0" t="0" r="0" b="0"/>
            <wp:docPr id="27" name="Chart 2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noProof/>
        </w:rPr>
        <mc:AlternateContent>
          <mc:Choice Requires="wps">
            <w:drawing>
              <wp:anchor distT="0" distB="0" distL="114300" distR="114300" simplePos="0" relativeHeight="251659776" behindDoc="0" locked="0" layoutInCell="1" allowOverlap="1">
                <wp:simplePos x="0" y="0"/>
                <wp:positionH relativeFrom="column">
                  <wp:posOffset>2272665</wp:posOffset>
                </wp:positionH>
                <wp:positionV relativeFrom="paragraph">
                  <wp:posOffset>959485</wp:posOffset>
                </wp:positionV>
                <wp:extent cx="2362200" cy="511810"/>
                <wp:effectExtent l="0" t="0" r="76200" b="78740"/>
                <wp:wrapNone/>
                <wp:docPr id="2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511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850E1" id="AutoShape 46" o:spid="_x0000_s1026" type="#_x0000_t32" style="position:absolute;margin-left:178.95pt;margin-top:75.55pt;width:186pt;height:40.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h+OgIAAGQ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">
                <v:stroke endarrow="block"/>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2634615</wp:posOffset>
                </wp:positionH>
                <wp:positionV relativeFrom="paragraph">
                  <wp:posOffset>959485</wp:posOffset>
                </wp:positionV>
                <wp:extent cx="2238375" cy="159385"/>
                <wp:effectExtent l="0" t="0" r="66675" b="88265"/>
                <wp:wrapNone/>
                <wp:docPr id="17"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0B135" id="AutoShape 45" o:spid="_x0000_s1026" type="#_x0000_t32" style="position:absolute;margin-left:207.45pt;margin-top:75.55pt;width:176.25pt;height:1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BdnOwIAAGQ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">
                <v:stroke endarrow="block"/>
              </v:shape>
            </w:pict>
          </mc:Fallback>
        </mc:AlternateContent>
      </w:r>
    </w:p>
    <w:p w:rsidR="00BA3076" w:rsidRDefault="00BA3076" w:rsidP="00BA3076">
      <w:pPr>
        <w:spacing w:after="0" w:line="240" w:lineRule="auto"/>
        <w:jc w:val="both"/>
        <w:rPr>
          <w:rFonts w:ascii="Times New Roman" w:hAnsi="Times New Roman"/>
          <w:sz w:val="28"/>
          <w:szCs w:val="28"/>
        </w:rPr>
      </w:pPr>
    </w:p>
    <w:p w:rsidR="00CE23CD" w:rsidRDefault="00895EC9" w:rsidP="00CE23CD">
      <w:pPr>
        <w:spacing w:after="0" w:line="240" w:lineRule="auto"/>
        <w:ind w:firstLine="720"/>
        <w:jc w:val="both"/>
        <w:rPr>
          <w:rFonts w:ascii="Times New Roman" w:hAnsi="Times New Roman"/>
          <w:sz w:val="28"/>
          <w:szCs w:val="28"/>
        </w:rPr>
      </w:pPr>
      <w:r w:rsidRPr="00C35831">
        <w:rPr>
          <w:rFonts w:ascii="Times New Roman" w:hAnsi="Times New Roman"/>
          <w:sz w:val="28"/>
          <w:szCs w:val="28"/>
          <w:u w:val="single"/>
        </w:rPr>
        <w:t>Iespējamais</w:t>
      </w:r>
      <w:r w:rsidR="00CE23CD" w:rsidRPr="00C35831">
        <w:rPr>
          <w:rFonts w:ascii="Times New Roman" w:hAnsi="Times New Roman"/>
          <w:sz w:val="28"/>
          <w:szCs w:val="28"/>
          <w:u w:val="single"/>
        </w:rPr>
        <w:t xml:space="preserve"> risinājums</w:t>
      </w:r>
      <w:r w:rsidR="00CE23CD" w:rsidRPr="00C35831">
        <w:rPr>
          <w:rFonts w:ascii="Times New Roman" w:hAnsi="Times New Roman"/>
          <w:sz w:val="28"/>
          <w:szCs w:val="28"/>
        </w:rPr>
        <w:t xml:space="preserve"> k</w:t>
      </w:r>
      <w:r w:rsidR="0086615E" w:rsidRPr="00C35831">
        <w:rPr>
          <w:rFonts w:ascii="Times New Roman" w:hAnsi="Times New Roman"/>
          <w:sz w:val="28"/>
          <w:szCs w:val="28"/>
        </w:rPr>
        <w:t>onkurētspējīgu</w:t>
      </w:r>
      <w:r w:rsidR="0086615E">
        <w:rPr>
          <w:rFonts w:ascii="Times New Roman" w:hAnsi="Times New Roman"/>
          <w:sz w:val="28"/>
          <w:szCs w:val="28"/>
        </w:rPr>
        <w:t xml:space="preserve"> mēnešalgu noteikšanai </w:t>
      </w:r>
      <w:r w:rsidR="00CE23CD">
        <w:rPr>
          <w:rFonts w:ascii="Times New Roman" w:hAnsi="Times New Roman"/>
          <w:sz w:val="28"/>
          <w:szCs w:val="28"/>
        </w:rPr>
        <w:t xml:space="preserve">kvalificētiem speciālistiem: </w:t>
      </w:r>
    </w:p>
    <w:p w:rsidR="002216E8" w:rsidRDefault="00CE23CD" w:rsidP="00D17D74">
      <w:pPr>
        <w:pStyle w:val="ListParagraph"/>
        <w:numPr>
          <w:ilvl w:val="0"/>
          <w:numId w:val="17"/>
        </w:numPr>
        <w:spacing w:after="0" w:line="240" w:lineRule="auto"/>
        <w:jc w:val="both"/>
        <w:rPr>
          <w:rFonts w:ascii="Times New Roman" w:hAnsi="Times New Roman"/>
          <w:sz w:val="28"/>
          <w:szCs w:val="28"/>
        </w:rPr>
      </w:pPr>
      <w:r w:rsidRPr="00CE23CD">
        <w:rPr>
          <w:rFonts w:ascii="Times New Roman" w:hAnsi="Times New Roman"/>
          <w:sz w:val="28"/>
          <w:szCs w:val="28"/>
        </w:rPr>
        <w:t>Atlīdzības likumā</w:t>
      </w:r>
      <w:r w:rsidR="002216E8">
        <w:rPr>
          <w:rFonts w:ascii="Times New Roman" w:hAnsi="Times New Roman"/>
          <w:sz w:val="28"/>
          <w:szCs w:val="28"/>
        </w:rPr>
        <w:t>:</w:t>
      </w:r>
    </w:p>
    <w:p w:rsidR="002216E8" w:rsidRPr="00895EC9" w:rsidRDefault="002216E8" w:rsidP="00895EC9">
      <w:pPr>
        <w:pStyle w:val="ListParagraph"/>
        <w:spacing w:after="0" w:line="240" w:lineRule="auto"/>
        <w:jc w:val="both"/>
        <w:rPr>
          <w:rFonts w:ascii="Times New Roman" w:hAnsi="Times New Roman"/>
          <w:sz w:val="28"/>
          <w:szCs w:val="28"/>
        </w:rPr>
      </w:pPr>
      <w:r w:rsidRPr="00542AA7">
        <w:rPr>
          <w:rFonts w:ascii="Times New Roman" w:hAnsi="Times New Roman"/>
          <w:iCs/>
          <w:sz w:val="28"/>
          <w:szCs w:val="28"/>
        </w:rPr>
        <w:t>1.variants</w:t>
      </w:r>
      <w:r w:rsidRPr="00895EC9">
        <w:rPr>
          <w:rFonts w:ascii="Times New Roman" w:hAnsi="Times New Roman"/>
          <w:iCs/>
          <w:sz w:val="28"/>
          <w:szCs w:val="28"/>
        </w:rPr>
        <w:t xml:space="preserve"> </w:t>
      </w:r>
      <w:r w:rsidR="00F4569C">
        <w:rPr>
          <w:rFonts w:ascii="Times New Roman" w:hAnsi="Times New Roman"/>
          <w:iCs/>
          <w:sz w:val="28"/>
          <w:szCs w:val="28"/>
        </w:rPr>
        <w:t>–</w:t>
      </w:r>
      <w:r w:rsidR="00CE23CD" w:rsidRPr="00895EC9">
        <w:rPr>
          <w:rFonts w:ascii="Times New Roman" w:hAnsi="Times New Roman"/>
          <w:iCs/>
          <w:sz w:val="28"/>
          <w:szCs w:val="28"/>
        </w:rPr>
        <w:t xml:space="preserve"> </w:t>
      </w:r>
      <w:r w:rsidR="00723224">
        <w:rPr>
          <w:rFonts w:ascii="Times New Roman" w:hAnsi="Times New Roman"/>
          <w:iCs/>
          <w:sz w:val="28"/>
          <w:szCs w:val="28"/>
        </w:rPr>
        <w:t>mainīt nosacījumu par v</w:t>
      </w:r>
      <w:r w:rsidR="006A0110" w:rsidRPr="00895EC9">
        <w:rPr>
          <w:rFonts w:ascii="Times New Roman" w:hAnsi="Times New Roman"/>
          <w:sz w:val="28"/>
          <w:szCs w:val="28"/>
        </w:rPr>
        <w:t>alsts iestāžu darbinieku mēnešalg</w:t>
      </w:r>
      <w:r w:rsidR="00CE23CD" w:rsidRPr="00895EC9">
        <w:rPr>
          <w:rFonts w:ascii="Times New Roman" w:hAnsi="Times New Roman"/>
          <w:sz w:val="28"/>
          <w:szCs w:val="28"/>
        </w:rPr>
        <w:t>u</w:t>
      </w:r>
      <w:r w:rsidR="006A0110" w:rsidRPr="00895EC9">
        <w:rPr>
          <w:rFonts w:ascii="Times New Roman" w:hAnsi="Times New Roman"/>
          <w:sz w:val="28"/>
          <w:szCs w:val="28"/>
        </w:rPr>
        <w:t xml:space="preserve"> </w:t>
      </w:r>
      <w:r w:rsidR="00723224">
        <w:rPr>
          <w:rFonts w:ascii="Times New Roman" w:hAnsi="Times New Roman"/>
          <w:iCs/>
          <w:sz w:val="28"/>
          <w:szCs w:val="28"/>
        </w:rPr>
        <w:t>sa</w:t>
      </w:r>
      <w:r w:rsidR="00CE23CD" w:rsidRPr="00895EC9">
        <w:rPr>
          <w:rFonts w:ascii="Times New Roman" w:hAnsi="Times New Roman"/>
          <w:iCs/>
          <w:sz w:val="28"/>
          <w:szCs w:val="28"/>
        </w:rPr>
        <w:t xml:space="preserve">saisti </w:t>
      </w:r>
      <w:r w:rsidR="00723224">
        <w:rPr>
          <w:rFonts w:ascii="Times New Roman" w:hAnsi="Times New Roman"/>
          <w:sz w:val="28"/>
          <w:szCs w:val="28"/>
        </w:rPr>
        <w:t>ar</w:t>
      </w:r>
      <w:r w:rsidR="006A0110" w:rsidRPr="00895EC9">
        <w:rPr>
          <w:rFonts w:ascii="Times New Roman" w:hAnsi="Times New Roman"/>
          <w:sz w:val="28"/>
          <w:szCs w:val="28"/>
        </w:rPr>
        <w:t xml:space="preserve"> Ministru prezidenta mēnešalg</w:t>
      </w:r>
      <w:r w:rsidR="00723224">
        <w:rPr>
          <w:rFonts w:ascii="Times New Roman" w:hAnsi="Times New Roman"/>
          <w:sz w:val="28"/>
          <w:szCs w:val="28"/>
        </w:rPr>
        <w:t>u</w:t>
      </w:r>
      <w:r w:rsidRPr="00895EC9">
        <w:rPr>
          <w:rFonts w:ascii="Times New Roman" w:hAnsi="Times New Roman"/>
          <w:sz w:val="28"/>
          <w:szCs w:val="28"/>
        </w:rPr>
        <w:t>;</w:t>
      </w:r>
    </w:p>
    <w:p w:rsidR="006A0110" w:rsidRPr="00895EC9" w:rsidRDefault="002216E8" w:rsidP="00895EC9">
      <w:pPr>
        <w:pStyle w:val="ListParagraph"/>
        <w:spacing w:after="0" w:line="240" w:lineRule="auto"/>
        <w:jc w:val="both"/>
        <w:rPr>
          <w:rFonts w:ascii="Times New Roman" w:hAnsi="Times New Roman"/>
          <w:sz w:val="28"/>
          <w:szCs w:val="28"/>
        </w:rPr>
      </w:pPr>
      <w:r w:rsidRPr="00542AA7">
        <w:rPr>
          <w:rFonts w:ascii="Times New Roman" w:hAnsi="Times New Roman"/>
          <w:iCs/>
          <w:sz w:val="28"/>
          <w:szCs w:val="28"/>
        </w:rPr>
        <w:t>2</w:t>
      </w:r>
      <w:r w:rsidRPr="00542AA7">
        <w:rPr>
          <w:rFonts w:ascii="Times New Roman" w:hAnsi="Times New Roman"/>
          <w:sz w:val="28"/>
          <w:szCs w:val="28"/>
        </w:rPr>
        <w:t>.variants</w:t>
      </w:r>
      <w:r w:rsidRPr="00895EC9">
        <w:rPr>
          <w:rFonts w:ascii="Times New Roman" w:hAnsi="Times New Roman"/>
          <w:sz w:val="28"/>
          <w:szCs w:val="28"/>
        </w:rPr>
        <w:t xml:space="preserve"> </w:t>
      </w:r>
      <w:r w:rsidR="00F4569C">
        <w:rPr>
          <w:rFonts w:ascii="Times New Roman" w:hAnsi="Times New Roman"/>
          <w:sz w:val="28"/>
          <w:szCs w:val="28"/>
        </w:rPr>
        <w:t>–</w:t>
      </w:r>
      <w:r w:rsidR="000F2015">
        <w:rPr>
          <w:rFonts w:ascii="Times New Roman" w:hAnsi="Times New Roman"/>
          <w:sz w:val="28"/>
          <w:szCs w:val="28"/>
        </w:rPr>
        <w:t xml:space="preserve"> </w:t>
      </w:r>
      <w:r w:rsidR="00CF5141">
        <w:rPr>
          <w:rFonts w:ascii="Times New Roman" w:hAnsi="Times New Roman"/>
          <w:sz w:val="28"/>
          <w:szCs w:val="28"/>
        </w:rPr>
        <w:t>pārskatīt</w:t>
      </w:r>
      <w:r w:rsidR="006A0110" w:rsidRPr="00895EC9">
        <w:rPr>
          <w:rFonts w:ascii="Times New Roman" w:hAnsi="Times New Roman"/>
          <w:iCs/>
          <w:sz w:val="28"/>
          <w:szCs w:val="28"/>
        </w:rPr>
        <w:t xml:space="preserve"> M</w:t>
      </w:r>
      <w:r w:rsidRPr="00895EC9">
        <w:rPr>
          <w:rFonts w:ascii="Times New Roman" w:hAnsi="Times New Roman"/>
          <w:iCs/>
          <w:sz w:val="28"/>
          <w:szCs w:val="28"/>
        </w:rPr>
        <w:t>inistru kabineta</w:t>
      </w:r>
      <w:r w:rsidR="006A0110" w:rsidRPr="00895EC9">
        <w:rPr>
          <w:rFonts w:ascii="Times New Roman" w:hAnsi="Times New Roman"/>
          <w:iCs/>
          <w:sz w:val="28"/>
          <w:szCs w:val="28"/>
        </w:rPr>
        <w:t xml:space="preserve"> locekļu mēnešalgu aprēķināšanai piemērojamos koeficientus (</w:t>
      </w:r>
      <w:r w:rsidR="00D71F64" w:rsidRPr="00895EC9">
        <w:rPr>
          <w:rFonts w:ascii="Times New Roman" w:hAnsi="Times New Roman"/>
          <w:iCs/>
          <w:sz w:val="28"/>
          <w:szCs w:val="28"/>
        </w:rPr>
        <w:t xml:space="preserve">piem., </w:t>
      </w:r>
      <w:r w:rsidR="006A0110" w:rsidRPr="00895EC9">
        <w:rPr>
          <w:rFonts w:ascii="Times New Roman" w:hAnsi="Times New Roman"/>
          <w:iCs/>
          <w:sz w:val="28"/>
          <w:szCs w:val="28"/>
          <w:lang w:val="pt-BR"/>
        </w:rPr>
        <w:t>Min</w:t>
      </w:r>
      <w:r w:rsidR="00542AA7">
        <w:rPr>
          <w:rFonts w:ascii="Times New Roman" w:hAnsi="Times New Roman"/>
          <w:iCs/>
          <w:sz w:val="28"/>
          <w:szCs w:val="28"/>
          <w:lang w:val="pt-BR"/>
        </w:rPr>
        <w:t>istru prezidentam uz 10</w:t>
      </w:r>
      <w:r w:rsidR="006A0110" w:rsidRPr="00895EC9">
        <w:rPr>
          <w:rFonts w:ascii="Times New Roman" w:hAnsi="Times New Roman"/>
          <w:iCs/>
          <w:sz w:val="28"/>
          <w:szCs w:val="28"/>
          <w:lang w:val="pt-BR"/>
        </w:rPr>
        <w:t>, ministriem uz 8</w:t>
      </w:r>
      <w:r w:rsidR="006A0110" w:rsidRPr="00895EC9">
        <w:rPr>
          <w:rFonts w:ascii="Times New Roman" w:hAnsi="Times New Roman"/>
          <w:iCs/>
          <w:sz w:val="28"/>
          <w:szCs w:val="28"/>
        </w:rPr>
        <w:t xml:space="preserve">). </w:t>
      </w:r>
      <w:r w:rsidR="00D71F64" w:rsidRPr="00895EC9">
        <w:rPr>
          <w:rFonts w:ascii="Times New Roman" w:hAnsi="Times New Roman"/>
          <w:iCs/>
          <w:sz w:val="28"/>
          <w:szCs w:val="28"/>
        </w:rPr>
        <w:t>Šajā gadījumā j</w:t>
      </w:r>
      <w:r w:rsidR="006A0110" w:rsidRPr="00895EC9">
        <w:rPr>
          <w:rFonts w:ascii="Times New Roman" w:hAnsi="Times New Roman"/>
          <w:iCs/>
          <w:sz w:val="28"/>
          <w:szCs w:val="28"/>
        </w:rPr>
        <w:t>āpārskata arī citu vēlēto amatpersonu mēnešalgu noteikšanas koeficientus (</w:t>
      </w:r>
      <w:r w:rsidR="00895EC9">
        <w:rPr>
          <w:rFonts w:ascii="Times New Roman" w:hAnsi="Times New Roman"/>
          <w:iCs/>
          <w:sz w:val="28"/>
          <w:szCs w:val="28"/>
        </w:rPr>
        <w:t xml:space="preserve">papildu nepieciešamais finansējums </w:t>
      </w:r>
      <w:r w:rsidR="006A0110" w:rsidRPr="00895EC9">
        <w:rPr>
          <w:rFonts w:ascii="Times New Roman" w:hAnsi="Times New Roman"/>
          <w:iCs/>
          <w:sz w:val="28"/>
          <w:szCs w:val="28"/>
        </w:rPr>
        <w:t>≈2 milj.</w:t>
      </w:r>
      <w:r w:rsidR="00F4569C">
        <w:rPr>
          <w:rFonts w:ascii="Times New Roman" w:hAnsi="Times New Roman"/>
          <w:iCs/>
          <w:sz w:val="28"/>
          <w:szCs w:val="28"/>
        </w:rPr>
        <w:t xml:space="preserve"> </w:t>
      </w:r>
      <w:r w:rsidR="006A0110" w:rsidRPr="00895EC9">
        <w:rPr>
          <w:rFonts w:ascii="Times New Roman" w:hAnsi="Times New Roman"/>
          <w:iCs/>
          <w:sz w:val="28"/>
          <w:szCs w:val="28"/>
        </w:rPr>
        <w:t>Ls</w:t>
      </w:r>
      <w:r w:rsidR="006754F3">
        <w:rPr>
          <w:rFonts w:ascii="Times New Roman" w:hAnsi="Times New Roman"/>
          <w:iCs/>
          <w:sz w:val="28"/>
          <w:szCs w:val="28"/>
        </w:rPr>
        <w:t>)</w:t>
      </w:r>
      <w:r w:rsidR="006A0110" w:rsidRPr="00895EC9">
        <w:rPr>
          <w:rFonts w:ascii="Times New Roman" w:hAnsi="Times New Roman"/>
          <w:iCs/>
          <w:sz w:val="28"/>
          <w:szCs w:val="28"/>
        </w:rPr>
        <w:t>.</w:t>
      </w:r>
    </w:p>
    <w:p w:rsidR="00B5696C" w:rsidRPr="00B5696C" w:rsidRDefault="00B5696C" w:rsidP="00D17D74">
      <w:pPr>
        <w:pStyle w:val="ListParagraph"/>
        <w:numPr>
          <w:ilvl w:val="0"/>
          <w:numId w:val="17"/>
        </w:numPr>
        <w:spacing w:after="0" w:line="240" w:lineRule="auto"/>
        <w:jc w:val="both"/>
        <w:rPr>
          <w:rFonts w:ascii="Times New Roman" w:hAnsi="Times New Roman"/>
          <w:sz w:val="28"/>
          <w:szCs w:val="28"/>
        </w:rPr>
      </w:pPr>
      <w:r w:rsidRPr="00B5696C">
        <w:rPr>
          <w:rFonts w:ascii="Times New Roman" w:hAnsi="Times New Roman"/>
          <w:sz w:val="28"/>
          <w:szCs w:val="28"/>
        </w:rPr>
        <w:t>Atlīdzības likum</w:t>
      </w:r>
      <w:r w:rsidR="00895EC9">
        <w:rPr>
          <w:rFonts w:ascii="Times New Roman" w:hAnsi="Times New Roman"/>
          <w:sz w:val="28"/>
          <w:szCs w:val="28"/>
        </w:rPr>
        <w:t>ā turpmāk nenoteikt</w:t>
      </w:r>
      <w:r w:rsidRPr="00B5696C">
        <w:rPr>
          <w:rFonts w:ascii="Times New Roman" w:hAnsi="Times New Roman"/>
          <w:sz w:val="28"/>
          <w:szCs w:val="28"/>
        </w:rPr>
        <w:t xml:space="preserve"> mēnešalgu skalas maksimumus, </w:t>
      </w:r>
      <w:r w:rsidR="00895EC9">
        <w:rPr>
          <w:rFonts w:ascii="Times New Roman" w:hAnsi="Times New Roman"/>
          <w:sz w:val="28"/>
          <w:szCs w:val="28"/>
        </w:rPr>
        <w:t xml:space="preserve">un </w:t>
      </w:r>
      <w:r w:rsidRPr="00B5696C">
        <w:rPr>
          <w:rFonts w:ascii="Times New Roman" w:hAnsi="Times New Roman"/>
          <w:sz w:val="28"/>
          <w:szCs w:val="28"/>
        </w:rPr>
        <w:t>pared</w:t>
      </w:r>
      <w:r w:rsidR="00895EC9">
        <w:rPr>
          <w:rFonts w:ascii="Times New Roman" w:hAnsi="Times New Roman"/>
          <w:sz w:val="28"/>
          <w:szCs w:val="28"/>
        </w:rPr>
        <w:t>zē</w:t>
      </w:r>
      <w:r w:rsidRPr="00B5696C">
        <w:rPr>
          <w:rFonts w:ascii="Times New Roman" w:hAnsi="Times New Roman"/>
          <w:sz w:val="28"/>
          <w:szCs w:val="28"/>
        </w:rPr>
        <w:t>t deleģējumu tos noteikt Ministru kabinetam.</w:t>
      </w:r>
      <w:r>
        <w:rPr>
          <w:rFonts w:ascii="Times New Roman" w:hAnsi="Times New Roman"/>
          <w:sz w:val="28"/>
          <w:szCs w:val="28"/>
        </w:rPr>
        <w:t xml:space="preserve"> </w:t>
      </w:r>
      <w:r w:rsidR="00F4694A">
        <w:rPr>
          <w:rFonts w:ascii="Times New Roman" w:hAnsi="Times New Roman"/>
          <w:sz w:val="28"/>
          <w:szCs w:val="28"/>
        </w:rPr>
        <w:t>Vienlaicīgi jārod risinājums attiecībā uz</w:t>
      </w:r>
      <w:r w:rsidR="00B440E4" w:rsidRPr="00895EC9">
        <w:rPr>
          <w:rFonts w:ascii="Times New Roman" w:hAnsi="Times New Roman"/>
          <w:sz w:val="28"/>
          <w:szCs w:val="28"/>
        </w:rPr>
        <w:t xml:space="preserve">:    </w:t>
      </w:r>
    </w:p>
    <w:p w:rsidR="00B5696C" w:rsidRDefault="00F4694A" w:rsidP="00D17D74">
      <w:pPr>
        <w:pStyle w:val="ListParagraph"/>
        <w:numPr>
          <w:ilvl w:val="1"/>
          <w:numId w:val="17"/>
        </w:numPr>
        <w:spacing w:after="0" w:line="240" w:lineRule="auto"/>
        <w:jc w:val="both"/>
        <w:rPr>
          <w:rFonts w:ascii="Times New Roman" w:hAnsi="Times New Roman"/>
          <w:sz w:val="28"/>
          <w:szCs w:val="28"/>
        </w:rPr>
      </w:pPr>
      <w:r>
        <w:rPr>
          <w:rFonts w:ascii="Times New Roman" w:hAnsi="Times New Roman"/>
          <w:sz w:val="28"/>
          <w:szCs w:val="28"/>
        </w:rPr>
        <w:t>tiesnešu mēnešalgām</w:t>
      </w:r>
      <w:r w:rsidR="00B440E4">
        <w:rPr>
          <w:rFonts w:ascii="Times New Roman" w:hAnsi="Times New Roman"/>
          <w:sz w:val="28"/>
          <w:szCs w:val="28"/>
        </w:rPr>
        <w:t xml:space="preserve"> (</w:t>
      </w:r>
      <w:r w:rsidR="00B440E4" w:rsidRPr="00800AD2">
        <w:rPr>
          <w:rFonts w:ascii="Times New Roman" w:hAnsi="Times New Roman"/>
          <w:sz w:val="28"/>
          <w:szCs w:val="28"/>
        </w:rPr>
        <w:t>ir piesaistītas valsts pārvaldes juridiskās struktūrvienības vadītāja maksimālajai mēnešalgai</w:t>
      </w:r>
      <w:r w:rsidR="00B440E4">
        <w:rPr>
          <w:rFonts w:ascii="Times New Roman" w:hAnsi="Times New Roman"/>
          <w:sz w:val="28"/>
          <w:szCs w:val="28"/>
        </w:rPr>
        <w:t>)</w:t>
      </w:r>
      <w:r w:rsidR="00B5696C" w:rsidRPr="00895EC9">
        <w:rPr>
          <w:rFonts w:ascii="Times New Roman" w:hAnsi="Times New Roman"/>
          <w:sz w:val="28"/>
          <w:szCs w:val="28"/>
        </w:rPr>
        <w:t>;</w:t>
      </w:r>
    </w:p>
    <w:p w:rsidR="006A0110" w:rsidRPr="0049237D" w:rsidRDefault="00B440E4" w:rsidP="00D17D74">
      <w:pPr>
        <w:pStyle w:val="ListParagraph"/>
        <w:numPr>
          <w:ilvl w:val="1"/>
          <w:numId w:val="17"/>
        </w:numPr>
        <w:spacing w:after="0" w:line="240" w:lineRule="auto"/>
        <w:jc w:val="both"/>
        <w:rPr>
          <w:rFonts w:ascii="Times New Roman" w:hAnsi="Times New Roman"/>
          <w:sz w:val="28"/>
          <w:szCs w:val="28"/>
        </w:rPr>
      </w:pPr>
      <w:r w:rsidRPr="00895EC9">
        <w:rPr>
          <w:rFonts w:ascii="Times New Roman" w:hAnsi="Times New Roman"/>
          <w:sz w:val="28"/>
          <w:szCs w:val="28"/>
        </w:rPr>
        <w:t xml:space="preserve">pašvaldību darbinieku </w:t>
      </w:r>
      <w:r w:rsidRPr="0049237D">
        <w:rPr>
          <w:rFonts w:ascii="Times New Roman" w:hAnsi="Times New Roman"/>
          <w:sz w:val="28"/>
          <w:szCs w:val="28"/>
        </w:rPr>
        <w:t>mēnešalg</w:t>
      </w:r>
      <w:r w:rsidR="00F4694A">
        <w:rPr>
          <w:rFonts w:ascii="Times New Roman" w:hAnsi="Times New Roman"/>
          <w:sz w:val="28"/>
          <w:szCs w:val="28"/>
        </w:rPr>
        <w:t>ām</w:t>
      </w:r>
      <w:r w:rsidR="0049237D" w:rsidRPr="0049237D">
        <w:rPr>
          <w:rFonts w:ascii="Times New Roman" w:hAnsi="Times New Roman"/>
          <w:sz w:val="28"/>
          <w:szCs w:val="28"/>
        </w:rPr>
        <w:t xml:space="preserve"> (nedrīkst pārsniegt tiešās pārvaldes iestāžu amatpersonām (darbiniekiem), kuri pilda līdzīgas atbildības un sarežģītības amatus, noteiktās maksimālās mēnešalgas)</w:t>
      </w:r>
      <w:r w:rsidRPr="0049237D">
        <w:rPr>
          <w:rFonts w:ascii="Times New Roman" w:hAnsi="Times New Roman"/>
          <w:sz w:val="28"/>
          <w:szCs w:val="28"/>
        </w:rPr>
        <w:t>.</w:t>
      </w:r>
    </w:p>
    <w:p w:rsidR="00572FD4" w:rsidRPr="00C835B1" w:rsidRDefault="00572FD4" w:rsidP="00572FD4">
      <w:pPr>
        <w:autoSpaceDE w:val="0"/>
        <w:autoSpaceDN w:val="0"/>
        <w:adjustRightInd w:val="0"/>
        <w:spacing w:line="240" w:lineRule="auto"/>
        <w:rPr>
          <w:rFonts w:ascii="Times New Roman" w:hAnsi="Times New Roman"/>
          <w:sz w:val="28"/>
          <w:szCs w:val="28"/>
        </w:rPr>
      </w:pPr>
    </w:p>
    <w:p w:rsidR="00751BCE" w:rsidRPr="00923312" w:rsidRDefault="00C835B1" w:rsidP="00923312">
      <w:pPr>
        <w:pStyle w:val="ListParagraph"/>
        <w:numPr>
          <w:ilvl w:val="1"/>
          <w:numId w:val="2"/>
        </w:numPr>
        <w:autoSpaceDE w:val="0"/>
        <w:autoSpaceDN w:val="0"/>
        <w:adjustRightInd w:val="0"/>
        <w:spacing w:after="0" w:line="240" w:lineRule="auto"/>
        <w:jc w:val="both"/>
        <w:rPr>
          <w:rFonts w:ascii="Times New Roman" w:hAnsi="Times New Roman"/>
          <w:sz w:val="28"/>
          <w:szCs w:val="28"/>
        </w:rPr>
      </w:pPr>
      <w:r w:rsidRPr="00923312">
        <w:rPr>
          <w:rFonts w:ascii="Times New Roman" w:hAnsi="Times New Roman"/>
          <w:b/>
          <w:bCs/>
          <w:sz w:val="28"/>
          <w:szCs w:val="28"/>
        </w:rPr>
        <w:lastRenderedPageBreak/>
        <w:t>Pakāpeniska  mēnešalgu izlīdzināšana līdzīgu darbu veicējiem – sasaistot to ar minimālās algas paaugstināšanu un mēnešalgu skalas diapazonu pakāpenisku sašaurināšanu</w:t>
      </w:r>
      <w:r w:rsidRPr="00923312">
        <w:rPr>
          <w:rFonts w:ascii="Times New Roman" w:hAnsi="Times New Roman"/>
          <w:b/>
          <w:sz w:val="28"/>
          <w:szCs w:val="28"/>
        </w:rPr>
        <w:t xml:space="preserve"> </w:t>
      </w:r>
    </w:p>
    <w:p w:rsidR="00751BCE" w:rsidRDefault="00751BCE" w:rsidP="00751BCE">
      <w:pPr>
        <w:pStyle w:val="ListParagraph"/>
        <w:autoSpaceDE w:val="0"/>
        <w:autoSpaceDN w:val="0"/>
        <w:adjustRightInd w:val="0"/>
        <w:spacing w:after="0" w:line="240" w:lineRule="auto"/>
        <w:ind w:left="1080"/>
        <w:jc w:val="both"/>
        <w:rPr>
          <w:rFonts w:ascii="Times New Roman" w:hAnsi="Times New Roman"/>
          <w:b/>
          <w:sz w:val="28"/>
          <w:szCs w:val="28"/>
          <w:u w:val="single"/>
        </w:rPr>
      </w:pPr>
    </w:p>
    <w:p w:rsidR="001B76E8" w:rsidRDefault="001B76E8" w:rsidP="00522946">
      <w:pPr>
        <w:pStyle w:val="ListParagraph"/>
        <w:autoSpaceDE w:val="0"/>
        <w:autoSpaceDN w:val="0"/>
        <w:adjustRightInd w:val="0"/>
        <w:spacing w:after="0" w:line="240" w:lineRule="auto"/>
        <w:ind w:left="0" w:firstLine="360"/>
        <w:jc w:val="both"/>
        <w:rPr>
          <w:rFonts w:ascii="Times New Roman" w:hAnsi="Times New Roman"/>
          <w:bCs/>
          <w:sz w:val="28"/>
          <w:szCs w:val="28"/>
        </w:rPr>
      </w:pPr>
      <w:r>
        <w:rPr>
          <w:rFonts w:ascii="Times New Roman" w:hAnsi="Times New Roman"/>
          <w:bCs/>
          <w:sz w:val="28"/>
          <w:szCs w:val="28"/>
        </w:rPr>
        <w:t>L</w:t>
      </w:r>
      <w:r w:rsidRPr="00522946">
        <w:rPr>
          <w:rFonts w:ascii="Times New Roman" w:hAnsi="Times New Roman"/>
          <w:bCs/>
          <w:sz w:val="28"/>
          <w:szCs w:val="28"/>
        </w:rPr>
        <w:t>īdzīgu darbu veicēj</w:t>
      </w:r>
      <w:r>
        <w:rPr>
          <w:rFonts w:ascii="Times New Roman" w:hAnsi="Times New Roman"/>
          <w:bCs/>
          <w:sz w:val="28"/>
          <w:szCs w:val="28"/>
        </w:rPr>
        <w:t>u</w:t>
      </w:r>
      <w:r w:rsidRPr="00522946">
        <w:rPr>
          <w:rFonts w:ascii="Times New Roman" w:hAnsi="Times New Roman"/>
          <w:sz w:val="28"/>
          <w:szCs w:val="28"/>
        </w:rPr>
        <w:t xml:space="preserve"> </w:t>
      </w:r>
      <w:r w:rsidR="00522946" w:rsidRPr="00522946">
        <w:rPr>
          <w:rFonts w:ascii="Times New Roman" w:hAnsi="Times New Roman"/>
          <w:bCs/>
          <w:sz w:val="28"/>
          <w:szCs w:val="28"/>
        </w:rPr>
        <w:t>mēnešalg</w:t>
      </w:r>
      <w:r>
        <w:rPr>
          <w:rFonts w:ascii="Times New Roman" w:hAnsi="Times New Roman"/>
          <w:bCs/>
          <w:sz w:val="28"/>
          <w:szCs w:val="28"/>
        </w:rPr>
        <w:t>u izlīdzināšanā jāņem vērā:</w:t>
      </w:r>
    </w:p>
    <w:p w:rsidR="001B76E8" w:rsidRPr="001B76E8" w:rsidRDefault="001B76E8" w:rsidP="00D17D74">
      <w:pPr>
        <w:pStyle w:val="ListParagraph"/>
        <w:numPr>
          <w:ilvl w:val="0"/>
          <w:numId w:val="18"/>
        </w:numPr>
        <w:autoSpaceDE w:val="0"/>
        <w:autoSpaceDN w:val="0"/>
        <w:adjustRightInd w:val="0"/>
        <w:spacing w:after="0" w:line="240" w:lineRule="auto"/>
        <w:ind w:left="0" w:firstLine="360"/>
        <w:jc w:val="both"/>
        <w:rPr>
          <w:rFonts w:ascii="Times New Roman" w:hAnsi="Times New Roman"/>
          <w:sz w:val="28"/>
          <w:szCs w:val="28"/>
        </w:rPr>
      </w:pPr>
      <w:r w:rsidRPr="001B76E8">
        <w:rPr>
          <w:rFonts w:ascii="Times New Roman" w:hAnsi="Times New Roman"/>
          <w:bCs/>
          <w:sz w:val="28"/>
          <w:szCs w:val="28"/>
        </w:rPr>
        <w:t>mēnešalgu skalas diapazonus sašaurināšanas iespējas</w:t>
      </w:r>
      <w:r>
        <w:rPr>
          <w:rFonts w:ascii="Times New Roman" w:hAnsi="Times New Roman"/>
          <w:bCs/>
          <w:sz w:val="28"/>
          <w:szCs w:val="28"/>
        </w:rPr>
        <w:t>;</w:t>
      </w:r>
    </w:p>
    <w:p w:rsidR="001B76E8" w:rsidRDefault="001B76E8" w:rsidP="00D17D74">
      <w:pPr>
        <w:pStyle w:val="ListParagraph"/>
        <w:numPr>
          <w:ilvl w:val="0"/>
          <w:numId w:val="18"/>
        </w:numPr>
        <w:autoSpaceDE w:val="0"/>
        <w:autoSpaceDN w:val="0"/>
        <w:adjustRightInd w:val="0"/>
        <w:spacing w:after="0" w:line="240" w:lineRule="auto"/>
        <w:ind w:left="0" w:firstLine="360"/>
        <w:jc w:val="both"/>
        <w:rPr>
          <w:rFonts w:ascii="Times New Roman" w:hAnsi="Times New Roman"/>
          <w:sz w:val="28"/>
          <w:szCs w:val="28"/>
        </w:rPr>
      </w:pPr>
      <w:r>
        <w:rPr>
          <w:rFonts w:ascii="Times New Roman" w:hAnsi="Times New Roman"/>
          <w:sz w:val="28"/>
          <w:szCs w:val="28"/>
        </w:rPr>
        <w:t>m</w:t>
      </w:r>
      <w:r w:rsidRPr="00522946">
        <w:rPr>
          <w:rFonts w:ascii="Times New Roman" w:hAnsi="Times New Roman"/>
          <w:sz w:val="28"/>
          <w:szCs w:val="28"/>
        </w:rPr>
        <w:t>inimālas algas paaugstināšan</w:t>
      </w:r>
      <w:r>
        <w:rPr>
          <w:rFonts w:ascii="Times New Roman" w:hAnsi="Times New Roman"/>
          <w:sz w:val="28"/>
          <w:szCs w:val="28"/>
        </w:rPr>
        <w:t xml:space="preserve">a </w:t>
      </w:r>
      <w:r w:rsidR="00F4569C">
        <w:rPr>
          <w:rFonts w:ascii="Times New Roman" w:hAnsi="Times New Roman"/>
          <w:sz w:val="28"/>
          <w:szCs w:val="28"/>
        </w:rPr>
        <w:t>–</w:t>
      </w:r>
      <w:r w:rsidRPr="00522946">
        <w:rPr>
          <w:rFonts w:ascii="Times New Roman" w:hAnsi="Times New Roman"/>
          <w:sz w:val="28"/>
          <w:szCs w:val="28"/>
        </w:rPr>
        <w:t xml:space="preserve"> no 200 uz 225</w:t>
      </w:r>
      <w:r>
        <w:rPr>
          <w:rFonts w:ascii="Times New Roman" w:hAnsi="Times New Roman"/>
          <w:sz w:val="28"/>
          <w:szCs w:val="28"/>
        </w:rPr>
        <w:t xml:space="preserve"> latiem</w:t>
      </w:r>
      <w:r w:rsidRPr="00522946">
        <w:rPr>
          <w:rFonts w:ascii="Times New Roman" w:hAnsi="Times New Roman"/>
          <w:sz w:val="28"/>
          <w:szCs w:val="28"/>
        </w:rPr>
        <w:t xml:space="preserve"> </w:t>
      </w:r>
      <w:r>
        <w:rPr>
          <w:rFonts w:ascii="Times New Roman" w:hAnsi="Times New Roman"/>
          <w:sz w:val="28"/>
          <w:szCs w:val="28"/>
        </w:rPr>
        <w:t>ar 2014.gada1.janvāri;</w:t>
      </w:r>
    </w:p>
    <w:p w:rsidR="001B76E8" w:rsidRDefault="009B77D1" w:rsidP="00D17D74">
      <w:pPr>
        <w:pStyle w:val="ListParagraph"/>
        <w:numPr>
          <w:ilvl w:val="0"/>
          <w:numId w:val="18"/>
        </w:numPr>
        <w:autoSpaceDE w:val="0"/>
        <w:autoSpaceDN w:val="0"/>
        <w:adjustRightInd w:val="0"/>
        <w:spacing w:after="0" w:line="240" w:lineRule="auto"/>
        <w:ind w:left="0" w:firstLine="360"/>
        <w:jc w:val="both"/>
        <w:rPr>
          <w:rFonts w:ascii="Times New Roman" w:hAnsi="Times New Roman"/>
          <w:sz w:val="28"/>
          <w:szCs w:val="28"/>
        </w:rPr>
      </w:pPr>
      <w:r>
        <w:rPr>
          <w:rFonts w:ascii="Times New Roman" w:hAnsi="Times New Roman"/>
          <w:sz w:val="28"/>
          <w:szCs w:val="28"/>
        </w:rPr>
        <w:t>i</w:t>
      </w:r>
      <w:r w:rsidR="001B76E8" w:rsidRPr="00522946">
        <w:rPr>
          <w:rFonts w:ascii="Times New Roman" w:hAnsi="Times New Roman"/>
          <w:sz w:val="28"/>
          <w:szCs w:val="28"/>
        </w:rPr>
        <w:t>estāžu atlīdzības līmeņa izlīdzināšanas iespējas, prioritāri piešķirot papildus līdzekļus tām iestādēm, kuru vieta algu skalā ir viszemākā</w:t>
      </w:r>
      <w:r w:rsidR="0007473A">
        <w:rPr>
          <w:rFonts w:ascii="Times New Roman" w:hAnsi="Times New Roman"/>
          <w:sz w:val="28"/>
          <w:szCs w:val="28"/>
        </w:rPr>
        <w:t>.</w:t>
      </w:r>
    </w:p>
    <w:p w:rsidR="00A942C7" w:rsidRPr="00E408DC" w:rsidRDefault="00A942C7" w:rsidP="00751BCE">
      <w:pPr>
        <w:pStyle w:val="ListParagraph"/>
        <w:autoSpaceDE w:val="0"/>
        <w:autoSpaceDN w:val="0"/>
        <w:adjustRightInd w:val="0"/>
        <w:spacing w:after="0" w:line="240" w:lineRule="auto"/>
        <w:ind w:left="1080"/>
        <w:jc w:val="both"/>
        <w:rPr>
          <w:rFonts w:ascii="Times New Roman" w:hAnsi="Times New Roman"/>
          <w:b/>
          <w:sz w:val="28"/>
          <w:szCs w:val="28"/>
          <w:u w:val="single"/>
        </w:rPr>
      </w:pPr>
    </w:p>
    <w:p w:rsidR="009C1F54" w:rsidRDefault="00026768" w:rsidP="002130C3">
      <w:pPr>
        <w:spacing w:after="0" w:line="240" w:lineRule="auto"/>
        <w:ind w:firstLine="720"/>
        <w:jc w:val="both"/>
        <w:rPr>
          <w:rFonts w:ascii="Times New Roman" w:hAnsi="Times New Roman"/>
          <w:sz w:val="28"/>
          <w:szCs w:val="28"/>
        </w:rPr>
      </w:pPr>
      <w:r w:rsidRPr="002130C3">
        <w:rPr>
          <w:rFonts w:ascii="Times New Roman" w:hAnsi="Times New Roman"/>
          <w:sz w:val="28"/>
          <w:szCs w:val="28"/>
        </w:rPr>
        <w:t>M</w:t>
      </w:r>
      <w:r w:rsidR="002E3F46" w:rsidRPr="002130C3">
        <w:rPr>
          <w:rFonts w:ascii="Times New Roman" w:hAnsi="Times New Roman"/>
          <w:sz w:val="28"/>
          <w:szCs w:val="28"/>
        </w:rPr>
        <w:t>ēnešalgu skalas diapazonu sašaurināšana</w:t>
      </w:r>
      <w:r w:rsidR="002130C3">
        <w:rPr>
          <w:rFonts w:ascii="Times New Roman" w:hAnsi="Times New Roman"/>
          <w:sz w:val="28"/>
          <w:szCs w:val="28"/>
        </w:rPr>
        <w:t xml:space="preserve"> nozīmē s</w:t>
      </w:r>
      <w:r w:rsidR="00812352">
        <w:rPr>
          <w:rFonts w:ascii="Times New Roman" w:hAnsi="Times New Roman"/>
          <w:sz w:val="28"/>
          <w:szCs w:val="28"/>
        </w:rPr>
        <w:t xml:space="preserve">amazināt starpību starp </w:t>
      </w:r>
      <w:r w:rsidR="00150670">
        <w:rPr>
          <w:rFonts w:ascii="Times New Roman" w:hAnsi="Times New Roman"/>
          <w:sz w:val="28"/>
          <w:szCs w:val="28"/>
        </w:rPr>
        <w:t xml:space="preserve">katra </w:t>
      </w:r>
      <w:r w:rsidR="00812352">
        <w:rPr>
          <w:rFonts w:ascii="Times New Roman" w:hAnsi="Times New Roman"/>
          <w:sz w:val="28"/>
          <w:szCs w:val="28"/>
        </w:rPr>
        <w:t>diapazon</w:t>
      </w:r>
      <w:r w:rsidR="00150670">
        <w:rPr>
          <w:rFonts w:ascii="Times New Roman" w:hAnsi="Times New Roman"/>
          <w:sz w:val="28"/>
          <w:szCs w:val="28"/>
        </w:rPr>
        <w:t>a</w:t>
      </w:r>
      <w:r w:rsidR="00812352">
        <w:rPr>
          <w:rFonts w:ascii="Times New Roman" w:hAnsi="Times New Roman"/>
          <w:sz w:val="28"/>
          <w:szCs w:val="28"/>
        </w:rPr>
        <w:t xml:space="preserve"> zemāko un augstāko </w:t>
      </w:r>
      <w:r w:rsidR="002130C3">
        <w:rPr>
          <w:rFonts w:ascii="Times New Roman" w:hAnsi="Times New Roman"/>
          <w:sz w:val="28"/>
          <w:szCs w:val="28"/>
        </w:rPr>
        <w:t>mēnešalgu</w:t>
      </w:r>
      <w:r w:rsidR="00150670">
        <w:rPr>
          <w:rFonts w:ascii="Times New Roman" w:hAnsi="Times New Roman"/>
          <w:sz w:val="28"/>
          <w:szCs w:val="28"/>
        </w:rPr>
        <w:t>.</w:t>
      </w:r>
      <w:r w:rsidR="002C7EC0">
        <w:rPr>
          <w:rFonts w:ascii="Times New Roman" w:hAnsi="Times New Roman"/>
          <w:sz w:val="28"/>
          <w:szCs w:val="28"/>
        </w:rPr>
        <w:t xml:space="preserve"> </w:t>
      </w:r>
      <w:r w:rsidR="00150670" w:rsidRPr="00E408DC">
        <w:rPr>
          <w:rFonts w:ascii="Times New Roman" w:hAnsi="Times New Roman"/>
          <w:sz w:val="28"/>
          <w:szCs w:val="28"/>
        </w:rPr>
        <w:t xml:space="preserve">Ja </w:t>
      </w:r>
      <w:r w:rsidR="00150670">
        <w:rPr>
          <w:rFonts w:ascii="Times New Roman" w:hAnsi="Times New Roman"/>
          <w:sz w:val="28"/>
          <w:szCs w:val="28"/>
        </w:rPr>
        <w:t>diapazonus aizstātu ar</w:t>
      </w:r>
      <w:r w:rsidR="00150670" w:rsidRPr="00E408DC">
        <w:rPr>
          <w:rFonts w:ascii="Times New Roman" w:hAnsi="Times New Roman"/>
          <w:sz w:val="28"/>
          <w:szCs w:val="28"/>
        </w:rPr>
        <w:t xml:space="preserve"> konkrētu</w:t>
      </w:r>
      <w:r w:rsidR="002C7EC0">
        <w:rPr>
          <w:rFonts w:ascii="Times New Roman" w:hAnsi="Times New Roman"/>
          <w:sz w:val="28"/>
          <w:szCs w:val="28"/>
        </w:rPr>
        <w:t xml:space="preserve"> </w:t>
      </w:r>
      <w:r w:rsidR="00150670" w:rsidRPr="00E408DC">
        <w:rPr>
          <w:rFonts w:ascii="Times New Roman" w:hAnsi="Times New Roman"/>
          <w:sz w:val="28"/>
          <w:szCs w:val="28"/>
        </w:rPr>
        <w:t xml:space="preserve">skaitli, tad </w:t>
      </w:r>
      <w:r w:rsidR="00150670">
        <w:rPr>
          <w:rFonts w:ascii="Times New Roman" w:hAnsi="Times New Roman"/>
          <w:sz w:val="28"/>
          <w:szCs w:val="28"/>
        </w:rPr>
        <w:t xml:space="preserve">būtu </w:t>
      </w:r>
      <w:r w:rsidR="00150670" w:rsidRPr="00E408DC">
        <w:rPr>
          <w:rFonts w:ascii="Times New Roman" w:hAnsi="Times New Roman"/>
          <w:sz w:val="28"/>
          <w:szCs w:val="28"/>
        </w:rPr>
        <w:t>nodrošināt</w:t>
      </w:r>
      <w:r w:rsidR="00150670">
        <w:rPr>
          <w:rFonts w:ascii="Times New Roman" w:hAnsi="Times New Roman"/>
          <w:sz w:val="28"/>
          <w:szCs w:val="28"/>
        </w:rPr>
        <w:t>as</w:t>
      </w:r>
      <w:r w:rsidR="00150670" w:rsidRPr="00E408DC">
        <w:rPr>
          <w:rFonts w:ascii="Times New Roman" w:hAnsi="Times New Roman"/>
          <w:sz w:val="28"/>
          <w:szCs w:val="28"/>
        </w:rPr>
        <w:t xml:space="preserve"> pilnīgi vienādas mēnešalgas </w:t>
      </w:r>
      <w:r w:rsidR="00150670">
        <w:rPr>
          <w:rFonts w:ascii="Times New Roman" w:hAnsi="Times New Roman"/>
          <w:sz w:val="28"/>
          <w:szCs w:val="28"/>
        </w:rPr>
        <w:t>līdzīgu darbu veicējiem</w:t>
      </w:r>
      <w:r w:rsidR="00150670" w:rsidRPr="00E408DC">
        <w:rPr>
          <w:rFonts w:ascii="Times New Roman" w:hAnsi="Times New Roman"/>
          <w:sz w:val="28"/>
          <w:szCs w:val="28"/>
        </w:rPr>
        <w:t>. Tomēr jāņem vērā, ka darbinieku darba</w:t>
      </w:r>
      <w:r w:rsidR="002C7EC0">
        <w:rPr>
          <w:rFonts w:ascii="Times New Roman" w:hAnsi="Times New Roman"/>
          <w:sz w:val="28"/>
          <w:szCs w:val="28"/>
        </w:rPr>
        <w:t xml:space="preserve"> </w:t>
      </w:r>
      <w:r w:rsidR="00150670" w:rsidRPr="00E408DC">
        <w:rPr>
          <w:rFonts w:ascii="Times New Roman" w:hAnsi="Times New Roman"/>
          <w:sz w:val="28"/>
          <w:szCs w:val="28"/>
        </w:rPr>
        <w:t xml:space="preserve">atdeve, ieguldījums, rezultāta sasniegšanas ātrums un kvalitāte ir atšķirīgi, tāpēc būtu saglabājami mēnešalgu </w:t>
      </w:r>
      <w:r w:rsidR="00150670" w:rsidRPr="007E1BCD">
        <w:rPr>
          <w:rFonts w:ascii="Times New Roman" w:hAnsi="Times New Roman"/>
          <w:sz w:val="28"/>
          <w:szCs w:val="28"/>
        </w:rPr>
        <w:t xml:space="preserve">diapazoni ierobežotā apmērā, kas nodrošinātu zināmu elastību mēnešalgu noteikšanā. </w:t>
      </w:r>
      <w:r w:rsidR="00F20104">
        <w:rPr>
          <w:rFonts w:ascii="Times New Roman" w:hAnsi="Times New Roman"/>
          <w:sz w:val="28"/>
          <w:szCs w:val="28"/>
        </w:rPr>
        <w:t>A</w:t>
      </w:r>
      <w:r w:rsidR="00812352" w:rsidRPr="007E1BCD">
        <w:rPr>
          <w:rFonts w:ascii="Times New Roman" w:hAnsi="Times New Roman"/>
          <w:sz w:val="28"/>
          <w:szCs w:val="28"/>
        </w:rPr>
        <w:t>tšķirība</w:t>
      </w:r>
      <w:r w:rsidR="00F20104">
        <w:rPr>
          <w:rFonts w:ascii="Times New Roman" w:hAnsi="Times New Roman"/>
          <w:sz w:val="28"/>
          <w:szCs w:val="28"/>
        </w:rPr>
        <w:t>i</w:t>
      </w:r>
      <w:r w:rsidR="00812352" w:rsidRPr="007E1BCD">
        <w:rPr>
          <w:rFonts w:ascii="Times New Roman" w:hAnsi="Times New Roman"/>
          <w:sz w:val="28"/>
          <w:szCs w:val="28"/>
        </w:rPr>
        <w:t xml:space="preserve"> starp </w:t>
      </w:r>
      <w:r w:rsidR="0007786B">
        <w:rPr>
          <w:rFonts w:ascii="Times New Roman" w:hAnsi="Times New Roman"/>
          <w:sz w:val="28"/>
          <w:szCs w:val="28"/>
        </w:rPr>
        <w:t>zemāko</w:t>
      </w:r>
      <w:r w:rsidR="00812352" w:rsidRPr="007E1BCD">
        <w:rPr>
          <w:rFonts w:ascii="Times New Roman" w:hAnsi="Times New Roman"/>
          <w:sz w:val="28"/>
          <w:szCs w:val="28"/>
        </w:rPr>
        <w:t xml:space="preserve"> un </w:t>
      </w:r>
      <w:r w:rsidR="0007786B">
        <w:rPr>
          <w:rFonts w:ascii="Times New Roman" w:hAnsi="Times New Roman"/>
          <w:sz w:val="28"/>
          <w:szCs w:val="28"/>
        </w:rPr>
        <w:t>augstāko</w:t>
      </w:r>
      <w:r w:rsidR="00812352" w:rsidRPr="007E1BCD">
        <w:rPr>
          <w:rFonts w:ascii="Times New Roman" w:hAnsi="Times New Roman"/>
          <w:sz w:val="28"/>
          <w:szCs w:val="28"/>
        </w:rPr>
        <w:t xml:space="preserve"> mēnešalgu diapazona ietvaros </w:t>
      </w:r>
      <w:r w:rsidR="00F20104">
        <w:rPr>
          <w:rFonts w:ascii="Times New Roman" w:hAnsi="Times New Roman"/>
          <w:sz w:val="28"/>
          <w:szCs w:val="28"/>
        </w:rPr>
        <w:t>nebūtu jā</w:t>
      </w:r>
      <w:r w:rsidR="00680744">
        <w:rPr>
          <w:rFonts w:ascii="Times New Roman" w:hAnsi="Times New Roman"/>
          <w:sz w:val="28"/>
          <w:szCs w:val="28"/>
        </w:rPr>
        <w:t>pārsniedz 10</w:t>
      </w:r>
      <w:r w:rsidR="00812352" w:rsidRPr="007E1BCD">
        <w:rPr>
          <w:rFonts w:ascii="Times New Roman" w:hAnsi="Times New Roman"/>
          <w:sz w:val="28"/>
          <w:szCs w:val="28"/>
        </w:rPr>
        <w:t>%</w:t>
      </w:r>
      <w:r w:rsidR="0007786B">
        <w:rPr>
          <w:rFonts w:ascii="Times New Roman" w:hAnsi="Times New Roman"/>
          <w:sz w:val="28"/>
          <w:szCs w:val="28"/>
        </w:rPr>
        <w:t>, t.i., diapazona zemākā mēnešalga sastāda ne mazāk kā 90% no diapazona augstākās mēnešalgas</w:t>
      </w:r>
      <w:r w:rsidR="00812352" w:rsidRPr="00812352">
        <w:rPr>
          <w:rFonts w:ascii="Times New Roman" w:hAnsi="Times New Roman"/>
          <w:sz w:val="28"/>
          <w:szCs w:val="28"/>
        </w:rPr>
        <w:t>.</w:t>
      </w:r>
      <w:r w:rsidR="002A175F">
        <w:rPr>
          <w:rFonts w:ascii="Times New Roman" w:hAnsi="Times New Roman"/>
          <w:sz w:val="28"/>
          <w:szCs w:val="28"/>
        </w:rPr>
        <w:t xml:space="preserve"> </w:t>
      </w:r>
      <w:r w:rsidR="00D76681" w:rsidRPr="00E408DC">
        <w:rPr>
          <w:rFonts w:ascii="Times New Roman" w:hAnsi="Times New Roman"/>
          <w:sz w:val="28"/>
          <w:szCs w:val="28"/>
        </w:rPr>
        <w:t>Tā k</w:t>
      </w:r>
      <w:r w:rsidR="008E7CDC" w:rsidRPr="00E408DC">
        <w:rPr>
          <w:rFonts w:ascii="Times New Roman" w:hAnsi="Times New Roman"/>
          <w:sz w:val="28"/>
          <w:szCs w:val="28"/>
        </w:rPr>
        <w:t>ā</w:t>
      </w:r>
      <w:r w:rsidR="00D76681" w:rsidRPr="00E408DC">
        <w:rPr>
          <w:rFonts w:ascii="Times New Roman" w:hAnsi="Times New Roman"/>
          <w:sz w:val="28"/>
          <w:szCs w:val="28"/>
        </w:rPr>
        <w:t xml:space="preserve"> ministriju mēnešalgu skalā mēnešalgu atšķirības diapazonu ietvaros</w:t>
      </w:r>
      <w:r w:rsidR="005E5D95" w:rsidRPr="00E408DC">
        <w:rPr>
          <w:rFonts w:ascii="Times New Roman" w:hAnsi="Times New Roman"/>
          <w:sz w:val="28"/>
          <w:szCs w:val="28"/>
        </w:rPr>
        <w:t xml:space="preserve"> salīdzinājumā ar padotības iestādēm ir ievērojami mazākas</w:t>
      </w:r>
      <w:r w:rsidR="00D76681" w:rsidRPr="00E408DC">
        <w:rPr>
          <w:rFonts w:ascii="Times New Roman" w:hAnsi="Times New Roman"/>
          <w:sz w:val="28"/>
          <w:szCs w:val="28"/>
        </w:rPr>
        <w:t xml:space="preserve">, tad </w:t>
      </w:r>
      <w:r w:rsidR="00014FDC" w:rsidRPr="00E408DC">
        <w:rPr>
          <w:rFonts w:ascii="Times New Roman" w:hAnsi="Times New Roman"/>
          <w:sz w:val="28"/>
          <w:szCs w:val="28"/>
        </w:rPr>
        <w:t xml:space="preserve">ministriju mēnešalgu skalā </w:t>
      </w:r>
      <w:r w:rsidR="00014FDC">
        <w:rPr>
          <w:rFonts w:ascii="Times New Roman" w:hAnsi="Times New Roman"/>
          <w:sz w:val="28"/>
          <w:szCs w:val="28"/>
        </w:rPr>
        <w:t xml:space="preserve">diapazonu sašaurināšanu varētu veikt </w:t>
      </w:r>
      <w:r w:rsidR="005E5D95" w:rsidRPr="00E408DC">
        <w:rPr>
          <w:rFonts w:ascii="Times New Roman" w:hAnsi="Times New Roman"/>
          <w:sz w:val="28"/>
          <w:szCs w:val="28"/>
        </w:rPr>
        <w:t>īsākā laika periodā</w:t>
      </w:r>
      <w:r w:rsidR="00014FDC">
        <w:rPr>
          <w:rFonts w:ascii="Times New Roman" w:hAnsi="Times New Roman"/>
          <w:sz w:val="28"/>
          <w:szCs w:val="28"/>
        </w:rPr>
        <w:t xml:space="preserve"> salīdzinot ar padotības iestādēm</w:t>
      </w:r>
      <w:r w:rsidR="005E5D95" w:rsidRPr="00E408DC">
        <w:rPr>
          <w:rFonts w:ascii="Times New Roman" w:hAnsi="Times New Roman"/>
          <w:sz w:val="28"/>
          <w:szCs w:val="28"/>
        </w:rPr>
        <w:t>.</w:t>
      </w:r>
    </w:p>
    <w:p w:rsidR="00F97E7D" w:rsidRPr="00F97E7D" w:rsidRDefault="00C84F81" w:rsidP="00F97E7D">
      <w:pPr>
        <w:spacing w:after="0" w:line="240" w:lineRule="auto"/>
        <w:ind w:firstLine="720"/>
        <w:jc w:val="both"/>
        <w:rPr>
          <w:rFonts w:ascii="Times New Roman" w:hAnsi="Times New Roman"/>
          <w:sz w:val="28"/>
          <w:szCs w:val="28"/>
        </w:rPr>
      </w:pPr>
      <w:r>
        <w:rPr>
          <w:rFonts w:ascii="Times New Roman" w:hAnsi="Times New Roman"/>
          <w:b/>
          <w:sz w:val="28"/>
          <w:szCs w:val="28"/>
        </w:rPr>
        <w:t xml:space="preserve">Mērķis </w:t>
      </w:r>
      <w:r w:rsidR="00F97E7D" w:rsidRPr="00C068CE">
        <w:rPr>
          <w:rFonts w:ascii="Times New Roman" w:hAnsi="Times New Roman"/>
          <w:b/>
          <w:sz w:val="28"/>
          <w:szCs w:val="28"/>
        </w:rPr>
        <w:t xml:space="preserve">- mēnešalgu skalas diapazonus 2014. līdz 2016.gadā ministrijām sašaurināt līdz </w:t>
      </w:r>
      <w:r w:rsidR="00CF5A40" w:rsidRPr="00C068CE">
        <w:rPr>
          <w:rFonts w:ascii="Times New Roman" w:hAnsi="Times New Roman"/>
          <w:b/>
          <w:sz w:val="28"/>
          <w:szCs w:val="28"/>
        </w:rPr>
        <w:t>1</w:t>
      </w:r>
      <w:r w:rsidR="00C068CE" w:rsidRPr="00C068CE">
        <w:rPr>
          <w:rFonts w:ascii="Times New Roman" w:hAnsi="Times New Roman"/>
          <w:b/>
          <w:sz w:val="28"/>
          <w:szCs w:val="28"/>
        </w:rPr>
        <w:t>5</w:t>
      </w:r>
      <w:r w:rsidR="00F97E7D" w:rsidRPr="00C068CE">
        <w:rPr>
          <w:rFonts w:ascii="Times New Roman" w:hAnsi="Times New Roman"/>
          <w:b/>
          <w:sz w:val="28"/>
          <w:szCs w:val="28"/>
        </w:rPr>
        <w:t xml:space="preserve">%, padotības iestādēm – līdz </w:t>
      </w:r>
      <w:r w:rsidR="00C068CE" w:rsidRPr="00C068CE">
        <w:rPr>
          <w:rFonts w:ascii="Times New Roman" w:hAnsi="Times New Roman"/>
          <w:b/>
          <w:sz w:val="28"/>
          <w:szCs w:val="28"/>
        </w:rPr>
        <w:t>4</w:t>
      </w:r>
      <w:r w:rsidR="00F97E7D" w:rsidRPr="00C068CE">
        <w:rPr>
          <w:rFonts w:ascii="Times New Roman" w:hAnsi="Times New Roman"/>
          <w:b/>
          <w:sz w:val="28"/>
          <w:szCs w:val="28"/>
        </w:rPr>
        <w:t>0%</w:t>
      </w:r>
      <w:r w:rsidR="00F97E7D">
        <w:rPr>
          <w:rFonts w:ascii="Times New Roman" w:hAnsi="Times New Roman"/>
          <w:b/>
          <w:sz w:val="28"/>
          <w:szCs w:val="28"/>
        </w:rPr>
        <w:t xml:space="preserve"> </w:t>
      </w:r>
      <w:r w:rsidR="00F97E7D" w:rsidRPr="00F97E7D">
        <w:rPr>
          <w:rFonts w:ascii="Times New Roman" w:hAnsi="Times New Roman"/>
          <w:sz w:val="28"/>
          <w:szCs w:val="28"/>
        </w:rPr>
        <w:t>(skat.1</w:t>
      </w:r>
      <w:r w:rsidR="00515E6F">
        <w:rPr>
          <w:rFonts w:ascii="Times New Roman" w:hAnsi="Times New Roman"/>
          <w:sz w:val="28"/>
          <w:szCs w:val="28"/>
        </w:rPr>
        <w:t>9</w:t>
      </w:r>
      <w:r w:rsidR="00F97E7D" w:rsidRPr="00F97E7D">
        <w:rPr>
          <w:rFonts w:ascii="Times New Roman" w:hAnsi="Times New Roman"/>
          <w:sz w:val="28"/>
          <w:szCs w:val="28"/>
        </w:rPr>
        <w:t>.attēlu)</w:t>
      </w:r>
      <w:r w:rsidR="007643E4">
        <w:rPr>
          <w:rFonts w:ascii="Times New Roman" w:hAnsi="Times New Roman"/>
          <w:sz w:val="28"/>
          <w:szCs w:val="28"/>
        </w:rPr>
        <w:t xml:space="preserve">, turpinot turpmākajos gados </w:t>
      </w:r>
      <w:r w:rsidR="007643E4" w:rsidRPr="00CF5A40">
        <w:rPr>
          <w:rFonts w:ascii="Times New Roman" w:hAnsi="Times New Roman"/>
          <w:sz w:val="28"/>
          <w:szCs w:val="28"/>
        </w:rPr>
        <w:t>padotības iestāžu</w:t>
      </w:r>
      <w:r w:rsidR="007643E4">
        <w:rPr>
          <w:rFonts w:ascii="Times New Roman" w:hAnsi="Times New Roman"/>
          <w:sz w:val="28"/>
          <w:szCs w:val="28"/>
        </w:rPr>
        <w:t xml:space="preserve"> mēnešalgu skalu sašaurināšanu.</w:t>
      </w:r>
    </w:p>
    <w:p w:rsidR="009917BD" w:rsidRDefault="009917BD">
      <w:pPr>
        <w:spacing w:after="0" w:line="240" w:lineRule="auto"/>
        <w:rPr>
          <w:rFonts w:ascii="Times New Roman" w:hAnsi="Times New Roman"/>
          <w:sz w:val="28"/>
          <w:szCs w:val="28"/>
        </w:rPr>
      </w:pPr>
      <w:r>
        <w:rPr>
          <w:rFonts w:ascii="Times New Roman" w:hAnsi="Times New Roman"/>
          <w:sz w:val="28"/>
          <w:szCs w:val="28"/>
        </w:rPr>
        <w:br w:type="page"/>
      </w:r>
    </w:p>
    <w:p w:rsidR="002A175F" w:rsidRDefault="002A175F" w:rsidP="002A175F">
      <w:pPr>
        <w:spacing w:after="0" w:line="240" w:lineRule="auto"/>
        <w:jc w:val="right"/>
        <w:rPr>
          <w:rFonts w:ascii="Times New Roman" w:hAnsi="Times New Roman"/>
          <w:sz w:val="28"/>
          <w:szCs w:val="28"/>
        </w:rPr>
      </w:pPr>
      <w:r>
        <w:rPr>
          <w:rFonts w:ascii="Times New Roman" w:hAnsi="Times New Roman"/>
          <w:sz w:val="28"/>
          <w:szCs w:val="28"/>
        </w:rPr>
        <w:lastRenderedPageBreak/>
        <w:t>1</w:t>
      </w:r>
      <w:r w:rsidR="00515E6F">
        <w:rPr>
          <w:rFonts w:ascii="Times New Roman" w:hAnsi="Times New Roman"/>
          <w:sz w:val="28"/>
          <w:szCs w:val="28"/>
        </w:rPr>
        <w:t>9</w:t>
      </w:r>
      <w:r>
        <w:rPr>
          <w:rFonts w:ascii="Times New Roman" w:hAnsi="Times New Roman"/>
          <w:sz w:val="28"/>
          <w:szCs w:val="28"/>
        </w:rPr>
        <w:t>.attēls</w:t>
      </w:r>
    </w:p>
    <w:p w:rsidR="002A175F" w:rsidRDefault="002A175F" w:rsidP="002A175F">
      <w:pPr>
        <w:spacing w:after="0" w:line="240" w:lineRule="auto"/>
        <w:jc w:val="center"/>
        <w:rPr>
          <w:rFonts w:ascii="Times New Roman" w:hAnsi="Times New Roman"/>
          <w:b/>
          <w:sz w:val="28"/>
          <w:szCs w:val="28"/>
        </w:rPr>
      </w:pPr>
      <w:r>
        <w:rPr>
          <w:rFonts w:ascii="Times New Roman" w:hAnsi="Times New Roman"/>
          <w:b/>
          <w:sz w:val="28"/>
          <w:szCs w:val="28"/>
        </w:rPr>
        <w:t>M</w:t>
      </w:r>
      <w:r w:rsidRPr="00F35126">
        <w:rPr>
          <w:rFonts w:ascii="Times New Roman" w:hAnsi="Times New Roman"/>
          <w:b/>
          <w:sz w:val="28"/>
          <w:szCs w:val="28"/>
        </w:rPr>
        <w:t>ēnešalgu skalas diapazonu sašaurināšana</w:t>
      </w:r>
      <w:r w:rsidR="00455DAD">
        <w:rPr>
          <w:rFonts w:ascii="Times New Roman" w:hAnsi="Times New Roman"/>
          <w:b/>
          <w:sz w:val="28"/>
          <w:szCs w:val="28"/>
        </w:rPr>
        <w:t>s piemērs</w:t>
      </w:r>
    </w:p>
    <w:p w:rsidR="004E50BA" w:rsidRDefault="009E1D48" w:rsidP="002A175F">
      <w:pPr>
        <w:spacing w:after="0" w:line="240" w:lineRule="auto"/>
        <w:jc w:val="center"/>
        <w:rPr>
          <w:rFonts w:ascii="Times New Roman" w:hAnsi="Times New Roman"/>
          <w:b/>
          <w:sz w:val="28"/>
          <w:szCs w:val="28"/>
        </w:rPr>
      </w:pPr>
      <w:r>
        <w:rPr>
          <w:noProof/>
        </w:rPr>
        <mc:AlternateContent>
          <mc:Choice Requires="wps">
            <w:drawing>
              <wp:anchor distT="0" distB="0" distL="114300" distR="114300" simplePos="0" relativeHeight="251677184" behindDoc="0" locked="0" layoutInCell="1" allowOverlap="1">
                <wp:simplePos x="0" y="0"/>
                <wp:positionH relativeFrom="column">
                  <wp:posOffset>605155</wp:posOffset>
                </wp:positionH>
                <wp:positionV relativeFrom="paragraph">
                  <wp:posOffset>96520</wp:posOffset>
                </wp:positionV>
                <wp:extent cx="1809750" cy="483235"/>
                <wp:effectExtent l="0" t="0" r="19050" b="1206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83235"/>
                        </a:xfrm>
                        <a:prstGeom prst="rect">
                          <a:avLst/>
                        </a:prstGeom>
                        <a:solidFill>
                          <a:srgbClr val="FFFFFF"/>
                        </a:solidFill>
                        <a:ln w="9525">
                          <a:solidFill>
                            <a:srgbClr val="000000"/>
                          </a:solidFill>
                          <a:miter lim="800000"/>
                          <a:headEnd/>
                          <a:tailEnd/>
                        </a:ln>
                      </wps:spPr>
                      <wps:txbx>
                        <w:txbxContent>
                          <w:p w:rsidR="00836069" w:rsidRPr="00F35126" w:rsidRDefault="00836069" w:rsidP="002C7EC0">
                            <w:pPr>
                              <w:jc w:val="center"/>
                              <w:rPr>
                                <w:rFonts w:ascii="Times New Roman" w:hAnsi="Times New Roman"/>
                                <w:sz w:val="24"/>
                                <w:szCs w:val="24"/>
                              </w:rPr>
                            </w:pPr>
                            <w:r>
                              <w:rPr>
                                <w:rFonts w:ascii="Times New Roman" w:hAnsi="Times New Roman"/>
                                <w:sz w:val="24"/>
                                <w:szCs w:val="24"/>
                              </w:rPr>
                              <w:t>Ministrijas -          d</w:t>
                            </w:r>
                            <w:r w:rsidRPr="00F35126">
                              <w:rPr>
                                <w:rFonts w:ascii="Times New Roman" w:hAnsi="Times New Roman"/>
                                <w:sz w:val="24"/>
                                <w:szCs w:val="24"/>
                              </w:rPr>
                              <w:t>iapazona atšķir</w:t>
                            </w:r>
                            <w:r>
                              <w:rPr>
                                <w:rFonts w:ascii="Times New Roman" w:hAnsi="Times New Roman"/>
                                <w:sz w:val="24"/>
                                <w:szCs w:val="24"/>
                              </w:rPr>
                              <w:t>ība 15</w:t>
                            </w:r>
                            <w:r w:rsidRPr="00F35126">
                              <w:rPr>
                                <w:rFonts w:ascii="Times New Roman" w:hAnsi="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4" type="#_x0000_t202" style="position:absolute;left:0;text-align:left;margin-left:47.65pt;margin-top:7.6pt;width:142.5pt;height:38.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3YJwIAAE0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">
                <v:textbox>
                  <w:txbxContent>
                    <w:p w:rsidR="00836069" w:rsidRPr="00F35126" w:rsidRDefault="00836069" w:rsidP="002C7EC0">
                      <w:pPr>
                        <w:jc w:val="center"/>
                        <w:rPr>
                          <w:rFonts w:ascii="Times New Roman" w:hAnsi="Times New Roman"/>
                          <w:sz w:val="24"/>
                          <w:szCs w:val="24"/>
                        </w:rPr>
                      </w:pPr>
                      <w:r>
                        <w:rPr>
                          <w:rFonts w:ascii="Times New Roman" w:hAnsi="Times New Roman"/>
                          <w:sz w:val="24"/>
                          <w:szCs w:val="24"/>
                        </w:rPr>
                        <w:t>Ministrijas -          d</w:t>
                      </w:r>
                      <w:r w:rsidRPr="00F35126">
                        <w:rPr>
                          <w:rFonts w:ascii="Times New Roman" w:hAnsi="Times New Roman"/>
                          <w:sz w:val="24"/>
                          <w:szCs w:val="24"/>
                        </w:rPr>
                        <w:t>iapazona atšķir</w:t>
                      </w:r>
                      <w:r>
                        <w:rPr>
                          <w:rFonts w:ascii="Times New Roman" w:hAnsi="Times New Roman"/>
                          <w:sz w:val="24"/>
                          <w:szCs w:val="24"/>
                        </w:rPr>
                        <w:t>ība 15</w:t>
                      </w:r>
                      <w:r w:rsidRPr="00F35126">
                        <w:rPr>
                          <w:rFonts w:ascii="Times New Roman" w:hAnsi="Times New Roman"/>
                          <w:sz w:val="24"/>
                          <w:szCs w:val="24"/>
                        </w:rPr>
                        <w:t>%</w:t>
                      </w:r>
                    </w:p>
                  </w:txbxContent>
                </v:textbox>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3567430</wp:posOffset>
                </wp:positionH>
                <wp:positionV relativeFrom="paragraph">
                  <wp:posOffset>96520</wp:posOffset>
                </wp:positionV>
                <wp:extent cx="1809750" cy="483235"/>
                <wp:effectExtent l="0" t="0" r="1905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83235"/>
                        </a:xfrm>
                        <a:prstGeom prst="rect">
                          <a:avLst/>
                        </a:prstGeom>
                        <a:solidFill>
                          <a:srgbClr val="FFFFFF"/>
                        </a:solidFill>
                        <a:ln w="9525">
                          <a:solidFill>
                            <a:srgbClr val="000000"/>
                          </a:solidFill>
                          <a:miter lim="800000"/>
                          <a:headEnd/>
                          <a:tailEnd/>
                        </a:ln>
                      </wps:spPr>
                      <wps:txbx>
                        <w:txbxContent>
                          <w:p w:rsidR="00836069" w:rsidRPr="00F35126" w:rsidRDefault="00836069" w:rsidP="002C7EC0">
                            <w:pPr>
                              <w:jc w:val="center"/>
                              <w:rPr>
                                <w:rFonts w:ascii="Times New Roman" w:hAnsi="Times New Roman"/>
                                <w:sz w:val="24"/>
                                <w:szCs w:val="24"/>
                              </w:rPr>
                            </w:pPr>
                            <w:r>
                              <w:rPr>
                                <w:rFonts w:ascii="Times New Roman" w:hAnsi="Times New Roman"/>
                                <w:sz w:val="24"/>
                                <w:szCs w:val="24"/>
                              </w:rPr>
                              <w:t>Padotības iestādes - d</w:t>
                            </w:r>
                            <w:r w:rsidRPr="00F35126">
                              <w:rPr>
                                <w:rFonts w:ascii="Times New Roman" w:hAnsi="Times New Roman"/>
                                <w:sz w:val="24"/>
                                <w:szCs w:val="24"/>
                              </w:rPr>
                              <w:t xml:space="preserve">iapazona atšķirība </w:t>
                            </w:r>
                            <w:r>
                              <w:rPr>
                                <w:rFonts w:ascii="Times New Roman" w:hAnsi="Times New Roman"/>
                                <w:sz w:val="24"/>
                                <w:szCs w:val="24"/>
                              </w:rPr>
                              <w:t>4</w:t>
                            </w:r>
                            <w:r w:rsidRPr="00F35126">
                              <w:rPr>
                                <w:rFonts w:ascii="Times New Roman" w:hAnsi="Times New Roman"/>
                                <w:sz w:val="24"/>
                                <w:szCs w:val="24"/>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80.9pt;margin-top:7.6pt;width:142.5pt;height:38.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">
                <v:textbox>
                  <w:txbxContent>
                    <w:p w:rsidR="00836069" w:rsidRPr="00F35126" w:rsidRDefault="00836069" w:rsidP="002C7EC0">
                      <w:pPr>
                        <w:jc w:val="center"/>
                        <w:rPr>
                          <w:rFonts w:ascii="Times New Roman" w:hAnsi="Times New Roman"/>
                          <w:sz w:val="24"/>
                          <w:szCs w:val="24"/>
                        </w:rPr>
                      </w:pPr>
                      <w:r>
                        <w:rPr>
                          <w:rFonts w:ascii="Times New Roman" w:hAnsi="Times New Roman"/>
                          <w:sz w:val="24"/>
                          <w:szCs w:val="24"/>
                        </w:rPr>
                        <w:t>Padotības iestādes - d</w:t>
                      </w:r>
                      <w:r w:rsidRPr="00F35126">
                        <w:rPr>
                          <w:rFonts w:ascii="Times New Roman" w:hAnsi="Times New Roman"/>
                          <w:sz w:val="24"/>
                          <w:szCs w:val="24"/>
                        </w:rPr>
                        <w:t xml:space="preserve">iapazona atšķirība </w:t>
                      </w:r>
                      <w:r>
                        <w:rPr>
                          <w:rFonts w:ascii="Times New Roman" w:hAnsi="Times New Roman"/>
                          <w:sz w:val="24"/>
                          <w:szCs w:val="24"/>
                        </w:rPr>
                        <w:t>4</w:t>
                      </w:r>
                      <w:r w:rsidRPr="00F35126">
                        <w:rPr>
                          <w:rFonts w:ascii="Times New Roman" w:hAnsi="Times New Roman"/>
                          <w:sz w:val="24"/>
                          <w:szCs w:val="24"/>
                        </w:rPr>
                        <w:t>0%</w:t>
                      </w:r>
                    </w:p>
                  </w:txbxContent>
                </v:textbox>
              </v:shape>
            </w:pict>
          </mc:Fallback>
        </mc:AlternateContent>
      </w:r>
    </w:p>
    <w:p w:rsidR="007D2A84" w:rsidRDefault="007D2A84" w:rsidP="002A175F">
      <w:pPr>
        <w:spacing w:after="0" w:line="240" w:lineRule="auto"/>
        <w:jc w:val="center"/>
        <w:rPr>
          <w:rFonts w:ascii="Times New Roman" w:hAnsi="Times New Roman"/>
          <w:b/>
          <w:sz w:val="28"/>
          <w:szCs w:val="28"/>
        </w:rPr>
      </w:pPr>
    </w:p>
    <w:p w:rsidR="004E50BA" w:rsidRDefault="004E50BA" w:rsidP="002A175F">
      <w:pPr>
        <w:spacing w:after="0" w:line="240" w:lineRule="auto"/>
        <w:jc w:val="center"/>
        <w:rPr>
          <w:rFonts w:ascii="Times New Roman" w:hAnsi="Times New Roman"/>
          <w:b/>
          <w:sz w:val="28"/>
          <w:szCs w:val="28"/>
        </w:rPr>
      </w:pPr>
    </w:p>
    <w:p w:rsidR="007D2A84" w:rsidRDefault="002A175F" w:rsidP="005C58D2">
      <w:pPr>
        <w:spacing w:after="0" w:line="240" w:lineRule="auto"/>
        <w:jc w:val="both"/>
        <w:rPr>
          <w:rFonts w:ascii="Times New Roman" w:hAnsi="Times New Roman"/>
          <w:sz w:val="28"/>
          <w:szCs w:val="28"/>
        </w:rPr>
      </w:pPr>
      <w:r w:rsidRPr="009A7543">
        <w:rPr>
          <w:noProof/>
          <w:lang w:eastAsia="ru-RU"/>
        </w:rPr>
        <w:t xml:space="preserve"> </w:t>
      </w:r>
      <w:r w:rsidR="001F1FB0">
        <w:rPr>
          <w:rFonts w:ascii="Times New Roman" w:hAnsi="Times New Roman"/>
          <w:noProof/>
          <w:sz w:val="28"/>
          <w:szCs w:val="28"/>
        </w:rPr>
        <w:drawing>
          <wp:inline distT="0" distB="0" distL="0" distR="0">
            <wp:extent cx="2952371" cy="3721238"/>
            <wp:effectExtent l="6095" t="6091" r="3809" b="6471"/>
            <wp:docPr id="1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1F1FB0">
        <w:rPr>
          <w:rFonts w:ascii="Times New Roman" w:hAnsi="Times New Roman"/>
          <w:noProof/>
          <w:sz w:val="28"/>
          <w:szCs w:val="28"/>
        </w:rPr>
        <w:drawing>
          <wp:inline distT="0" distB="0" distL="0" distR="0">
            <wp:extent cx="2846456" cy="3721238"/>
            <wp:effectExtent l="6093" t="6091" r="4951" b="6471"/>
            <wp:docPr id="2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D2A84" w:rsidRDefault="007D2A84" w:rsidP="005C58D2">
      <w:pPr>
        <w:spacing w:after="0" w:line="240" w:lineRule="auto"/>
        <w:jc w:val="both"/>
        <w:rPr>
          <w:rFonts w:ascii="Times New Roman" w:hAnsi="Times New Roman"/>
          <w:sz w:val="28"/>
          <w:szCs w:val="28"/>
        </w:rPr>
      </w:pPr>
    </w:p>
    <w:p w:rsidR="00C00B9A" w:rsidRDefault="00C00B9A" w:rsidP="00C00B9A">
      <w:pPr>
        <w:pStyle w:val="ListParagraph"/>
        <w:autoSpaceDE w:val="0"/>
        <w:autoSpaceDN w:val="0"/>
        <w:adjustRightInd w:val="0"/>
        <w:spacing w:after="0" w:line="240" w:lineRule="auto"/>
        <w:ind w:left="1080"/>
        <w:jc w:val="both"/>
        <w:rPr>
          <w:rFonts w:ascii="Times New Roman" w:hAnsi="Times New Roman"/>
          <w:b/>
          <w:sz w:val="28"/>
          <w:szCs w:val="28"/>
        </w:rPr>
      </w:pPr>
    </w:p>
    <w:p w:rsidR="004F4D5F" w:rsidRDefault="004F4D5F" w:rsidP="00C00B9A">
      <w:pPr>
        <w:pStyle w:val="ListParagraph"/>
        <w:autoSpaceDE w:val="0"/>
        <w:autoSpaceDN w:val="0"/>
        <w:adjustRightInd w:val="0"/>
        <w:spacing w:after="0" w:line="240" w:lineRule="auto"/>
        <w:ind w:left="1080"/>
        <w:jc w:val="both"/>
        <w:rPr>
          <w:rFonts w:ascii="Times New Roman" w:hAnsi="Times New Roman"/>
          <w:b/>
          <w:sz w:val="28"/>
          <w:szCs w:val="28"/>
        </w:rPr>
      </w:pPr>
    </w:p>
    <w:p w:rsidR="00E245A9" w:rsidRPr="00C00B9A" w:rsidRDefault="00E245A9" w:rsidP="00C00B9A">
      <w:pPr>
        <w:pStyle w:val="ListParagraph"/>
        <w:numPr>
          <w:ilvl w:val="0"/>
          <w:numId w:val="2"/>
        </w:numPr>
        <w:autoSpaceDE w:val="0"/>
        <w:autoSpaceDN w:val="0"/>
        <w:adjustRightInd w:val="0"/>
        <w:spacing w:after="0" w:line="240" w:lineRule="auto"/>
        <w:jc w:val="both"/>
        <w:rPr>
          <w:rFonts w:ascii="Times New Roman" w:hAnsi="Times New Roman"/>
          <w:b/>
          <w:sz w:val="28"/>
          <w:szCs w:val="28"/>
        </w:rPr>
      </w:pPr>
      <w:r w:rsidRPr="00C00B9A">
        <w:rPr>
          <w:rFonts w:ascii="Times New Roman" w:hAnsi="Times New Roman"/>
          <w:b/>
          <w:sz w:val="28"/>
          <w:szCs w:val="28"/>
        </w:rPr>
        <w:t xml:space="preserve">Finansiālās ietekmes novērtējums </w:t>
      </w:r>
      <w:r w:rsidR="00B97B07" w:rsidRPr="00C00B9A">
        <w:rPr>
          <w:rFonts w:ascii="Times New Roman" w:hAnsi="Times New Roman"/>
          <w:b/>
          <w:bCs/>
          <w:sz w:val="28"/>
          <w:szCs w:val="28"/>
        </w:rPr>
        <w:t>mēnešalgu izlīdzināšana līdzīgu darbu veicējiem</w:t>
      </w:r>
    </w:p>
    <w:p w:rsidR="00923312" w:rsidRDefault="00923312" w:rsidP="00923312">
      <w:pPr>
        <w:spacing w:after="0" w:line="240" w:lineRule="auto"/>
        <w:ind w:left="360"/>
        <w:jc w:val="both"/>
        <w:rPr>
          <w:rFonts w:ascii="Times New Roman" w:hAnsi="Times New Roman"/>
          <w:sz w:val="28"/>
          <w:szCs w:val="28"/>
        </w:rPr>
      </w:pPr>
    </w:p>
    <w:p w:rsidR="000A1697" w:rsidRPr="000A1697" w:rsidRDefault="000A1697" w:rsidP="00923312">
      <w:pPr>
        <w:spacing w:after="0" w:line="240" w:lineRule="auto"/>
        <w:ind w:left="360"/>
        <w:jc w:val="both"/>
        <w:rPr>
          <w:rFonts w:ascii="Times New Roman" w:hAnsi="Times New Roman"/>
          <w:b/>
          <w:sz w:val="28"/>
          <w:szCs w:val="28"/>
        </w:rPr>
      </w:pPr>
      <w:r w:rsidRPr="000A1697">
        <w:rPr>
          <w:rFonts w:ascii="Times New Roman" w:hAnsi="Times New Roman"/>
          <w:b/>
          <w:sz w:val="28"/>
          <w:szCs w:val="28"/>
        </w:rPr>
        <w:t>4.1. Papildu nepieciešam</w:t>
      </w:r>
      <w:r w:rsidR="00C00B9A">
        <w:rPr>
          <w:rFonts w:ascii="Times New Roman" w:hAnsi="Times New Roman"/>
          <w:b/>
          <w:sz w:val="28"/>
          <w:szCs w:val="28"/>
        </w:rPr>
        <w:t>ais finansējums mēnešalgu izlīdzināšanai</w:t>
      </w:r>
    </w:p>
    <w:p w:rsidR="000A1697" w:rsidRPr="00923312" w:rsidRDefault="000A1697" w:rsidP="00923312">
      <w:pPr>
        <w:spacing w:after="0" w:line="240" w:lineRule="auto"/>
        <w:ind w:left="360"/>
        <w:jc w:val="both"/>
        <w:rPr>
          <w:rFonts w:ascii="Times New Roman" w:hAnsi="Times New Roman"/>
          <w:sz w:val="28"/>
          <w:szCs w:val="28"/>
        </w:rPr>
      </w:pPr>
    </w:p>
    <w:p w:rsidR="0007473A" w:rsidRPr="00923312" w:rsidRDefault="0007473A" w:rsidP="0007473A">
      <w:pPr>
        <w:spacing w:after="0" w:line="240" w:lineRule="auto"/>
        <w:jc w:val="both"/>
        <w:rPr>
          <w:rFonts w:ascii="Times New Roman" w:hAnsi="Times New Roman"/>
          <w:sz w:val="28"/>
          <w:szCs w:val="28"/>
        </w:rPr>
      </w:pPr>
      <w:r w:rsidRPr="00923312">
        <w:rPr>
          <w:rFonts w:ascii="Times New Roman" w:hAnsi="Times New Roman"/>
          <w:sz w:val="28"/>
          <w:szCs w:val="28"/>
        </w:rPr>
        <w:t xml:space="preserve">Papildu nepieciešamā finansējuma aprēķinam piemērota šāda </w:t>
      </w:r>
      <w:r w:rsidRPr="00D17D74">
        <w:rPr>
          <w:rFonts w:ascii="Times New Roman" w:hAnsi="Times New Roman"/>
          <w:sz w:val="28"/>
          <w:szCs w:val="28"/>
          <w:u w:val="single"/>
        </w:rPr>
        <w:t>metodika</w:t>
      </w:r>
      <w:r w:rsidRPr="00923312">
        <w:rPr>
          <w:rFonts w:ascii="Times New Roman" w:hAnsi="Times New Roman"/>
          <w:sz w:val="28"/>
          <w:szCs w:val="28"/>
        </w:rPr>
        <w:t>:</w:t>
      </w:r>
    </w:p>
    <w:p w:rsidR="000269A5" w:rsidRPr="000269A5" w:rsidRDefault="000269A5" w:rsidP="000269A5">
      <w:pPr>
        <w:numPr>
          <w:ilvl w:val="0"/>
          <w:numId w:val="4"/>
        </w:numPr>
        <w:spacing w:after="0" w:line="240" w:lineRule="auto"/>
        <w:ind w:left="426" w:hanging="426"/>
        <w:jc w:val="both"/>
        <w:rPr>
          <w:rFonts w:ascii="Times New Roman" w:hAnsi="Times New Roman"/>
          <w:sz w:val="28"/>
          <w:szCs w:val="28"/>
        </w:rPr>
      </w:pPr>
      <w:r w:rsidRPr="003675EF">
        <w:rPr>
          <w:rFonts w:ascii="Times New Roman" w:hAnsi="Times New Roman"/>
          <w:sz w:val="28"/>
          <w:szCs w:val="28"/>
        </w:rPr>
        <w:t>Ņemta vēra minimālas algas</w:t>
      </w:r>
      <w:r>
        <w:rPr>
          <w:rFonts w:ascii="Times New Roman" w:hAnsi="Times New Roman"/>
          <w:sz w:val="28"/>
          <w:szCs w:val="28"/>
        </w:rPr>
        <w:t xml:space="preserve"> iespējamā</w:t>
      </w:r>
      <w:r w:rsidRPr="003675EF">
        <w:rPr>
          <w:rFonts w:ascii="Times New Roman" w:hAnsi="Times New Roman"/>
          <w:sz w:val="28"/>
          <w:szCs w:val="28"/>
        </w:rPr>
        <w:t xml:space="preserve"> paaugstināšana –</w:t>
      </w:r>
      <w:r w:rsidRPr="001D48BE">
        <w:rPr>
          <w:rFonts w:ascii="Times New Roman" w:hAnsi="Times New Roman"/>
          <w:sz w:val="28"/>
          <w:szCs w:val="28"/>
        </w:rPr>
        <w:t xml:space="preserve"> </w:t>
      </w:r>
      <w:r w:rsidRPr="0007473A">
        <w:rPr>
          <w:rFonts w:ascii="Times New Roman" w:hAnsi="Times New Roman"/>
          <w:sz w:val="28"/>
          <w:szCs w:val="28"/>
        </w:rPr>
        <w:t>no 200 uz 225 Ls.</w:t>
      </w:r>
    </w:p>
    <w:p w:rsidR="0007473A" w:rsidRDefault="0007473A" w:rsidP="00D17D74">
      <w:pPr>
        <w:pStyle w:val="ListParagraph"/>
        <w:numPr>
          <w:ilvl w:val="0"/>
          <w:numId w:val="4"/>
        </w:numPr>
        <w:spacing w:after="0" w:line="240" w:lineRule="auto"/>
        <w:ind w:left="426" w:hanging="426"/>
        <w:jc w:val="both"/>
        <w:rPr>
          <w:rFonts w:ascii="Times New Roman" w:hAnsi="Times New Roman"/>
          <w:sz w:val="28"/>
          <w:szCs w:val="28"/>
        </w:rPr>
      </w:pPr>
      <w:r w:rsidRPr="003675EF">
        <w:rPr>
          <w:rFonts w:ascii="Times New Roman" w:hAnsi="Times New Roman"/>
          <w:sz w:val="28"/>
          <w:szCs w:val="28"/>
        </w:rPr>
        <w:t>Salīdzinātas mēnešalgas un piemaksas valsts tiešas pārvaldes iestāžu griezumā sadalījumā pa mēnešalgu grupām</w:t>
      </w:r>
      <w:r>
        <w:rPr>
          <w:rFonts w:ascii="Times New Roman" w:hAnsi="Times New Roman"/>
          <w:sz w:val="28"/>
          <w:szCs w:val="28"/>
        </w:rPr>
        <w:t xml:space="preserve"> (</w:t>
      </w:r>
      <w:r w:rsidRPr="0007473A">
        <w:rPr>
          <w:rFonts w:ascii="Times New Roman" w:hAnsi="Times New Roman"/>
          <w:sz w:val="28"/>
          <w:szCs w:val="28"/>
        </w:rPr>
        <w:t xml:space="preserve">3013.gada marta mēnešalga un vidējās piemaksas materiālai stimulēšanai 2013.gada </w:t>
      </w:r>
      <w:r w:rsidR="00F4569C">
        <w:rPr>
          <w:rFonts w:ascii="Times New Roman" w:hAnsi="Times New Roman"/>
          <w:sz w:val="28"/>
          <w:szCs w:val="28"/>
        </w:rPr>
        <w:t>1</w:t>
      </w:r>
      <w:r w:rsidRPr="0007473A">
        <w:rPr>
          <w:rFonts w:ascii="Times New Roman" w:hAnsi="Times New Roman"/>
          <w:sz w:val="28"/>
          <w:szCs w:val="28"/>
        </w:rPr>
        <w:t>.ceturksnī</w:t>
      </w:r>
      <w:r w:rsidR="001D48BE">
        <w:rPr>
          <w:rFonts w:ascii="Times New Roman" w:hAnsi="Times New Roman"/>
          <w:sz w:val="28"/>
          <w:szCs w:val="28"/>
        </w:rPr>
        <w:t>)</w:t>
      </w:r>
      <w:r w:rsidRPr="003675EF">
        <w:rPr>
          <w:rFonts w:ascii="Times New Roman" w:hAnsi="Times New Roman"/>
          <w:sz w:val="28"/>
          <w:szCs w:val="28"/>
        </w:rPr>
        <w:t>.</w:t>
      </w:r>
    </w:p>
    <w:p w:rsidR="0007473A" w:rsidRPr="003675EF" w:rsidRDefault="0007473A" w:rsidP="00D17D74">
      <w:pPr>
        <w:pStyle w:val="ListParagraph"/>
        <w:numPr>
          <w:ilvl w:val="0"/>
          <w:numId w:val="4"/>
        </w:numPr>
        <w:spacing w:after="0" w:line="240" w:lineRule="auto"/>
        <w:ind w:left="426" w:hanging="426"/>
        <w:jc w:val="both"/>
        <w:rPr>
          <w:rFonts w:ascii="Times New Roman" w:hAnsi="Times New Roman"/>
          <w:sz w:val="28"/>
          <w:szCs w:val="28"/>
        </w:rPr>
      </w:pPr>
      <w:r w:rsidRPr="003675EF">
        <w:rPr>
          <w:rFonts w:ascii="Times New Roman" w:hAnsi="Times New Roman"/>
          <w:sz w:val="28"/>
          <w:szCs w:val="28"/>
        </w:rPr>
        <w:t>Noteikta katra da</w:t>
      </w:r>
      <w:r w:rsidR="000F2015">
        <w:rPr>
          <w:rFonts w:ascii="Times New Roman" w:hAnsi="Times New Roman"/>
          <w:sz w:val="28"/>
          <w:szCs w:val="28"/>
        </w:rPr>
        <w:t>rbinieka vieta mēnešalgu skalā</w:t>
      </w:r>
      <w:r w:rsidRPr="003675EF">
        <w:rPr>
          <w:rFonts w:ascii="Times New Roman" w:hAnsi="Times New Roman"/>
          <w:sz w:val="28"/>
          <w:szCs w:val="28"/>
        </w:rPr>
        <w:t xml:space="preserve">. </w:t>
      </w:r>
    </w:p>
    <w:p w:rsidR="0007473A" w:rsidRPr="003675EF" w:rsidRDefault="0007473A" w:rsidP="00D17D74">
      <w:pPr>
        <w:pStyle w:val="ListParagraph"/>
        <w:numPr>
          <w:ilvl w:val="0"/>
          <w:numId w:val="4"/>
        </w:numPr>
        <w:spacing w:after="0" w:line="240" w:lineRule="auto"/>
        <w:ind w:left="426" w:hanging="426"/>
        <w:jc w:val="both"/>
        <w:rPr>
          <w:rFonts w:ascii="Times New Roman" w:hAnsi="Times New Roman"/>
          <w:sz w:val="28"/>
          <w:szCs w:val="28"/>
        </w:rPr>
      </w:pPr>
      <w:r w:rsidRPr="003675EF">
        <w:rPr>
          <w:rFonts w:ascii="Times New Roman" w:hAnsi="Times New Roman"/>
          <w:sz w:val="28"/>
          <w:szCs w:val="28"/>
        </w:rPr>
        <w:t>Noteikta katras iestāde</w:t>
      </w:r>
      <w:r w:rsidR="00777604">
        <w:rPr>
          <w:rFonts w:ascii="Times New Roman" w:hAnsi="Times New Roman"/>
          <w:sz w:val="28"/>
          <w:szCs w:val="28"/>
        </w:rPr>
        <w:t>s vieta mēnešalgu skalā</w:t>
      </w:r>
      <w:r w:rsidRPr="003675EF">
        <w:rPr>
          <w:rFonts w:ascii="Times New Roman" w:hAnsi="Times New Roman"/>
          <w:sz w:val="28"/>
          <w:szCs w:val="28"/>
        </w:rPr>
        <w:t>.</w:t>
      </w:r>
    </w:p>
    <w:p w:rsidR="0007473A" w:rsidRPr="003675EF" w:rsidRDefault="0007473A" w:rsidP="00D17D74">
      <w:pPr>
        <w:pStyle w:val="ListParagraph"/>
        <w:numPr>
          <w:ilvl w:val="0"/>
          <w:numId w:val="4"/>
        </w:numPr>
        <w:spacing w:after="0" w:line="240" w:lineRule="auto"/>
        <w:ind w:left="426" w:hanging="426"/>
        <w:jc w:val="both"/>
        <w:rPr>
          <w:rFonts w:ascii="Times New Roman" w:hAnsi="Times New Roman"/>
          <w:sz w:val="28"/>
          <w:szCs w:val="28"/>
        </w:rPr>
      </w:pPr>
      <w:r w:rsidRPr="003675EF">
        <w:rPr>
          <w:rFonts w:ascii="Times New Roman" w:hAnsi="Times New Roman"/>
          <w:sz w:val="28"/>
          <w:szCs w:val="28"/>
        </w:rPr>
        <w:lastRenderedPageBreak/>
        <w:t>Modelētas mēnešalgu skalas diapazonu sašaurināšanas iespējas, saglabā</w:t>
      </w:r>
      <w:r w:rsidR="00C063F2">
        <w:rPr>
          <w:rFonts w:ascii="Times New Roman" w:hAnsi="Times New Roman"/>
          <w:sz w:val="28"/>
          <w:szCs w:val="28"/>
        </w:rPr>
        <w:t>jot d</w:t>
      </w:r>
      <w:r w:rsidRPr="003675EF">
        <w:rPr>
          <w:rFonts w:ascii="Times New Roman" w:hAnsi="Times New Roman"/>
          <w:sz w:val="28"/>
          <w:szCs w:val="28"/>
        </w:rPr>
        <w:t>arbinieku viet</w:t>
      </w:r>
      <w:r w:rsidR="00C063F2">
        <w:rPr>
          <w:rFonts w:ascii="Times New Roman" w:hAnsi="Times New Roman"/>
          <w:sz w:val="28"/>
          <w:szCs w:val="28"/>
        </w:rPr>
        <w:t>u</w:t>
      </w:r>
      <w:r w:rsidRPr="003675EF">
        <w:rPr>
          <w:rFonts w:ascii="Times New Roman" w:hAnsi="Times New Roman"/>
          <w:sz w:val="28"/>
          <w:szCs w:val="28"/>
        </w:rPr>
        <w:t xml:space="preserve"> mēnešalgu skalā</w:t>
      </w:r>
      <w:r w:rsidR="00E25873">
        <w:rPr>
          <w:rFonts w:ascii="Times New Roman" w:hAnsi="Times New Roman"/>
          <w:sz w:val="28"/>
          <w:szCs w:val="28"/>
        </w:rPr>
        <w:t xml:space="preserve"> (</w:t>
      </w:r>
      <w:r w:rsidR="00515E6F">
        <w:rPr>
          <w:rFonts w:ascii="Times New Roman" w:hAnsi="Times New Roman"/>
          <w:sz w:val="28"/>
          <w:szCs w:val="28"/>
        </w:rPr>
        <w:t>20</w:t>
      </w:r>
      <w:r w:rsidR="00777604">
        <w:rPr>
          <w:rFonts w:ascii="Times New Roman" w:hAnsi="Times New Roman"/>
          <w:sz w:val="28"/>
          <w:szCs w:val="28"/>
        </w:rPr>
        <w:t>.</w:t>
      </w:r>
      <w:r w:rsidR="00E25873">
        <w:rPr>
          <w:rFonts w:ascii="Times New Roman" w:hAnsi="Times New Roman"/>
          <w:sz w:val="28"/>
          <w:szCs w:val="28"/>
        </w:rPr>
        <w:t>attēls)</w:t>
      </w:r>
      <w:r w:rsidRPr="003675EF">
        <w:rPr>
          <w:rFonts w:ascii="Times New Roman" w:hAnsi="Times New Roman"/>
          <w:sz w:val="28"/>
          <w:szCs w:val="28"/>
        </w:rPr>
        <w:t xml:space="preserve">. Rezultātā vairāk līdzekļus iegūst tās iestādes, kuru darbinieku vieta mēnešalgu skalā ir zemāka.  </w:t>
      </w:r>
    </w:p>
    <w:p w:rsidR="0007473A" w:rsidRPr="003675EF" w:rsidRDefault="0007473A" w:rsidP="00D17D74">
      <w:pPr>
        <w:pStyle w:val="ListParagraph"/>
        <w:numPr>
          <w:ilvl w:val="0"/>
          <w:numId w:val="4"/>
        </w:numPr>
        <w:spacing w:after="0" w:line="240" w:lineRule="auto"/>
        <w:ind w:left="426" w:hanging="426"/>
        <w:jc w:val="both"/>
        <w:rPr>
          <w:rFonts w:ascii="Times New Roman" w:hAnsi="Times New Roman"/>
          <w:sz w:val="28"/>
          <w:szCs w:val="28"/>
        </w:rPr>
      </w:pPr>
      <w:r w:rsidRPr="003675EF">
        <w:rPr>
          <w:rFonts w:ascii="Times New Roman" w:hAnsi="Times New Roman"/>
          <w:sz w:val="28"/>
          <w:szCs w:val="28"/>
        </w:rPr>
        <w:t xml:space="preserve">Veikti aprēķini, lai izlīdzinātu darbinieku atlīdzību, piešķirot finansējumu tām iestādēm, kuru vieta </w:t>
      </w:r>
      <w:r>
        <w:rPr>
          <w:rFonts w:ascii="Times New Roman" w:hAnsi="Times New Roman"/>
          <w:sz w:val="28"/>
          <w:szCs w:val="28"/>
        </w:rPr>
        <w:t>mēnešal</w:t>
      </w:r>
      <w:r w:rsidRPr="003675EF">
        <w:rPr>
          <w:rFonts w:ascii="Times New Roman" w:hAnsi="Times New Roman"/>
          <w:sz w:val="28"/>
          <w:szCs w:val="28"/>
        </w:rPr>
        <w:t>gu skalā ir zem noteikta līmeņa.</w:t>
      </w:r>
    </w:p>
    <w:p w:rsidR="0007473A" w:rsidRPr="003675EF" w:rsidRDefault="0007473A" w:rsidP="00D17D74">
      <w:pPr>
        <w:pStyle w:val="ListParagraph"/>
        <w:numPr>
          <w:ilvl w:val="0"/>
          <w:numId w:val="4"/>
        </w:numPr>
        <w:spacing w:after="0" w:line="240" w:lineRule="auto"/>
        <w:ind w:left="426"/>
        <w:jc w:val="both"/>
        <w:rPr>
          <w:rFonts w:ascii="Times New Roman" w:hAnsi="Times New Roman"/>
          <w:sz w:val="28"/>
          <w:szCs w:val="28"/>
        </w:rPr>
      </w:pPr>
      <w:r w:rsidRPr="003675EF">
        <w:rPr>
          <w:rFonts w:ascii="Times New Roman" w:hAnsi="Times New Roman"/>
          <w:sz w:val="28"/>
          <w:szCs w:val="28"/>
        </w:rPr>
        <w:t>Aprēķinos ņemts vērā, ka iestādēm ir vakantie amati, par 5% paaugstinot aprēķināto finansējumu.</w:t>
      </w:r>
    </w:p>
    <w:p w:rsidR="0007473A" w:rsidRPr="003675EF" w:rsidRDefault="0007473A" w:rsidP="00D17D74">
      <w:pPr>
        <w:pStyle w:val="ListParagraph"/>
        <w:numPr>
          <w:ilvl w:val="0"/>
          <w:numId w:val="4"/>
        </w:numPr>
        <w:spacing w:after="0" w:line="240" w:lineRule="auto"/>
        <w:ind w:left="426"/>
        <w:jc w:val="both"/>
        <w:rPr>
          <w:rFonts w:ascii="Times New Roman" w:hAnsi="Times New Roman"/>
          <w:sz w:val="28"/>
          <w:szCs w:val="28"/>
        </w:rPr>
      </w:pPr>
      <w:r w:rsidRPr="003675EF">
        <w:rPr>
          <w:rFonts w:ascii="Times New Roman" w:hAnsi="Times New Roman"/>
          <w:sz w:val="28"/>
          <w:szCs w:val="28"/>
        </w:rPr>
        <w:t xml:space="preserve">Darbiniekiem, kuru mēnešalgas nosaka saskaņā ar citiem darba samaksas noteikumiem un neatkarīgo iestāžu darbiniekiem mēnešalgas salīdzinātas ar valsts tiešas pārvaldes iestāžu darbinieku mēnešalgām un aprēķināts papildu nepieciešamais finansējums. </w:t>
      </w:r>
    </w:p>
    <w:p w:rsidR="00923312" w:rsidRDefault="00923312" w:rsidP="00923312">
      <w:pPr>
        <w:spacing w:after="0" w:line="240" w:lineRule="auto"/>
        <w:jc w:val="both"/>
        <w:rPr>
          <w:rFonts w:ascii="Times New Roman" w:hAnsi="Times New Roman"/>
          <w:sz w:val="28"/>
          <w:szCs w:val="28"/>
        </w:rPr>
      </w:pPr>
    </w:p>
    <w:p w:rsidR="00AB03A3" w:rsidRDefault="00AB03A3" w:rsidP="00923312">
      <w:pPr>
        <w:spacing w:after="0" w:line="240" w:lineRule="auto"/>
        <w:jc w:val="both"/>
        <w:rPr>
          <w:rFonts w:ascii="Times New Roman" w:hAnsi="Times New Roman"/>
          <w:sz w:val="28"/>
          <w:szCs w:val="28"/>
        </w:rPr>
      </w:pPr>
    </w:p>
    <w:p w:rsidR="00E25873" w:rsidRDefault="00057157" w:rsidP="00E25873">
      <w:pPr>
        <w:pStyle w:val="ListParagraph"/>
        <w:spacing w:after="0" w:line="240" w:lineRule="auto"/>
        <w:ind w:left="426"/>
        <w:jc w:val="right"/>
        <w:rPr>
          <w:rFonts w:ascii="Times New Roman" w:hAnsi="Times New Roman"/>
          <w:sz w:val="28"/>
          <w:szCs w:val="28"/>
        </w:rPr>
      </w:pPr>
      <w:r>
        <w:rPr>
          <w:rFonts w:ascii="Times New Roman" w:hAnsi="Times New Roman"/>
          <w:sz w:val="28"/>
          <w:szCs w:val="28"/>
        </w:rPr>
        <w:t>20</w:t>
      </w:r>
      <w:r w:rsidR="00E25873" w:rsidRPr="00A62CB4">
        <w:rPr>
          <w:rFonts w:ascii="Times New Roman" w:hAnsi="Times New Roman"/>
          <w:sz w:val="28"/>
          <w:szCs w:val="28"/>
        </w:rPr>
        <w:t>.attēls</w:t>
      </w:r>
    </w:p>
    <w:p w:rsidR="00E25873" w:rsidRPr="00A62CB4" w:rsidRDefault="00E25873" w:rsidP="00E25873">
      <w:pPr>
        <w:pStyle w:val="ListParagraph"/>
        <w:spacing w:after="0" w:line="240" w:lineRule="auto"/>
        <w:ind w:left="426"/>
        <w:jc w:val="right"/>
        <w:rPr>
          <w:rFonts w:ascii="Times New Roman" w:hAnsi="Times New Roman"/>
          <w:sz w:val="28"/>
          <w:szCs w:val="28"/>
        </w:rPr>
      </w:pPr>
    </w:p>
    <w:p w:rsidR="00E25873" w:rsidRDefault="00E25873" w:rsidP="00E25873">
      <w:pPr>
        <w:pStyle w:val="ListParagraph"/>
        <w:spacing w:after="0" w:line="240" w:lineRule="auto"/>
        <w:ind w:left="426"/>
        <w:jc w:val="center"/>
        <w:rPr>
          <w:rFonts w:ascii="Times New Roman" w:hAnsi="Times New Roman"/>
          <w:b/>
          <w:sz w:val="28"/>
          <w:szCs w:val="28"/>
        </w:rPr>
      </w:pPr>
      <w:r w:rsidRPr="00BF6ED5">
        <w:rPr>
          <w:rFonts w:ascii="Times New Roman" w:hAnsi="Times New Roman"/>
          <w:b/>
          <w:sz w:val="28"/>
          <w:szCs w:val="28"/>
        </w:rPr>
        <w:t xml:space="preserve">Darbinieku vieta mēnešalgu skalā tiek saglabāta </w:t>
      </w:r>
    </w:p>
    <w:p w:rsidR="00E25873" w:rsidRPr="00BF6ED5" w:rsidRDefault="00E25873" w:rsidP="00E25873">
      <w:pPr>
        <w:pStyle w:val="ListParagraph"/>
        <w:spacing w:after="0" w:line="240" w:lineRule="auto"/>
        <w:ind w:left="426"/>
        <w:jc w:val="center"/>
        <w:rPr>
          <w:rFonts w:ascii="Times New Roman" w:hAnsi="Times New Roman"/>
          <w:b/>
          <w:sz w:val="28"/>
          <w:szCs w:val="28"/>
        </w:rPr>
      </w:pPr>
      <w:r w:rsidRPr="007B31EA">
        <w:rPr>
          <w:rFonts w:ascii="Times New Roman" w:hAnsi="Times New Roman"/>
          <w:b/>
          <w:noProof/>
          <w:sz w:val="28"/>
          <w:szCs w:val="28"/>
        </w:rPr>
        <w:drawing>
          <wp:inline distT="0" distB="0" distL="0" distR="0">
            <wp:extent cx="5787307" cy="2743200"/>
            <wp:effectExtent l="19050" t="0" r="22943" b="0"/>
            <wp:docPr id="3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25873" w:rsidRDefault="00E25873" w:rsidP="00E25873">
      <w:pPr>
        <w:spacing w:after="0" w:line="240" w:lineRule="auto"/>
        <w:jc w:val="both"/>
        <w:rPr>
          <w:rFonts w:ascii="Times New Roman" w:hAnsi="Times New Roman"/>
          <w:bCs/>
          <w:sz w:val="28"/>
          <w:szCs w:val="28"/>
        </w:rPr>
      </w:pPr>
    </w:p>
    <w:p w:rsidR="00E25873" w:rsidRDefault="00E25873" w:rsidP="00923312">
      <w:pPr>
        <w:spacing w:after="0" w:line="240" w:lineRule="auto"/>
        <w:jc w:val="both"/>
        <w:rPr>
          <w:rFonts w:ascii="Times New Roman" w:hAnsi="Times New Roman"/>
          <w:sz w:val="28"/>
          <w:szCs w:val="28"/>
        </w:rPr>
      </w:pPr>
    </w:p>
    <w:p w:rsidR="00E25873" w:rsidRDefault="00E25873" w:rsidP="00923312">
      <w:pPr>
        <w:spacing w:after="0" w:line="240" w:lineRule="auto"/>
        <w:jc w:val="both"/>
        <w:rPr>
          <w:rFonts w:ascii="Times New Roman" w:hAnsi="Times New Roman"/>
          <w:sz w:val="28"/>
          <w:szCs w:val="28"/>
        </w:rPr>
      </w:pPr>
    </w:p>
    <w:p w:rsidR="00923312" w:rsidRDefault="009A1F27" w:rsidP="00923312">
      <w:pPr>
        <w:spacing w:after="0" w:line="240" w:lineRule="auto"/>
        <w:jc w:val="both"/>
        <w:rPr>
          <w:rFonts w:ascii="Times New Roman" w:hAnsi="Times New Roman"/>
          <w:sz w:val="28"/>
          <w:szCs w:val="28"/>
        </w:rPr>
      </w:pPr>
      <w:r>
        <w:rPr>
          <w:rFonts w:ascii="Times New Roman" w:hAnsi="Times New Roman"/>
          <w:sz w:val="28"/>
          <w:szCs w:val="28"/>
        </w:rPr>
        <w:t>1</w:t>
      </w:r>
      <w:r w:rsidR="00923312">
        <w:rPr>
          <w:rFonts w:ascii="Times New Roman" w:hAnsi="Times New Roman"/>
          <w:sz w:val="28"/>
          <w:szCs w:val="28"/>
        </w:rPr>
        <w:t>.tabulā atspoguļot</w:t>
      </w:r>
      <w:r w:rsidR="00B67C9F">
        <w:rPr>
          <w:rFonts w:ascii="Times New Roman" w:hAnsi="Times New Roman"/>
          <w:sz w:val="28"/>
          <w:szCs w:val="28"/>
        </w:rPr>
        <w:t xml:space="preserve">as dažādas kombinācijas </w:t>
      </w:r>
      <w:r w:rsidR="00923312">
        <w:rPr>
          <w:rFonts w:ascii="Times New Roman" w:hAnsi="Times New Roman"/>
          <w:sz w:val="28"/>
          <w:szCs w:val="28"/>
        </w:rPr>
        <w:t>mēnešalgu skalas diapazon</w:t>
      </w:r>
      <w:r w:rsidR="00582ACF">
        <w:rPr>
          <w:rFonts w:ascii="Times New Roman" w:hAnsi="Times New Roman"/>
          <w:sz w:val="28"/>
          <w:szCs w:val="28"/>
        </w:rPr>
        <w:t>u</w:t>
      </w:r>
      <w:r w:rsidR="00B67C9F">
        <w:rPr>
          <w:rFonts w:ascii="Times New Roman" w:hAnsi="Times New Roman"/>
          <w:sz w:val="28"/>
          <w:szCs w:val="28"/>
        </w:rPr>
        <w:t xml:space="preserve"> sašaurināšanai</w:t>
      </w:r>
      <w:r w:rsidR="00923312">
        <w:rPr>
          <w:rFonts w:ascii="Times New Roman" w:hAnsi="Times New Roman"/>
          <w:sz w:val="28"/>
          <w:szCs w:val="28"/>
        </w:rPr>
        <w:t xml:space="preserve">, pārskatot arī iestādes vietu mēnešalgu skalā. </w:t>
      </w:r>
    </w:p>
    <w:p w:rsidR="002645D5" w:rsidRDefault="002645D5">
      <w:pPr>
        <w:spacing w:after="0" w:line="240" w:lineRule="auto"/>
        <w:rPr>
          <w:rFonts w:ascii="Times New Roman" w:hAnsi="Times New Roman"/>
          <w:sz w:val="28"/>
          <w:szCs w:val="28"/>
        </w:rPr>
      </w:pPr>
    </w:p>
    <w:p w:rsidR="007425CE" w:rsidRDefault="007425CE" w:rsidP="00923312">
      <w:pPr>
        <w:spacing w:after="0" w:line="240" w:lineRule="auto"/>
        <w:jc w:val="right"/>
        <w:rPr>
          <w:rFonts w:ascii="Times New Roman" w:hAnsi="Times New Roman"/>
          <w:sz w:val="28"/>
          <w:szCs w:val="28"/>
        </w:rPr>
      </w:pPr>
    </w:p>
    <w:p w:rsidR="0006047E" w:rsidRDefault="0006047E">
      <w:pPr>
        <w:spacing w:after="0" w:line="240" w:lineRule="auto"/>
        <w:rPr>
          <w:rFonts w:ascii="Times New Roman" w:hAnsi="Times New Roman"/>
          <w:sz w:val="28"/>
          <w:szCs w:val="28"/>
        </w:rPr>
      </w:pPr>
      <w:r>
        <w:rPr>
          <w:rFonts w:ascii="Times New Roman" w:hAnsi="Times New Roman"/>
          <w:sz w:val="28"/>
          <w:szCs w:val="28"/>
        </w:rPr>
        <w:br w:type="page"/>
      </w:r>
    </w:p>
    <w:p w:rsidR="00923312" w:rsidRPr="007E4DAD" w:rsidRDefault="009A1F27" w:rsidP="00923312">
      <w:pPr>
        <w:spacing w:after="0" w:line="240" w:lineRule="auto"/>
        <w:jc w:val="right"/>
        <w:rPr>
          <w:rFonts w:ascii="Times New Roman" w:hAnsi="Times New Roman"/>
          <w:sz w:val="28"/>
          <w:szCs w:val="28"/>
        </w:rPr>
      </w:pPr>
      <w:r>
        <w:rPr>
          <w:rFonts w:ascii="Times New Roman" w:hAnsi="Times New Roman"/>
          <w:sz w:val="28"/>
          <w:szCs w:val="28"/>
        </w:rPr>
        <w:lastRenderedPageBreak/>
        <w:t>1</w:t>
      </w:r>
      <w:r w:rsidR="00923312" w:rsidRPr="007E4DAD">
        <w:rPr>
          <w:rFonts w:ascii="Times New Roman" w:hAnsi="Times New Roman"/>
          <w:sz w:val="28"/>
          <w:szCs w:val="28"/>
        </w:rPr>
        <w:t>.tabula</w:t>
      </w:r>
    </w:p>
    <w:p w:rsidR="00923312" w:rsidRDefault="00923312" w:rsidP="00923312">
      <w:pPr>
        <w:spacing w:after="0" w:line="240" w:lineRule="auto"/>
        <w:jc w:val="center"/>
        <w:rPr>
          <w:rFonts w:ascii="Times New Roman" w:hAnsi="Times New Roman"/>
          <w:b/>
          <w:sz w:val="28"/>
          <w:szCs w:val="28"/>
        </w:rPr>
      </w:pPr>
      <w:r>
        <w:rPr>
          <w:rFonts w:ascii="Times New Roman" w:hAnsi="Times New Roman"/>
          <w:b/>
          <w:sz w:val="28"/>
          <w:szCs w:val="28"/>
        </w:rPr>
        <w:t xml:space="preserve">Papildu </w:t>
      </w:r>
      <w:r w:rsidRPr="00945DAB">
        <w:rPr>
          <w:rFonts w:ascii="Times New Roman" w:hAnsi="Times New Roman"/>
          <w:b/>
          <w:sz w:val="28"/>
          <w:szCs w:val="28"/>
        </w:rPr>
        <w:t>nepieciešamais finansējums</w:t>
      </w:r>
      <w:r w:rsidRPr="00F05DCA">
        <w:rPr>
          <w:rFonts w:ascii="Times New Roman" w:hAnsi="Times New Roman"/>
          <w:b/>
          <w:sz w:val="28"/>
          <w:szCs w:val="28"/>
        </w:rPr>
        <w:t xml:space="preserve"> </w:t>
      </w:r>
      <w:r>
        <w:rPr>
          <w:rFonts w:ascii="Times New Roman" w:hAnsi="Times New Roman"/>
          <w:b/>
          <w:sz w:val="28"/>
          <w:szCs w:val="28"/>
        </w:rPr>
        <w:t xml:space="preserve">atalgojumam </w:t>
      </w:r>
      <w:r>
        <w:rPr>
          <w:rFonts w:ascii="Times New Roman" w:hAnsi="Times New Roman"/>
          <w:b/>
          <w:bCs/>
          <w:sz w:val="28"/>
          <w:szCs w:val="28"/>
        </w:rPr>
        <w:t>dažād</w:t>
      </w:r>
      <w:r w:rsidR="005A0480">
        <w:rPr>
          <w:rFonts w:ascii="Times New Roman" w:hAnsi="Times New Roman"/>
          <w:b/>
          <w:bCs/>
          <w:sz w:val="28"/>
          <w:szCs w:val="28"/>
        </w:rPr>
        <w:t xml:space="preserve">ām mēnešalgu skalas diapazona sašaurināšanas un iestādes vietas mēnešalgu skalā izlīdzināšanas  kombinācijām, </w:t>
      </w:r>
      <w:r>
        <w:rPr>
          <w:rFonts w:ascii="Times New Roman" w:hAnsi="Times New Roman"/>
          <w:b/>
          <w:sz w:val="28"/>
          <w:szCs w:val="28"/>
        </w:rPr>
        <w:t>milj.</w:t>
      </w:r>
      <w:r w:rsidR="00F4569C">
        <w:rPr>
          <w:rFonts w:ascii="Times New Roman" w:hAnsi="Times New Roman"/>
          <w:b/>
          <w:sz w:val="28"/>
          <w:szCs w:val="28"/>
        </w:rPr>
        <w:t xml:space="preserve"> </w:t>
      </w:r>
      <w:r>
        <w:rPr>
          <w:rFonts w:ascii="Times New Roman" w:hAnsi="Times New Roman"/>
          <w:b/>
          <w:sz w:val="28"/>
          <w:szCs w:val="28"/>
        </w:rPr>
        <w:t>Ls</w:t>
      </w:r>
    </w:p>
    <w:p w:rsidR="00923312" w:rsidRDefault="00923312" w:rsidP="00923312">
      <w:pPr>
        <w:spacing w:after="0" w:line="240" w:lineRule="auto"/>
        <w:jc w:val="center"/>
        <w:rPr>
          <w:rFonts w:ascii="Times New Roman" w:hAnsi="Times New Roman"/>
          <w:b/>
          <w:sz w:val="28"/>
          <w:szCs w:val="28"/>
        </w:rPr>
      </w:pPr>
    </w:p>
    <w:p w:rsidR="00923312" w:rsidRDefault="00923312" w:rsidP="00D17D74">
      <w:pPr>
        <w:pStyle w:val="ListParagraph"/>
        <w:numPr>
          <w:ilvl w:val="0"/>
          <w:numId w:val="19"/>
        </w:numPr>
        <w:autoSpaceDE w:val="0"/>
        <w:autoSpaceDN w:val="0"/>
        <w:adjustRightInd w:val="0"/>
        <w:spacing w:after="0" w:line="240" w:lineRule="auto"/>
        <w:jc w:val="both"/>
        <w:rPr>
          <w:rFonts w:ascii="Times New Roman" w:hAnsi="Times New Roman"/>
          <w:b/>
          <w:sz w:val="28"/>
          <w:szCs w:val="28"/>
        </w:rPr>
      </w:pPr>
      <w:r w:rsidRPr="009B55A6">
        <w:rPr>
          <w:rFonts w:ascii="Times New Roman" w:hAnsi="Times New Roman"/>
          <w:b/>
          <w:sz w:val="28"/>
          <w:szCs w:val="28"/>
        </w:rPr>
        <w:t>ministrijas</w:t>
      </w:r>
      <w:r w:rsidR="00122563" w:rsidRPr="009B55A6">
        <w:rPr>
          <w:rFonts w:ascii="Times New Roman" w:hAnsi="Times New Roman"/>
          <w:b/>
          <w:sz w:val="28"/>
          <w:szCs w:val="28"/>
        </w:rPr>
        <w:t xml:space="preserve"> </w:t>
      </w:r>
    </w:p>
    <w:p w:rsidR="00883F33" w:rsidRPr="009B55A6" w:rsidRDefault="00883F33" w:rsidP="00883F33">
      <w:pPr>
        <w:pStyle w:val="ListParagraph"/>
        <w:autoSpaceDE w:val="0"/>
        <w:autoSpaceDN w:val="0"/>
        <w:adjustRightInd w:val="0"/>
        <w:spacing w:after="0" w:line="240" w:lineRule="auto"/>
        <w:jc w:val="both"/>
        <w:rPr>
          <w:rFonts w:ascii="Times New Roman" w:hAnsi="Times New Roman"/>
          <w:b/>
          <w:sz w:val="28"/>
          <w:szCs w:val="28"/>
        </w:rPr>
      </w:pPr>
    </w:p>
    <w:tbl>
      <w:tblPr>
        <w:tblW w:w="0" w:type="auto"/>
        <w:tblInd w:w="93" w:type="dxa"/>
        <w:tblLook w:val="04A0" w:firstRow="1" w:lastRow="0" w:firstColumn="1" w:lastColumn="0" w:noHBand="0" w:noVBand="1"/>
      </w:tblPr>
      <w:tblGrid>
        <w:gridCol w:w="724"/>
        <w:gridCol w:w="696"/>
        <w:gridCol w:w="929"/>
        <w:gridCol w:w="929"/>
        <w:gridCol w:w="928"/>
        <w:gridCol w:w="928"/>
        <w:gridCol w:w="928"/>
      </w:tblGrid>
      <w:tr w:rsidR="00923312" w:rsidRPr="00F549A7" w:rsidTr="00122563">
        <w:trPr>
          <w:trHeight w:val="315"/>
        </w:trPr>
        <w:tc>
          <w:tcPr>
            <w:tcW w:w="142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923312" w:rsidRPr="00F549A7" w:rsidRDefault="00923312" w:rsidP="00122563">
            <w:pPr>
              <w:spacing w:after="0" w:line="240" w:lineRule="auto"/>
              <w:jc w:val="center"/>
              <w:rPr>
                <w:rFonts w:ascii="Times New Roman" w:hAnsi="Times New Roman"/>
                <w:sz w:val="24"/>
                <w:szCs w:val="24"/>
                <w:lang w:val="ru-RU" w:eastAsia="ru-RU"/>
              </w:rPr>
            </w:pPr>
            <w:bookmarkStart w:id="1" w:name="_Hlk354328532"/>
            <w:r w:rsidRPr="00F549A7">
              <w:rPr>
                <w:rFonts w:ascii="Times New Roman" w:hAnsi="Times New Roman"/>
                <w:sz w:val="24"/>
                <w:szCs w:val="24"/>
                <w:lang w:val="ru-RU" w:eastAsia="ru-RU"/>
              </w:rPr>
              <w:t> </w:t>
            </w:r>
          </w:p>
        </w:tc>
        <w:tc>
          <w:tcPr>
            <w:tcW w:w="0" w:type="auto"/>
            <w:gridSpan w:val="5"/>
            <w:tcBorders>
              <w:top w:val="single" w:sz="4" w:space="0" w:color="auto"/>
              <w:left w:val="nil"/>
              <w:bottom w:val="single" w:sz="4" w:space="0" w:color="auto"/>
              <w:right w:val="single" w:sz="4" w:space="0" w:color="000000"/>
            </w:tcBorders>
          </w:tcPr>
          <w:p w:rsidR="00923312" w:rsidRPr="00F549A7" w:rsidRDefault="00582ACF" w:rsidP="00582ACF">
            <w:pPr>
              <w:spacing w:after="0" w:line="240" w:lineRule="auto"/>
              <w:jc w:val="center"/>
              <w:rPr>
                <w:rFonts w:ascii="Times New Roman" w:hAnsi="Times New Roman"/>
                <w:sz w:val="24"/>
                <w:szCs w:val="24"/>
                <w:lang w:eastAsia="ru-RU"/>
              </w:rPr>
            </w:pPr>
            <w:r w:rsidRPr="00F549A7">
              <w:rPr>
                <w:rFonts w:ascii="Times New Roman" w:hAnsi="Times New Roman"/>
                <w:sz w:val="24"/>
                <w:szCs w:val="24"/>
                <w:lang w:eastAsia="ru-RU"/>
              </w:rPr>
              <w:t>V</w:t>
            </w:r>
            <w:r w:rsidR="00923312" w:rsidRPr="00F549A7">
              <w:rPr>
                <w:rFonts w:ascii="Times New Roman" w:hAnsi="Times New Roman"/>
                <w:sz w:val="24"/>
                <w:szCs w:val="24"/>
                <w:lang w:val="ru-RU" w:eastAsia="ru-RU"/>
              </w:rPr>
              <w:t>ieta</w:t>
            </w:r>
            <w:r w:rsidRPr="00F549A7">
              <w:rPr>
                <w:rFonts w:ascii="Times New Roman" w:hAnsi="Times New Roman"/>
                <w:sz w:val="24"/>
                <w:szCs w:val="24"/>
                <w:lang w:eastAsia="ru-RU"/>
              </w:rPr>
              <w:t>s</w:t>
            </w:r>
            <w:r w:rsidR="00923312" w:rsidRPr="00F549A7">
              <w:rPr>
                <w:rFonts w:ascii="Times New Roman" w:hAnsi="Times New Roman"/>
                <w:sz w:val="24"/>
                <w:szCs w:val="24"/>
                <w:lang w:val="ru-RU" w:eastAsia="ru-RU"/>
              </w:rPr>
              <w:t xml:space="preserve"> mēnešalg</w:t>
            </w:r>
            <w:r w:rsidRPr="00F549A7">
              <w:rPr>
                <w:rFonts w:ascii="Times New Roman" w:hAnsi="Times New Roman"/>
                <w:sz w:val="24"/>
                <w:szCs w:val="24"/>
                <w:lang w:eastAsia="ru-RU"/>
              </w:rPr>
              <w:t xml:space="preserve">u </w:t>
            </w:r>
            <w:r w:rsidR="00923312" w:rsidRPr="00F549A7">
              <w:rPr>
                <w:rFonts w:ascii="Times New Roman" w:hAnsi="Times New Roman"/>
                <w:sz w:val="24"/>
                <w:szCs w:val="24"/>
                <w:lang w:val="ru-RU" w:eastAsia="ru-RU"/>
              </w:rPr>
              <w:t>skalā</w:t>
            </w:r>
            <w:r w:rsidR="00827F74" w:rsidRPr="00F549A7">
              <w:rPr>
                <w:rFonts w:ascii="Times New Roman" w:hAnsi="Times New Roman"/>
                <w:sz w:val="24"/>
                <w:szCs w:val="24"/>
                <w:lang w:eastAsia="ru-RU"/>
              </w:rPr>
              <w:t xml:space="preserve"> </w:t>
            </w:r>
            <w:r w:rsidRPr="00F549A7">
              <w:rPr>
                <w:rFonts w:ascii="Times New Roman" w:hAnsi="Times New Roman"/>
                <w:sz w:val="24"/>
                <w:szCs w:val="24"/>
                <w:lang w:eastAsia="ru-RU"/>
              </w:rPr>
              <w:t>izlīdzināšanas līmenis</w:t>
            </w:r>
          </w:p>
        </w:tc>
      </w:tr>
      <w:tr w:rsidR="00923312" w:rsidRPr="00F549A7" w:rsidTr="00122563">
        <w:trPr>
          <w:trHeight w:val="300"/>
        </w:trPr>
        <w:tc>
          <w:tcPr>
            <w:tcW w:w="1420" w:type="dxa"/>
            <w:gridSpan w:val="2"/>
            <w:vMerge/>
            <w:tcBorders>
              <w:top w:val="single" w:sz="4" w:space="0" w:color="auto"/>
              <w:left w:val="single" w:sz="4" w:space="0" w:color="auto"/>
              <w:bottom w:val="single" w:sz="4" w:space="0" w:color="000000"/>
              <w:right w:val="single" w:sz="4" w:space="0" w:color="000000"/>
            </w:tcBorders>
            <w:vAlign w:val="center"/>
            <w:hideMark/>
          </w:tcPr>
          <w:p w:rsidR="00923312" w:rsidRPr="00F549A7" w:rsidRDefault="00923312" w:rsidP="00122563">
            <w:pPr>
              <w:spacing w:after="0" w:line="240" w:lineRule="auto"/>
              <w:rPr>
                <w:rFonts w:ascii="Times New Roman" w:hAnsi="Times New Roman"/>
                <w:sz w:val="24"/>
                <w:szCs w:val="24"/>
                <w:lang w:val="ru-RU" w:eastAsia="ru-RU"/>
              </w:rPr>
            </w:pPr>
          </w:p>
        </w:tc>
        <w:tc>
          <w:tcPr>
            <w:tcW w:w="0" w:type="auto"/>
            <w:tcBorders>
              <w:top w:val="nil"/>
              <w:left w:val="nil"/>
              <w:bottom w:val="single" w:sz="4" w:space="0" w:color="auto"/>
              <w:right w:val="single" w:sz="4" w:space="0" w:color="auto"/>
            </w:tcBorders>
            <w:shd w:val="clear" w:color="auto" w:fill="auto"/>
            <w:noWrap/>
            <w:vAlign w:val="bottom"/>
            <w:hideMark/>
          </w:tcPr>
          <w:p w:rsidR="00923312" w:rsidRPr="00F549A7" w:rsidRDefault="00923312" w:rsidP="00122563">
            <w:pPr>
              <w:spacing w:after="0" w:line="240" w:lineRule="auto"/>
              <w:jc w:val="center"/>
              <w:rPr>
                <w:rFonts w:ascii="Times New Roman" w:hAnsi="Times New Roman"/>
                <w:b/>
                <w:sz w:val="24"/>
                <w:szCs w:val="24"/>
                <w:lang w:val="ru-RU" w:eastAsia="ru-RU"/>
              </w:rPr>
            </w:pPr>
            <w:r w:rsidRPr="00F549A7">
              <w:rPr>
                <w:rFonts w:ascii="Times New Roman" w:hAnsi="Times New Roman"/>
                <w:b/>
                <w:sz w:val="24"/>
                <w:szCs w:val="24"/>
                <w:lang w:val="ru-RU" w:eastAsia="ru-RU"/>
              </w:rPr>
              <w:t>0,6</w:t>
            </w:r>
          </w:p>
        </w:tc>
        <w:tc>
          <w:tcPr>
            <w:tcW w:w="0" w:type="auto"/>
            <w:tcBorders>
              <w:top w:val="nil"/>
              <w:left w:val="nil"/>
              <w:bottom w:val="single" w:sz="4" w:space="0" w:color="auto"/>
              <w:right w:val="single" w:sz="4" w:space="0" w:color="auto"/>
            </w:tcBorders>
            <w:shd w:val="clear" w:color="auto" w:fill="auto"/>
            <w:noWrap/>
            <w:vAlign w:val="bottom"/>
            <w:hideMark/>
          </w:tcPr>
          <w:p w:rsidR="00923312" w:rsidRPr="00F549A7" w:rsidRDefault="00923312" w:rsidP="00122563">
            <w:pPr>
              <w:spacing w:after="0" w:line="240" w:lineRule="auto"/>
              <w:jc w:val="center"/>
              <w:rPr>
                <w:rFonts w:ascii="Times New Roman" w:hAnsi="Times New Roman"/>
                <w:b/>
                <w:sz w:val="24"/>
                <w:szCs w:val="24"/>
                <w:lang w:val="ru-RU" w:eastAsia="ru-RU"/>
              </w:rPr>
            </w:pPr>
            <w:r w:rsidRPr="00F549A7">
              <w:rPr>
                <w:rFonts w:ascii="Times New Roman" w:hAnsi="Times New Roman"/>
                <w:b/>
                <w:sz w:val="24"/>
                <w:szCs w:val="24"/>
                <w:lang w:val="ru-RU" w:eastAsia="ru-RU"/>
              </w:rPr>
              <w:t>0,7</w:t>
            </w:r>
          </w:p>
        </w:tc>
        <w:tc>
          <w:tcPr>
            <w:tcW w:w="0" w:type="auto"/>
            <w:tcBorders>
              <w:top w:val="nil"/>
              <w:left w:val="nil"/>
              <w:bottom w:val="single" w:sz="4" w:space="0" w:color="auto"/>
              <w:right w:val="single" w:sz="4" w:space="0" w:color="auto"/>
            </w:tcBorders>
            <w:shd w:val="clear" w:color="auto" w:fill="auto"/>
            <w:noWrap/>
            <w:vAlign w:val="bottom"/>
            <w:hideMark/>
          </w:tcPr>
          <w:p w:rsidR="00923312" w:rsidRPr="00F549A7" w:rsidRDefault="00923312" w:rsidP="00122563">
            <w:pPr>
              <w:spacing w:after="0" w:line="240" w:lineRule="auto"/>
              <w:jc w:val="center"/>
              <w:rPr>
                <w:rFonts w:ascii="Times New Roman" w:hAnsi="Times New Roman"/>
                <w:b/>
                <w:sz w:val="24"/>
                <w:szCs w:val="24"/>
                <w:lang w:val="ru-RU" w:eastAsia="ru-RU"/>
              </w:rPr>
            </w:pPr>
            <w:r w:rsidRPr="00F549A7">
              <w:rPr>
                <w:rFonts w:ascii="Times New Roman" w:hAnsi="Times New Roman"/>
                <w:b/>
                <w:sz w:val="24"/>
                <w:szCs w:val="24"/>
                <w:lang w:val="ru-RU" w:eastAsia="ru-RU"/>
              </w:rPr>
              <w:t>0,8</w:t>
            </w:r>
          </w:p>
        </w:tc>
        <w:tc>
          <w:tcPr>
            <w:tcW w:w="0" w:type="auto"/>
            <w:tcBorders>
              <w:top w:val="nil"/>
              <w:left w:val="nil"/>
              <w:bottom w:val="single" w:sz="4" w:space="0" w:color="auto"/>
              <w:right w:val="single" w:sz="4" w:space="0" w:color="auto"/>
            </w:tcBorders>
          </w:tcPr>
          <w:p w:rsidR="00923312" w:rsidRPr="00F549A7" w:rsidRDefault="00923312" w:rsidP="00122563">
            <w:pPr>
              <w:spacing w:after="0" w:line="240" w:lineRule="auto"/>
              <w:jc w:val="center"/>
              <w:rPr>
                <w:rFonts w:ascii="Times New Roman" w:hAnsi="Times New Roman"/>
                <w:b/>
                <w:sz w:val="24"/>
                <w:szCs w:val="24"/>
                <w:lang w:eastAsia="ru-RU"/>
              </w:rPr>
            </w:pPr>
            <w:r w:rsidRPr="00F549A7">
              <w:rPr>
                <w:rFonts w:ascii="Times New Roman" w:hAnsi="Times New Roman"/>
                <w:b/>
                <w:sz w:val="24"/>
                <w:szCs w:val="24"/>
                <w:lang w:eastAsia="ru-RU"/>
              </w:rPr>
              <w:t>0,9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23312" w:rsidRPr="00F549A7" w:rsidRDefault="00923312" w:rsidP="00122563">
            <w:pPr>
              <w:spacing w:after="0" w:line="240" w:lineRule="auto"/>
              <w:jc w:val="center"/>
              <w:rPr>
                <w:rFonts w:ascii="Times New Roman" w:hAnsi="Times New Roman"/>
                <w:b/>
                <w:sz w:val="24"/>
                <w:szCs w:val="24"/>
                <w:lang w:eastAsia="ru-RU"/>
              </w:rPr>
            </w:pPr>
            <w:r w:rsidRPr="00F549A7">
              <w:rPr>
                <w:rFonts w:ascii="Times New Roman" w:hAnsi="Times New Roman"/>
                <w:b/>
                <w:sz w:val="24"/>
                <w:szCs w:val="24"/>
                <w:lang w:eastAsia="ru-RU"/>
              </w:rPr>
              <w:t>1</w:t>
            </w:r>
          </w:p>
        </w:tc>
      </w:tr>
      <w:tr w:rsidR="007976FC" w:rsidRPr="00F549A7" w:rsidTr="00122563">
        <w:trPr>
          <w:trHeight w:val="315"/>
        </w:trPr>
        <w:tc>
          <w:tcPr>
            <w:tcW w:w="724" w:type="dxa"/>
            <w:vMerge w:val="restart"/>
            <w:tcBorders>
              <w:top w:val="nil"/>
              <w:left w:val="single" w:sz="4" w:space="0" w:color="auto"/>
              <w:right w:val="single" w:sz="4" w:space="0" w:color="auto"/>
            </w:tcBorders>
            <w:shd w:val="clear" w:color="auto" w:fill="auto"/>
            <w:textDirection w:val="btLr"/>
            <w:vAlign w:val="bottom"/>
          </w:tcPr>
          <w:p w:rsidR="007976FC" w:rsidRPr="00F549A7" w:rsidRDefault="007976FC" w:rsidP="00122563">
            <w:pPr>
              <w:spacing w:after="0" w:line="240" w:lineRule="auto"/>
              <w:jc w:val="center"/>
              <w:rPr>
                <w:rFonts w:ascii="Times New Roman" w:hAnsi="Times New Roman"/>
                <w:sz w:val="24"/>
                <w:szCs w:val="24"/>
                <w:lang w:val="ru-RU" w:eastAsia="ru-RU"/>
              </w:rPr>
            </w:pPr>
            <w:r w:rsidRPr="00F549A7">
              <w:rPr>
                <w:rFonts w:ascii="Times New Roman" w:hAnsi="Times New Roman"/>
                <w:sz w:val="24"/>
                <w:szCs w:val="24"/>
                <w:lang w:val="ru-RU" w:eastAsia="ru-RU"/>
              </w:rPr>
              <w:t>Diapazonu starpība (%)</w:t>
            </w:r>
          </w:p>
        </w:tc>
        <w:tc>
          <w:tcPr>
            <w:tcW w:w="0" w:type="auto"/>
            <w:tcBorders>
              <w:top w:val="nil"/>
              <w:left w:val="nil"/>
              <w:bottom w:val="single" w:sz="4" w:space="0" w:color="auto"/>
              <w:right w:val="single" w:sz="4" w:space="0" w:color="auto"/>
            </w:tcBorders>
            <w:shd w:val="clear" w:color="auto" w:fill="auto"/>
            <w:noWrap/>
          </w:tcPr>
          <w:p w:rsidR="007976FC" w:rsidRPr="00F549A7" w:rsidRDefault="007976FC" w:rsidP="00122563">
            <w:pPr>
              <w:spacing w:after="0" w:line="240" w:lineRule="auto"/>
              <w:jc w:val="center"/>
              <w:rPr>
                <w:rFonts w:ascii="Times New Roman" w:hAnsi="Times New Roman"/>
                <w:b/>
                <w:sz w:val="24"/>
                <w:szCs w:val="24"/>
                <w:lang w:eastAsia="ru-RU"/>
              </w:rPr>
            </w:pPr>
            <w:r w:rsidRPr="00F549A7">
              <w:rPr>
                <w:rFonts w:ascii="Times New Roman" w:hAnsi="Times New Roman"/>
                <w:b/>
                <w:sz w:val="24"/>
                <w:szCs w:val="24"/>
                <w:lang w:eastAsia="ru-RU"/>
              </w:rPr>
              <w:t>40%</w:t>
            </w:r>
          </w:p>
        </w:tc>
        <w:tc>
          <w:tcPr>
            <w:tcW w:w="0" w:type="auto"/>
            <w:tcBorders>
              <w:top w:val="nil"/>
              <w:left w:val="nil"/>
              <w:bottom w:val="single" w:sz="4" w:space="0" w:color="auto"/>
              <w:right w:val="single" w:sz="4" w:space="0" w:color="auto"/>
            </w:tcBorders>
            <w:shd w:val="clear" w:color="auto" w:fill="auto"/>
            <w:noWrap/>
            <w:vAlign w:val="bottom"/>
          </w:tcPr>
          <w:p w:rsidR="007976FC" w:rsidRPr="00F549A7" w:rsidRDefault="007976FC" w:rsidP="007976FC">
            <w:pPr>
              <w:spacing w:after="120"/>
              <w:jc w:val="center"/>
              <w:rPr>
                <w:rFonts w:ascii="Times New Roman" w:hAnsi="Times New Roman"/>
                <w:color w:val="000000"/>
                <w:sz w:val="24"/>
                <w:szCs w:val="24"/>
              </w:rPr>
            </w:pPr>
            <w:r w:rsidRPr="00F549A7">
              <w:rPr>
                <w:rFonts w:ascii="Times New Roman" w:hAnsi="Times New Roman"/>
                <w:color w:val="000000"/>
                <w:sz w:val="24"/>
                <w:szCs w:val="24"/>
              </w:rPr>
              <w:t>0,37</w:t>
            </w:r>
          </w:p>
        </w:tc>
        <w:tc>
          <w:tcPr>
            <w:tcW w:w="0" w:type="auto"/>
            <w:tcBorders>
              <w:top w:val="nil"/>
              <w:left w:val="nil"/>
              <w:bottom w:val="single" w:sz="4" w:space="0" w:color="auto"/>
              <w:right w:val="single" w:sz="4" w:space="0" w:color="auto"/>
            </w:tcBorders>
            <w:shd w:val="clear" w:color="auto" w:fill="auto"/>
            <w:noWrap/>
            <w:vAlign w:val="bottom"/>
          </w:tcPr>
          <w:p w:rsidR="007976FC" w:rsidRPr="00F549A7" w:rsidRDefault="007976FC" w:rsidP="007976FC">
            <w:pPr>
              <w:spacing w:after="120"/>
              <w:jc w:val="center"/>
              <w:rPr>
                <w:rFonts w:ascii="Times New Roman" w:hAnsi="Times New Roman"/>
                <w:color w:val="000000"/>
                <w:sz w:val="24"/>
                <w:szCs w:val="24"/>
              </w:rPr>
            </w:pPr>
            <w:r w:rsidRPr="00F549A7">
              <w:rPr>
                <w:rFonts w:ascii="Times New Roman" w:hAnsi="Times New Roman"/>
                <w:color w:val="000000"/>
                <w:sz w:val="24"/>
                <w:szCs w:val="24"/>
              </w:rPr>
              <w:t>0,43</w:t>
            </w:r>
          </w:p>
        </w:tc>
        <w:tc>
          <w:tcPr>
            <w:tcW w:w="0" w:type="auto"/>
            <w:tcBorders>
              <w:top w:val="nil"/>
              <w:left w:val="nil"/>
              <w:bottom w:val="single" w:sz="4" w:space="0" w:color="auto"/>
              <w:right w:val="single" w:sz="4" w:space="0" w:color="auto"/>
            </w:tcBorders>
            <w:shd w:val="clear" w:color="auto" w:fill="auto"/>
            <w:noWrap/>
            <w:vAlign w:val="bottom"/>
          </w:tcPr>
          <w:p w:rsidR="007976FC" w:rsidRPr="00F549A7" w:rsidRDefault="007976FC" w:rsidP="007976FC">
            <w:pPr>
              <w:spacing w:after="120"/>
              <w:jc w:val="center"/>
              <w:rPr>
                <w:rFonts w:ascii="Times New Roman" w:hAnsi="Times New Roman"/>
                <w:color w:val="000000"/>
                <w:sz w:val="24"/>
                <w:szCs w:val="24"/>
              </w:rPr>
            </w:pPr>
            <w:r w:rsidRPr="00F549A7">
              <w:rPr>
                <w:rFonts w:ascii="Times New Roman" w:hAnsi="Times New Roman"/>
                <w:color w:val="000000"/>
                <w:sz w:val="24"/>
                <w:szCs w:val="24"/>
              </w:rPr>
              <w:t>0,66</w:t>
            </w:r>
          </w:p>
        </w:tc>
        <w:tc>
          <w:tcPr>
            <w:tcW w:w="0" w:type="auto"/>
            <w:tcBorders>
              <w:top w:val="nil"/>
              <w:left w:val="nil"/>
              <w:bottom w:val="single" w:sz="4" w:space="0" w:color="auto"/>
              <w:right w:val="single" w:sz="4" w:space="0" w:color="auto"/>
            </w:tcBorders>
            <w:vAlign w:val="bottom"/>
          </w:tcPr>
          <w:p w:rsidR="007976FC" w:rsidRPr="00F549A7" w:rsidRDefault="007976FC" w:rsidP="007976FC">
            <w:pPr>
              <w:spacing w:after="120"/>
              <w:jc w:val="center"/>
              <w:rPr>
                <w:rFonts w:ascii="Times New Roman" w:hAnsi="Times New Roman"/>
                <w:color w:val="000000"/>
                <w:sz w:val="24"/>
                <w:szCs w:val="24"/>
              </w:rPr>
            </w:pPr>
            <w:r w:rsidRPr="00F549A7">
              <w:rPr>
                <w:rFonts w:ascii="Times New Roman" w:hAnsi="Times New Roman"/>
                <w:color w:val="000000"/>
                <w:sz w:val="24"/>
                <w:szCs w:val="24"/>
              </w:rPr>
              <w:t>1,2</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976FC" w:rsidRPr="00F549A7" w:rsidRDefault="007976FC" w:rsidP="007976FC">
            <w:pPr>
              <w:spacing w:after="120"/>
              <w:jc w:val="center"/>
              <w:rPr>
                <w:rFonts w:ascii="Times New Roman" w:hAnsi="Times New Roman"/>
                <w:color w:val="000000"/>
                <w:sz w:val="24"/>
                <w:szCs w:val="24"/>
              </w:rPr>
            </w:pPr>
            <w:r w:rsidRPr="00F549A7">
              <w:rPr>
                <w:rFonts w:ascii="Times New Roman" w:hAnsi="Times New Roman"/>
                <w:color w:val="000000"/>
                <w:sz w:val="24"/>
                <w:szCs w:val="24"/>
              </w:rPr>
              <w:t>1,93</w:t>
            </w:r>
          </w:p>
        </w:tc>
      </w:tr>
      <w:tr w:rsidR="007976FC" w:rsidRPr="00F549A7" w:rsidTr="00122563">
        <w:trPr>
          <w:trHeight w:val="315"/>
        </w:trPr>
        <w:tc>
          <w:tcPr>
            <w:tcW w:w="724" w:type="dxa"/>
            <w:vMerge/>
            <w:tcBorders>
              <w:left w:val="single" w:sz="4" w:space="0" w:color="auto"/>
              <w:right w:val="single" w:sz="4" w:space="0" w:color="auto"/>
            </w:tcBorders>
            <w:shd w:val="clear" w:color="auto" w:fill="auto"/>
            <w:textDirection w:val="btLr"/>
            <w:vAlign w:val="bottom"/>
            <w:hideMark/>
          </w:tcPr>
          <w:p w:rsidR="007976FC" w:rsidRPr="00F549A7" w:rsidRDefault="007976FC" w:rsidP="00122563">
            <w:pPr>
              <w:spacing w:after="0" w:line="240" w:lineRule="auto"/>
              <w:jc w:val="center"/>
              <w:rPr>
                <w:rFonts w:ascii="Times New Roman" w:hAnsi="Times New Roman"/>
                <w:sz w:val="24"/>
                <w:szCs w:val="24"/>
                <w:lang w:val="ru-RU" w:eastAsia="ru-RU"/>
              </w:rPr>
            </w:pPr>
          </w:p>
        </w:tc>
        <w:tc>
          <w:tcPr>
            <w:tcW w:w="0" w:type="auto"/>
            <w:tcBorders>
              <w:top w:val="nil"/>
              <w:left w:val="nil"/>
              <w:bottom w:val="single" w:sz="4" w:space="0" w:color="auto"/>
              <w:right w:val="single" w:sz="4" w:space="0" w:color="auto"/>
            </w:tcBorders>
            <w:shd w:val="clear" w:color="auto" w:fill="auto"/>
            <w:noWrap/>
            <w:hideMark/>
          </w:tcPr>
          <w:p w:rsidR="007976FC" w:rsidRPr="00F549A7" w:rsidRDefault="007976FC" w:rsidP="00122563">
            <w:pPr>
              <w:spacing w:after="0" w:line="240" w:lineRule="auto"/>
              <w:jc w:val="center"/>
              <w:rPr>
                <w:rFonts w:ascii="Times New Roman" w:hAnsi="Times New Roman"/>
                <w:b/>
                <w:sz w:val="24"/>
                <w:szCs w:val="24"/>
                <w:lang w:val="ru-RU" w:eastAsia="ru-RU"/>
              </w:rPr>
            </w:pPr>
            <w:r w:rsidRPr="00F549A7">
              <w:rPr>
                <w:rFonts w:ascii="Times New Roman" w:hAnsi="Times New Roman"/>
                <w:b/>
                <w:sz w:val="24"/>
                <w:szCs w:val="24"/>
                <w:lang w:val="ru-RU" w:eastAsia="ru-RU"/>
              </w:rPr>
              <w:t>30%</w:t>
            </w:r>
          </w:p>
        </w:tc>
        <w:tc>
          <w:tcPr>
            <w:tcW w:w="0" w:type="auto"/>
            <w:tcBorders>
              <w:top w:val="nil"/>
              <w:left w:val="nil"/>
              <w:bottom w:val="single" w:sz="4" w:space="0" w:color="auto"/>
              <w:right w:val="single" w:sz="4" w:space="0" w:color="auto"/>
            </w:tcBorders>
            <w:shd w:val="clear" w:color="auto" w:fill="auto"/>
            <w:noWrap/>
            <w:vAlign w:val="bottom"/>
          </w:tcPr>
          <w:p w:rsidR="007976FC" w:rsidRPr="00F549A7" w:rsidRDefault="007976FC" w:rsidP="007976FC">
            <w:pPr>
              <w:spacing w:after="120"/>
              <w:jc w:val="center"/>
              <w:rPr>
                <w:rFonts w:ascii="Times New Roman" w:hAnsi="Times New Roman"/>
                <w:color w:val="000000"/>
                <w:sz w:val="24"/>
                <w:szCs w:val="24"/>
              </w:rPr>
            </w:pPr>
            <w:r w:rsidRPr="00F549A7">
              <w:rPr>
                <w:rFonts w:ascii="Times New Roman" w:hAnsi="Times New Roman"/>
                <w:color w:val="000000"/>
                <w:sz w:val="24"/>
                <w:szCs w:val="24"/>
              </w:rPr>
              <w:t>0,41</w:t>
            </w:r>
          </w:p>
        </w:tc>
        <w:tc>
          <w:tcPr>
            <w:tcW w:w="0" w:type="auto"/>
            <w:tcBorders>
              <w:top w:val="nil"/>
              <w:left w:val="nil"/>
              <w:bottom w:val="single" w:sz="4" w:space="0" w:color="auto"/>
              <w:right w:val="single" w:sz="4" w:space="0" w:color="auto"/>
            </w:tcBorders>
            <w:shd w:val="clear" w:color="auto" w:fill="auto"/>
            <w:noWrap/>
            <w:vAlign w:val="bottom"/>
          </w:tcPr>
          <w:p w:rsidR="007976FC" w:rsidRPr="00F549A7" w:rsidRDefault="007976FC" w:rsidP="007976FC">
            <w:pPr>
              <w:spacing w:after="120"/>
              <w:jc w:val="center"/>
              <w:rPr>
                <w:rFonts w:ascii="Times New Roman" w:hAnsi="Times New Roman"/>
                <w:color w:val="000000"/>
                <w:sz w:val="24"/>
                <w:szCs w:val="24"/>
              </w:rPr>
            </w:pPr>
            <w:r w:rsidRPr="00F549A7">
              <w:rPr>
                <w:rFonts w:ascii="Times New Roman" w:hAnsi="Times New Roman"/>
                <w:color w:val="000000"/>
                <w:sz w:val="24"/>
                <w:szCs w:val="24"/>
              </w:rPr>
              <w:t>0,46</w:t>
            </w:r>
          </w:p>
        </w:tc>
        <w:tc>
          <w:tcPr>
            <w:tcW w:w="0" w:type="auto"/>
            <w:tcBorders>
              <w:top w:val="nil"/>
              <w:left w:val="nil"/>
              <w:bottom w:val="single" w:sz="4" w:space="0" w:color="auto"/>
              <w:right w:val="single" w:sz="4" w:space="0" w:color="auto"/>
            </w:tcBorders>
            <w:shd w:val="clear" w:color="auto" w:fill="auto"/>
            <w:noWrap/>
            <w:vAlign w:val="bottom"/>
          </w:tcPr>
          <w:p w:rsidR="007976FC" w:rsidRPr="00F549A7" w:rsidRDefault="007976FC" w:rsidP="007976FC">
            <w:pPr>
              <w:spacing w:after="120"/>
              <w:jc w:val="center"/>
              <w:rPr>
                <w:rFonts w:ascii="Times New Roman" w:hAnsi="Times New Roman"/>
                <w:color w:val="000000"/>
                <w:sz w:val="24"/>
                <w:szCs w:val="24"/>
              </w:rPr>
            </w:pPr>
            <w:r w:rsidRPr="00F549A7">
              <w:rPr>
                <w:rFonts w:ascii="Times New Roman" w:hAnsi="Times New Roman"/>
                <w:color w:val="000000"/>
                <w:sz w:val="24"/>
                <w:szCs w:val="24"/>
              </w:rPr>
              <w:t>0,7</w:t>
            </w:r>
          </w:p>
        </w:tc>
        <w:tc>
          <w:tcPr>
            <w:tcW w:w="0" w:type="auto"/>
            <w:tcBorders>
              <w:top w:val="nil"/>
              <w:left w:val="nil"/>
              <w:bottom w:val="single" w:sz="4" w:space="0" w:color="auto"/>
              <w:right w:val="single" w:sz="4" w:space="0" w:color="auto"/>
            </w:tcBorders>
            <w:vAlign w:val="bottom"/>
          </w:tcPr>
          <w:p w:rsidR="007976FC" w:rsidRPr="00F549A7" w:rsidRDefault="007976FC" w:rsidP="007976FC">
            <w:pPr>
              <w:spacing w:after="120"/>
              <w:jc w:val="center"/>
              <w:rPr>
                <w:rFonts w:ascii="Times New Roman" w:hAnsi="Times New Roman"/>
                <w:color w:val="000000"/>
                <w:sz w:val="24"/>
                <w:szCs w:val="24"/>
              </w:rPr>
            </w:pPr>
            <w:r w:rsidRPr="00F549A7">
              <w:rPr>
                <w:rFonts w:ascii="Times New Roman" w:hAnsi="Times New Roman"/>
                <w:color w:val="000000"/>
                <w:sz w:val="24"/>
                <w:szCs w:val="24"/>
              </w:rPr>
              <w:t>1,23</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976FC" w:rsidRPr="00F549A7" w:rsidRDefault="007976FC" w:rsidP="007976FC">
            <w:pPr>
              <w:spacing w:after="120"/>
              <w:jc w:val="center"/>
              <w:rPr>
                <w:rFonts w:ascii="Times New Roman" w:hAnsi="Times New Roman"/>
                <w:color w:val="000000"/>
                <w:sz w:val="24"/>
                <w:szCs w:val="24"/>
              </w:rPr>
            </w:pPr>
            <w:r w:rsidRPr="00F549A7">
              <w:rPr>
                <w:rFonts w:ascii="Times New Roman" w:hAnsi="Times New Roman"/>
                <w:color w:val="000000"/>
                <w:sz w:val="24"/>
                <w:szCs w:val="24"/>
              </w:rPr>
              <w:t>1,95</w:t>
            </w:r>
          </w:p>
        </w:tc>
      </w:tr>
      <w:tr w:rsidR="007976FC" w:rsidRPr="00F549A7" w:rsidTr="00122563">
        <w:trPr>
          <w:trHeight w:val="315"/>
        </w:trPr>
        <w:tc>
          <w:tcPr>
            <w:tcW w:w="724" w:type="dxa"/>
            <w:vMerge/>
            <w:tcBorders>
              <w:left w:val="single" w:sz="4" w:space="0" w:color="auto"/>
              <w:right w:val="single" w:sz="4" w:space="0" w:color="auto"/>
            </w:tcBorders>
            <w:vAlign w:val="center"/>
            <w:hideMark/>
          </w:tcPr>
          <w:p w:rsidR="007976FC" w:rsidRPr="00F549A7" w:rsidRDefault="007976FC" w:rsidP="00122563">
            <w:pPr>
              <w:spacing w:after="0" w:line="240" w:lineRule="auto"/>
              <w:rPr>
                <w:rFonts w:ascii="Times New Roman" w:hAnsi="Times New Roman"/>
                <w:sz w:val="24"/>
                <w:szCs w:val="24"/>
                <w:lang w:val="ru-RU" w:eastAsia="ru-RU"/>
              </w:rPr>
            </w:pPr>
          </w:p>
        </w:tc>
        <w:tc>
          <w:tcPr>
            <w:tcW w:w="0" w:type="auto"/>
            <w:tcBorders>
              <w:top w:val="nil"/>
              <w:left w:val="nil"/>
              <w:bottom w:val="single" w:sz="4" w:space="0" w:color="auto"/>
              <w:right w:val="single" w:sz="4" w:space="0" w:color="auto"/>
            </w:tcBorders>
            <w:shd w:val="clear" w:color="auto" w:fill="auto"/>
            <w:noWrap/>
            <w:hideMark/>
          </w:tcPr>
          <w:p w:rsidR="007976FC" w:rsidRPr="00F549A7" w:rsidRDefault="007976FC" w:rsidP="00122563">
            <w:pPr>
              <w:spacing w:after="0" w:line="240" w:lineRule="auto"/>
              <w:jc w:val="center"/>
              <w:rPr>
                <w:rFonts w:ascii="Times New Roman" w:hAnsi="Times New Roman"/>
                <w:b/>
                <w:sz w:val="24"/>
                <w:szCs w:val="24"/>
                <w:lang w:val="ru-RU" w:eastAsia="ru-RU"/>
              </w:rPr>
            </w:pPr>
            <w:r w:rsidRPr="00F549A7">
              <w:rPr>
                <w:rFonts w:ascii="Times New Roman" w:hAnsi="Times New Roman"/>
                <w:b/>
                <w:sz w:val="24"/>
                <w:szCs w:val="24"/>
                <w:lang w:val="ru-RU" w:eastAsia="ru-RU"/>
              </w:rPr>
              <w:t>20%</w:t>
            </w:r>
          </w:p>
        </w:tc>
        <w:tc>
          <w:tcPr>
            <w:tcW w:w="0" w:type="auto"/>
            <w:tcBorders>
              <w:top w:val="nil"/>
              <w:left w:val="nil"/>
              <w:bottom w:val="single" w:sz="4" w:space="0" w:color="auto"/>
              <w:right w:val="single" w:sz="4" w:space="0" w:color="auto"/>
            </w:tcBorders>
            <w:shd w:val="clear" w:color="auto" w:fill="auto"/>
            <w:noWrap/>
            <w:vAlign w:val="bottom"/>
          </w:tcPr>
          <w:p w:rsidR="007976FC" w:rsidRPr="00F549A7" w:rsidRDefault="007976FC" w:rsidP="007976FC">
            <w:pPr>
              <w:spacing w:after="120"/>
              <w:jc w:val="center"/>
              <w:rPr>
                <w:rFonts w:ascii="Times New Roman" w:hAnsi="Times New Roman"/>
                <w:color w:val="000000"/>
                <w:sz w:val="24"/>
                <w:szCs w:val="24"/>
              </w:rPr>
            </w:pPr>
            <w:r w:rsidRPr="00F549A7">
              <w:rPr>
                <w:rFonts w:ascii="Times New Roman" w:hAnsi="Times New Roman"/>
                <w:color w:val="000000"/>
                <w:sz w:val="24"/>
                <w:szCs w:val="24"/>
              </w:rPr>
              <w:t>1,05</w:t>
            </w:r>
          </w:p>
        </w:tc>
        <w:tc>
          <w:tcPr>
            <w:tcW w:w="0" w:type="auto"/>
            <w:tcBorders>
              <w:top w:val="nil"/>
              <w:left w:val="nil"/>
              <w:bottom w:val="single" w:sz="4" w:space="0" w:color="auto"/>
              <w:right w:val="single" w:sz="4" w:space="0" w:color="auto"/>
            </w:tcBorders>
            <w:shd w:val="clear" w:color="auto" w:fill="auto"/>
            <w:noWrap/>
            <w:vAlign w:val="bottom"/>
          </w:tcPr>
          <w:p w:rsidR="007976FC" w:rsidRPr="00F549A7" w:rsidRDefault="007976FC" w:rsidP="007976FC">
            <w:pPr>
              <w:spacing w:after="120"/>
              <w:jc w:val="center"/>
              <w:rPr>
                <w:rFonts w:ascii="Times New Roman" w:hAnsi="Times New Roman"/>
                <w:color w:val="000000"/>
                <w:sz w:val="24"/>
                <w:szCs w:val="24"/>
              </w:rPr>
            </w:pPr>
            <w:r w:rsidRPr="00F549A7">
              <w:rPr>
                <w:rFonts w:ascii="Times New Roman" w:hAnsi="Times New Roman"/>
                <w:color w:val="000000"/>
                <w:sz w:val="24"/>
                <w:szCs w:val="24"/>
              </w:rPr>
              <w:t>1,08</w:t>
            </w:r>
          </w:p>
        </w:tc>
        <w:tc>
          <w:tcPr>
            <w:tcW w:w="0" w:type="auto"/>
            <w:tcBorders>
              <w:top w:val="nil"/>
              <w:left w:val="nil"/>
              <w:bottom w:val="single" w:sz="4" w:space="0" w:color="auto"/>
              <w:right w:val="single" w:sz="4" w:space="0" w:color="auto"/>
            </w:tcBorders>
            <w:shd w:val="clear" w:color="auto" w:fill="auto"/>
            <w:noWrap/>
            <w:vAlign w:val="bottom"/>
          </w:tcPr>
          <w:p w:rsidR="007976FC" w:rsidRPr="00F549A7" w:rsidRDefault="007976FC" w:rsidP="007976FC">
            <w:pPr>
              <w:spacing w:after="120"/>
              <w:jc w:val="center"/>
              <w:rPr>
                <w:rFonts w:ascii="Times New Roman" w:hAnsi="Times New Roman"/>
                <w:color w:val="000000"/>
                <w:sz w:val="24"/>
                <w:szCs w:val="24"/>
              </w:rPr>
            </w:pPr>
            <w:r w:rsidRPr="00F549A7">
              <w:rPr>
                <w:rFonts w:ascii="Times New Roman" w:hAnsi="Times New Roman"/>
                <w:color w:val="000000"/>
                <w:sz w:val="24"/>
                <w:szCs w:val="24"/>
              </w:rPr>
              <w:t>1,19</w:t>
            </w:r>
          </w:p>
        </w:tc>
        <w:tc>
          <w:tcPr>
            <w:tcW w:w="0" w:type="auto"/>
            <w:tcBorders>
              <w:top w:val="nil"/>
              <w:left w:val="nil"/>
              <w:bottom w:val="single" w:sz="4" w:space="0" w:color="auto"/>
              <w:right w:val="single" w:sz="4" w:space="0" w:color="auto"/>
            </w:tcBorders>
            <w:vAlign w:val="bottom"/>
          </w:tcPr>
          <w:p w:rsidR="007976FC" w:rsidRPr="00F549A7" w:rsidRDefault="007976FC" w:rsidP="007976FC">
            <w:pPr>
              <w:spacing w:after="120"/>
              <w:jc w:val="center"/>
              <w:rPr>
                <w:rFonts w:ascii="Times New Roman" w:hAnsi="Times New Roman"/>
                <w:color w:val="000000"/>
                <w:sz w:val="24"/>
                <w:szCs w:val="24"/>
              </w:rPr>
            </w:pPr>
            <w:r w:rsidRPr="00F549A7">
              <w:rPr>
                <w:rFonts w:ascii="Times New Roman" w:hAnsi="Times New Roman"/>
                <w:color w:val="000000"/>
                <w:sz w:val="24"/>
                <w:szCs w:val="24"/>
              </w:rPr>
              <w:t>1,49</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976FC" w:rsidRPr="00F549A7" w:rsidRDefault="007976FC" w:rsidP="007976FC">
            <w:pPr>
              <w:spacing w:after="120"/>
              <w:jc w:val="center"/>
              <w:rPr>
                <w:rFonts w:ascii="Times New Roman" w:hAnsi="Times New Roman"/>
                <w:color w:val="000000"/>
                <w:sz w:val="24"/>
                <w:szCs w:val="24"/>
              </w:rPr>
            </w:pPr>
            <w:r w:rsidRPr="00F549A7">
              <w:rPr>
                <w:rFonts w:ascii="Times New Roman" w:hAnsi="Times New Roman"/>
                <w:color w:val="000000"/>
                <w:sz w:val="24"/>
                <w:szCs w:val="24"/>
              </w:rPr>
              <w:t>2,03</w:t>
            </w:r>
          </w:p>
        </w:tc>
      </w:tr>
      <w:tr w:rsidR="007976FC" w:rsidRPr="00F549A7" w:rsidTr="00122563">
        <w:trPr>
          <w:trHeight w:val="315"/>
        </w:trPr>
        <w:tc>
          <w:tcPr>
            <w:tcW w:w="724" w:type="dxa"/>
            <w:vMerge/>
            <w:tcBorders>
              <w:left w:val="single" w:sz="4" w:space="0" w:color="auto"/>
              <w:right w:val="single" w:sz="4" w:space="0" w:color="auto"/>
            </w:tcBorders>
            <w:vAlign w:val="center"/>
            <w:hideMark/>
          </w:tcPr>
          <w:p w:rsidR="007976FC" w:rsidRPr="00F549A7" w:rsidRDefault="007976FC" w:rsidP="00122563">
            <w:pPr>
              <w:spacing w:after="0" w:line="240" w:lineRule="auto"/>
              <w:rPr>
                <w:rFonts w:ascii="Times New Roman" w:hAnsi="Times New Roman"/>
                <w:sz w:val="24"/>
                <w:szCs w:val="24"/>
                <w:lang w:val="ru-RU" w:eastAsia="ru-RU"/>
              </w:rPr>
            </w:pPr>
          </w:p>
        </w:tc>
        <w:tc>
          <w:tcPr>
            <w:tcW w:w="0" w:type="auto"/>
            <w:tcBorders>
              <w:top w:val="nil"/>
              <w:left w:val="nil"/>
              <w:bottom w:val="single" w:sz="4" w:space="0" w:color="auto"/>
              <w:right w:val="single" w:sz="4" w:space="0" w:color="auto"/>
            </w:tcBorders>
            <w:shd w:val="clear" w:color="auto" w:fill="auto"/>
            <w:noWrap/>
            <w:hideMark/>
          </w:tcPr>
          <w:p w:rsidR="007976FC" w:rsidRPr="00F549A7" w:rsidRDefault="007976FC" w:rsidP="00122563">
            <w:pPr>
              <w:spacing w:after="0" w:line="240" w:lineRule="auto"/>
              <w:jc w:val="center"/>
              <w:rPr>
                <w:rFonts w:ascii="Times New Roman" w:hAnsi="Times New Roman"/>
                <w:b/>
                <w:sz w:val="24"/>
                <w:szCs w:val="24"/>
                <w:lang w:val="ru-RU" w:eastAsia="ru-RU"/>
              </w:rPr>
            </w:pPr>
            <w:r w:rsidRPr="00F549A7">
              <w:rPr>
                <w:rFonts w:ascii="Times New Roman" w:hAnsi="Times New Roman"/>
                <w:b/>
                <w:sz w:val="24"/>
                <w:szCs w:val="24"/>
                <w:lang w:val="ru-RU" w:eastAsia="ru-RU"/>
              </w:rPr>
              <w:t>15%</w:t>
            </w:r>
          </w:p>
        </w:tc>
        <w:tc>
          <w:tcPr>
            <w:tcW w:w="0" w:type="auto"/>
            <w:tcBorders>
              <w:top w:val="nil"/>
              <w:left w:val="nil"/>
              <w:bottom w:val="single" w:sz="4" w:space="0" w:color="auto"/>
              <w:right w:val="single" w:sz="4" w:space="0" w:color="auto"/>
            </w:tcBorders>
            <w:shd w:val="clear" w:color="auto" w:fill="auto"/>
            <w:noWrap/>
            <w:vAlign w:val="bottom"/>
          </w:tcPr>
          <w:p w:rsidR="007976FC" w:rsidRPr="00F549A7" w:rsidRDefault="007976FC" w:rsidP="007976FC">
            <w:pPr>
              <w:spacing w:after="120"/>
              <w:jc w:val="center"/>
              <w:rPr>
                <w:rFonts w:ascii="Times New Roman" w:hAnsi="Times New Roman"/>
                <w:color w:val="000000"/>
                <w:sz w:val="24"/>
                <w:szCs w:val="24"/>
              </w:rPr>
            </w:pPr>
            <w:r w:rsidRPr="00F549A7">
              <w:rPr>
                <w:rFonts w:ascii="Times New Roman" w:hAnsi="Times New Roman"/>
                <w:color w:val="000000"/>
                <w:sz w:val="24"/>
                <w:szCs w:val="24"/>
              </w:rPr>
              <w:t>1,67</w:t>
            </w:r>
          </w:p>
        </w:tc>
        <w:tc>
          <w:tcPr>
            <w:tcW w:w="0" w:type="auto"/>
            <w:tcBorders>
              <w:top w:val="nil"/>
              <w:left w:val="nil"/>
              <w:bottom w:val="single" w:sz="4" w:space="0" w:color="auto"/>
              <w:right w:val="single" w:sz="4" w:space="0" w:color="auto"/>
            </w:tcBorders>
            <w:shd w:val="clear" w:color="auto" w:fill="auto"/>
            <w:noWrap/>
            <w:vAlign w:val="bottom"/>
          </w:tcPr>
          <w:p w:rsidR="007976FC" w:rsidRPr="00F549A7" w:rsidRDefault="007976FC" w:rsidP="007976FC">
            <w:pPr>
              <w:spacing w:after="120"/>
              <w:jc w:val="center"/>
              <w:rPr>
                <w:rFonts w:ascii="Times New Roman" w:hAnsi="Times New Roman"/>
                <w:color w:val="000000"/>
                <w:sz w:val="24"/>
                <w:szCs w:val="24"/>
              </w:rPr>
            </w:pPr>
            <w:r w:rsidRPr="00F549A7">
              <w:rPr>
                <w:rFonts w:ascii="Times New Roman" w:hAnsi="Times New Roman"/>
                <w:color w:val="000000"/>
                <w:sz w:val="24"/>
                <w:szCs w:val="24"/>
              </w:rPr>
              <w:t>1,68</w:t>
            </w:r>
          </w:p>
        </w:tc>
        <w:tc>
          <w:tcPr>
            <w:tcW w:w="0" w:type="auto"/>
            <w:tcBorders>
              <w:top w:val="nil"/>
              <w:left w:val="nil"/>
              <w:bottom w:val="single" w:sz="4" w:space="0" w:color="auto"/>
              <w:right w:val="single" w:sz="4" w:space="0" w:color="auto"/>
            </w:tcBorders>
            <w:shd w:val="clear" w:color="auto" w:fill="auto"/>
            <w:noWrap/>
            <w:vAlign w:val="bottom"/>
          </w:tcPr>
          <w:p w:rsidR="007976FC" w:rsidRPr="00F549A7" w:rsidRDefault="007976FC" w:rsidP="007976FC">
            <w:pPr>
              <w:spacing w:after="120"/>
              <w:jc w:val="center"/>
              <w:rPr>
                <w:rFonts w:ascii="Times New Roman" w:hAnsi="Times New Roman"/>
                <w:color w:val="000000"/>
                <w:sz w:val="24"/>
                <w:szCs w:val="24"/>
              </w:rPr>
            </w:pPr>
            <w:r w:rsidRPr="00F549A7">
              <w:rPr>
                <w:rFonts w:ascii="Times New Roman" w:hAnsi="Times New Roman"/>
                <w:color w:val="000000"/>
                <w:sz w:val="24"/>
                <w:szCs w:val="24"/>
              </w:rPr>
              <w:t>1,75</w:t>
            </w:r>
          </w:p>
        </w:tc>
        <w:tc>
          <w:tcPr>
            <w:tcW w:w="0" w:type="auto"/>
            <w:tcBorders>
              <w:top w:val="nil"/>
              <w:left w:val="nil"/>
              <w:bottom w:val="single" w:sz="4" w:space="0" w:color="auto"/>
              <w:right w:val="single" w:sz="4" w:space="0" w:color="auto"/>
            </w:tcBorders>
            <w:vAlign w:val="bottom"/>
          </w:tcPr>
          <w:p w:rsidR="007976FC" w:rsidRPr="00F549A7" w:rsidRDefault="007976FC" w:rsidP="007976FC">
            <w:pPr>
              <w:spacing w:after="120"/>
              <w:jc w:val="center"/>
              <w:rPr>
                <w:rFonts w:ascii="Times New Roman" w:hAnsi="Times New Roman"/>
                <w:color w:val="000000"/>
                <w:sz w:val="24"/>
                <w:szCs w:val="24"/>
              </w:rPr>
            </w:pPr>
            <w:r w:rsidRPr="00F549A7">
              <w:rPr>
                <w:rFonts w:ascii="Times New Roman" w:hAnsi="Times New Roman"/>
                <w:color w:val="000000"/>
                <w:sz w:val="24"/>
                <w:szCs w:val="24"/>
              </w:rPr>
              <w:t>1,9</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976FC" w:rsidRPr="00F549A7" w:rsidRDefault="007976FC" w:rsidP="007976FC">
            <w:pPr>
              <w:spacing w:after="120"/>
              <w:jc w:val="center"/>
              <w:rPr>
                <w:rFonts w:ascii="Times New Roman" w:hAnsi="Times New Roman"/>
                <w:color w:val="000000"/>
                <w:sz w:val="24"/>
                <w:szCs w:val="24"/>
              </w:rPr>
            </w:pPr>
            <w:r w:rsidRPr="00F549A7">
              <w:rPr>
                <w:rFonts w:ascii="Times New Roman" w:hAnsi="Times New Roman"/>
                <w:color w:val="000000"/>
                <w:sz w:val="24"/>
                <w:szCs w:val="24"/>
              </w:rPr>
              <w:t>2,13</w:t>
            </w:r>
          </w:p>
        </w:tc>
      </w:tr>
      <w:tr w:rsidR="007976FC" w:rsidRPr="00F549A7" w:rsidTr="007976FC">
        <w:trPr>
          <w:trHeight w:val="315"/>
        </w:trPr>
        <w:tc>
          <w:tcPr>
            <w:tcW w:w="724" w:type="dxa"/>
            <w:vMerge/>
            <w:tcBorders>
              <w:left w:val="single" w:sz="4" w:space="0" w:color="auto"/>
              <w:bottom w:val="dotted" w:sz="4" w:space="0" w:color="auto"/>
              <w:right w:val="single" w:sz="4" w:space="0" w:color="auto"/>
            </w:tcBorders>
            <w:vAlign w:val="center"/>
            <w:hideMark/>
          </w:tcPr>
          <w:p w:rsidR="007976FC" w:rsidRPr="00F549A7" w:rsidRDefault="007976FC" w:rsidP="00122563">
            <w:pPr>
              <w:spacing w:after="0" w:line="240" w:lineRule="auto"/>
              <w:rPr>
                <w:rFonts w:ascii="Times New Roman" w:hAnsi="Times New Roman"/>
                <w:sz w:val="24"/>
                <w:szCs w:val="24"/>
                <w:lang w:val="ru-RU" w:eastAsia="ru-RU"/>
              </w:rPr>
            </w:pPr>
          </w:p>
        </w:tc>
        <w:tc>
          <w:tcPr>
            <w:tcW w:w="0" w:type="auto"/>
            <w:tcBorders>
              <w:top w:val="nil"/>
              <w:left w:val="nil"/>
              <w:bottom w:val="single" w:sz="4" w:space="0" w:color="auto"/>
              <w:right w:val="single" w:sz="4" w:space="0" w:color="auto"/>
            </w:tcBorders>
            <w:shd w:val="clear" w:color="auto" w:fill="auto"/>
            <w:noWrap/>
            <w:hideMark/>
          </w:tcPr>
          <w:p w:rsidR="007976FC" w:rsidRPr="00F549A7" w:rsidRDefault="007976FC" w:rsidP="00122563">
            <w:pPr>
              <w:spacing w:after="0" w:line="240" w:lineRule="auto"/>
              <w:jc w:val="center"/>
              <w:rPr>
                <w:rFonts w:ascii="Times New Roman" w:hAnsi="Times New Roman"/>
                <w:b/>
                <w:sz w:val="24"/>
                <w:szCs w:val="24"/>
                <w:lang w:val="ru-RU" w:eastAsia="ru-RU"/>
              </w:rPr>
            </w:pPr>
            <w:r w:rsidRPr="00F549A7">
              <w:rPr>
                <w:rFonts w:ascii="Times New Roman" w:hAnsi="Times New Roman"/>
                <w:b/>
                <w:sz w:val="24"/>
                <w:szCs w:val="24"/>
                <w:lang w:val="ru-RU" w:eastAsia="ru-RU"/>
              </w:rPr>
              <w:t>10%</w:t>
            </w:r>
          </w:p>
        </w:tc>
        <w:tc>
          <w:tcPr>
            <w:tcW w:w="0" w:type="auto"/>
            <w:tcBorders>
              <w:top w:val="nil"/>
              <w:left w:val="nil"/>
              <w:bottom w:val="single" w:sz="4" w:space="0" w:color="auto"/>
              <w:right w:val="single" w:sz="4" w:space="0" w:color="auto"/>
            </w:tcBorders>
            <w:shd w:val="clear" w:color="auto" w:fill="auto"/>
            <w:noWrap/>
            <w:vAlign w:val="bottom"/>
          </w:tcPr>
          <w:p w:rsidR="007976FC" w:rsidRPr="00F549A7" w:rsidRDefault="007976FC" w:rsidP="007976FC">
            <w:pPr>
              <w:spacing w:after="120"/>
              <w:jc w:val="center"/>
              <w:rPr>
                <w:rFonts w:ascii="Times New Roman" w:hAnsi="Times New Roman"/>
                <w:color w:val="000000"/>
                <w:sz w:val="24"/>
                <w:szCs w:val="24"/>
              </w:rPr>
            </w:pPr>
            <w:r w:rsidRPr="00F549A7">
              <w:rPr>
                <w:rFonts w:ascii="Times New Roman" w:hAnsi="Times New Roman"/>
                <w:color w:val="000000"/>
                <w:sz w:val="24"/>
                <w:szCs w:val="24"/>
              </w:rPr>
              <w:t>2,32</w:t>
            </w:r>
          </w:p>
        </w:tc>
        <w:tc>
          <w:tcPr>
            <w:tcW w:w="0" w:type="auto"/>
            <w:tcBorders>
              <w:top w:val="nil"/>
              <w:left w:val="nil"/>
              <w:bottom w:val="single" w:sz="4" w:space="0" w:color="auto"/>
              <w:right w:val="single" w:sz="4" w:space="0" w:color="auto"/>
            </w:tcBorders>
            <w:shd w:val="clear" w:color="auto" w:fill="auto"/>
            <w:noWrap/>
            <w:vAlign w:val="bottom"/>
          </w:tcPr>
          <w:p w:rsidR="007976FC" w:rsidRPr="00F549A7" w:rsidRDefault="007976FC" w:rsidP="007976FC">
            <w:pPr>
              <w:spacing w:after="120"/>
              <w:jc w:val="center"/>
              <w:rPr>
                <w:rFonts w:ascii="Times New Roman" w:hAnsi="Times New Roman"/>
                <w:color w:val="000000"/>
                <w:sz w:val="24"/>
                <w:szCs w:val="24"/>
              </w:rPr>
            </w:pPr>
            <w:r w:rsidRPr="00F549A7">
              <w:rPr>
                <w:rFonts w:ascii="Times New Roman" w:hAnsi="Times New Roman"/>
                <w:color w:val="000000"/>
                <w:sz w:val="24"/>
                <w:szCs w:val="24"/>
              </w:rPr>
              <w:t>2,32</w:t>
            </w:r>
          </w:p>
        </w:tc>
        <w:tc>
          <w:tcPr>
            <w:tcW w:w="0" w:type="auto"/>
            <w:tcBorders>
              <w:top w:val="nil"/>
              <w:left w:val="nil"/>
              <w:bottom w:val="single" w:sz="4" w:space="0" w:color="auto"/>
              <w:right w:val="single" w:sz="4" w:space="0" w:color="auto"/>
            </w:tcBorders>
            <w:shd w:val="clear" w:color="auto" w:fill="auto"/>
            <w:noWrap/>
            <w:vAlign w:val="bottom"/>
          </w:tcPr>
          <w:p w:rsidR="007976FC" w:rsidRPr="00F549A7" w:rsidRDefault="007976FC" w:rsidP="007976FC">
            <w:pPr>
              <w:spacing w:after="120"/>
              <w:jc w:val="center"/>
              <w:rPr>
                <w:rFonts w:ascii="Times New Roman" w:hAnsi="Times New Roman"/>
                <w:color w:val="000000"/>
                <w:sz w:val="24"/>
                <w:szCs w:val="24"/>
              </w:rPr>
            </w:pPr>
            <w:r w:rsidRPr="00F549A7">
              <w:rPr>
                <w:rFonts w:ascii="Times New Roman" w:hAnsi="Times New Roman"/>
                <w:color w:val="000000"/>
                <w:sz w:val="24"/>
                <w:szCs w:val="24"/>
              </w:rPr>
              <w:t>2,36</w:t>
            </w:r>
          </w:p>
        </w:tc>
        <w:tc>
          <w:tcPr>
            <w:tcW w:w="0" w:type="auto"/>
            <w:tcBorders>
              <w:top w:val="nil"/>
              <w:left w:val="nil"/>
              <w:bottom w:val="single" w:sz="4" w:space="0" w:color="auto"/>
              <w:right w:val="single" w:sz="4" w:space="0" w:color="auto"/>
            </w:tcBorders>
            <w:vAlign w:val="bottom"/>
          </w:tcPr>
          <w:p w:rsidR="007976FC" w:rsidRPr="00F549A7" w:rsidRDefault="007976FC" w:rsidP="007976FC">
            <w:pPr>
              <w:spacing w:after="120"/>
              <w:jc w:val="center"/>
              <w:rPr>
                <w:rFonts w:ascii="Times New Roman" w:hAnsi="Times New Roman"/>
                <w:color w:val="000000"/>
                <w:sz w:val="24"/>
                <w:szCs w:val="24"/>
              </w:rPr>
            </w:pPr>
            <w:r w:rsidRPr="00F549A7">
              <w:rPr>
                <w:rFonts w:ascii="Times New Roman" w:hAnsi="Times New Roman"/>
                <w:color w:val="000000"/>
                <w:sz w:val="24"/>
                <w:szCs w:val="24"/>
              </w:rPr>
              <w:t>2,43</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976FC" w:rsidRPr="00F549A7" w:rsidRDefault="007976FC" w:rsidP="007976FC">
            <w:pPr>
              <w:spacing w:after="120"/>
              <w:jc w:val="center"/>
              <w:rPr>
                <w:rFonts w:ascii="Times New Roman" w:hAnsi="Times New Roman"/>
                <w:color w:val="000000"/>
                <w:sz w:val="24"/>
                <w:szCs w:val="24"/>
              </w:rPr>
            </w:pPr>
            <w:r w:rsidRPr="00F549A7">
              <w:rPr>
                <w:rFonts w:ascii="Times New Roman" w:hAnsi="Times New Roman"/>
                <w:color w:val="000000"/>
                <w:sz w:val="24"/>
                <w:szCs w:val="24"/>
              </w:rPr>
              <w:t>2,54</w:t>
            </w:r>
          </w:p>
        </w:tc>
      </w:tr>
      <w:bookmarkEnd w:id="1"/>
    </w:tbl>
    <w:p w:rsidR="007976FC" w:rsidRDefault="007976FC" w:rsidP="007976FC">
      <w:pPr>
        <w:autoSpaceDE w:val="0"/>
        <w:autoSpaceDN w:val="0"/>
        <w:adjustRightInd w:val="0"/>
        <w:spacing w:after="0" w:line="240" w:lineRule="auto"/>
        <w:jc w:val="both"/>
        <w:rPr>
          <w:rFonts w:ascii="Times New Roman" w:hAnsi="Times New Roman"/>
          <w:b/>
          <w:sz w:val="28"/>
          <w:szCs w:val="28"/>
        </w:rPr>
      </w:pPr>
    </w:p>
    <w:p w:rsidR="00923312" w:rsidRPr="007976FC" w:rsidRDefault="009B55A6" w:rsidP="00D17D74">
      <w:pPr>
        <w:pStyle w:val="ListParagraph"/>
        <w:numPr>
          <w:ilvl w:val="0"/>
          <w:numId w:val="19"/>
        </w:numPr>
        <w:autoSpaceDE w:val="0"/>
        <w:autoSpaceDN w:val="0"/>
        <w:adjustRightInd w:val="0"/>
        <w:spacing w:after="0" w:line="240" w:lineRule="auto"/>
        <w:jc w:val="both"/>
        <w:rPr>
          <w:rFonts w:ascii="Times New Roman" w:hAnsi="Times New Roman"/>
          <w:b/>
          <w:sz w:val="28"/>
          <w:szCs w:val="28"/>
        </w:rPr>
      </w:pPr>
      <w:r w:rsidRPr="007976FC">
        <w:rPr>
          <w:rFonts w:ascii="Times New Roman" w:hAnsi="Times New Roman"/>
          <w:b/>
          <w:sz w:val="28"/>
          <w:szCs w:val="28"/>
        </w:rPr>
        <w:t>padotības iestādes un neatkarīgās iestādes</w:t>
      </w:r>
    </w:p>
    <w:p w:rsidR="009B55A6" w:rsidRPr="002B1E42" w:rsidRDefault="009B55A6" w:rsidP="00923312">
      <w:pPr>
        <w:pStyle w:val="ListParagraph"/>
        <w:autoSpaceDE w:val="0"/>
        <w:autoSpaceDN w:val="0"/>
        <w:adjustRightInd w:val="0"/>
        <w:spacing w:after="0" w:line="240" w:lineRule="auto"/>
        <w:jc w:val="both"/>
        <w:rPr>
          <w:rFonts w:ascii="Times New Roman" w:hAnsi="Times New Roman"/>
          <w:b/>
          <w:sz w:val="28"/>
          <w:szCs w:val="28"/>
        </w:rPr>
      </w:pPr>
    </w:p>
    <w:tbl>
      <w:tblPr>
        <w:tblW w:w="0" w:type="auto"/>
        <w:tblInd w:w="93" w:type="dxa"/>
        <w:tblLook w:val="04A0" w:firstRow="1" w:lastRow="0" w:firstColumn="1" w:lastColumn="0" w:noHBand="0" w:noVBand="1"/>
      </w:tblPr>
      <w:tblGrid>
        <w:gridCol w:w="724"/>
        <w:gridCol w:w="700"/>
        <w:gridCol w:w="929"/>
        <w:gridCol w:w="929"/>
        <w:gridCol w:w="928"/>
        <w:gridCol w:w="928"/>
        <w:gridCol w:w="928"/>
      </w:tblGrid>
      <w:tr w:rsidR="00122563" w:rsidRPr="00F549A7" w:rsidTr="00AB11C0">
        <w:trPr>
          <w:cantSplit/>
          <w:trHeight w:val="20"/>
        </w:trPr>
        <w:tc>
          <w:tcPr>
            <w:tcW w:w="72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22563" w:rsidRPr="00F549A7" w:rsidRDefault="00122563" w:rsidP="00122563">
            <w:pPr>
              <w:spacing w:after="0" w:line="240" w:lineRule="auto"/>
              <w:jc w:val="center"/>
              <w:rPr>
                <w:rFonts w:ascii="Times New Roman" w:hAnsi="Times New Roman"/>
                <w:sz w:val="24"/>
                <w:szCs w:val="24"/>
                <w:lang w:val="ru-RU" w:eastAsia="ru-RU"/>
              </w:rPr>
            </w:pPr>
            <w:r w:rsidRPr="00F549A7">
              <w:rPr>
                <w:rFonts w:ascii="Times New Roman" w:hAnsi="Times New Roman"/>
                <w:sz w:val="24"/>
                <w:szCs w:val="24"/>
                <w:lang w:val="ru-RU" w:eastAsia="ru-RU"/>
              </w:rPr>
              <w:t> </w:t>
            </w:r>
          </w:p>
        </w:tc>
        <w:tc>
          <w:tcPr>
            <w:tcW w:w="700" w:type="dxa"/>
            <w:vMerge w:val="restart"/>
            <w:tcBorders>
              <w:top w:val="single" w:sz="4" w:space="0" w:color="auto"/>
              <w:left w:val="single" w:sz="4" w:space="0" w:color="auto"/>
              <w:bottom w:val="single" w:sz="4" w:space="0" w:color="000000"/>
              <w:right w:val="single" w:sz="4" w:space="0" w:color="000000"/>
            </w:tcBorders>
            <w:shd w:val="clear" w:color="auto" w:fill="auto"/>
            <w:vAlign w:val="bottom"/>
          </w:tcPr>
          <w:p w:rsidR="00122563" w:rsidRPr="00F549A7" w:rsidRDefault="00122563" w:rsidP="00122563">
            <w:pPr>
              <w:spacing w:after="0" w:line="240" w:lineRule="auto"/>
              <w:jc w:val="center"/>
              <w:rPr>
                <w:rFonts w:ascii="Times New Roman" w:hAnsi="Times New Roman"/>
                <w:sz w:val="24"/>
                <w:szCs w:val="24"/>
                <w:lang w:val="ru-RU" w:eastAsia="ru-RU"/>
              </w:rPr>
            </w:pPr>
          </w:p>
        </w:tc>
        <w:tc>
          <w:tcPr>
            <w:tcW w:w="0" w:type="auto"/>
            <w:gridSpan w:val="5"/>
            <w:tcBorders>
              <w:top w:val="single" w:sz="4" w:space="0" w:color="auto"/>
              <w:left w:val="nil"/>
              <w:bottom w:val="single" w:sz="4" w:space="0" w:color="auto"/>
              <w:right w:val="single" w:sz="4" w:space="0" w:color="000000"/>
            </w:tcBorders>
            <w:shd w:val="clear" w:color="auto" w:fill="auto"/>
            <w:vAlign w:val="bottom"/>
            <w:hideMark/>
          </w:tcPr>
          <w:p w:rsidR="00122563" w:rsidRPr="00F549A7" w:rsidRDefault="00827F74" w:rsidP="00122563">
            <w:pPr>
              <w:spacing w:after="0" w:line="240" w:lineRule="auto"/>
              <w:jc w:val="center"/>
              <w:rPr>
                <w:rFonts w:ascii="Times New Roman" w:hAnsi="Times New Roman"/>
                <w:sz w:val="24"/>
                <w:szCs w:val="24"/>
                <w:lang w:val="ru-RU" w:eastAsia="ru-RU"/>
              </w:rPr>
            </w:pPr>
            <w:r w:rsidRPr="00F549A7">
              <w:rPr>
                <w:rFonts w:ascii="Times New Roman" w:hAnsi="Times New Roman"/>
                <w:sz w:val="24"/>
                <w:szCs w:val="24"/>
                <w:lang w:eastAsia="ru-RU"/>
              </w:rPr>
              <w:t>V</w:t>
            </w:r>
            <w:r w:rsidRPr="00F549A7">
              <w:rPr>
                <w:rFonts w:ascii="Times New Roman" w:hAnsi="Times New Roman"/>
                <w:sz w:val="24"/>
                <w:szCs w:val="24"/>
                <w:lang w:val="ru-RU" w:eastAsia="ru-RU"/>
              </w:rPr>
              <w:t>ieta</w:t>
            </w:r>
            <w:r w:rsidRPr="00F549A7">
              <w:rPr>
                <w:rFonts w:ascii="Times New Roman" w:hAnsi="Times New Roman"/>
                <w:sz w:val="24"/>
                <w:szCs w:val="24"/>
                <w:lang w:eastAsia="ru-RU"/>
              </w:rPr>
              <w:t>s</w:t>
            </w:r>
            <w:r w:rsidRPr="00F549A7">
              <w:rPr>
                <w:rFonts w:ascii="Times New Roman" w:hAnsi="Times New Roman"/>
                <w:sz w:val="24"/>
                <w:szCs w:val="24"/>
                <w:lang w:val="ru-RU" w:eastAsia="ru-RU"/>
              </w:rPr>
              <w:t xml:space="preserve"> mēnešalg</w:t>
            </w:r>
            <w:r w:rsidRPr="00F549A7">
              <w:rPr>
                <w:rFonts w:ascii="Times New Roman" w:hAnsi="Times New Roman"/>
                <w:sz w:val="24"/>
                <w:szCs w:val="24"/>
                <w:lang w:eastAsia="ru-RU"/>
              </w:rPr>
              <w:t xml:space="preserve">u </w:t>
            </w:r>
            <w:r w:rsidRPr="00F549A7">
              <w:rPr>
                <w:rFonts w:ascii="Times New Roman" w:hAnsi="Times New Roman"/>
                <w:sz w:val="24"/>
                <w:szCs w:val="24"/>
                <w:lang w:val="ru-RU" w:eastAsia="ru-RU"/>
              </w:rPr>
              <w:t>skalā</w:t>
            </w:r>
            <w:r w:rsidRPr="00F549A7">
              <w:rPr>
                <w:rFonts w:ascii="Times New Roman" w:hAnsi="Times New Roman"/>
                <w:sz w:val="24"/>
                <w:szCs w:val="24"/>
                <w:lang w:eastAsia="ru-RU"/>
              </w:rPr>
              <w:t xml:space="preserve"> izlīdzināšanas līmenis</w:t>
            </w:r>
          </w:p>
        </w:tc>
      </w:tr>
      <w:tr w:rsidR="00122563" w:rsidRPr="00F549A7" w:rsidTr="00AB11C0">
        <w:trPr>
          <w:cantSplit/>
          <w:trHeight w:val="20"/>
        </w:trPr>
        <w:tc>
          <w:tcPr>
            <w:tcW w:w="724" w:type="dxa"/>
            <w:vMerge/>
            <w:tcBorders>
              <w:top w:val="single" w:sz="4" w:space="0" w:color="auto"/>
              <w:left w:val="single" w:sz="4" w:space="0" w:color="auto"/>
              <w:bottom w:val="single" w:sz="4" w:space="0" w:color="000000"/>
              <w:right w:val="single" w:sz="4" w:space="0" w:color="auto"/>
            </w:tcBorders>
            <w:vAlign w:val="center"/>
            <w:hideMark/>
          </w:tcPr>
          <w:p w:rsidR="00122563" w:rsidRPr="00F549A7" w:rsidRDefault="00122563" w:rsidP="00122563">
            <w:pPr>
              <w:spacing w:after="0" w:line="240" w:lineRule="auto"/>
              <w:rPr>
                <w:rFonts w:ascii="Times New Roman" w:hAnsi="Times New Roman"/>
                <w:sz w:val="24"/>
                <w:szCs w:val="24"/>
                <w:lang w:val="ru-RU" w:eastAsia="ru-RU"/>
              </w:rPr>
            </w:pPr>
          </w:p>
        </w:tc>
        <w:tc>
          <w:tcPr>
            <w:tcW w:w="700" w:type="dxa"/>
            <w:vMerge/>
            <w:tcBorders>
              <w:top w:val="single" w:sz="4" w:space="0" w:color="auto"/>
              <w:left w:val="single" w:sz="4" w:space="0" w:color="auto"/>
              <w:bottom w:val="single" w:sz="4" w:space="0" w:color="000000"/>
              <w:right w:val="single" w:sz="4" w:space="0" w:color="000000"/>
            </w:tcBorders>
            <w:vAlign w:val="center"/>
          </w:tcPr>
          <w:p w:rsidR="00122563" w:rsidRPr="00F549A7" w:rsidRDefault="00122563" w:rsidP="00122563">
            <w:pPr>
              <w:spacing w:after="0" w:line="240" w:lineRule="auto"/>
              <w:rPr>
                <w:rFonts w:ascii="Times New Roman" w:hAnsi="Times New Roman"/>
                <w:sz w:val="24"/>
                <w:szCs w:val="24"/>
                <w:lang w:val="ru-RU" w:eastAsia="ru-RU"/>
              </w:rPr>
            </w:pPr>
          </w:p>
        </w:tc>
        <w:tc>
          <w:tcPr>
            <w:tcW w:w="0" w:type="auto"/>
            <w:tcBorders>
              <w:top w:val="nil"/>
              <w:left w:val="nil"/>
              <w:bottom w:val="single" w:sz="4" w:space="0" w:color="auto"/>
              <w:right w:val="single" w:sz="4" w:space="0" w:color="auto"/>
            </w:tcBorders>
            <w:shd w:val="clear" w:color="auto" w:fill="auto"/>
            <w:noWrap/>
            <w:vAlign w:val="bottom"/>
          </w:tcPr>
          <w:p w:rsidR="00122563" w:rsidRPr="00F549A7" w:rsidRDefault="00122563" w:rsidP="00122563">
            <w:pPr>
              <w:spacing w:after="0" w:line="240" w:lineRule="auto"/>
              <w:jc w:val="right"/>
              <w:rPr>
                <w:rFonts w:ascii="Times New Roman" w:hAnsi="Times New Roman"/>
                <w:b/>
                <w:sz w:val="24"/>
                <w:szCs w:val="24"/>
                <w:lang w:eastAsia="ru-RU"/>
              </w:rPr>
            </w:pPr>
            <w:r w:rsidRPr="00F549A7">
              <w:rPr>
                <w:rFonts w:ascii="Times New Roman" w:hAnsi="Times New Roman"/>
                <w:b/>
                <w:sz w:val="24"/>
                <w:szCs w:val="24"/>
                <w:lang w:eastAsia="ru-RU"/>
              </w:rPr>
              <w:t>0,3</w:t>
            </w:r>
          </w:p>
        </w:tc>
        <w:tc>
          <w:tcPr>
            <w:tcW w:w="0" w:type="auto"/>
            <w:tcBorders>
              <w:top w:val="nil"/>
              <w:left w:val="nil"/>
              <w:bottom w:val="single" w:sz="4" w:space="0" w:color="auto"/>
              <w:right w:val="single" w:sz="4" w:space="0" w:color="auto"/>
            </w:tcBorders>
            <w:shd w:val="clear" w:color="auto" w:fill="auto"/>
            <w:noWrap/>
          </w:tcPr>
          <w:p w:rsidR="00122563" w:rsidRPr="00F549A7" w:rsidRDefault="00122563" w:rsidP="00122563">
            <w:pPr>
              <w:spacing w:after="0" w:line="240" w:lineRule="auto"/>
              <w:rPr>
                <w:rFonts w:ascii="Times New Roman" w:hAnsi="Times New Roman"/>
                <w:b/>
                <w:sz w:val="24"/>
                <w:szCs w:val="24"/>
              </w:rPr>
            </w:pPr>
            <w:r w:rsidRPr="00F549A7">
              <w:rPr>
                <w:rFonts w:ascii="Times New Roman" w:hAnsi="Times New Roman"/>
                <w:b/>
                <w:sz w:val="24"/>
                <w:szCs w:val="24"/>
              </w:rPr>
              <w:t>0,4</w:t>
            </w:r>
          </w:p>
        </w:tc>
        <w:tc>
          <w:tcPr>
            <w:tcW w:w="0" w:type="auto"/>
            <w:tcBorders>
              <w:top w:val="nil"/>
              <w:left w:val="nil"/>
              <w:bottom w:val="single" w:sz="4" w:space="0" w:color="auto"/>
              <w:right w:val="single" w:sz="4" w:space="0" w:color="auto"/>
            </w:tcBorders>
            <w:shd w:val="clear" w:color="auto" w:fill="auto"/>
            <w:noWrap/>
          </w:tcPr>
          <w:p w:rsidR="00122563" w:rsidRPr="00F549A7" w:rsidRDefault="00122563" w:rsidP="00122563">
            <w:pPr>
              <w:spacing w:after="0" w:line="240" w:lineRule="auto"/>
              <w:rPr>
                <w:rFonts w:ascii="Times New Roman" w:hAnsi="Times New Roman"/>
                <w:b/>
                <w:sz w:val="24"/>
                <w:szCs w:val="24"/>
              </w:rPr>
            </w:pPr>
            <w:r w:rsidRPr="00F549A7">
              <w:rPr>
                <w:rFonts w:ascii="Times New Roman" w:hAnsi="Times New Roman"/>
                <w:b/>
                <w:sz w:val="24"/>
                <w:szCs w:val="24"/>
              </w:rPr>
              <w:t>0,5</w:t>
            </w:r>
          </w:p>
        </w:tc>
        <w:tc>
          <w:tcPr>
            <w:tcW w:w="0" w:type="auto"/>
            <w:tcBorders>
              <w:top w:val="nil"/>
              <w:left w:val="nil"/>
              <w:bottom w:val="single" w:sz="4" w:space="0" w:color="auto"/>
              <w:right w:val="single" w:sz="4" w:space="0" w:color="auto"/>
            </w:tcBorders>
            <w:shd w:val="clear" w:color="auto" w:fill="auto"/>
            <w:noWrap/>
          </w:tcPr>
          <w:p w:rsidR="00122563" w:rsidRPr="00F549A7" w:rsidRDefault="00122563" w:rsidP="00122563">
            <w:pPr>
              <w:spacing w:after="0" w:line="240" w:lineRule="auto"/>
              <w:rPr>
                <w:rFonts w:ascii="Times New Roman" w:hAnsi="Times New Roman"/>
                <w:b/>
                <w:sz w:val="24"/>
                <w:szCs w:val="24"/>
              </w:rPr>
            </w:pPr>
            <w:r w:rsidRPr="00F549A7">
              <w:rPr>
                <w:rFonts w:ascii="Times New Roman" w:hAnsi="Times New Roman"/>
                <w:b/>
                <w:sz w:val="24"/>
                <w:szCs w:val="24"/>
              </w:rPr>
              <w:t>0,6</w:t>
            </w:r>
          </w:p>
        </w:tc>
        <w:tc>
          <w:tcPr>
            <w:tcW w:w="0" w:type="auto"/>
            <w:tcBorders>
              <w:top w:val="nil"/>
              <w:left w:val="nil"/>
              <w:bottom w:val="single" w:sz="4" w:space="0" w:color="auto"/>
              <w:right w:val="single" w:sz="4" w:space="0" w:color="auto"/>
            </w:tcBorders>
            <w:shd w:val="clear" w:color="auto" w:fill="auto"/>
            <w:noWrap/>
            <w:hideMark/>
          </w:tcPr>
          <w:p w:rsidR="00122563" w:rsidRPr="00F549A7" w:rsidRDefault="00122563" w:rsidP="00122563">
            <w:pPr>
              <w:spacing w:after="0" w:line="240" w:lineRule="auto"/>
              <w:rPr>
                <w:rFonts w:ascii="Times New Roman" w:hAnsi="Times New Roman"/>
                <w:b/>
                <w:sz w:val="24"/>
                <w:szCs w:val="24"/>
              </w:rPr>
            </w:pPr>
            <w:r w:rsidRPr="00F549A7">
              <w:rPr>
                <w:rFonts w:ascii="Times New Roman" w:hAnsi="Times New Roman"/>
                <w:b/>
                <w:sz w:val="24"/>
                <w:szCs w:val="24"/>
              </w:rPr>
              <w:t>0,7</w:t>
            </w:r>
          </w:p>
        </w:tc>
      </w:tr>
      <w:tr w:rsidR="002569BE" w:rsidRPr="00F549A7" w:rsidTr="00122563">
        <w:trPr>
          <w:cantSplit/>
          <w:trHeight w:val="257"/>
        </w:trPr>
        <w:tc>
          <w:tcPr>
            <w:tcW w:w="724"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2569BE" w:rsidRPr="00F549A7" w:rsidRDefault="002569BE" w:rsidP="00122563">
            <w:pPr>
              <w:spacing w:after="0" w:line="240" w:lineRule="auto"/>
              <w:jc w:val="center"/>
              <w:rPr>
                <w:rFonts w:ascii="Times New Roman" w:hAnsi="Times New Roman"/>
                <w:sz w:val="24"/>
                <w:szCs w:val="24"/>
                <w:lang w:val="ru-RU" w:eastAsia="ru-RU"/>
              </w:rPr>
            </w:pPr>
            <w:r w:rsidRPr="00F549A7">
              <w:rPr>
                <w:rFonts w:ascii="Times New Roman" w:hAnsi="Times New Roman"/>
                <w:sz w:val="24"/>
                <w:szCs w:val="24"/>
                <w:lang w:val="ru-RU" w:eastAsia="ru-RU"/>
              </w:rPr>
              <w:t>Diapazonu starpība (%)</w:t>
            </w:r>
          </w:p>
        </w:tc>
        <w:tc>
          <w:tcPr>
            <w:tcW w:w="0" w:type="auto"/>
            <w:tcBorders>
              <w:top w:val="nil"/>
              <w:left w:val="nil"/>
              <w:bottom w:val="single" w:sz="4" w:space="0" w:color="auto"/>
              <w:right w:val="single" w:sz="4" w:space="0" w:color="auto"/>
            </w:tcBorders>
            <w:shd w:val="clear" w:color="auto" w:fill="auto"/>
            <w:noWrap/>
            <w:hideMark/>
          </w:tcPr>
          <w:p w:rsidR="002569BE" w:rsidRPr="00F549A7" w:rsidRDefault="002569BE" w:rsidP="00122563">
            <w:pPr>
              <w:spacing w:after="0" w:line="240" w:lineRule="auto"/>
              <w:jc w:val="center"/>
              <w:rPr>
                <w:rFonts w:ascii="Times New Roman" w:hAnsi="Times New Roman"/>
                <w:b/>
                <w:sz w:val="24"/>
                <w:szCs w:val="24"/>
                <w:lang w:val="ru-RU" w:eastAsia="ru-RU"/>
              </w:rPr>
            </w:pPr>
            <w:r w:rsidRPr="00F549A7">
              <w:rPr>
                <w:rFonts w:ascii="Times New Roman" w:hAnsi="Times New Roman"/>
                <w:b/>
                <w:sz w:val="24"/>
                <w:szCs w:val="24"/>
                <w:lang w:val="ru-RU" w:eastAsia="ru-RU"/>
              </w:rPr>
              <w:t>60%</w:t>
            </w:r>
          </w:p>
        </w:tc>
        <w:tc>
          <w:tcPr>
            <w:tcW w:w="0" w:type="auto"/>
            <w:tcBorders>
              <w:top w:val="nil"/>
              <w:left w:val="nil"/>
              <w:bottom w:val="single" w:sz="4" w:space="0" w:color="auto"/>
              <w:right w:val="single" w:sz="4" w:space="0" w:color="auto"/>
            </w:tcBorders>
            <w:shd w:val="clear" w:color="auto" w:fill="auto"/>
            <w:noWrap/>
            <w:vAlign w:val="bottom"/>
          </w:tcPr>
          <w:p w:rsidR="002569BE" w:rsidRPr="00F549A7" w:rsidRDefault="002569BE" w:rsidP="002569BE">
            <w:pPr>
              <w:spacing w:after="120"/>
              <w:jc w:val="center"/>
              <w:rPr>
                <w:rFonts w:ascii="Times New Roman" w:hAnsi="Times New Roman"/>
                <w:color w:val="000000"/>
                <w:sz w:val="24"/>
                <w:szCs w:val="24"/>
              </w:rPr>
            </w:pPr>
            <w:r w:rsidRPr="00F549A7">
              <w:rPr>
                <w:rFonts w:ascii="Times New Roman" w:hAnsi="Times New Roman"/>
                <w:color w:val="000000"/>
                <w:sz w:val="24"/>
                <w:szCs w:val="24"/>
              </w:rPr>
              <w:t>7,15</w:t>
            </w:r>
          </w:p>
        </w:tc>
        <w:tc>
          <w:tcPr>
            <w:tcW w:w="0" w:type="auto"/>
            <w:tcBorders>
              <w:top w:val="nil"/>
              <w:left w:val="nil"/>
              <w:bottom w:val="single" w:sz="4" w:space="0" w:color="auto"/>
              <w:right w:val="single" w:sz="4" w:space="0" w:color="auto"/>
            </w:tcBorders>
            <w:shd w:val="clear" w:color="auto" w:fill="auto"/>
            <w:noWrap/>
            <w:vAlign w:val="bottom"/>
          </w:tcPr>
          <w:p w:rsidR="002569BE" w:rsidRPr="00F549A7" w:rsidRDefault="002569BE" w:rsidP="002569BE">
            <w:pPr>
              <w:spacing w:after="120"/>
              <w:jc w:val="center"/>
              <w:rPr>
                <w:rFonts w:ascii="Times New Roman" w:hAnsi="Times New Roman"/>
                <w:color w:val="000000"/>
                <w:sz w:val="24"/>
                <w:szCs w:val="24"/>
              </w:rPr>
            </w:pPr>
            <w:r w:rsidRPr="00F549A7">
              <w:rPr>
                <w:rFonts w:ascii="Times New Roman" w:hAnsi="Times New Roman"/>
                <w:color w:val="000000"/>
                <w:sz w:val="24"/>
                <w:szCs w:val="24"/>
              </w:rPr>
              <w:t>8,43</w:t>
            </w:r>
          </w:p>
        </w:tc>
        <w:tc>
          <w:tcPr>
            <w:tcW w:w="0" w:type="auto"/>
            <w:tcBorders>
              <w:top w:val="nil"/>
              <w:left w:val="nil"/>
              <w:bottom w:val="single" w:sz="4" w:space="0" w:color="auto"/>
              <w:right w:val="single" w:sz="4" w:space="0" w:color="auto"/>
            </w:tcBorders>
            <w:shd w:val="clear" w:color="auto" w:fill="auto"/>
            <w:noWrap/>
            <w:vAlign w:val="bottom"/>
          </w:tcPr>
          <w:p w:rsidR="002569BE" w:rsidRPr="00F549A7" w:rsidRDefault="002569BE" w:rsidP="002569BE">
            <w:pPr>
              <w:spacing w:after="120"/>
              <w:jc w:val="center"/>
              <w:rPr>
                <w:rFonts w:ascii="Times New Roman" w:hAnsi="Times New Roman"/>
                <w:color w:val="000000"/>
                <w:sz w:val="24"/>
                <w:szCs w:val="24"/>
              </w:rPr>
            </w:pPr>
            <w:r w:rsidRPr="00F549A7">
              <w:rPr>
                <w:rFonts w:ascii="Times New Roman" w:hAnsi="Times New Roman"/>
                <w:color w:val="000000"/>
                <w:sz w:val="24"/>
                <w:szCs w:val="24"/>
              </w:rPr>
              <w:t>10,28</w:t>
            </w:r>
          </w:p>
        </w:tc>
        <w:tc>
          <w:tcPr>
            <w:tcW w:w="0" w:type="auto"/>
            <w:tcBorders>
              <w:top w:val="nil"/>
              <w:left w:val="nil"/>
              <w:bottom w:val="single" w:sz="4" w:space="0" w:color="auto"/>
              <w:right w:val="single" w:sz="4" w:space="0" w:color="auto"/>
            </w:tcBorders>
            <w:shd w:val="clear" w:color="auto" w:fill="auto"/>
            <w:noWrap/>
            <w:vAlign w:val="bottom"/>
          </w:tcPr>
          <w:p w:rsidR="002569BE" w:rsidRPr="00F549A7" w:rsidRDefault="002569BE" w:rsidP="002569BE">
            <w:pPr>
              <w:spacing w:after="120"/>
              <w:jc w:val="center"/>
              <w:rPr>
                <w:rFonts w:ascii="Times New Roman" w:hAnsi="Times New Roman"/>
                <w:color w:val="000000"/>
                <w:sz w:val="24"/>
                <w:szCs w:val="24"/>
              </w:rPr>
            </w:pPr>
            <w:r w:rsidRPr="00F549A7">
              <w:rPr>
                <w:rFonts w:ascii="Times New Roman" w:hAnsi="Times New Roman"/>
                <w:color w:val="000000"/>
                <w:sz w:val="24"/>
                <w:szCs w:val="24"/>
              </w:rPr>
              <w:t>13,43</w:t>
            </w:r>
          </w:p>
        </w:tc>
        <w:tc>
          <w:tcPr>
            <w:tcW w:w="0" w:type="auto"/>
            <w:tcBorders>
              <w:top w:val="nil"/>
              <w:left w:val="nil"/>
              <w:bottom w:val="single" w:sz="4" w:space="0" w:color="auto"/>
              <w:right w:val="single" w:sz="4" w:space="0" w:color="auto"/>
            </w:tcBorders>
            <w:shd w:val="clear" w:color="auto" w:fill="auto"/>
            <w:noWrap/>
            <w:vAlign w:val="bottom"/>
          </w:tcPr>
          <w:p w:rsidR="002569BE" w:rsidRPr="00F549A7" w:rsidRDefault="002569BE" w:rsidP="002569BE">
            <w:pPr>
              <w:spacing w:after="120"/>
              <w:jc w:val="center"/>
              <w:rPr>
                <w:rFonts w:ascii="Times New Roman" w:hAnsi="Times New Roman"/>
                <w:color w:val="000000"/>
                <w:sz w:val="24"/>
                <w:szCs w:val="24"/>
              </w:rPr>
            </w:pPr>
            <w:r w:rsidRPr="00F549A7">
              <w:rPr>
                <w:rFonts w:ascii="Times New Roman" w:hAnsi="Times New Roman"/>
                <w:color w:val="000000"/>
                <w:sz w:val="24"/>
                <w:szCs w:val="24"/>
              </w:rPr>
              <w:t>18,69</w:t>
            </w:r>
          </w:p>
        </w:tc>
      </w:tr>
      <w:tr w:rsidR="002569BE" w:rsidRPr="00F549A7" w:rsidTr="00122563">
        <w:trPr>
          <w:cantSplit/>
          <w:trHeight w:val="20"/>
        </w:trPr>
        <w:tc>
          <w:tcPr>
            <w:tcW w:w="724" w:type="dxa"/>
            <w:vMerge/>
            <w:tcBorders>
              <w:top w:val="nil"/>
              <w:left w:val="single" w:sz="4" w:space="0" w:color="auto"/>
              <w:bottom w:val="single" w:sz="4" w:space="0" w:color="auto"/>
              <w:right w:val="single" w:sz="4" w:space="0" w:color="auto"/>
            </w:tcBorders>
            <w:vAlign w:val="center"/>
            <w:hideMark/>
          </w:tcPr>
          <w:p w:rsidR="002569BE" w:rsidRPr="00F549A7" w:rsidRDefault="002569BE" w:rsidP="00122563">
            <w:pPr>
              <w:spacing w:after="0" w:line="240" w:lineRule="auto"/>
              <w:rPr>
                <w:rFonts w:ascii="Times New Roman" w:hAnsi="Times New Roman"/>
                <w:sz w:val="24"/>
                <w:szCs w:val="24"/>
                <w:lang w:val="ru-RU" w:eastAsia="ru-RU"/>
              </w:rPr>
            </w:pPr>
          </w:p>
        </w:tc>
        <w:tc>
          <w:tcPr>
            <w:tcW w:w="0" w:type="auto"/>
            <w:tcBorders>
              <w:top w:val="nil"/>
              <w:left w:val="nil"/>
              <w:bottom w:val="single" w:sz="4" w:space="0" w:color="auto"/>
              <w:right w:val="single" w:sz="4" w:space="0" w:color="auto"/>
            </w:tcBorders>
            <w:shd w:val="clear" w:color="auto" w:fill="auto"/>
            <w:noWrap/>
            <w:hideMark/>
          </w:tcPr>
          <w:p w:rsidR="002569BE" w:rsidRPr="00F549A7" w:rsidRDefault="002569BE" w:rsidP="00122563">
            <w:pPr>
              <w:spacing w:after="0" w:line="240" w:lineRule="auto"/>
              <w:jc w:val="center"/>
              <w:rPr>
                <w:rFonts w:ascii="Times New Roman" w:hAnsi="Times New Roman"/>
                <w:b/>
                <w:sz w:val="24"/>
                <w:szCs w:val="24"/>
                <w:lang w:val="ru-RU" w:eastAsia="ru-RU"/>
              </w:rPr>
            </w:pPr>
            <w:r w:rsidRPr="00F549A7">
              <w:rPr>
                <w:rFonts w:ascii="Times New Roman" w:hAnsi="Times New Roman"/>
                <w:b/>
                <w:sz w:val="24"/>
                <w:szCs w:val="24"/>
                <w:lang w:val="ru-RU" w:eastAsia="ru-RU"/>
              </w:rPr>
              <w:t>50%</w:t>
            </w:r>
          </w:p>
        </w:tc>
        <w:tc>
          <w:tcPr>
            <w:tcW w:w="0" w:type="auto"/>
            <w:tcBorders>
              <w:top w:val="nil"/>
              <w:left w:val="nil"/>
              <w:bottom w:val="single" w:sz="4" w:space="0" w:color="auto"/>
              <w:right w:val="single" w:sz="4" w:space="0" w:color="auto"/>
            </w:tcBorders>
            <w:shd w:val="clear" w:color="auto" w:fill="auto"/>
            <w:noWrap/>
            <w:vAlign w:val="bottom"/>
          </w:tcPr>
          <w:p w:rsidR="002569BE" w:rsidRPr="00F549A7" w:rsidRDefault="002569BE" w:rsidP="002569BE">
            <w:pPr>
              <w:spacing w:after="120"/>
              <w:jc w:val="center"/>
              <w:rPr>
                <w:rFonts w:ascii="Times New Roman" w:hAnsi="Times New Roman"/>
                <w:color w:val="000000"/>
                <w:sz w:val="24"/>
                <w:szCs w:val="24"/>
              </w:rPr>
            </w:pPr>
            <w:r w:rsidRPr="00F549A7">
              <w:rPr>
                <w:rFonts w:ascii="Times New Roman" w:hAnsi="Times New Roman"/>
                <w:color w:val="000000"/>
                <w:sz w:val="24"/>
                <w:szCs w:val="24"/>
              </w:rPr>
              <w:t>15,65</w:t>
            </w:r>
          </w:p>
        </w:tc>
        <w:tc>
          <w:tcPr>
            <w:tcW w:w="0" w:type="auto"/>
            <w:tcBorders>
              <w:top w:val="nil"/>
              <w:left w:val="nil"/>
              <w:bottom w:val="single" w:sz="4" w:space="0" w:color="auto"/>
              <w:right w:val="single" w:sz="4" w:space="0" w:color="auto"/>
            </w:tcBorders>
            <w:shd w:val="clear" w:color="auto" w:fill="auto"/>
            <w:noWrap/>
            <w:vAlign w:val="bottom"/>
          </w:tcPr>
          <w:p w:rsidR="002569BE" w:rsidRPr="00F549A7" w:rsidRDefault="002569BE" w:rsidP="002569BE">
            <w:pPr>
              <w:spacing w:after="120"/>
              <w:jc w:val="center"/>
              <w:rPr>
                <w:rFonts w:ascii="Times New Roman" w:hAnsi="Times New Roman"/>
                <w:color w:val="000000"/>
                <w:sz w:val="24"/>
                <w:szCs w:val="24"/>
              </w:rPr>
            </w:pPr>
            <w:r w:rsidRPr="00F549A7">
              <w:rPr>
                <w:rFonts w:ascii="Times New Roman" w:hAnsi="Times New Roman"/>
                <w:color w:val="000000"/>
                <w:sz w:val="24"/>
                <w:szCs w:val="24"/>
              </w:rPr>
              <w:t>16,82</w:t>
            </w:r>
          </w:p>
        </w:tc>
        <w:tc>
          <w:tcPr>
            <w:tcW w:w="0" w:type="auto"/>
            <w:tcBorders>
              <w:top w:val="nil"/>
              <w:left w:val="nil"/>
              <w:bottom w:val="single" w:sz="4" w:space="0" w:color="auto"/>
              <w:right w:val="single" w:sz="4" w:space="0" w:color="auto"/>
            </w:tcBorders>
            <w:shd w:val="clear" w:color="auto" w:fill="auto"/>
            <w:noWrap/>
            <w:vAlign w:val="bottom"/>
          </w:tcPr>
          <w:p w:rsidR="002569BE" w:rsidRPr="00F549A7" w:rsidRDefault="002569BE" w:rsidP="002569BE">
            <w:pPr>
              <w:spacing w:after="120"/>
              <w:jc w:val="center"/>
              <w:rPr>
                <w:rFonts w:ascii="Times New Roman" w:hAnsi="Times New Roman"/>
                <w:color w:val="000000"/>
                <w:sz w:val="24"/>
                <w:szCs w:val="24"/>
              </w:rPr>
            </w:pPr>
            <w:r w:rsidRPr="00F549A7">
              <w:rPr>
                <w:rFonts w:ascii="Times New Roman" w:hAnsi="Times New Roman"/>
                <w:color w:val="000000"/>
                <w:sz w:val="24"/>
                <w:szCs w:val="24"/>
              </w:rPr>
              <w:t>18,46</w:t>
            </w:r>
          </w:p>
        </w:tc>
        <w:tc>
          <w:tcPr>
            <w:tcW w:w="0" w:type="auto"/>
            <w:tcBorders>
              <w:top w:val="nil"/>
              <w:left w:val="nil"/>
              <w:bottom w:val="single" w:sz="4" w:space="0" w:color="auto"/>
              <w:right w:val="single" w:sz="4" w:space="0" w:color="auto"/>
            </w:tcBorders>
            <w:shd w:val="clear" w:color="auto" w:fill="auto"/>
            <w:noWrap/>
            <w:vAlign w:val="bottom"/>
          </w:tcPr>
          <w:p w:rsidR="002569BE" w:rsidRPr="00F549A7" w:rsidRDefault="002569BE" w:rsidP="002569BE">
            <w:pPr>
              <w:spacing w:after="120"/>
              <w:jc w:val="center"/>
              <w:rPr>
                <w:rFonts w:ascii="Times New Roman" w:hAnsi="Times New Roman"/>
                <w:color w:val="000000"/>
                <w:sz w:val="24"/>
                <w:szCs w:val="24"/>
              </w:rPr>
            </w:pPr>
            <w:r w:rsidRPr="00F549A7">
              <w:rPr>
                <w:rFonts w:ascii="Times New Roman" w:hAnsi="Times New Roman"/>
                <w:color w:val="000000"/>
                <w:sz w:val="24"/>
                <w:szCs w:val="24"/>
              </w:rPr>
              <w:t>21,29</w:t>
            </w:r>
          </w:p>
        </w:tc>
        <w:tc>
          <w:tcPr>
            <w:tcW w:w="0" w:type="auto"/>
            <w:tcBorders>
              <w:top w:val="nil"/>
              <w:left w:val="nil"/>
              <w:bottom w:val="single" w:sz="4" w:space="0" w:color="auto"/>
              <w:right w:val="single" w:sz="4" w:space="0" w:color="auto"/>
            </w:tcBorders>
            <w:shd w:val="clear" w:color="auto" w:fill="auto"/>
            <w:noWrap/>
            <w:vAlign w:val="bottom"/>
          </w:tcPr>
          <w:p w:rsidR="002569BE" w:rsidRPr="00F549A7" w:rsidRDefault="002569BE" w:rsidP="002569BE">
            <w:pPr>
              <w:spacing w:after="120"/>
              <w:jc w:val="center"/>
              <w:rPr>
                <w:rFonts w:ascii="Times New Roman" w:hAnsi="Times New Roman"/>
                <w:color w:val="000000"/>
                <w:sz w:val="24"/>
                <w:szCs w:val="24"/>
              </w:rPr>
            </w:pPr>
            <w:r w:rsidRPr="00F549A7">
              <w:rPr>
                <w:rFonts w:ascii="Times New Roman" w:hAnsi="Times New Roman"/>
                <w:color w:val="000000"/>
                <w:sz w:val="24"/>
                <w:szCs w:val="24"/>
              </w:rPr>
              <w:t>25,91</w:t>
            </w:r>
          </w:p>
        </w:tc>
      </w:tr>
      <w:tr w:rsidR="002569BE" w:rsidRPr="00F549A7" w:rsidTr="00122563">
        <w:trPr>
          <w:cantSplit/>
          <w:trHeight w:val="20"/>
        </w:trPr>
        <w:tc>
          <w:tcPr>
            <w:tcW w:w="724" w:type="dxa"/>
            <w:vMerge/>
            <w:tcBorders>
              <w:top w:val="nil"/>
              <w:left w:val="single" w:sz="4" w:space="0" w:color="auto"/>
              <w:bottom w:val="single" w:sz="4" w:space="0" w:color="auto"/>
              <w:right w:val="single" w:sz="4" w:space="0" w:color="auto"/>
            </w:tcBorders>
            <w:vAlign w:val="center"/>
            <w:hideMark/>
          </w:tcPr>
          <w:p w:rsidR="002569BE" w:rsidRPr="00F549A7" w:rsidRDefault="002569BE" w:rsidP="00122563">
            <w:pPr>
              <w:spacing w:after="0" w:line="240" w:lineRule="auto"/>
              <w:rPr>
                <w:rFonts w:ascii="Times New Roman" w:hAnsi="Times New Roman"/>
                <w:sz w:val="24"/>
                <w:szCs w:val="24"/>
                <w:lang w:val="ru-RU" w:eastAsia="ru-RU"/>
              </w:rPr>
            </w:pPr>
          </w:p>
        </w:tc>
        <w:tc>
          <w:tcPr>
            <w:tcW w:w="0" w:type="auto"/>
            <w:tcBorders>
              <w:top w:val="nil"/>
              <w:left w:val="nil"/>
              <w:bottom w:val="single" w:sz="4" w:space="0" w:color="auto"/>
              <w:right w:val="single" w:sz="4" w:space="0" w:color="auto"/>
            </w:tcBorders>
            <w:shd w:val="clear" w:color="auto" w:fill="auto"/>
            <w:noWrap/>
            <w:hideMark/>
          </w:tcPr>
          <w:p w:rsidR="002569BE" w:rsidRPr="00F549A7" w:rsidRDefault="002569BE" w:rsidP="00122563">
            <w:pPr>
              <w:spacing w:after="0" w:line="240" w:lineRule="auto"/>
              <w:jc w:val="center"/>
              <w:rPr>
                <w:rFonts w:ascii="Times New Roman" w:hAnsi="Times New Roman"/>
                <w:b/>
                <w:sz w:val="24"/>
                <w:szCs w:val="24"/>
                <w:lang w:val="ru-RU" w:eastAsia="ru-RU"/>
              </w:rPr>
            </w:pPr>
            <w:r w:rsidRPr="00F549A7">
              <w:rPr>
                <w:rFonts w:ascii="Times New Roman" w:hAnsi="Times New Roman"/>
                <w:b/>
                <w:sz w:val="24"/>
                <w:szCs w:val="24"/>
                <w:lang w:val="ru-RU" w:eastAsia="ru-RU"/>
              </w:rPr>
              <w:t>40%</w:t>
            </w:r>
          </w:p>
        </w:tc>
        <w:tc>
          <w:tcPr>
            <w:tcW w:w="0" w:type="auto"/>
            <w:tcBorders>
              <w:top w:val="nil"/>
              <w:left w:val="nil"/>
              <w:bottom w:val="single" w:sz="4" w:space="0" w:color="auto"/>
              <w:right w:val="single" w:sz="4" w:space="0" w:color="auto"/>
            </w:tcBorders>
            <w:shd w:val="clear" w:color="auto" w:fill="auto"/>
            <w:noWrap/>
            <w:vAlign w:val="bottom"/>
          </w:tcPr>
          <w:p w:rsidR="002569BE" w:rsidRPr="00F549A7" w:rsidRDefault="002569BE" w:rsidP="002569BE">
            <w:pPr>
              <w:spacing w:after="120"/>
              <w:jc w:val="center"/>
              <w:rPr>
                <w:rFonts w:ascii="Times New Roman" w:hAnsi="Times New Roman"/>
                <w:color w:val="000000"/>
                <w:sz w:val="24"/>
                <w:szCs w:val="24"/>
              </w:rPr>
            </w:pPr>
            <w:r w:rsidRPr="00F549A7">
              <w:rPr>
                <w:rFonts w:ascii="Times New Roman" w:hAnsi="Times New Roman"/>
                <w:color w:val="000000"/>
                <w:sz w:val="24"/>
                <w:szCs w:val="24"/>
              </w:rPr>
              <w:t>27,66</w:t>
            </w:r>
          </w:p>
        </w:tc>
        <w:tc>
          <w:tcPr>
            <w:tcW w:w="0" w:type="auto"/>
            <w:tcBorders>
              <w:top w:val="nil"/>
              <w:left w:val="nil"/>
              <w:bottom w:val="single" w:sz="4" w:space="0" w:color="auto"/>
              <w:right w:val="single" w:sz="4" w:space="0" w:color="auto"/>
            </w:tcBorders>
            <w:shd w:val="clear" w:color="auto" w:fill="auto"/>
            <w:noWrap/>
            <w:vAlign w:val="bottom"/>
          </w:tcPr>
          <w:p w:rsidR="002569BE" w:rsidRPr="00F549A7" w:rsidRDefault="002569BE" w:rsidP="002569BE">
            <w:pPr>
              <w:spacing w:after="120"/>
              <w:jc w:val="center"/>
              <w:rPr>
                <w:rFonts w:ascii="Times New Roman" w:hAnsi="Times New Roman"/>
                <w:color w:val="000000"/>
                <w:sz w:val="24"/>
                <w:szCs w:val="24"/>
              </w:rPr>
            </w:pPr>
            <w:r w:rsidRPr="00F549A7">
              <w:rPr>
                <w:rFonts w:ascii="Times New Roman" w:hAnsi="Times New Roman"/>
                <w:color w:val="000000"/>
                <w:sz w:val="24"/>
                <w:szCs w:val="24"/>
              </w:rPr>
              <w:t>28,61</w:t>
            </w:r>
          </w:p>
        </w:tc>
        <w:tc>
          <w:tcPr>
            <w:tcW w:w="0" w:type="auto"/>
            <w:tcBorders>
              <w:top w:val="nil"/>
              <w:left w:val="nil"/>
              <w:bottom w:val="single" w:sz="4" w:space="0" w:color="auto"/>
              <w:right w:val="single" w:sz="4" w:space="0" w:color="auto"/>
            </w:tcBorders>
            <w:shd w:val="clear" w:color="auto" w:fill="auto"/>
            <w:noWrap/>
            <w:vAlign w:val="bottom"/>
          </w:tcPr>
          <w:p w:rsidR="002569BE" w:rsidRPr="00F549A7" w:rsidRDefault="002569BE" w:rsidP="002569BE">
            <w:pPr>
              <w:spacing w:after="120"/>
              <w:jc w:val="center"/>
              <w:rPr>
                <w:rFonts w:ascii="Times New Roman" w:hAnsi="Times New Roman"/>
                <w:color w:val="000000"/>
                <w:sz w:val="24"/>
                <w:szCs w:val="24"/>
              </w:rPr>
            </w:pPr>
            <w:r w:rsidRPr="00F549A7">
              <w:rPr>
                <w:rFonts w:ascii="Times New Roman" w:hAnsi="Times New Roman"/>
                <w:color w:val="000000"/>
                <w:sz w:val="24"/>
                <w:szCs w:val="24"/>
              </w:rPr>
              <w:t>29,95</w:t>
            </w:r>
          </w:p>
        </w:tc>
        <w:tc>
          <w:tcPr>
            <w:tcW w:w="0" w:type="auto"/>
            <w:tcBorders>
              <w:top w:val="nil"/>
              <w:left w:val="nil"/>
              <w:bottom w:val="single" w:sz="4" w:space="0" w:color="auto"/>
              <w:right w:val="single" w:sz="4" w:space="0" w:color="auto"/>
            </w:tcBorders>
            <w:shd w:val="clear" w:color="auto" w:fill="auto"/>
            <w:noWrap/>
            <w:vAlign w:val="bottom"/>
          </w:tcPr>
          <w:p w:rsidR="002569BE" w:rsidRPr="00F549A7" w:rsidRDefault="002569BE" w:rsidP="002569BE">
            <w:pPr>
              <w:spacing w:after="120"/>
              <w:jc w:val="center"/>
              <w:rPr>
                <w:rFonts w:ascii="Times New Roman" w:hAnsi="Times New Roman"/>
                <w:color w:val="000000"/>
                <w:sz w:val="24"/>
                <w:szCs w:val="24"/>
              </w:rPr>
            </w:pPr>
            <w:r w:rsidRPr="00F549A7">
              <w:rPr>
                <w:rFonts w:ascii="Times New Roman" w:hAnsi="Times New Roman"/>
                <w:color w:val="000000"/>
                <w:sz w:val="24"/>
                <w:szCs w:val="24"/>
              </w:rPr>
              <w:t>32,29</w:t>
            </w:r>
          </w:p>
        </w:tc>
        <w:tc>
          <w:tcPr>
            <w:tcW w:w="0" w:type="auto"/>
            <w:tcBorders>
              <w:top w:val="nil"/>
              <w:left w:val="nil"/>
              <w:bottom w:val="single" w:sz="4" w:space="0" w:color="auto"/>
              <w:right w:val="single" w:sz="4" w:space="0" w:color="auto"/>
            </w:tcBorders>
            <w:shd w:val="clear" w:color="auto" w:fill="auto"/>
            <w:noWrap/>
            <w:vAlign w:val="bottom"/>
          </w:tcPr>
          <w:p w:rsidR="002569BE" w:rsidRPr="00F549A7" w:rsidRDefault="002569BE" w:rsidP="002569BE">
            <w:pPr>
              <w:spacing w:after="120"/>
              <w:jc w:val="center"/>
              <w:rPr>
                <w:rFonts w:ascii="Times New Roman" w:hAnsi="Times New Roman"/>
                <w:color w:val="000000"/>
                <w:sz w:val="24"/>
                <w:szCs w:val="24"/>
              </w:rPr>
            </w:pPr>
            <w:r w:rsidRPr="00F549A7">
              <w:rPr>
                <w:rFonts w:ascii="Times New Roman" w:hAnsi="Times New Roman"/>
                <w:color w:val="000000"/>
                <w:sz w:val="24"/>
                <w:szCs w:val="24"/>
              </w:rPr>
              <w:t>36</w:t>
            </w:r>
          </w:p>
        </w:tc>
      </w:tr>
      <w:tr w:rsidR="002569BE" w:rsidRPr="00F549A7" w:rsidTr="00122563">
        <w:trPr>
          <w:cantSplit/>
          <w:trHeight w:val="20"/>
        </w:trPr>
        <w:tc>
          <w:tcPr>
            <w:tcW w:w="724" w:type="dxa"/>
            <w:vMerge/>
            <w:tcBorders>
              <w:top w:val="nil"/>
              <w:left w:val="single" w:sz="4" w:space="0" w:color="auto"/>
              <w:bottom w:val="single" w:sz="4" w:space="0" w:color="auto"/>
              <w:right w:val="single" w:sz="4" w:space="0" w:color="auto"/>
            </w:tcBorders>
            <w:vAlign w:val="center"/>
            <w:hideMark/>
          </w:tcPr>
          <w:p w:rsidR="002569BE" w:rsidRPr="00F549A7" w:rsidRDefault="002569BE" w:rsidP="00122563">
            <w:pPr>
              <w:spacing w:after="0" w:line="240" w:lineRule="auto"/>
              <w:rPr>
                <w:rFonts w:ascii="Times New Roman" w:hAnsi="Times New Roman"/>
                <w:sz w:val="24"/>
                <w:szCs w:val="24"/>
                <w:lang w:val="ru-RU" w:eastAsia="ru-RU"/>
              </w:rPr>
            </w:pPr>
          </w:p>
        </w:tc>
        <w:tc>
          <w:tcPr>
            <w:tcW w:w="0" w:type="auto"/>
            <w:tcBorders>
              <w:top w:val="nil"/>
              <w:left w:val="nil"/>
              <w:bottom w:val="single" w:sz="4" w:space="0" w:color="auto"/>
              <w:right w:val="single" w:sz="4" w:space="0" w:color="auto"/>
            </w:tcBorders>
            <w:shd w:val="clear" w:color="auto" w:fill="auto"/>
            <w:noWrap/>
            <w:hideMark/>
          </w:tcPr>
          <w:p w:rsidR="002569BE" w:rsidRPr="00F549A7" w:rsidRDefault="002569BE" w:rsidP="00122563">
            <w:pPr>
              <w:spacing w:after="0" w:line="240" w:lineRule="auto"/>
              <w:jc w:val="center"/>
              <w:rPr>
                <w:rFonts w:ascii="Times New Roman" w:hAnsi="Times New Roman"/>
                <w:b/>
                <w:sz w:val="24"/>
                <w:szCs w:val="24"/>
                <w:lang w:val="ru-RU" w:eastAsia="ru-RU"/>
              </w:rPr>
            </w:pPr>
            <w:r w:rsidRPr="00F549A7">
              <w:rPr>
                <w:rFonts w:ascii="Times New Roman" w:hAnsi="Times New Roman"/>
                <w:b/>
                <w:sz w:val="24"/>
                <w:szCs w:val="24"/>
                <w:lang w:val="ru-RU" w:eastAsia="ru-RU"/>
              </w:rPr>
              <w:t>30%</w:t>
            </w:r>
          </w:p>
        </w:tc>
        <w:tc>
          <w:tcPr>
            <w:tcW w:w="0" w:type="auto"/>
            <w:tcBorders>
              <w:top w:val="nil"/>
              <w:left w:val="nil"/>
              <w:bottom w:val="single" w:sz="4" w:space="0" w:color="auto"/>
              <w:right w:val="single" w:sz="4" w:space="0" w:color="auto"/>
            </w:tcBorders>
            <w:shd w:val="clear" w:color="auto" w:fill="auto"/>
            <w:noWrap/>
            <w:vAlign w:val="bottom"/>
          </w:tcPr>
          <w:p w:rsidR="002569BE" w:rsidRPr="00F549A7" w:rsidRDefault="002569BE" w:rsidP="002569BE">
            <w:pPr>
              <w:spacing w:after="120"/>
              <w:jc w:val="center"/>
              <w:rPr>
                <w:rFonts w:ascii="Times New Roman" w:hAnsi="Times New Roman"/>
                <w:color w:val="000000"/>
                <w:sz w:val="24"/>
                <w:szCs w:val="24"/>
              </w:rPr>
            </w:pPr>
            <w:r w:rsidRPr="00F549A7">
              <w:rPr>
                <w:rFonts w:ascii="Times New Roman" w:hAnsi="Times New Roman"/>
                <w:color w:val="000000"/>
                <w:sz w:val="24"/>
                <w:szCs w:val="24"/>
              </w:rPr>
              <w:t>40,69</w:t>
            </w:r>
          </w:p>
        </w:tc>
        <w:tc>
          <w:tcPr>
            <w:tcW w:w="0" w:type="auto"/>
            <w:tcBorders>
              <w:top w:val="nil"/>
              <w:left w:val="nil"/>
              <w:bottom w:val="single" w:sz="4" w:space="0" w:color="auto"/>
              <w:right w:val="single" w:sz="4" w:space="0" w:color="auto"/>
            </w:tcBorders>
            <w:shd w:val="clear" w:color="auto" w:fill="auto"/>
            <w:noWrap/>
            <w:vAlign w:val="bottom"/>
          </w:tcPr>
          <w:p w:rsidR="002569BE" w:rsidRPr="00F549A7" w:rsidRDefault="002569BE" w:rsidP="002569BE">
            <w:pPr>
              <w:spacing w:after="120"/>
              <w:jc w:val="center"/>
              <w:rPr>
                <w:rFonts w:ascii="Times New Roman" w:hAnsi="Times New Roman"/>
                <w:color w:val="000000"/>
                <w:sz w:val="24"/>
                <w:szCs w:val="24"/>
              </w:rPr>
            </w:pPr>
            <w:r w:rsidRPr="00F549A7">
              <w:rPr>
                <w:rFonts w:ascii="Times New Roman" w:hAnsi="Times New Roman"/>
                <w:color w:val="000000"/>
                <w:sz w:val="24"/>
                <w:szCs w:val="24"/>
              </w:rPr>
              <w:t>41,39</w:t>
            </w:r>
          </w:p>
        </w:tc>
        <w:tc>
          <w:tcPr>
            <w:tcW w:w="0" w:type="auto"/>
            <w:tcBorders>
              <w:top w:val="nil"/>
              <w:left w:val="nil"/>
              <w:bottom w:val="single" w:sz="4" w:space="0" w:color="auto"/>
              <w:right w:val="single" w:sz="4" w:space="0" w:color="auto"/>
            </w:tcBorders>
            <w:shd w:val="clear" w:color="auto" w:fill="auto"/>
            <w:noWrap/>
            <w:vAlign w:val="bottom"/>
          </w:tcPr>
          <w:p w:rsidR="002569BE" w:rsidRPr="00F549A7" w:rsidRDefault="002569BE" w:rsidP="002569BE">
            <w:pPr>
              <w:spacing w:after="120"/>
              <w:jc w:val="center"/>
              <w:rPr>
                <w:rFonts w:ascii="Times New Roman" w:hAnsi="Times New Roman"/>
                <w:color w:val="000000"/>
                <w:sz w:val="24"/>
                <w:szCs w:val="24"/>
              </w:rPr>
            </w:pPr>
            <w:r w:rsidRPr="00F549A7">
              <w:rPr>
                <w:rFonts w:ascii="Times New Roman" w:hAnsi="Times New Roman"/>
                <w:color w:val="000000"/>
                <w:sz w:val="24"/>
                <w:szCs w:val="24"/>
              </w:rPr>
              <w:t>42,41</w:t>
            </w:r>
          </w:p>
        </w:tc>
        <w:tc>
          <w:tcPr>
            <w:tcW w:w="0" w:type="auto"/>
            <w:tcBorders>
              <w:top w:val="nil"/>
              <w:left w:val="nil"/>
              <w:bottom w:val="single" w:sz="4" w:space="0" w:color="auto"/>
              <w:right w:val="single" w:sz="4" w:space="0" w:color="auto"/>
            </w:tcBorders>
            <w:shd w:val="clear" w:color="auto" w:fill="auto"/>
            <w:noWrap/>
            <w:vAlign w:val="bottom"/>
          </w:tcPr>
          <w:p w:rsidR="002569BE" w:rsidRPr="00F549A7" w:rsidRDefault="002569BE" w:rsidP="002569BE">
            <w:pPr>
              <w:spacing w:after="120"/>
              <w:jc w:val="center"/>
              <w:rPr>
                <w:rFonts w:ascii="Times New Roman" w:hAnsi="Times New Roman"/>
                <w:color w:val="000000"/>
                <w:sz w:val="24"/>
                <w:szCs w:val="24"/>
              </w:rPr>
            </w:pPr>
            <w:r w:rsidRPr="00F549A7">
              <w:rPr>
                <w:rFonts w:ascii="Times New Roman" w:hAnsi="Times New Roman"/>
                <w:color w:val="000000"/>
                <w:sz w:val="24"/>
                <w:szCs w:val="24"/>
              </w:rPr>
              <w:t>44,22</w:t>
            </w:r>
          </w:p>
        </w:tc>
        <w:tc>
          <w:tcPr>
            <w:tcW w:w="0" w:type="auto"/>
            <w:tcBorders>
              <w:top w:val="nil"/>
              <w:left w:val="nil"/>
              <w:bottom w:val="single" w:sz="4" w:space="0" w:color="auto"/>
              <w:right w:val="single" w:sz="4" w:space="0" w:color="auto"/>
            </w:tcBorders>
            <w:shd w:val="clear" w:color="auto" w:fill="auto"/>
            <w:noWrap/>
            <w:vAlign w:val="bottom"/>
          </w:tcPr>
          <w:p w:rsidR="002569BE" w:rsidRPr="00F549A7" w:rsidRDefault="002569BE" w:rsidP="002569BE">
            <w:pPr>
              <w:spacing w:after="120"/>
              <w:jc w:val="center"/>
              <w:rPr>
                <w:rFonts w:ascii="Times New Roman" w:hAnsi="Times New Roman"/>
                <w:color w:val="000000"/>
                <w:sz w:val="24"/>
                <w:szCs w:val="24"/>
              </w:rPr>
            </w:pPr>
            <w:r w:rsidRPr="00F549A7">
              <w:rPr>
                <w:rFonts w:ascii="Times New Roman" w:hAnsi="Times New Roman"/>
                <w:color w:val="000000"/>
                <w:sz w:val="24"/>
                <w:szCs w:val="24"/>
              </w:rPr>
              <w:t>47,02</w:t>
            </w:r>
          </w:p>
        </w:tc>
      </w:tr>
      <w:tr w:rsidR="002569BE" w:rsidRPr="00F549A7" w:rsidTr="002569BE">
        <w:trPr>
          <w:cantSplit/>
          <w:trHeight w:val="20"/>
        </w:trPr>
        <w:tc>
          <w:tcPr>
            <w:tcW w:w="724" w:type="dxa"/>
            <w:vMerge/>
            <w:tcBorders>
              <w:top w:val="nil"/>
              <w:left w:val="single" w:sz="4" w:space="0" w:color="auto"/>
              <w:bottom w:val="dotted" w:sz="4" w:space="0" w:color="auto"/>
              <w:right w:val="single" w:sz="4" w:space="0" w:color="auto"/>
            </w:tcBorders>
            <w:vAlign w:val="center"/>
            <w:hideMark/>
          </w:tcPr>
          <w:p w:rsidR="002569BE" w:rsidRPr="00F549A7" w:rsidRDefault="002569BE" w:rsidP="00122563">
            <w:pPr>
              <w:spacing w:after="0" w:line="240" w:lineRule="auto"/>
              <w:rPr>
                <w:rFonts w:ascii="Times New Roman" w:hAnsi="Times New Roman"/>
                <w:sz w:val="24"/>
                <w:szCs w:val="24"/>
                <w:lang w:val="ru-RU" w:eastAsia="ru-RU"/>
              </w:rPr>
            </w:pPr>
          </w:p>
        </w:tc>
        <w:tc>
          <w:tcPr>
            <w:tcW w:w="0" w:type="auto"/>
            <w:tcBorders>
              <w:top w:val="nil"/>
              <w:left w:val="nil"/>
              <w:bottom w:val="single" w:sz="4" w:space="0" w:color="auto"/>
              <w:right w:val="single" w:sz="4" w:space="0" w:color="auto"/>
            </w:tcBorders>
            <w:shd w:val="clear" w:color="auto" w:fill="auto"/>
            <w:noWrap/>
            <w:hideMark/>
          </w:tcPr>
          <w:p w:rsidR="002569BE" w:rsidRPr="00F549A7" w:rsidRDefault="002569BE" w:rsidP="00122563">
            <w:pPr>
              <w:spacing w:after="0" w:line="240" w:lineRule="auto"/>
              <w:jc w:val="center"/>
              <w:rPr>
                <w:rFonts w:ascii="Times New Roman" w:hAnsi="Times New Roman"/>
                <w:b/>
                <w:sz w:val="24"/>
                <w:szCs w:val="24"/>
                <w:lang w:val="ru-RU" w:eastAsia="ru-RU"/>
              </w:rPr>
            </w:pPr>
            <w:r w:rsidRPr="00F549A7">
              <w:rPr>
                <w:rFonts w:ascii="Times New Roman" w:hAnsi="Times New Roman"/>
                <w:b/>
                <w:sz w:val="24"/>
                <w:szCs w:val="24"/>
                <w:lang w:val="ru-RU" w:eastAsia="ru-RU"/>
              </w:rPr>
              <w:t>20%</w:t>
            </w:r>
          </w:p>
        </w:tc>
        <w:tc>
          <w:tcPr>
            <w:tcW w:w="0" w:type="auto"/>
            <w:tcBorders>
              <w:top w:val="nil"/>
              <w:left w:val="nil"/>
              <w:bottom w:val="single" w:sz="4" w:space="0" w:color="auto"/>
              <w:right w:val="single" w:sz="4" w:space="0" w:color="auto"/>
            </w:tcBorders>
            <w:shd w:val="clear" w:color="auto" w:fill="auto"/>
            <w:noWrap/>
            <w:vAlign w:val="bottom"/>
          </w:tcPr>
          <w:p w:rsidR="002569BE" w:rsidRPr="00F549A7" w:rsidRDefault="002569BE" w:rsidP="002569BE">
            <w:pPr>
              <w:spacing w:after="120"/>
              <w:jc w:val="center"/>
              <w:rPr>
                <w:rFonts w:ascii="Times New Roman" w:hAnsi="Times New Roman"/>
                <w:color w:val="000000"/>
                <w:sz w:val="24"/>
                <w:szCs w:val="24"/>
              </w:rPr>
            </w:pPr>
            <w:r w:rsidRPr="00F549A7">
              <w:rPr>
                <w:rFonts w:ascii="Times New Roman" w:hAnsi="Times New Roman"/>
                <w:color w:val="000000"/>
                <w:sz w:val="24"/>
                <w:szCs w:val="24"/>
              </w:rPr>
              <w:t>54,11</w:t>
            </w:r>
          </w:p>
        </w:tc>
        <w:tc>
          <w:tcPr>
            <w:tcW w:w="0" w:type="auto"/>
            <w:tcBorders>
              <w:top w:val="nil"/>
              <w:left w:val="nil"/>
              <w:bottom w:val="single" w:sz="4" w:space="0" w:color="auto"/>
              <w:right w:val="single" w:sz="4" w:space="0" w:color="auto"/>
            </w:tcBorders>
            <w:shd w:val="clear" w:color="auto" w:fill="auto"/>
            <w:noWrap/>
            <w:vAlign w:val="bottom"/>
          </w:tcPr>
          <w:p w:rsidR="002569BE" w:rsidRPr="00F549A7" w:rsidRDefault="002569BE" w:rsidP="002569BE">
            <w:pPr>
              <w:spacing w:after="120"/>
              <w:jc w:val="center"/>
              <w:rPr>
                <w:rFonts w:ascii="Times New Roman" w:hAnsi="Times New Roman"/>
                <w:color w:val="000000"/>
                <w:sz w:val="24"/>
                <w:szCs w:val="24"/>
              </w:rPr>
            </w:pPr>
            <w:r w:rsidRPr="00F549A7">
              <w:rPr>
                <w:rFonts w:ascii="Times New Roman" w:hAnsi="Times New Roman"/>
                <w:color w:val="000000"/>
                <w:sz w:val="24"/>
                <w:szCs w:val="24"/>
              </w:rPr>
              <w:t>54,55</w:t>
            </w:r>
          </w:p>
        </w:tc>
        <w:tc>
          <w:tcPr>
            <w:tcW w:w="0" w:type="auto"/>
            <w:tcBorders>
              <w:top w:val="nil"/>
              <w:left w:val="nil"/>
              <w:bottom w:val="single" w:sz="4" w:space="0" w:color="auto"/>
              <w:right w:val="single" w:sz="4" w:space="0" w:color="auto"/>
            </w:tcBorders>
            <w:shd w:val="clear" w:color="auto" w:fill="auto"/>
            <w:noWrap/>
            <w:vAlign w:val="bottom"/>
          </w:tcPr>
          <w:p w:rsidR="002569BE" w:rsidRPr="00F549A7" w:rsidRDefault="002569BE" w:rsidP="002569BE">
            <w:pPr>
              <w:spacing w:after="120"/>
              <w:jc w:val="center"/>
              <w:rPr>
                <w:rFonts w:ascii="Times New Roman" w:hAnsi="Times New Roman"/>
                <w:color w:val="000000"/>
                <w:sz w:val="24"/>
                <w:szCs w:val="24"/>
              </w:rPr>
            </w:pPr>
            <w:r w:rsidRPr="00F549A7">
              <w:rPr>
                <w:rFonts w:ascii="Times New Roman" w:hAnsi="Times New Roman"/>
                <w:color w:val="000000"/>
                <w:sz w:val="24"/>
                <w:szCs w:val="24"/>
              </w:rPr>
              <w:t>55,25</w:t>
            </w:r>
          </w:p>
        </w:tc>
        <w:tc>
          <w:tcPr>
            <w:tcW w:w="0" w:type="auto"/>
            <w:tcBorders>
              <w:top w:val="nil"/>
              <w:left w:val="nil"/>
              <w:bottom w:val="single" w:sz="4" w:space="0" w:color="auto"/>
              <w:right w:val="single" w:sz="4" w:space="0" w:color="auto"/>
            </w:tcBorders>
            <w:shd w:val="clear" w:color="auto" w:fill="auto"/>
            <w:noWrap/>
            <w:vAlign w:val="bottom"/>
          </w:tcPr>
          <w:p w:rsidR="002569BE" w:rsidRPr="00F549A7" w:rsidRDefault="002569BE" w:rsidP="002569BE">
            <w:pPr>
              <w:spacing w:after="120"/>
              <w:jc w:val="center"/>
              <w:rPr>
                <w:rFonts w:ascii="Times New Roman" w:hAnsi="Times New Roman"/>
                <w:color w:val="000000"/>
                <w:sz w:val="24"/>
                <w:szCs w:val="24"/>
              </w:rPr>
            </w:pPr>
            <w:r w:rsidRPr="00F549A7">
              <w:rPr>
                <w:rFonts w:ascii="Times New Roman" w:hAnsi="Times New Roman"/>
                <w:color w:val="000000"/>
                <w:sz w:val="24"/>
                <w:szCs w:val="24"/>
              </w:rPr>
              <w:t>56,49</w:t>
            </w:r>
          </w:p>
        </w:tc>
        <w:tc>
          <w:tcPr>
            <w:tcW w:w="0" w:type="auto"/>
            <w:tcBorders>
              <w:top w:val="nil"/>
              <w:left w:val="nil"/>
              <w:bottom w:val="single" w:sz="4" w:space="0" w:color="auto"/>
              <w:right w:val="single" w:sz="4" w:space="0" w:color="auto"/>
            </w:tcBorders>
            <w:shd w:val="clear" w:color="auto" w:fill="auto"/>
            <w:noWrap/>
            <w:vAlign w:val="bottom"/>
          </w:tcPr>
          <w:p w:rsidR="002569BE" w:rsidRPr="00F549A7" w:rsidRDefault="002569BE" w:rsidP="002569BE">
            <w:pPr>
              <w:spacing w:after="120"/>
              <w:jc w:val="center"/>
              <w:rPr>
                <w:rFonts w:ascii="Times New Roman" w:hAnsi="Times New Roman"/>
                <w:color w:val="000000"/>
                <w:sz w:val="24"/>
                <w:szCs w:val="24"/>
              </w:rPr>
            </w:pPr>
            <w:r w:rsidRPr="00F549A7">
              <w:rPr>
                <w:rFonts w:ascii="Times New Roman" w:hAnsi="Times New Roman"/>
                <w:color w:val="000000"/>
                <w:sz w:val="24"/>
                <w:szCs w:val="24"/>
              </w:rPr>
              <w:t>58,36</w:t>
            </w:r>
          </w:p>
        </w:tc>
      </w:tr>
    </w:tbl>
    <w:p w:rsidR="005A0480" w:rsidRDefault="005A0480" w:rsidP="005A0480">
      <w:pPr>
        <w:autoSpaceDE w:val="0"/>
        <w:autoSpaceDN w:val="0"/>
        <w:adjustRightInd w:val="0"/>
        <w:spacing w:after="0" w:line="240" w:lineRule="auto"/>
        <w:jc w:val="both"/>
        <w:rPr>
          <w:rFonts w:ascii="Times New Roman" w:hAnsi="Times New Roman"/>
          <w:bCs/>
          <w:sz w:val="28"/>
          <w:szCs w:val="28"/>
        </w:rPr>
      </w:pPr>
    </w:p>
    <w:p w:rsidR="006237C7" w:rsidRDefault="00D647B1" w:rsidP="005A0480">
      <w:pPr>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xml:space="preserve">Pamatojoties uz </w:t>
      </w:r>
      <w:r w:rsidR="009A1F27">
        <w:rPr>
          <w:rFonts w:ascii="Times New Roman" w:hAnsi="Times New Roman"/>
          <w:bCs/>
          <w:sz w:val="28"/>
          <w:szCs w:val="28"/>
        </w:rPr>
        <w:t>1</w:t>
      </w:r>
      <w:r w:rsidR="005A0480">
        <w:rPr>
          <w:rFonts w:ascii="Times New Roman" w:hAnsi="Times New Roman"/>
          <w:bCs/>
          <w:sz w:val="28"/>
          <w:szCs w:val="28"/>
        </w:rPr>
        <w:t>.tabul</w:t>
      </w:r>
      <w:r>
        <w:rPr>
          <w:rFonts w:ascii="Times New Roman" w:hAnsi="Times New Roman"/>
          <w:bCs/>
          <w:sz w:val="28"/>
          <w:szCs w:val="28"/>
        </w:rPr>
        <w:t>ā iekļautajām kombinācijām, iespējams modelēt dažādus variantus</w:t>
      </w:r>
      <w:r w:rsidR="005A0480">
        <w:rPr>
          <w:rFonts w:ascii="Times New Roman" w:hAnsi="Times New Roman"/>
          <w:bCs/>
          <w:sz w:val="28"/>
          <w:szCs w:val="28"/>
        </w:rPr>
        <w:t>,</w:t>
      </w:r>
      <w:r>
        <w:rPr>
          <w:rFonts w:ascii="Times New Roman" w:hAnsi="Times New Roman"/>
          <w:bCs/>
          <w:sz w:val="28"/>
          <w:szCs w:val="28"/>
        </w:rPr>
        <w:t xml:space="preserve"> ņemot vērā pieejamos finanšu resursus.</w:t>
      </w:r>
      <w:r w:rsidR="006237C7">
        <w:rPr>
          <w:rFonts w:ascii="Times New Roman" w:hAnsi="Times New Roman"/>
          <w:bCs/>
          <w:sz w:val="28"/>
          <w:szCs w:val="28"/>
        </w:rPr>
        <w:t xml:space="preserve"> </w:t>
      </w:r>
      <w:r w:rsidR="009A1F27">
        <w:rPr>
          <w:rFonts w:ascii="Times New Roman" w:hAnsi="Times New Roman"/>
          <w:bCs/>
          <w:sz w:val="28"/>
          <w:szCs w:val="28"/>
        </w:rPr>
        <w:t>2</w:t>
      </w:r>
      <w:r w:rsidR="006237C7">
        <w:rPr>
          <w:rFonts w:ascii="Times New Roman" w:hAnsi="Times New Roman"/>
          <w:bCs/>
          <w:sz w:val="28"/>
          <w:szCs w:val="28"/>
        </w:rPr>
        <w:t xml:space="preserve">.tabulā atspoguļoti trīs varianti pakāpeniskai mēnešalgu izlīdzināšanai sadalījumā pa gadiem. Visiem variantiem finansējums 2014.gadam iekļauj arī finansējumu minimālās algas paaugstināšanai no 200 līdz 225 latiem. </w:t>
      </w:r>
    </w:p>
    <w:p w:rsidR="006237C7" w:rsidRDefault="006237C7" w:rsidP="005A0480">
      <w:pPr>
        <w:autoSpaceDE w:val="0"/>
        <w:autoSpaceDN w:val="0"/>
        <w:adjustRightInd w:val="0"/>
        <w:spacing w:after="0" w:line="240" w:lineRule="auto"/>
        <w:jc w:val="both"/>
        <w:rPr>
          <w:rFonts w:ascii="Times New Roman" w:hAnsi="Times New Roman"/>
          <w:bCs/>
          <w:sz w:val="28"/>
          <w:szCs w:val="28"/>
        </w:rPr>
      </w:pPr>
      <w:r w:rsidRPr="0049041F">
        <w:rPr>
          <w:rFonts w:ascii="Times New Roman" w:hAnsi="Times New Roman"/>
          <w:bCs/>
          <w:sz w:val="28"/>
          <w:szCs w:val="28"/>
          <w:u w:val="single"/>
        </w:rPr>
        <w:t>1.variants</w:t>
      </w:r>
      <w:r>
        <w:rPr>
          <w:rFonts w:ascii="Times New Roman" w:hAnsi="Times New Roman"/>
          <w:bCs/>
          <w:sz w:val="28"/>
          <w:szCs w:val="28"/>
        </w:rPr>
        <w:t xml:space="preserve"> – nodrošinās pamatā minimālās algas palielināšanu, nedaudz paaugstinot mēnešalgas darbiniekiem ar viszemāko vietu mēnešalgu skalā;</w:t>
      </w:r>
    </w:p>
    <w:p w:rsidR="005A0480" w:rsidRDefault="006237C7" w:rsidP="005A0480">
      <w:pPr>
        <w:autoSpaceDE w:val="0"/>
        <w:autoSpaceDN w:val="0"/>
        <w:adjustRightInd w:val="0"/>
        <w:spacing w:after="0" w:line="240" w:lineRule="auto"/>
        <w:jc w:val="both"/>
        <w:rPr>
          <w:rFonts w:ascii="Times New Roman" w:hAnsi="Times New Roman"/>
          <w:bCs/>
          <w:sz w:val="28"/>
          <w:szCs w:val="28"/>
        </w:rPr>
      </w:pPr>
      <w:r w:rsidRPr="0049041F">
        <w:rPr>
          <w:rFonts w:ascii="Times New Roman" w:hAnsi="Times New Roman"/>
          <w:bCs/>
          <w:sz w:val="28"/>
          <w:szCs w:val="28"/>
          <w:u w:val="single"/>
        </w:rPr>
        <w:t>2.variants</w:t>
      </w:r>
      <w:r>
        <w:rPr>
          <w:rFonts w:ascii="Times New Roman" w:hAnsi="Times New Roman"/>
          <w:bCs/>
          <w:sz w:val="28"/>
          <w:szCs w:val="28"/>
        </w:rPr>
        <w:t xml:space="preserve"> </w:t>
      </w:r>
      <w:r w:rsidR="00FA4AFC">
        <w:rPr>
          <w:rFonts w:ascii="Times New Roman" w:hAnsi="Times New Roman"/>
          <w:bCs/>
          <w:sz w:val="28"/>
          <w:szCs w:val="28"/>
        </w:rPr>
        <w:t>– nodrošinās pamatā minimālās algas palielināšanu, tomēr uzsākt algu izlīdzināšanu varēs, iekļaujot lielāku darbinieku skaitu;</w:t>
      </w:r>
    </w:p>
    <w:p w:rsidR="005A0480" w:rsidRDefault="00FA4AFC" w:rsidP="00FA4AFC">
      <w:pPr>
        <w:autoSpaceDE w:val="0"/>
        <w:autoSpaceDN w:val="0"/>
        <w:adjustRightInd w:val="0"/>
        <w:spacing w:after="0" w:line="240" w:lineRule="auto"/>
        <w:jc w:val="both"/>
        <w:rPr>
          <w:rFonts w:ascii="Times New Roman" w:hAnsi="Times New Roman"/>
          <w:bCs/>
          <w:sz w:val="28"/>
          <w:szCs w:val="28"/>
        </w:rPr>
      </w:pPr>
      <w:r w:rsidRPr="0049041F">
        <w:rPr>
          <w:rFonts w:ascii="Times New Roman" w:hAnsi="Times New Roman"/>
          <w:bCs/>
          <w:sz w:val="28"/>
          <w:szCs w:val="28"/>
          <w:u w:val="single"/>
        </w:rPr>
        <w:t>3.variants</w:t>
      </w:r>
      <w:r>
        <w:rPr>
          <w:rFonts w:ascii="Times New Roman" w:hAnsi="Times New Roman"/>
          <w:bCs/>
          <w:sz w:val="28"/>
          <w:szCs w:val="28"/>
        </w:rPr>
        <w:t xml:space="preserve"> – optimālāks salīdzinot ar 1.un 2.variantu, taču nepieciešams vislielākais finansējums.</w:t>
      </w:r>
    </w:p>
    <w:p w:rsidR="00C00B9A" w:rsidRDefault="00C00B9A">
      <w:pPr>
        <w:spacing w:after="0" w:line="240" w:lineRule="auto"/>
        <w:rPr>
          <w:rFonts w:ascii="Times New Roman" w:hAnsi="Times New Roman"/>
          <w:bCs/>
          <w:sz w:val="28"/>
          <w:szCs w:val="28"/>
        </w:rPr>
      </w:pPr>
      <w:r>
        <w:rPr>
          <w:rFonts w:ascii="Times New Roman" w:hAnsi="Times New Roman"/>
          <w:bCs/>
          <w:sz w:val="28"/>
          <w:szCs w:val="28"/>
        </w:rPr>
        <w:br w:type="page"/>
      </w:r>
    </w:p>
    <w:p w:rsidR="00AB11C0" w:rsidRDefault="009A1F27" w:rsidP="00AB11C0">
      <w:pPr>
        <w:autoSpaceDE w:val="0"/>
        <w:autoSpaceDN w:val="0"/>
        <w:adjustRightInd w:val="0"/>
        <w:spacing w:after="0" w:line="240" w:lineRule="auto"/>
        <w:jc w:val="right"/>
        <w:rPr>
          <w:rFonts w:ascii="Times New Roman" w:hAnsi="Times New Roman"/>
          <w:bCs/>
          <w:sz w:val="28"/>
          <w:szCs w:val="28"/>
        </w:rPr>
      </w:pPr>
      <w:r>
        <w:rPr>
          <w:rFonts w:ascii="Times New Roman" w:hAnsi="Times New Roman"/>
          <w:bCs/>
          <w:sz w:val="28"/>
          <w:szCs w:val="28"/>
        </w:rPr>
        <w:lastRenderedPageBreak/>
        <w:t>2</w:t>
      </w:r>
      <w:r w:rsidR="00AB11C0" w:rsidRPr="0065617E">
        <w:rPr>
          <w:rFonts w:ascii="Times New Roman" w:hAnsi="Times New Roman"/>
          <w:bCs/>
          <w:sz w:val="28"/>
          <w:szCs w:val="28"/>
        </w:rPr>
        <w:t>.tabula</w:t>
      </w:r>
    </w:p>
    <w:p w:rsidR="00923312" w:rsidRDefault="00923312" w:rsidP="00923312">
      <w:pPr>
        <w:autoSpaceDE w:val="0"/>
        <w:autoSpaceDN w:val="0"/>
        <w:adjustRightInd w:val="0"/>
        <w:spacing w:after="0" w:line="240" w:lineRule="auto"/>
        <w:jc w:val="both"/>
        <w:rPr>
          <w:rFonts w:ascii="Times New Roman" w:hAnsi="Times New Roman"/>
          <w:sz w:val="24"/>
          <w:szCs w:val="24"/>
        </w:rPr>
      </w:pPr>
    </w:p>
    <w:p w:rsidR="00122563" w:rsidRDefault="00582ACF" w:rsidP="00923312">
      <w:pPr>
        <w:spacing w:after="0" w:line="240" w:lineRule="auto"/>
        <w:jc w:val="both"/>
        <w:rPr>
          <w:rFonts w:ascii="Times New Roman" w:hAnsi="Times New Roman"/>
          <w:b/>
          <w:bCs/>
          <w:sz w:val="28"/>
          <w:szCs w:val="28"/>
        </w:rPr>
      </w:pPr>
      <w:r w:rsidRPr="00582ACF">
        <w:rPr>
          <w:rFonts w:ascii="Times New Roman" w:hAnsi="Times New Roman"/>
          <w:b/>
          <w:bCs/>
          <w:sz w:val="28"/>
          <w:szCs w:val="28"/>
        </w:rPr>
        <w:t xml:space="preserve">Trīs varianti diapazonu pakāpeniskas sašaurināšanas finansiālai ietekmei </w:t>
      </w:r>
      <w:r w:rsidR="00BD6195">
        <w:rPr>
          <w:rFonts w:ascii="Times New Roman" w:hAnsi="Times New Roman"/>
          <w:b/>
          <w:bCs/>
          <w:sz w:val="28"/>
          <w:szCs w:val="28"/>
        </w:rPr>
        <w:t xml:space="preserve">uz valsts budžetu </w:t>
      </w:r>
      <w:r w:rsidRPr="00582ACF">
        <w:rPr>
          <w:rFonts w:ascii="Times New Roman" w:hAnsi="Times New Roman"/>
          <w:b/>
          <w:bCs/>
          <w:sz w:val="28"/>
          <w:szCs w:val="28"/>
        </w:rPr>
        <w:t>2014. - 2016.gadam, milj.Ls</w:t>
      </w:r>
    </w:p>
    <w:p w:rsidR="007F02D1" w:rsidRDefault="007F02D1" w:rsidP="00923312">
      <w:pPr>
        <w:spacing w:after="0" w:line="240" w:lineRule="auto"/>
        <w:jc w:val="both"/>
        <w:rPr>
          <w:rFonts w:ascii="Times New Roman" w:hAnsi="Times New Roman"/>
          <w:b/>
          <w:bCs/>
          <w:sz w:val="28"/>
          <w:szCs w:val="28"/>
        </w:rPr>
      </w:pPr>
    </w:p>
    <w:tbl>
      <w:tblPr>
        <w:tblW w:w="8860" w:type="dxa"/>
        <w:tblInd w:w="92" w:type="dxa"/>
        <w:tblLook w:val="04A0" w:firstRow="1" w:lastRow="0" w:firstColumn="1" w:lastColumn="0" w:noHBand="0" w:noVBand="1"/>
      </w:tblPr>
      <w:tblGrid>
        <w:gridCol w:w="2125"/>
        <w:gridCol w:w="1256"/>
        <w:gridCol w:w="989"/>
        <w:gridCol w:w="1256"/>
        <w:gridCol w:w="989"/>
        <w:gridCol w:w="1256"/>
        <w:gridCol w:w="989"/>
      </w:tblGrid>
      <w:tr w:rsidR="007F02D1" w:rsidRPr="007F02D1" w:rsidTr="007F02D1">
        <w:trPr>
          <w:trHeight w:val="315"/>
        </w:trPr>
        <w:tc>
          <w:tcPr>
            <w:tcW w:w="272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color w:val="000000"/>
                <w:sz w:val="24"/>
                <w:szCs w:val="24"/>
              </w:rPr>
            </w:pPr>
            <w:r w:rsidRPr="007F02D1">
              <w:rPr>
                <w:rFonts w:ascii="Times New Roman" w:hAnsi="Times New Roman"/>
                <w:bCs/>
                <w:color w:val="000000"/>
                <w:sz w:val="24"/>
                <w:szCs w:val="24"/>
              </w:rPr>
              <w:t xml:space="preserve">  </w:t>
            </w:r>
          </w:p>
        </w:tc>
        <w:tc>
          <w:tcPr>
            <w:tcW w:w="2029" w:type="dxa"/>
            <w:gridSpan w:val="2"/>
            <w:tcBorders>
              <w:top w:val="single" w:sz="4" w:space="0" w:color="auto"/>
              <w:left w:val="nil"/>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b/>
                <w:bCs/>
                <w:color w:val="000000"/>
                <w:sz w:val="24"/>
                <w:szCs w:val="24"/>
              </w:rPr>
            </w:pPr>
            <w:r w:rsidRPr="007F02D1">
              <w:rPr>
                <w:rFonts w:ascii="Times New Roman" w:hAnsi="Times New Roman"/>
                <w:b/>
                <w:bCs/>
                <w:color w:val="000000"/>
                <w:sz w:val="24"/>
                <w:szCs w:val="24"/>
              </w:rPr>
              <w:t xml:space="preserve">1.variants </w:t>
            </w:r>
          </w:p>
        </w:tc>
        <w:tc>
          <w:tcPr>
            <w:tcW w:w="2076" w:type="dxa"/>
            <w:gridSpan w:val="2"/>
            <w:tcBorders>
              <w:top w:val="single" w:sz="4" w:space="0" w:color="auto"/>
              <w:left w:val="nil"/>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b/>
                <w:bCs/>
                <w:color w:val="000000"/>
                <w:sz w:val="24"/>
                <w:szCs w:val="24"/>
              </w:rPr>
            </w:pPr>
            <w:r w:rsidRPr="007F02D1">
              <w:rPr>
                <w:rFonts w:ascii="Times New Roman" w:hAnsi="Times New Roman"/>
                <w:b/>
                <w:bCs/>
                <w:color w:val="000000"/>
                <w:sz w:val="24"/>
                <w:szCs w:val="24"/>
              </w:rPr>
              <w:t xml:space="preserve">2.variants </w:t>
            </w:r>
          </w:p>
        </w:tc>
        <w:tc>
          <w:tcPr>
            <w:tcW w:w="2029" w:type="dxa"/>
            <w:gridSpan w:val="2"/>
            <w:tcBorders>
              <w:top w:val="single" w:sz="4" w:space="0" w:color="auto"/>
              <w:left w:val="nil"/>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b/>
                <w:bCs/>
                <w:color w:val="000000"/>
                <w:sz w:val="24"/>
                <w:szCs w:val="24"/>
              </w:rPr>
            </w:pPr>
            <w:r w:rsidRPr="007F02D1">
              <w:rPr>
                <w:rFonts w:ascii="Times New Roman" w:hAnsi="Times New Roman"/>
                <w:b/>
                <w:bCs/>
                <w:color w:val="000000"/>
                <w:sz w:val="24"/>
                <w:szCs w:val="24"/>
              </w:rPr>
              <w:t xml:space="preserve">3.variants </w:t>
            </w:r>
          </w:p>
        </w:tc>
      </w:tr>
      <w:tr w:rsidR="007F02D1" w:rsidRPr="007F02D1" w:rsidTr="007F02D1">
        <w:trPr>
          <w:trHeight w:val="945"/>
        </w:trPr>
        <w:tc>
          <w:tcPr>
            <w:tcW w:w="2726" w:type="dxa"/>
            <w:tcBorders>
              <w:top w:val="nil"/>
              <w:left w:val="single" w:sz="4" w:space="0" w:color="auto"/>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b/>
                <w:bCs/>
                <w:color w:val="000000"/>
                <w:sz w:val="24"/>
                <w:szCs w:val="24"/>
              </w:rPr>
            </w:pPr>
            <w:r w:rsidRPr="007F02D1">
              <w:rPr>
                <w:rFonts w:ascii="Times New Roman" w:hAnsi="Times New Roman"/>
                <w:b/>
                <w:bCs/>
                <w:color w:val="000000"/>
                <w:sz w:val="24"/>
                <w:szCs w:val="24"/>
              </w:rPr>
              <w:t xml:space="preserve">2014.gads </w:t>
            </w:r>
          </w:p>
        </w:tc>
        <w:tc>
          <w:tcPr>
            <w:tcW w:w="1072" w:type="dxa"/>
            <w:tcBorders>
              <w:top w:val="nil"/>
              <w:left w:val="nil"/>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color w:val="000000"/>
                <w:sz w:val="24"/>
                <w:szCs w:val="24"/>
              </w:rPr>
            </w:pPr>
            <w:r w:rsidRPr="007F02D1">
              <w:rPr>
                <w:rFonts w:ascii="Times New Roman" w:hAnsi="Times New Roman"/>
                <w:bCs/>
                <w:color w:val="000000"/>
                <w:sz w:val="24"/>
                <w:szCs w:val="24"/>
              </w:rPr>
              <w:t xml:space="preserve">Diapazonu starpība </w:t>
            </w:r>
          </w:p>
        </w:tc>
        <w:tc>
          <w:tcPr>
            <w:tcW w:w="957" w:type="dxa"/>
            <w:tcBorders>
              <w:top w:val="nil"/>
              <w:left w:val="nil"/>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color w:val="000000"/>
                <w:sz w:val="24"/>
                <w:szCs w:val="24"/>
              </w:rPr>
            </w:pPr>
            <w:r w:rsidRPr="007F02D1">
              <w:rPr>
                <w:rFonts w:ascii="Times New Roman" w:hAnsi="Times New Roman"/>
                <w:bCs/>
                <w:color w:val="000000"/>
                <w:sz w:val="24"/>
                <w:szCs w:val="24"/>
              </w:rPr>
              <w:t xml:space="preserve">Iestādes vieta skalā </w:t>
            </w:r>
          </w:p>
        </w:tc>
        <w:tc>
          <w:tcPr>
            <w:tcW w:w="1119" w:type="dxa"/>
            <w:tcBorders>
              <w:top w:val="nil"/>
              <w:left w:val="nil"/>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color w:val="000000"/>
                <w:sz w:val="24"/>
                <w:szCs w:val="24"/>
              </w:rPr>
            </w:pPr>
            <w:r w:rsidRPr="007F02D1">
              <w:rPr>
                <w:rFonts w:ascii="Times New Roman" w:hAnsi="Times New Roman"/>
                <w:bCs/>
                <w:color w:val="000000"/>
                <w:sz w:val="24"/>
                <w:szCs w:val="24"/>
              </w:rPr>
              <w:t xml:space="preserve">Diapazonu starpība </w:t>
            </w:r>
          </w:p>
        </w:tc>
        <w:tc>
          <w:tcPr>
            <w:tcW w:w="957" w:type="dxa"/>
            <w:tcBorders>
              <w:top w:val="nil"/>
              <w:left w:val="nil"/>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color w:val="000000"/>
                <w:sz w:val="24"/>
                <w:szCs w:val="24"/>
              </w:rPr>
            </w:pPr>
            <w:r w:rsidRPr="007F02D1">
              <w:rPr>
                <w:rFonts w:ascii="Times New Roman" w:hAnsi="Times New Roman"/>
                <w:bCs/>
                <w:color w:val="000000"/>
                <w:sz w:val="24"/>
                <w:szCs w:val="24"/>
              </w:rPr>
              <w:t xml:space="preserve">Iestādes vieta skalā </w:t>
            </w:r>
          </w:p>
        </w:tc>
        <w:tc>
          <w:tcPr>
            <w:tcW w:w="1072" w:type="dxa"/>
            <w:tcBorders>
              <w:top w:val="nil"/>
              <w:left w:val="nil"/>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color w:val="000000"/>
                <w:sz w:val="24"/>
                <w:szCs w:val="24"/>
              </w:rPr>
            </w:pPr>
            <w:r w:rsidRPr="007F02D1">
              <w:rPr>
                <w:rFonts w:ascii="Times New Roman" w:hAnsi="Times New Roman"/>
                <w:bCs/>
                <w:color w:val="000000"/>
                <w:sz w:val="24"/>
                <w:szCs w:val="24"/>
              </w:rPr>
              <w:t xml:space="preserve">Diapazonu starpība </w:t>
            </w:r>
          </w:p>
        </w:tc>
        <w:tc>
          <w:tcPr>
            <w:tcW w:w="957" w:type="dxa"/>
            <w:tcBorders>
              <w:top w:val="nil"/>
              <w:left w:val="nil"/>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color w:val="000000"/>
                <w:sz w:val="24"/>
                <w:szCs w:val="24"/>
              </w:rPr>
            </w:pPr>
            <w:r w:rsidRPr="007F02D1">
              <w:rPr>
                <w:rFonts w:ascii="Times New Roman" w:hAnsi="Times New Roman"/>
                <w:bCs/>
                <w:color w:val="000000"/>
                <w:sz w:val="24"/>
                <w:szCs w:val="24"/>
              </w:rPr>
              <w:t xml:space="preserve">Iestādes vieta skalā </w:t>
            </w:r>
          </w:p>
        </w:tc>
      </w:tr>
      <w:tr w:rsidR="007F02D1" w:rsidRPr="007F02D1" w:rsidTr="007F02D1">
        <w:trPr>
          <w:trHeight w:val="315"/>
        </w:trPr>
        <w:tc>
          <w:tcPr>
            <w:tcW w:w="2726" w:type="dxa"/>
            <w:tcBorders>
              <w:top w:val="nil"/>
              <w:left w:val="single" w:sz="4" w:space="0" w:color="auto"/>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color w:val="000000"/>
                <w:sz w:val="24"/>
                <w:szCs w:val="24"/>
              </w:rPr>
            </w:pPr>
            <w:r w:rsidRPr="007F02D1">
              <w:rPr>
                <w:rFonts w:ascii="Times New Roman" w:hAnsi="Times New Roman"/>
                <w:bCs/>
                <w:color w:val="000000"/>
                <w:sz w:val="24"/>
                <w:szCs w:val="24"/>
              </w:rPr>
              <w:t xml:space="preserve">Ministrijas </w:t>
            </w:r>
          </w:p>
        </w:tc>
        <w:tc>
          <w:tcPr>
            <w:tcW w:w="1072"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40%</w:t>
            </w:r>
          </w:p>
        </w:tc>
        <w:tc>
          <w:tcPr>
            <w:tcW w:w="957"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0,7</w:t>
            </w:r>
          </w:p>
        </w:tc>
        <w:tc>
          <w:tcPr>
            <w:tcW w:w="1119"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30%</w:t>
            </w:r>
          </w:p>
        </w:tc>
        <w:tc>
          <w:tcPr>
            <w:tcW w:w="957"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0,8</w:t>
            </w:r>
          </w:p>
        </w:tc>
        <w:tc>
          <w:tcPr>
            <w:tcW w:w="1072"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30%</w:t>
            </w:r>
          </w:p>
        </w:tc>
        <w:tc>
          <w:tcPr>
            <w:tcW w:w="957"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0,8</w:t>
            </w:r>
          </w:p>
        </w:tc>
      </w:tr>
      <w:tr w:rsidR="007F02D1" w:rsidRPr="007F02D1" w:rsidTr="007F02D1">
        <w:trPr>
          <w:trHeight w:val="315"/>
        </w:trPr>
        <w:tc>
          <w:tcPr>
            <w:tcW w:w="2726" w:type="dxa"/>
            <w:tcBorders>
              <w:top w:val="nil"/>
              <w:left w:val="single" w:sz="4" w:space="0" w:color="auto"/>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color w:val="000000"/>
                <w:sz w:val="24"/>
                <w:szCs w:val="24"/>
              </w:rPr>
            </w:pPr>
            <w:r w:rsidRPr="007F02D1">
              <w:rPr>
                <w:rFonts w:ascii="Times New Roman" w:hAnsi="Times New Roman"/>
                <w:bCs/>
                <w:color w:val="000000"/>
                <w:sz w:val="24"/>
                <w:szCs w:val="24"/>
              </w:rPr>
              <w:t xml:space="preserve">Padotības iestādes </w:t>
            </w:r>
          </w:p>
        </w:tc>
        <w:tc>
          <w:tcPr>
            <w:tcW w:w="1072"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60%</w:t>
            </w:r>
          </w:p>
        </w:tc>
        <w:tc>
          <w:tcPr>
            <w:tcW w:w="957"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0,3</w:t>
            </w:r>
          </w:p>
        </w:tc>
        <w:tc>
          <w:tcPr>
            <w:tcW w:w="1119"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60%</w:t>
            </w:r>
          </w:p>
        </w:tc>
        <w:tc>
          <w:tcPr>
            <w:tcW w:w="957"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0,5</w:t>
            </w:r>
          </w:p>
        </w:tc>
        <w:tc>
          <w:tcPr>
            <w:tcW w:w="1072"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50%</w:t>
            </w:r>
          </w:p>
        </w:tc>
        <w:tc>
          <w:tcPr>
            <w:tcW w:w="957"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0,4</w:t>
            </w:r>
          </w:p>
        </w:tc>
      </w:tr>
      <w:tr w:rsidR="007F02D1" w:rsidRPr="007F02D1" w:rsidTr="007F02D1">
        <w:trPr>
          <w:trHeight w:val="315"/>
        </w:trPr>
        <w:tc>
          <w:tcPr>
            <w:tcW w:w="2726" w:type="dxa"/>
            <w:vMerge w:val="restart"/>
            <w:tcBorders>
              <w:top w:val="nil"/>
              <w:left w:val="single" w:sz="4" w:space="0" w:color="auto"/>
              <w:bottom w:val="single" w:sz="4" w:space="0" w:color="auto"/>
              <w:right w:val="single" w:sz="4" w:space="0" w:color="auto"/>
            </w:tcBorders>
            <w:shd w:val="clear" w:color="000000" w:fill="FFFFFF"/>
            <w:hideMark/>
          </w:tcPr>
          <w:p w:rsidR="007F02D1" w:rsidRPr="007F02D1" w:rsidRDefault="007F02D1" w:rsidP="007F02D1">
            <w:pPr>
              <w:spacing w:after="0" w:line="240" w:lineRule="auto"/>
              <w:jc w:val="both"/>
              <w:rPr>
                <w:rFonts w:ascii="Times New Roman" w:hAnsi="Times New Roman"/>
                <w:color w:val="000000"/>
                <w:sz w:val="24"/>
                <w:szCs w:val="24"/>
              </w:rPr>
            </w:pPr>
            <w:r w:rsidRPr="007F02D1">
              <w:rPr>
                <w:rFonts w:ascii="Times New Roman" w:hAnsi="Times New Roman"/>
                <w:bCs/>
                <w:color w:val="000000"/>
                <w:sz w:val="24"/>
                <w:szCs w:val="24"/>
              </w:rPr>
              <w:t>Papildus atlīdzībai pret 2013.g.</w:t>
            </w:r>
          </w:p>
        </w:tc>
        <w:tc>
          <w:tcPr>
            <w:tcW w:w="2029" w:type="dxa"/>
            <w:gridSpan w:val="2"/>
            <w:tcBorders>
              <w:top w:val="single" w:sz="4" w:space="0" w:color="auto"/>
              <w:left w:val="nil"/>
              <w:bottom w:val="nil"/>
              <w:right w:val="single" w:sz="4" w:space="0" w:color="auto"/>
            </w:tcBorders>
            <w:shd w:val="clear" w:color="000000" w:fill="FFFFFF"/>
            <w:vAlign w:val="bottom"/>
            <w:hideMark/>
          </w:tcPr>
          <w:p w:rsidR="007F02D1" w:rsidRPr="007F02D1" w:rsidRDefault="007F02D1" w:rsidP="007F02D1">
            <w:pPr>
              <w:spacing w:after="0" w:line="240" w:lineRule="auto"/>
              <w:jc w:val="center"/>
              <w:rPr>
                <w:rFonts w:ascii="Times New Roman" w:hAnsi="Times New Roman"/>
                <w:b/>
                <w:color w:val="000000"/>
                <w:sz w:val="24"/>
                <w:szCs w:val="24"/>
              </w:rPr>
            </w:pPr>
            <w:r w:rsidRPr="007F02D1">
              <w:rPr>
                <w:rFonts w:ascii="Times New Roman" w:hAnsi="Times New Roman"/>
                <w:b/>
                <w:bCs/>
                <w:color w:val="000000"/>
                <w:sz w:val="24"/>
                <w:szCs w:val="24"/>
              </w:rPr>
              <w:t>9,4</w:t>
            </w:r>
          </w:p>
        </w:tc>
        <w:tc>
          <w:tcPr>
            <w:tcW w:w="2076" w:type="dxa"/>
            <w:gridSpan w:val="2"/>
            <w:tcBorders>
              <w:top w:val="single" w:sz="4" w:space="0" w:color="auto"/>
              <w:left w:val="nil"/>
              <w:bottom w:val="nil"/>
              <w:right w:val="single" w:sz="4" w:space="0" w:color="auto"/>
            </w:tcBorders>
            <w:shd w:val="clear" w:color="000000" w:fill="FFFFFF"/>
            <w:vAlign w:val="bottom"/>
            <w:hideMark/>
          </w:tcPr>
          <w:p w:rsidR="007F02D1" w:rsidRPr="007F02D1" w:rsidRDefault="007F02D1" w:rsidP="007F02D1">
            <w:pPr>
              <w:spacing w:after="0" w:line="240" w:lineRule="auto"/>
              <w:jc w:val="center"/>
              <w:rPr>
                <w:rFonts w:ascii="Times New Roman" w:hAnsi="Times New Roman"/>
                <w:b/>
                <w:color w:val="000000"/>
                <w:sz w:val="24"/>
                <w:szCs w:val="24"/>
              </w:rPr>
            </w:pPr>
            <w:r w:rsidRPr="007F02D1">
              <w:rPr>
                <w:rFonts w:ascii="Times New Roman" w:hAnsi="Times New Roman"/>
                <w:b/>
                <w:bCs/>
                <w:color w:val="000000"/>
                <w:sz w:val="24"/>
                <w:szCs w:val="24"/>
              </w:rPr>
              <w:t>13,61</w:t>
            </w:r>
          </w:p>
        </w:tc>
        <w:tc>
          <w:tcPr>
            <w:tcW w:w="2029" w:type="dxa"/>
            <w:gridSpan w:val="2"/>
            <w:tcBorders>
              <w:top w:val="single" w:sz="4" w:space="0" w:color="auto"/>
              <w:left w:val="nil"/>
              <w:bottom w:val="nil"/>
              <w:right w:val="single" w:sz="4" w:space="0" w:color="auto"/>
            </w:tcBorders>
            <w:shd w:val="clear" w:color="000000" w:fill="FFFFFF"/>
            <w:vAlign w:val="bottom"/>
            <w:hideMark/>
          </w:tcPr>
          <w:p w:rsidR="007F02D1" w:rsidRPr="007F02D1" w:rsidRDefault="007F02D1" w:rsidP="007F02D1">
            <w:pPr>
              <w:spacing w:after="0" w:line="240" w:lineRule="auto"/>
              <w:jc w:val="center"/>
              <w:rPr>
                <w:rFonts w:ascii="Times New Roman" w:hAnsi="Times New Roman"/>
                <w:b/>
                <w:color w:val="000000"/>
                <w:sz w:val="24"/>
                <w:szCs w:val="24"/>
              </w:rPr>
            </w:pPr>
            <w:r w:rsidRPr="007F02D1">
              <w:rPr>
                <w:rFonts w:ascii="Times New Roman" w:hAnsi="Times New Roman"/>
                <w:b/>
                <w:bCs/>
                <w:color w:val="000000"/>
                <w:sz w:val="24"/>
                <w:szCs w:val="24"/>
              </w:rPr>
              <w:t>21,73</w:t>
            </w:r>
          </w:p>
        </w:tc>
      </w:tr>
      <w:tr w:rsidR="007F02D1" w:rsidRPr="007F02D1" w:rsidTr="007F02D1">
        <w:trPr>
          <w:trHeight w:val="315"/>
        </w:trPr>
        <w:tc>
          <w:tcPr>
            <w:tcW w:w="2726" w:type="dxa"/>
            <w:vMerge/>
            <w:tcBorders>
              <w:top w:val="nil"/>
              <w:left w:val="single" w:sz="4" w:space="0" w:color="auto"/>
              <w:bottom w:val="single" w:sz="4" w:space="0" w:color="auto"/>
              <w:right w:val="single" w:sz="4" w:space="0" w:color="auto"/>
            </w:tcBorders>
            <w:vAlign w:val="center"/>
            <w:hideMark/>
          </w:tcPr>
          <w:p w:rsidR="007F02D1" w:rsidRPr="007F02D1" w:rsidRDefault="007F02D1" w:rsidP="007F02D1">
            <w:pPr>
              <w:spacing w:after="0" w:line="240" w:lineRule="auto"/>
              <w:rPr>
                <w:rFonts w:ascii="Times New Roman" w:hAnsi="Times New Roman"/>
                <w:color w:val="000000"/>
                <w:sz w:val="24"/>
                <w:szCs w:val="24"/>
              </w:rPr>
            </w:pPr>
          </w:p>
        </w:tc>
        <w:tc>
          <w:tcPr>
            <w:tcW w:w="2029" w:type="dxa"/>
            <w:gridSpan w:val="2"/>
            <w:tcBorders>
              <w:top w:val="nil"/>
              <w:left w:val="nil"/>
              <w:bottom w:val="single" w:sz="4" w:space="0" w:color="auto"/>
              <w:right w:val="single" w:sz="4" w:space="0" w:color="auto"/>
            </w:tcBorders>
            <w:shd w:val="clear" w:color="000000" w:fill="FFFFFF"/>
            <w:hideMark/>
          </w:tcPr>
          <w:p w:rsidR="007F02D1" w:rsidRPr="007F02D1" w:rsidRDefault="007F02D1" w:rsidP="003A31A4">
            <w:pPr>
              <w:spacing w:after="0" w:line="240" w:lineRule="auto"/>
              <w:rPr>
                <w:rFonts w:ascii="Times New Roman" w:hAnsi="Times New Roman"/>
                <w:color w:val="000000"/>
                <w:sz w:val="24"/>
                <w:szCs w:val="24"/>
              </w:rPr>
            </w:pPr>
            <w:r w:rsidRPr="007F02D1">
              <w:rPr>
                <w:rFonts w:ascii="Times New Roman" w:hAnsi="Times New Roman"/>
                <w:bCs/>
                <w:color w:val="000000"/>
                <w:sz w:val="24"/>
                <w:szCs w:val="24"/>
              </w:rPr>
              <w:t xml:space="preserve"> (t.sk. 7,</w:t>
            </w:r>
            <w:r w:rsidR="003A31A4">
              <w:rPr>
                <w:rFonts w:ascii="Times New Roman" w:hAnsi="Times New Roman"/>
                <w:bCs/>
                <w:color w:val="000000"/>
                <w:sz w:val="24"/>
                <w:szCs w:val="24"/>
              </w:rPr>
              <w:t>37</w:t>
            </w:r>
            <w:r w:rsidRPr="007F02D1">
              <w:rPr>
                <w:rFonts w:ascii="Times New Roman" w:hAnsi="Times New Roman"/>
                <w:bCs/>
                <w:color w:val="000000"/>
                <w:sz w:val="24"/>
                <w:szCs w:val="24"/>
              </w:rPr>
              <w:t xml:space="preserve"> minim. algai) </w:t>
            </w:r>
          </w:p>
        </w:tc>
        <w:tc>
          <w:tcPr>
            <w:tcW w:w="2076" w:type="dxa"/>
            <w:gridSpan w:val="2"/>
            <w:tcBorders>
              <w:top w:val="nil"/>
              <w:left w:val="nil"/>
              <w:bottom w:val="single" w:sz="4" w:space="0" w:color="auto"/>
              <w:right w:val="single" w:sz="4" w:space="0" w:color="auto"/>
            </w:tcBorders>
            <w:shd w:val="clear" w:color="000000" w:fill="FFFFFF"/>
            <w:hideMark/>
          </w:tcPr>
          <w:p w:rsidR="007F02D1" w:rsidRPr="007F02D1" w:rsidRDefault="007F02D1" w:rsidP="003A31A4">
            <w:pPr>
              <w:spacing w:after="0" w:line="240" w:lineRule="auto"/>
              <w:rPr>
                <w:rFonts w:ascii="Times New Roman" w:hAnsi="Times New Roman"/>
                <w:color w:val="000000"/>
                <w:sz w:val="24"/>
                <w:szCs w:val="24"/>
              </w:rPr>
            </w:pPr>
            <w:r w:rsidRPr="007F02D1">
              <w:rPr>
                <w:rFonts w:ascii="Times New Roman" w:hAnsi="Times New Roman"/>
                <w:bCs/>
                <w:color w:val="000000"/>
                <w:sz w:val="24"/>
                <w:szCs w:val="24"/>
              </w:rPr>
              <w:t>(t.sk. 7,</w:t>
            </w:r>
            <w:r w:rsidR="003A31A4">
              <w:rPr>
                <w:rFonts w:ascii="Times New Roman" w:hAnsi="Times New Roman"/>
                <w:bCs/>
                <w:color w:val="000000"/>
                <w:sz w:val="24"/>
                <w:szCs w:val="24"/>
              </w:rPr>
              <w:t>37</w:t>
            </w:r>
            <w:r w:rsidRPr="007F02D1">
              <w:rPr>
                <w:rFonts w:ascii="Times New Roman" w:hAnsi="Times New Roman"/>
                <w:bCs/>
                <w:color w:val="000000"/>
                <w:sz w:val="24"/>
                <w:szCs w:val="24"/>
              </w:rPr>
              <w:t xml:space="preserve"> minim. algai)</w:t>
            </w:r>
          </w:p>
        </w:tc>
        <w:tc>
          <w:tcPr>
            <w:tcW w:w="2029" w:type="dxa"/>
            <w:gridSpan w:val="2"/>
            <w:tcBorders>
              <w:top w:val="nil"/>
              <w:left w:val="nil"/>
              <w:bottom w:val="single" w:sz="4" w:space="0" w:color="auto"/>
              <w:right w:val="single" w:sz="4" w:space="0" w:color="auto"/>
            </w:tcBorders>
            <w:shd w:val="clear" w:color="000000" w:fill="FFFFFF"/>
            <w:hideMark/>
          </w:tcPr>
          <w:p w:rsidR="007F02D1" w:rsidRPr="007F02D1" w:rsidRDefault="007F02D1" w:rsidP="003A31A4">
            <w:pPr>
              <w:spacing w:after="0" w:line="240" w:lineRule="auto"/>
              <w:rPr>
                <w:rFonts w:ascii="Times New Roman" w:hAnsi="Times New Roman"/>
                <w:color w:val="000000"/>
                <w:sz w:val="24"/>
                <w:szCs w:val="24"/>
              </w:rPr>
            </w:pPr>
            <w:r w:rsidRPr="007F02D1">
              <w:rPr>
                <w:rFonts w:ascii="Times New Roman" w:hAnsi="Times New Roman"/>
                <w:bCs/>
                <w:color w:val="000000"/>
                <w:sz w:val="24"/>
                <w:szCs w:val="24"/>
              </w:rPr>
              <w:t>(t.sk. 7,</w:t>
            </w:r>
            <w:r w:rsidR="003A31A4">
              <w:rPr>
                <w:rFonts w:ascii="Times New Roman" w:hAnsi="Times New Roman"/>
                <w:bCs/>
                <w:color w:val="000000"/>
                <w:sz w:val="24"/>
                <w:szCs w:val="24"/>
              </w:rPr>
              <w:t>37</w:t>
            </w:r>
            <w:r w:rsidRPr="007F02D1">
              <w:rPr>
                <w:rFonts w:ascii="Times New Roman" w:hAnsi="Times New Roman"/>
                <w:bCs/>
                <w:color w:val="000000"/>
                <w:sz w:val="24"/>
                <w:szCs w:val="24"/>
              </w:rPr>
              <w:t xml:space="preserve"> minim. algai) </w:t>
            </w:r>
          </w:p>
        </w:tc>
      </w:tr>
      <w:tr w:rsidR="007F02D1" w:rsidRPr="007F02D1" w:rsidTr="007F02D1">
        <w:trPr>
          <w:trHeight w:val="630"/>
        </w:trPr>
        <w:tc>
          <w:tcPr>
            <w:tcW w:w="2726" w:type="dxa"/>
            <w:tcBorders>
              <w:top w:val="nil"/>
              <w:left w:val="single" w:sz="4" w:space="0" w:color="auto"/>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color w:val="000000"/>
                <w:sz w:val="24"/>
                <w:szCs w:val="24"/>
              </w:rPr>
            </w:pPr>
            <w:r w:rsidRPr="007F02D1">
              <w:rPr>
                <w:rFonts w:ascii="Times New Roman" w:hAnsi="Times New Roman"/>
                <w:bCs/>
                <w:color w:val="000000"/>
                <w:sz w:val="24"/>
                <w:szCs w:val="24"/>
              </w:rPr>
              <w:t>Neto ietekme pret 2013.g.</w:t>
            </w:r>
          </w:p>
        </w:tc>
        <w:tc>
          <w:tcPr>
            <w:tcW w:w="2029" w:type="dxa"/>
            <w:gridSpan w:val="2"/>
            <w:tcBorders>
              <w:top w:val="single" w:sz="4" w:space="0" w:color="auto"/>
              <w:left w:val="nil"/>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center"/>
              <w:rPr>
                <w:rFonts w:ascii="Times New Roman" w:hAnsi="Times New Roman"/>
                <w:b/>
                <w:color w:val="000000"/>
                <w:sz w:val="24"/>
                <w:szCs w:val="24"/>
              </w:rPr>
            </w:pPr>
            <w:r w:rsidRPr="007F02D1">
              <w:rPr>
                <w:rFonts w:ascii="Times New Roman" w:hAnsi="Times New Roman"/>
                <w:b/>
                <w:bCs/>
                <w:color w:val="000000"/>
                <w:sz w:val="24"/>
                <w:szCs w:val="24"/>
              </w:rPr>
              <w:t>-4,5</w:t>
            </w:r>
          </w:p>
        </w:tc>
        <w:tc>
          <w:tcPr>
            <w:tcW w:w="2076" w:type="dxa"/>
            <w:gridSpan w:val="2"/>
            <w:tcBorders>
              <w:top w:val="single" w:sz="4" w:space="0" w:color="auto"/>
              <w:left w:val="nil"/>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center"/>
              <w:rPr>
                <w:rFonts w:ascii="Times New Roman" w:hAnsi="Times New Roman"/>
                <w:b/>
                <w:color w:val="000000"/>
                <w:sz w:val="24"/>
                <w:szCs w:val="24"/>
              </w:rPr>
            </w:pPr>
            <w:r w:rsidRPr="007F02D1">
              <w:rPr>
                <w:rFonts w:ascii="Times New Roman" w:hAnsi="Times New Roman"/>
                <w:b/>
                <w:bCs/>
                <w:color w:val="000000"/>
                <w:sz w:val="24"/>
                <w:szCs w:val="24"/>
              </w:rPr>
              <w:t>-6,52</w:t>
            </w:r>
          </w:p>
        </w:tc>
        <w:tc>
          <w:tcPr>
            <w:tcW w:w="2029" w:type="dxa"/>
            <w:gridSpan w:val="2"/>
            <w:tcBorders>
              <w:top w:val="single" w:sz="4" w:space="0" w:color="auto"/>
              <w:left w:val="nil"/>
              <w:bottom w:val="single" w:sz="4" w:space="0" w:color="auto"/>
              <w:right w:val="single" w:sz="4" w:space="0" w:color="000000"/>
            </w:tcBorders>
            <w:shd w:val="clear" w:color="000000" w:fill="FFFFFF"/>
            <w:vAlign w:val="bottom"/>
            <w:hideMark/>
          </w:tcPr>
          <w:p w:rsidR="007F02D1" w:rsidRPr="007F02D1" w:rsidRDefault="007F02D1" w:rsidP="007F02D1">
            <w:pPr>
              <w:spacing w:after="0" w:line="240" w:lineRule="auto"/>
              <w:jc w:val="center"/>
              <w:rPr>
                <w:rFonts w:ascii="Times New Roman" w:hAnsi="Times New Roman"/>
                <w:b/>
                <w:color w:val="000000"/>
                <w:sz w:val="24"/>
                <w:szCs w:val="24"/>
              </w:rPr>
            </w:pPr>
            <w:r w:rsidRPr="007F02D1">
              <w:rPr>
                <w:rFonts w:ascii="Times New Roman" w:hAnsi="Times New Roman"/>
                <w:b/>
                <w:bCs/>
                <w:color w:val="000000"/>
                <w:sz w:val="24"/>
                <w:szCs w:val="24"/>
              </w:rPr>
              <w:t>-10,41</w:t>
            </w:r>
          </w:p>
        </w:tc>
      </w:tr>
      <w:tr w:rsidR="007F02D1" w:rsidRPr="007F02D1" w:rsidTr="007F02D1">
        <w:trPr>
          <w:trHeight w:val="315"/>
        </w:trPr>
        <w:tc>
          <w:tcPr>
            <w:tcW w:w="2726" w:type="dxa"/>
            <w:tcBorders>
              <w:top w:val="nil"/>
              <w:left w:val="single" w:sz="4" w:space="0" w:color="auto"/>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b/>
                <w:bCs/>
                <w:color w:val="000000"/>
                <w:sz w:val="24"/>
                <w:szCs w:val="24"/>
              </w:rPr>
            </w:pPr>
            <w:r w:rsidRPr="007F02D1">
              <w:rPr>
                <w:rFonts w:ascii="Times New Roman" w:hAnsi="Times New Roman"/>
                <w:b/>
                <w:bCs/>
                <w:color w:val="000000"/>
                <w:sz w:val="24"/>
                <w:szCs w:val="24"/>
              </w:rPr>
              <w:t xml:space="preserve">2015.gads </w:t>
            </w:r>
          </w:p>
        </w:tc>
        <w:tc>
          <w:tcPr>
            <w:tcW w:w="1072" w:type="dxa"/>
            <w:tcBorders>
              <w:top w:val="nil"/>
              <w:left w:val="nil"/>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color w:val="000000"/>
                <w:sz w:val="24"/>
                <w:szCs w:val="24"/>
              </w:rPr>
            </w:pPr>
            <w:r w:rsidRPr="007F02D1">
              <w:rPr>
                <w:rFonts w:ascii="Times New Roman" w:hAnsi="Times New Roman"/>
                <w:bCs/>
                <w:color w:val="000000"/>
                <w:sz w:val="24"/>
                <w:szCs w:val="24"/>
              </w:rPr>
              <w:t xml:space="preserve">  </w:t>
            </w:r>
          </w:p>
        </w:tc>
        <w:tc>
          <w:tcPr>
            <w:tcW w:w="957" w:type="dxa"/>
            <w:tcBorders>
              <w:top w:val="nil"/>
              <w:left w:val="nil"/>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color w:val="000000"/>
                <w:sz w:val="24"/>
                <w:szCs w:val="24"/>
              </w:rPr>
            </w:pPr>
            <w:r w:rsidRPr="007F02D1">
              <w:rPr>
                <w:rFonts w:ascii="Times New Roman" w:hAnsi="Times New Roman"/>
                <w:bCs/>
                <w:color w:val="000000"/>
                <w:sz w:val="24"/>
                <w:szCs w:val="24"/>
              </w:rPr>
              <w:t xml:space="preserve">  </w:t>
            </w:r>
          </w:p>
        </w:tc>
        <w:tc>
          <w:tcPr>
            <w:tcW w:w="1119" w:type="dxa"/>
            <w:tcBorders>
              <w:top w:val="nil"/>
              <w:left w:val="nil"/>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color w:val="000000"/>
                <w:sz w:val="24"/>
                <w:szCs w:val="24"/>
              </w:rPr>
            </w:pPr>
            <w:r w:rsidRPr="007F02D1">
              <w:rPr>
                <w:rFonts w:ascii="Times New Roman" w:hAnsi="Times New Roman"/>
                <w:bCs/>
                <w:color w:val="000000"/>
                <w:sz w:val="24"/>
                <w:szCs w:val="24"/>
              </w:rPr>
              <w:t xml:space="preserve">  </w:t>
            </w:r>
          </w:p>
        </w:tc>
        <w:tc>
          <w:tcPr>
            <w:tcW w:w="957" w:type="dxa"/>
            <w:tcBorders>
              <w:top w:val="nil"/>
              <w:left w:val="nil"/>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color w:val="000000"/>
                <w:sz w:val="24"/>
                <w:szCs w:val="24"/>
              </w:rPr>
            </w:pPr>
            <w:r w:rsidRPr="007F02D1">
              <w:rPr>
                <w:rFonts w:ascii="Times New Roman" w:hAnsi="Times New Roman"/>
                <w:bCs/>
                <w:color w:val="000000"/>
                <w:sz w:val="24"/>
                <w:szCs w:val="24"/>
              </w:rPr>
              <w:t xml:space="preserve">  </w:t>
            </w:r>
          </w:p>
        </w:tc>
        <w:tc>
          <w:tcPr>
            <w:tcW w:w="1072" w:type="dxa"/>
            <w:tcBorders>
              <w:top w:val="nil"/>
              <w:left w:val="nil"/>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color w:val="000000"/>
                <w:sz w:val="24"/>
                <w:szCs w:val="24"/>
              </w:rPr>
            </w:pPr>
            <w:r w:rsidRPr="007F02D1">
              <w:rPr>
                <w:rFonts w:ascii="Times New Roman" w:hAnsi="Times New Roman"/>
                <w:bCs/>
                <w:color w:val="000000"/>
                <w:sz w:val="24"/>
                <w:szCs w:val="24"/>
              </w:rPr>
              <w:t xml:space="preserve">  </w:t>
            </w:r>
          </w:p>
        </w:tc>
        <w:tc>
          <w:tcPr>
            <w:tcW w:w="957" w:type="dxa"/>
            <w:tcBorders>
              <w:top w:val="nil"/>
              <w:left w:val="nil"/>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color w:val="000000"/>
                <w:sz w:val="24"/>
                <w:szCs w:val="24"/>
              </w:rPr>
            </w:pPr>
            <w:r w:rsidRPr="007F02D1">
              <w:rPr>
                <w:rFonts w:ascii="Times New Roman" w:hAnsi="Times New Roman"/>
                <w:bCs/>
                <w:color w:val="000000"/>
                <w:sz w:val="24"/>
                <w:szCs w:val="24"/>
              </w:rPr>
              <w:t xml:space="preserve">  </w:t>
            </w:r>
          </w:p>
        </w:tc>
      </w:tr>
      <w:tr w:rsidR="007F02D1" w:rsidRPr="007F02D1" w:rsidTr="007F02D1">
        <w:trPr>
          <w:trHeight w:val="315"/>
        </w:trPr>
        <w:tc>
          <w:tcPr>
            <w:tcW w:w="2726" w:type="dxa"/>
            <w:tcBorders>
              <w:top w:val="nil"/>
              <w:left w:val="single" w:sz="4" w:space="0" w:color="auto"/>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color w:val="000000"/>
                <w:sz w:val="24"/>
                <w:szCs w:val="24"/>
              </w:rPr>
            </w:pPr>
            <w:r w:rsidRPr="007F02D1">
              <w:rPr>
                <w:rFonts w:ascii="Times New Roman" w:hAnsi="Times New Roman"/>
                <w:bCs/>
                <w:color w:val="000000"/>
                <w:sz w:val="24"/>
                <w:szCs w:val="24"/>
              </w:rPr>
              <w:t xml:space="preserve">Ministrijas </w:t>
            </w:r>
          </w:p>
        </w:tc>
        <w:tc>
          <w:tcPr>
            <w:tcW w:w="1072"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30%</w:t>
            </w:r>
          </w:p>
        </w:tc>
        <w:tc>
          <w:tcPr>
            <w:tcW w:w="957"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0,8</w:t>
            </w:r>
          </w:p>
        </w:tc>
        <w:tc>
          <w:tcPr>
            <w:tcW w:w="1119"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20%</w:t>
            </w:r>
          </w:p>
        </w:tc>
        <w:tc>
          <w:tcPr>
            <w:tcW w:w="957"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0,9</w:t>
            </w:r>
          </w:p>
        </w:tc>
        <w:tc>
          <w:tcPr>
            <w:tcW w:w="1072"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20%</w:t>
            </w:r>
          </w:p>
        </w:tc>
        <w:tc>
          <w:tcPr>
            <w:tcW w:w="957"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0,9</w:t>
            </w:r>
          </w:p>
        </w:tc>
      </w:tr>
      <w:tr w:rsidR="007F02D1" w:rsidRPr="007F02D1" w:rsidTr="007F02D1">
        <w:trPr>
          <w:trHeight w:val="315"/>
        </w:trPr>
        <w:tc>
          <w:tcPr>
            <w:tcW w:w="2726" w:type="dxa"/>
            <w:tcBorders>
              <w:top w:val="nil"/>
              <w:left w:val="single" w:sz="4" w:space="0" w:color="auto"/>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color w:val="000000"/>
                <w:sz w:val="24"/>
                <w:szCs w:val="24"/>
              </w:rPr>
            </w:pPr>
            <w:r w:rsidRPr="007F02D1">
              <w:rPr>
                <w:rFonts w:ascii="Times New Roman" w:hAnsi="Times New Roman"/>
                <w:bCs/>
                <w:color w:val="000000"/>
                <w:sz w:val="24"/>
                <w:szCs w:val="24"/>
              </w:rPr>
              <w:t xml:space="preserve">Padotības iestādes </w:t>
            </w:r>
          </w:p>
        </w:tc>
        <w:tc>
          <w:tcPr>
            <w:tcW w:w="1072"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50%</w:t>
            </w:r>
          </w:p>
        </w:tc>
        <w:tc>
          <w:tcPr>
            <w:tcW w:w="957"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0,4</w:t>
            </w:r>
          </w:p>
        </w:tc>
        <w:tc>
          <w:tcPr>
            <w:tcW w:w="1119"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50%</w:t>
            </w:r>
          </w:p>
        </w:tc>
        <w:tc>
          <w:tcPr>
            <w:tcW w:w="957"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0,6</w:t>
            </w:r>
          </w:p>
        </w:tc>
        <w:tc>
          <w:tcPr>
            <w:tcW w:w="1072"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40%</w:t>
            </w:r>
          </w:p>
        </w:tc>
        <w:tc>
          <w:tcPr>
            <w:tcW w:w="957"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0,5</w:t>
            </w:r>
          </w:p>
        </w:tc>
      </w:tr>
      <w:tr w:rsidR="007F02D1" w:rsidRPr="007F02D1" w:rsidTr="007F02D1">
        <w:trPr>
          <w:trHeight w:val="630"/>
        </w:trPr>
        <w:tc>
          <w:tcPr>
            <w:tcW w:w="2726" w:type="dxa"/>
            <w:tcBorders>
              <w:top w:val="nil"/>
              <w:left w:val="single" w:sz="4" w:space="0" w:color="auto"/>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color w:val="000000"/>
                <w:sz w:val="24"/>
                <w:szCs w:val="24"/>
              </w:rPr>
            </w:pPr>
            <w:r w:rsidRPr="007F02D1">
              <w:rPr>
                <w:rFonts w:ascii="Times New Roman" w:hAnsi="Times New Roman"/>
                <w:bCs/>
                <w:color w:val="000000"/>
                <w:sz w:val="24"/>
                <w:szCs w:val="24"/>
              </w:rPr>
              <w:t>Papildus atlīdzībai pret 2014.g.</w:t>
            </w:r>
          </w:p>
        </w:tc>
        <w:tc>
          <w:tcPr>
            <w:tcW w:w="2029" w:type="dxa"/>
            <w:gridSpan w:val="2"/>
            <w:tcBorders>
              <w:top w:val="single" w:sz="4" w:space="0" w:color="auto"/>
              <w:left w:val="nil"/>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center"/>
              <w:rPr>
                <w:rFonts w:ascii="Times New Roman" w:hAnsi="Times New Roman"/>
                <w:b/>
                <w:color w:val="000000"/>
                <w:sz w:val="24"/>
                <w:szCs w:val="24"/>
              </w:rPr>
            </w:pPr>
            <w:r w:rsidRPr="007F02D1">
              <w:rPr>
                <w:rFonts w:ascii="Times New Roman" w:hAnsi="Times New Roman"/>
                <w:b/>
                <w:bCs/>
                <w:color w:val="000000"/>
                <w:sz w:val="24"/>
                <w:szCs w:val="24"/>
              </w:rPr>
              <w:t>12,33</w:t>
            </w:r>
          </w:p>
        </w:tc>
        <w:tc>
          <w:tcPr>
            <w:tcW w:w="2076" w:type="dxa"/>
            <w:gridSpan w:val="2"/>
            <w:tcBorders>
              <w:top w:val="single" w:sz="4" w:space="0" w:color="auto"/>
              <w:left w:val="nil"/>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center"/>
              <w:rPr>
                <w:rFonts w:ascii="Times New Roman" w:hAnsi="Times New Roman"/>
                <w:b/>
                <w:color w:val="000000"/>
                <w:sz w:val="24"/>
                <w:szCs w:val="24"/>
              </w:rPr>
            </w:pPr>
            <w:r w:rsidRPr="007F02D1">
              <w:rPr>
                <w:rFonts w:ascii="Times New Roman" w:hAnsi="Times New Roman"/>
                <w:b/>
                <w:bCs/>
                <w:color w:val="000000"/>
                <w:sz w:val="24"/>
                <w:szCs w:val="24"/>
              </w:rPr>
              <w:t>14,66</w:t>
            </w:r>
          </w:p>
        </w:tc>
        <w:tc>
          <w:tcPr>
            <w:tcW w:w="2029" w:type="dxa"/>
            <w:gridSpan w:val="2"/>
            <w:tcBorders>
              <w:top w:val="single" w:sz="4" w:space="0" w:color="auto"/>
              <w:left w:val="nil"/>
              <w:bottom w:val="single" w:sz="4" w:space="0" w:color="auto"/>
              <w:right w:val="single" w:sz="4" w:space="0" w:color="000000"/>
            </w:tcBorders>
            <w:shd w:val="clear" w:color="000000" w:fill="FFFFFF"/>
            <w:vAlign w:val="bottom"/>
            <w:hideMark/>
          </w:tcPr>
          <w:p w:rsidR="007F02D1" w:rsidRPr="007F02D1" w:rsidRDefault="007F02D1" w:rsidP="007F02D1">
            <w:pPr>
              <w:spacing w:after="0" w:line="240" w:lineRule="auto"/>
              <w:jc w:val="center"/>
              <w:rPr>
                <w:rFonts w:ascii="Times New Roman" w:hAnsi="Times New Roman"/>
                <w:b/>
                <w:color w:val="000000"/>
                <w:sz w:val="24"/>
                <w:szCs w:val="24"/>
              </w:rPr>
            </w:pPr>
            <w:r w:rsidRPr="007F02D1">
              <w:rPr>
                <w:rFonts w:ascii="Times New Roman" w:hAnsi="Times New Roman"/>
                <w:b/>
                <w:bCs/>
                <w:color w:val="000000"/>
                <w:sz w:val="24"/>
                <w:szCs w:val="24"/>
              </w:rPr>
              <w:t>17,29</w:t>
            </w:r>
          </w:p>
        </w:tc>
      </w:tr>
      <w:tr w:rsidR="007F02D1" w:rsidRPr="007F02D1" w:rsidTr="007F02D1">
        <w:trPr>
          <w:trHeight w:val="630"/>
        </w:trPr>
        <w:tc>
          <w:tcPr>
            <w:tcW w:w="2726" w:type="dxa"/>
            <w:tcBorders>
              <w:top w:val="nil"/>
              <w:left w:val="single" w:sz="4" w:space="0" w:color="auto"/>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color w:val="000000"/>
                <w:sz w:val="24"/>
                <w:szCs w:val="24"/>
              </w:rPr>
            </w:pPr>
            <w:r w:rsidRPr="007F02D1">
              <w:rPr>
                <w:rFonts w:ascii="Times New Roman" w:hAnsi="Times New Roman"/>
                <w:bCs/>
                <w:color w:val="000000"/>
                <w:sz w:val="24"/>
                <w:szCs w:val="24"/>
              </w:rPr>
              <w:t>Neto ietekme pret 2014.g.</w:t>
            </w:r>
          </w:p>
        </w:tc>
        <w:tc>
          <w:tcPr>
            <w:tcW w:w="2029" w:type="dxa"/>
            <w:gridSpan w:val="2"/>
            <w:tcBorders>
              <w:top w:val="single" w:sz="4" w:space="0" w:color="auto"/>
              <w:left w:val="nil"/>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center"/>
              <w:rPr>
                <w:rFonts w:ascii="Times New Roman" w:hAnsi="Times New Roman"/>
                <w:b/>
                <w:color w:val="000000"/>
                <w:sz w:val="24"/>
                <w:szCs w:val="24"/>
              </w:rPr>
            </w:pPr>
            <w:r w:rsidRPr="007F02D1">
              <w:rPr>
                <w:rFonts w:ascii="Times New Roman" w:hAnsi="Times New Roman"/>
                <w:b/>
                <w:bCs/>
                <w:color w:val="000000"/>
                <w:sz w:val="24"/>
                <w:szCs w:val="24"/>
              </w:rPr>
              <w:t>-5,91</w:t>
            </w:r>
          </w:p>
        </w:tc>
        <w:tc>
          <w:tcPr>
            <w:tcW w:w="2076" w:type="dxa"/>
            <w:gridSpan w:val="2"/>
            <w:tcBorders>
              <w:top w:val="single" w:sz="4" w:space="0" w:color="auto"/>
              <w:left w:val="nil"/>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center"/>
              <w:rPr>
                <w:rFonts w:ascii="Times New Roman" w:hAnsi="Times New Roman"/>
                <w:b/>
                <w:color w:val="000000"/>
                <w:sz w:val="24"/>
                <w:szCs w:val="24"/>
              </w:rPr>
            </w:pPr>
            <w:r w:rsidRPr="007F02D1">
              <w:rPr>
                <w:rFonts w:ascii="Times New Roman" w:hAnsi="Times New Roman"/>
                <w:b/>
                <w:bCs/>
                <w:color w:val="000000"/>
                <w:sz w:val="24"/>
                <w:szCs w:val="24"/>
              </w:rPr>
              <w:t>-7,02</w:t>
            </w:r>
          </w:p>
        </w:tc>
        <w:tc>
          <w:tcPr>
            <w:tcW w:w="2029" w:type="dxa"/>
            <w:gridSpan w:val="2"/>
            <w:tcBorders>
              <w:top w:val="single" w:sz="4" w:space="0" w:color="auto"/>
              <w:left w:val="nil"/>
              <w:bottom w:val="single" w:sz="4" w:space="0" w:color="auto"/>
              <w:right w:val="single" w:sz="4" w:space="0" w:color="000000"/>
            </w:tcBorders>
            <w:shd w:val="clear" w:color="000000" w:fill="FFFFFF"/>
            <w:vAlign w:val="bottom"/>
            <w:hideMark/>
          </w:tcPr>
          <w:p w:rsidR="007F02D1" w:rsidRPr="007F02D1" w:rsidRDefault="007F02D1" w:rsidP="007F02D1">
            <w:pPr>
              <w:spacing w:after="0" w:line="240" w:lineRule="auto"/>
              <w:jc w:val="center"/>
              <w:rPr>
                <w:rFonts w:ascii="Times New Roman" w:hAnsi="Times New Roman"/>
                <w:b/>
                <w:color w:val="000000"/>
                <w:sz w:val="24"/>
                <w:szCs w:val="24"/>
              </w:rPr>
            </w:pPr>
            <w:r w:rsidRPr="007F02D1">
              <w:rPr>
                <w:rFonts w:ascii="Times New Roman" w:hAnsi="Times New Roman"/>
                <w:b/>
                <w:bCs/>
                <w:color w:val="000000"/>
                <w:sz w:val="24"/>
                <w:szCs w:val="24"/>
              </w:rPr>
              <w:t>-8,27</w:t>
            </w:r>
          </w:p>
        </w:tc>
      </w:tr>
      <w:tr w:rsidR="007F02D1" w:rsidRPr="007F02D1" w:rsidTr="007F02D1">
        <w:trPr>
          <w:trHeight w:val="315"/>
        </w:trPr>
        <w:tc>
          <w:tcPr>
            <w:tcW w:w="2726" w:type="dxa"/>
            <w:tcBorders>
              <w:top w:val="nil"/>
              <w:left w:val="single" w:sz="4" w:space="0" w:color="auto"/>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b/>
                <w:bCs/>
                <w:color w:val="000000"/>
                <w:sz w:val="24"/>
                <w:szCs w:val="24"/>
              </w:rPr>
            </w:pPr>
            <w:r w:rsidRPr="007F02D1">
              <w:rPr>
                <w:rFonts w:ascii="Times New Roman" w:hAnsi="Times New Roman"/>
                <w:b/>
                <w:bCs/>
                <w:color w:val="000000"/>
                <w:sz w:val="24"/>
                <w:szCs w:val="24"/>
              </w:rPr>
              <w:t xml:space="preserve">2016.gads </w:t>
            </w:r>
          </w:p>
        </w:tc>
        <w:tc>
          <w:tcPr>
            <w:tcW w:w="1072" w:type="dxa"/>
            <w:tcBorders>
              <w:top w:val="nil"/>
              <w:left w:val="nil"/>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color w:val="000000"/>
                <w:sz w:val="24"/>
                <w:szCs w:val="24"/>
              </w:rPr>
            </w:pPr>
            <w:r w:rsidRPr="007F02D1">
              <w:rPr>
                <w:rFonts w:ascii="Times New Roman" w:hAnsi="Times New Roman"/>
                <w:bCs/>
                <w:color w:val="000000"/>
                <w:sz w:val="24"/>
                <w:szCs w:val="24"/>
              </w:rPr>
              <w:t xml:space="preserve">  </w:t>
            </w:r>
          </w:p>
        </w:tc>
        <w:tc>
          <w:tcPr>
            <w:tcW w:w="957" w:type="dxa"/>
            <w:tcBorders>
              <w:top w:val="nil"/>
              <w:left w:val="nil"/>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color w:val="000000"/>
                <w:sz w:val="24"/>
                <w:szCs w:val="24"/>
              </w:rPr>
            </w:pPr>
            <w:r w:rsidRPr="007F02D1">
              <w:rPr>
                <w:rFonts w:ascii="Times New Roman" w:hAnsi="Times New Roman"/>
                <w:bCs/>
                <w:color w:val="000000"/>
                <w:sz w:val="24"/>
                <w:szCs w:val="24"/>
              </w:rPr>
              <w:t xml:space="preserve">  </w:t>
            </w:r>
          </w:p>
        </w:tc>
        <w:tc>
          <w:tcPr>
            <w:tcW w:w="1119" w:type="dxa"/>
            <w:tcBorders>
              <w:top w:val="nil"/>
              <w:left w:val="nil"/>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color w:val="000000"/>
                <w:sz w:val="24"/>
                <w:szCs w:val="24"/>
              </w:rPr>
            </w:pPr>
            <w:r w:rsidRPr="007F02D1">
              <w:rPr>
                <w:rFonts w:ascii="Times New Roman" w:hAnsi="Times New Roman"/>
                <w:bCs/>
                <w:color w:val="000000"/>
                <w:sz w:val="24"/>
                <w:szCs w:val="24"/>
              </w:rPr>
              <w:t xml:space="preserve">  </w:t>
            </w:r>
          </w:p>
        </w:tc>
        <w:tc>
          <w:tcPr>
            <w:tcW w:w="957" w:type="dxa"/>
            <w:tcBorders>
              <w:top w:val="nil"/>
              <w:left w:val="nil"/>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color w:val="000000"/>
                <w:sz w:val="24"/>
                <w:szCs w:val="24"/>
              </w:rPr>
            </w:pPr>
            <w:r w:rsidRPr="007F02D1">
              <w:rPr>
                <w:rFonts w:ascii="Times New Roman" w:hAnsi="Times New Roman"/>
                <w:bCs/>
                <w:color w:val="000000"/>
                <w:sz w:val="24"/>
                <w:szCs w:val="24"/>
              </w:rPr>
              <w:t xml:space="preserve">  </w:t>
            </w:r>
          </w:p>
        </w:tc>
        <w:tc>
          <w:tcPr>
            <w:tcW w:w="1072" w:type="dxa"/>
            <w:tcBorders>
              <w:top w:val="nil"/>
              <w:left w:val="nil"/>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color w:val="000000"/>
                <w:sz w:val="24"/>
                <w:szCs w:val="24"/>
              </w:rPr>
            </w:pPr>
            <w:r w:rsidRPr="007F02D1">
              <w:rPr>
                <w:rFonts w:ascii="Times New Roman" w:hAnsi="Times New Roman"/>
                <w:bCs/>
                <w:color w:val="000000"/>
                <w:sz w:val="24"/>
                <w:szCs w:val="24"/>
              </w:rPr>
              <w:t xml:space="preserve">  </w:t>
            </w:r>
          </w:p>
        </w:tc>
        <w:tc>
          <w:tcPr>
            <w:tcW w:w="957" w:type="dxa"/>
            <w:tcBorders>
              <w:top w:val="nil"/>
              <w:left w:val="nil"/>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color w:val="000000"/>
                <w:sz w:val="24"/>
                <w:szCs w:val="24"/>
              </w:rPr>
            </w:pPr>
            <w:r w:rsidRPr="007F02D1">
              <w:rPr>
                <w:rFonts w:ascii="Times New Roman" w:hAnsi="Times New Roman"/>
                <w:bCs/>
                <w:color w:val="000000"/>
                <w:sz w:val="24"/>
                <w:szCs w:val="24"/>
              </w:rPr>
              <w:t xml:space="preserve">  </w:t>
            </w:r>
          </w:p>
        </w:tc>
      </w:tr>
      <w:tr w:rsidR="007F02D1" w:rsidRPr="007F02D1" w:rsidTr="007F02D1">
        <w:trPr>
          <w:trHeight w:val="315"/>
        </w:trPr>
        <w:tc>
          <w:tcPr>
            <w:tcW w:w="2726" w:type="dxa"/>
            <w:tcBorders>
              <w:top w:val="nil"/>
              <w:left w:val="single" w:sz="4" w:space="0" w:color="auto"/>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color w:val="000000"/>
                <w:sz w:val="24"/>
                <w:szCs w:val="24"/>
              </w:rPr>
            </w:pPr>
            <w:r w:rsidRPr="007F02D1">
              <w:rPr>
                <w:rFonts w:ascii="Times New Roman" w:hAnsi="Times New Roman"/>
                <w:bCs/>
                <w:color w:val="000000"/>
                <w:sz w:val="24"/>
                <w:szCs w:val="24"/>
              </w:rPr>
              <w:t xml:space="preserve">Ministrijas </w:t>
            </w:r>
          </w:p>
        </w:tc>
        <w:tc>
          <w:tcPr>
            <w:tcW w:w="1072"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20%</w:t>
            </w:r>
          </w:p>
        </w:tc>
        <w:tc>
          <w:tcPr>
            <w:tcW w:w="957"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0,9</w:t>
            </w:r>
          </w:p>
        </w:tc>
        <w:tc>
          <w:tcPr>
            <w:tcW w:w="1119"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15%</w:t>
            </w:r>
          </w:p>
        </w:tc>
        <w:tc>
          <w:tcPr>
            <w:tcW w:w="957"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1</w:t>
            </w:r>
          </w:p>
        </w:tc>
        <w:tc>
          <w:tcPr>
            <w:tcW w:w="1072"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15%</w:t>
            </w:r>
          </w:p>
        </w:tc>
        <w:tc>
          <w:tcPr>
            <w:tcW w:w="957"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1</w:t>
            </w:r>
          </w:p>
        </w:tc>
      </w:tr>
      <w:tr w:rsidR="007F02D1" w:rsidRPr="007F02D1" w:rsidTr="007F02D1">
        <w:trPr>
          <w:trHeight w:val="315"/>
        </w:trPr>
        <w:tc>
          <w:tcPr>
            <w:tcW w:w="2726" w:type="dxa"/>
            <w:tcBorders>
              <w:top w:val="nil"/>
              <w:left w:val="single" w:sz="4" w:space="0" w:color="auto"/>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color w:val="000000"/>
                <w:sz w:val="24"/>
                <w:szCs w:val="24"/>
              </w:rPr>
            </w:pPr>
            <w:r w:rsidRPr="007F02D1">
              <w:rPr>
                <w:rFonts w:ascii="Times New Roman" w:hAnsi="Times New Roman"/>
                <w:bCs/>
                <w:color w:val="000000"/>
                <w:sz w:val="24"/>
                <w:szCs w:val="24"/>
              </w:rPr>
              <w:t xml:space="preserve">Padotības iestādes </w:t>
            </w:r>
          </w:p>
        </w:tc>
        <w:tc>
          <w:tcPr>
            <w:tcW w:w="1072"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40%</w:t>
            </w:r>
          </w:p>
        </w:tc>
        <w:tc>
          <w:tcPr>
            <w:tcW w:w="957"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0,5</w:t>
            </w:r>
          </w:p>
        </w:tc>
        <w:tc>
          <w:tcPr>
            <w:tcW w:w="1119"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40%</w:t>
            </w:r>
          </w:p>
        </w:tc>
        <w:tc>
          <w:tcPr>
            <w:tcW w:w="957"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0,7</w:t>
            </w:r>
          </w:p>
        </w:tc>
        <w:tc>
          <w:tcPr>
            <w:tcW w:w="1072"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30%</w:t>
            </w:r>
          </w:p>
        </w:tc>
        <w:tc>
          <w:tcPr>
            <w:tcW w:w="957" w:type="dxa"/>
            <w:tcBorders>
              <w:top w:val="nil"/>
              <w:left w:val="nil"/>
              <w:bottom w:val="single" w:sz="4" w:space="0" w:color="auto"/>
              <w:right w:val="single" w:sz="4" w:space="0" w:color="auto"/>
            </w:tcBorders>
            <w:shd w:val="clear" w:color="000000" w:fill="FFFFFF"/>
            <w:vAlign w:val="bottom"/>
            <w:hideMark/>
          </w:tcPr>
          <w:p w:rsidR="007F02D1" w:rsidRPr="006453A4" w:rsidRDefault="007F02D1" w:rsidP="0009777B">
            <w:pPr>
              <w:spacing w:after="0" w:line="240" w:lineRule="auto"/>
              <w:jc w:val="center"/>
              <w:rPr>
                <w:rFonts w:ascii="Times New Roman" w:hAnsi="Times New Roman"/>
                <w:color w:val="FF0000"/>
                <w:sz w:val="24"/>
                <w:szCs w:val="24"/>
              </w:rPr>
            </w:pPr>
            <w:r w:rsidRPr="006453A4">
              <w:rPr>
                <w:rFonts w:ascii="Times New Roman" w:hAnsi="Times New Roman"/>
                <w:bCs/>
                <w:color w:val="FF0000"/>
                <w:sz w:val="24"/>
                <w:szCs w:val="24"/>
              </w:rPr>
              <w:t>0,6</w:t>
            </w:r>
          </w:p>
        </w:tc>
      </w:tr>
      <w:tr w:rsidR="007F02D1" w:rsidRPr="007F02D1" w:rsidTr="007F02D1">
        <w:trPr>
          <w:trHeight w:val="630"/>
        </w:trPr>
        <w:tc>
          <w:tcPr>
            <w:tcW w:w="2726" w:type="dxa"/>
            <w:tcBorders>
              <w:top w:val="nil"/>
              <w:left w:val="single" w:sz="4" w:space="0" w:color="auto"/>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color w:val="000000"/>
                <w:sz w:val="24"/>
                <w:szCs w:val="24"/>
              </w:rPr>
            </w:pPr>
            <w:r w:rsidRPr="007F02D1">
              <w:rPr>
                <w:rFonts w:ascii="Times New Roman" w:hAnsi="Times New Roman"/>
                <w:bCs/>
                <w:color w:val="000000"/>
                <w:sz w:val="24"/>
                <w:szCs w:val="24"/>
              </w:rPr>
              <w:t>Papildus atlīdzībai pret 2015.g.</w:t>
            </w:r>
          </w:p>
        </w:tc>
        <w:tc>
          <w:tcPr>
            <w:tcW w:w="2029" w:type="dxa"/>
            <w:gridSpan w:val="2"/>
            <w:tcBorders>
              <w:top w:val="single" w:sz="4" w:space="0" w:color="auto"/>
              <w:left w:val="nil"/>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center"/>
              <w:rPr>
                <w:rFonts w:ascii="Times New Roman" w:hAnsi="Times New Roman"/>
                <w:b/>
                <w:color w:val="000000"/>
                <w:sz w:val="24"/>
                <w:szCs w:val="24"/>
              </w:rPr>
            </w:pPr>
            <w:r w:rsidRPr="007F02D1">
              <w:rPr>
                <w:rFonts w:ascii="Times New Roman" w:hAnsi="Times New Roman"/>
                <w:b/>
                <w:bCs/>
                <w:color w:val="000000"/>
                <w:sz w:val="24"/>
                <w:szCs w:val="24"/>
              </w:rPr>
              <w:t>17,29</w:t>
            </w:r>
          </w:p>
        </w:tc>
        <w:tc>
          <w:tcPr>
            <w:tcW w:w="2076" w:type="dxa"/>
            <w:gridSpan w:val="2"/>
            <w:tcBorders>
              <w:top w:val="single" w:sz="4" w:space="0" w:color="auto"/>
              <w:left w:val="nil"/>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center"/>
              <w:rPr>
                <w:rFonts w:ascii="Times New Roman" w:hAnsi="Times New Roman"/>
                <w:b/>
                <w:color w:val="000000"/>
                <w:sz w:val="24"/>
                <w:szCs w:val="24"/>
              </w:rPr>
            </w:pPr>
            <w:r w:rsidRPr="007F02D1">
              <w:rPr>
                <w:rFonts w:ascii="Times New Roman" w:hAnsi="Times New Roman"/>
                <w:b/>
                <w:bCs/>
                <w:color w:val="000000"/>
                <w:sz w:val="24"/>
                <w:szCs w:val="24"/>
              </w:rPr>
              <w:t>19,04</w:t>
            </w:r>
          </w:p>
        </w:tc>
        <w:tc>
          <w:tcPr>
            <w:tcW w:w="202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7F02D1" w:rsidRPr="007F02D1" w:rsidRDefault="007F02D1" w:rsidP="007F02D1">
            <w:pPr>
              <w:spacing w:after="0" w:line="240" w:lineRule="auto"/>
              <w:jc w:val="center"/>
              <w:rPr>
                <w:rFonts w:ascii="Times New Roman" w:hAnsi="Times New Roman"/>
                <w:b/>
                <w:color w:val="000000"/>
                <w:sz w:val="24"/>
                <w:szCs w:val="24"/>
              </w:rPr>
            </w:pPr>
            <w:r w:rsidRPr="007F02D1">
              <w:rPr>
                <w:rFonts w:ascii="Times New Roman" w:hAnsi="Times New Roman"/>
                <w:b/>
                <w:bCs/>
                <w:color w:val="000000"/>
                <w:sz w:val="24"/>
                <w:szCs w:val="24"/>
              </w:rPr>
              <w:t>18,5</w:t>
            </w:r>
          </w:p>
        </w:tc>
      </w:tr>
      <w:tr w:rsidR="007F02D1" w:rsidRPr="007F02D1" w:rsidTr="007F02D1">
        <w:trPr>
          <w:trHeight w:val="630"/>
        </w:trPr>
        <w:tc>
          <w:tcPr>
            <w:tcW w:w="2726" w:type="dxa"/>
            <w:tcBorders>
              <w:top w:val="nil"/>
              <w:left w:val="single" w:sz="4" w:space="0" w:color="auto"/>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both"/>
              <w:rPr>
                <w:rFonts w:ascii="Times New Roman" w:hAnsi="Times New Roman"/>
                <w:color w:val="000000"/>
                <w:sz w:val="24"/>
                <w:szCs w:val="24"/>
              </w:rPr>
            </w:pPr>
            <w:r w:rsidRPr="007F02D1">
              <w:rPr>
                <w:rFonts w:ascii="Times New Roman" w:hAnsi="Times New Roman"/>
                <w:bCs/>
                <w:color w:val="000000"/>
                <w:sz w:val="24"/>
                <w:szCs w:val="24"/>
              </w:rPr>
              <w:t>Neto ietekme pret 2015.g.</w:t>
            </w:r>
          </w:p>
        </w:tc>
        <w:tc>
          <w:tcPr>
            <w:tcW w:w="2029" w:type="dxa"/>
            <w:gridSpan w:val="2"/>
            <w:tcBorders>
              <w:top w:val="single" w:sz="4" w:space="0" w:color="auto"/>
              <w:left w:val="nil"/>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center"/>
              <w:rPr>
                <w:rFonts w:ascii="Times New Roman" w:hAnsi="Times New Roman"/>
                <w:b/>
                <w:color w:val="000000"/>
                <w:sz w:val="24"/>
                <w:szCs w:val="24"/>
              </w:rPr>
            </w:pPr>
            <w:r w:rsidRPr="007F02D1">
              <w:rPr>
                <w:rFonts w:ascii="Times New Roman" w:hAnsi="Times New Roman"/>
                <w:b/>
                <w:bCs/>
                <w:color w:val="000000"/>
                <w:sz w:val="24"/>
                <w:szCs w:val="24"/>
              </w:rPr>
              <w:t>-18,27</w:t>
            </w:r>
          </w:p>
        </w:tc>
        <w:tc>
          <w:tcPr>
            <w:tcW w:w="2076" w:type="dxa"/>
            <w:gridSpan w:val="2"/>
            <w:tcBorders>
              <w:top w:val="single" w:sz="4" w:space="0" w:color="auto"/>
              <w:left w:val="nil"/>
              <w:bottom w:val="single" w:sz="4" w:space="0" w:color="auto"/>
              <w:right w:val="single" w:sz="4" w:space="0" w:color="auto"/>
            </w:tcBorders>
            <w:shd w:val="clear" w:color="000000" w:fill="FFFFFF"/>
            <w:vAlign w:val="bottom"/>
            <w:hideMark/>
          </w:tcPr>
          <w:p w:rsidR="007F02D1" w:rsidRPr="007F02D1" w:rsidRDefault="007F02D1" w:rsidP="007F02D1">
            <w:pPr>
              <w:spacing w:after="0" w:line="240" w:lineRule="auto"/>
              <w:jc w:val="center"/>
              <w:rPr>
                <w:rFonts w:ascii="Times New Roman" w:hAnsi="Times New Roman"/>
                <w:b/>
                <w:color w:val="000000"/>
                <w:sz w:val="24"/>
                <w:szCs w:val="24"/>
              </w:rPr>
            </w:pPr>
            <w:r w:rsidRPr="007F02D1">
              <w:rPr>
                <w:rFonts w:ascii="Times New Roman" w:hAnsi="Times New Roman"/>
                <w:b/>
                <w:bCs/>
                <w:color w:val="000000"/>
                <w:sz w:val="24"/>
                <w:szCs w:val="24"/>
              </w:rPr>
              <w:t>-9,12</w:t>
            </w:r>
          </w:p>
        </w:tc>
        <w:tc>
          <w:tcPr>
            <w:tcW w:w="2029" w:type="dxa"/>
            <w:gridSpan w:val="2"/>
            <w:tcBorders>
              <w:top w:val="single" w:sz="4" w:space="0" w:color="auto"/>
              <w:left w:val="nil"/>
              <w:bottom w:val="single" w:sz="4" w:space="0" w:color="auto"/>
              <w:right w:val="single" w:sz="4" w:space="0" w:color="000000"/>
            </w:tcBorders>
            <w:shd w:val="clear" w:color="000000" w:fill="FFFFFF"/>
            <w:vAlign w:val="bottom"/>
            <w:hideMark/>
          </w:tcPr>
          <w:p w:rsidR="007F02D1" w:rsidRPr="007F02D1" w:rsidRDefault="007F02D1" w:rsidP="007F02D1">
            <w:pPr>
              <w:spacing w:after="0" w:line="240" w:lineRule="auto"/>
              <w:jc w:val="center"/>
              <w:rPr>
                <w:rFonts w:ascii="Times New Roman" w:hAnsi="Times New Roman"/>
                <w:b/>
                <w:color w:val="000000"/>
                <w:sz w:val="24"/>
                <w:szCs w:val="24"/>
              </w:rPr>
            </w:pPr>
            <w:r w:rsidRPr="007F02D1">
              <w:rPr>
                <w:rFonts w:ascii="Times New Roman" w:hAnsi="Times New Roman"/>
                <w:b/>
                <w:bCs/>
                <w:color w:val="000000"/>
                <w:sz w:val="24"/>
                <w:szCs w:val="24"/>
              </w:rPr>
              <w:t>-8,86</w:t>
            </w:r>
          </w:p>
        </w:tc>
      </w:tr>
    </w:tbl>
    <w:p w:rsidR="007F02D1" w:rsidRDefault="007F02D1" w:rsidP="00923312">
      <w:pPr>
        <w:spacing w:after="0" w:line="240" w:lineRule="auto"/>
        <w:jc w:val="both"/>
        <w:rPr>
          <w:rFonts w:ascii="Times New Roman" w:hAnsi="Times New Roman"/>
          <w:b/>
          <w:bCs/>
          <w:sz w:val="28"/>
          <w:szCs w:val="28"/>
        </w:rPr>
      </w:pPr>
    </w:p>
    <w:p w:rsidR="00987D38" w:rsidRDefault="00987D38" w:rsidP="00D17D74">
      <w:pPr>
        <w:autoSpaceDE w:val="0"/>
        <w:autoSpaceDN w:val="0"/>
        <w:adjustRightInd w:val="0"/>
        <w:spacing w:after="0" w:line="240" w:lineRule="auto"/>
        <w:jc w:val="both"/>
        <w:rPr>
          <w:rFonts w:ascii="Times New Roman" w:hAnsi="Times New Roman"/>
          <w:bCs/>
          <w:sz w:val="28"/>
          <w:szCs w:val="28"/>
        </w:rPr>
      </w:pPr>
      <w:r w:rsidRPr="00987D38">
        <w:rPr>
          <w:rFonts w:ascii="Times New Roman" w:hAnsi="Times New Roman"/>
          <w:bCs/>
          <w:sz w:val="28"/>
          <w:szCs w:val="28"/>
        </w:rPr>
        <w:t>Finanšu ministrija piedāvā atbalstīt 2.variantu</w:t>
      </w:r>
      <w:r>
        <w:rPr>
          <w:rFonts w:ascii="Times New Roman" w:hAnsi="Times New Roman"/>
          <w:bCs/>
          <w:sz w:val="28"/>
          <w:szCs w:val="28"/>
        </w:rPr>
        <w:t>.</w:t>
      </w:r>
    </w:p>
    <w:p w:rsidR="00987D38" w:rsidRDefault="00987D38" w:rsidP="00D17D74">
      <w:pPr>
        <w:autoSpaceDE w:val="0"/>
        <w:autoSpaceDN w:val="0"/>
        <w:adjustRightInd w:val="0"/>
        <w:spacing w:after="0" w:line="240" w:lineRule="auto"/>
        <w:jc w:val="both"/>
        <w:rPr>
          <w:rFonts w:ascii="Times New Roman" w:hAnsi="Times New Roman"/>
          <w:bCs/>
          <w:sz w:val="28"/>
          <w:szCs w:val="28"/>
        </w:rPr>
      </w:pPr>
    </w:p>
    <w:p w:rsidR="00D17D74" w:rsidRDefault="00D17D74" w:rsidP="00D17D74">
      <w:pPr>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Pie jebkura varianta papildu nepieciešamais finansējums 2015. un 2016.gadam būs jākoriģē, ņemot vērā:</w:t>
      </w:r>
    </w:p>
    <w:p w:rsidR="00D17D74" w:rsidRPr="00D17D74" w:rsidRDefault="00D17D74" w:rsidP="00D17D74">
      <w:pPr>
        <w:pStyle w:val="ListParagraph"/>
        <w:numPr>
          <w:ilvl w:val="0"/>
          <w:numId w:val="20"/>
        </w:numPr>
        <w:autoSpaceDE w:val="0"/>
        <w:autoSpaceDN w:val="0"/>
        <w:adjustRightInd w:val="0"/>
        <w:spacing w:after="0" w:line="240" w:lineRule="auto"/>
        <w:jc w:val="both"/>
        <w:rPr>
          <w:rFonts w:ascii="Times New Roman" w:hAnsi="Times New Roman"/>
          <w:sz w:val="28"/>
          <w:szCs w:val="28"/>
        </w:rPr>
      </w:pPr>
      <w:r w:rsidRPr="00D17D74">
        <w:rPr>
          <w:rFonts w:ascii="Times New Roman" w:hAnsi="Times New Roman"/>
          <w:bCs/>
          <w:sz w:val="28"/>
          <w:szCs w:val="28"/>
        </w:rPr>
        <w:t>iespējamo minimālās algas pārskatīšanu turpmākajos gados</w:t>
      </w:r>
      <w:r>
        <w:rPr>
          <w:rFonts w:ascii="Times New Roman" w:hAnsi="Times New Roman"/>
          <w:bCs/>
          <w:sz w:val="28"/>
          <w:szCs w:val="28"/>
        </w:rPr>
        <w:t>;</w:t>
      </w:r>
    </w:p>
    <w:p w:rsidR="006B0049" w:rsidRPr="00BA5481" w:rsidRDefault="00D17D74" w:rsidP="00BA5481">
      <w:pPr>
        <w:pStyle w:val="ListParagraph"/>
        <w:numPr>
          <w:ilvl w:val="0"/>
          <w:numId w:val="20"/>
        </w:numPr>
        <w:autoSpaceDE w:val="0"/>
        <w:autoSpaceDN w:val="0"/>
        <w:adjustRightInd w:val="0"/>
        <w:spacing w:after="0" w:line="240" w:lineRule="auto"/>
        <w:jc w:val="both"/>
        <w:rPr>
          <w:rFonts w:ascii="Times New Roman" w:hAnsi="Times New Roman"/>
          <w:sz w:val="28"/>
          <w:szCs w:val="28"/>
        </w:rPr>
      </w:pPr>
      <w:r w:rsidRPr="00D17D74">
        <w:rPr>
          <w:rFonts w:ascii="Times New Roman" w:hAnsi="Times New Roman"/>
          <w:bCs/>
          <w:sz w:val="28"/>
          <w:szCs w:val="28"/>
        </w:rPr>
        <w:t>pārskatītās amatu saimes un līmeņu</w:t>
      </w:r>
      <w:r>
        <w:rPr>
          <w:rFonts w:ascii="Times New Roman" w:hAnsi="Times New Roman"/>
          <w:bCs/>
          <w:sz w:val="28"/>
          <w:szCs w:val="28"/>
        </w:rPr>
        <w:t>s, ja būs nepieciešams,</w:t>
      </w:r>
      <w:r w:rsidRPr="00D17D74">
        <w:rPr>
          <w:rFonts w:ascii="Times New Roman" w:hAnsi="Times New Roman"/>
          <w:bCs/>
          <w:sz w:val="28"/>
          <w:szCs w:val="28"/>
        </w:rPr>
        <w:t xml:space="preserve"> pēc </w:t>
      </w:r>
      <w:r w:rsidR="00420CF4">
        <w:rPr>
          <w:rFonts w:ascii="Times New Roman" w:hAnsi="Times New Roman"/>
          <w:bCs/>
          <w:sz w:val="28"/>
          <w:szCs w:val="28"/>
        </w:rPr>
        <w:t xml:space="preserve">Valsts kancelejas pasūtītā </w:t>
      </w:r>
      <w:r w:rsidR="006B0049" w:rsidRPr="00D17D74">
        <w:rPr>
          <w:rFonts w:ascii="Times New Roman" w:hAnsi="Times New Roman"/>
          <w:sz w:val="28"/>
          <w:szCs w:val="28"/>
        </w:rPr>
        <w:t xml:space="preserve">SIA „Ernst &amp; Young Baltic” pētījuma </w:t>
      </w:r>
      <w:r w:rsidRPr="00D17D74">
        <w:rPr>
          <w:rFonts w:ascii="Times New Roman" w:hAnsi="Times New Roman"/>
          <w:sz w:val="28"/>
          <w:szCs w:val="28"/>
        </w:rPr>
        <w:t xml:space="preserve">par </w:t>
      </w:r>
      <w:r w:rsidR="006B0049" w:rsidRPr="00D17D74">
        <w:rPr>
          <w:rFonts w:ascii="Times New Roman" w:hAnsi="Times New Roman"/>
          <w:sz w:val="28"/>
          <w:szCs w:val="28"/>
        </w:rPr>
        <w:t>Amatu kataloga pilnveidošan</w:t>
      </w:r>
      <w:r w:rsidRPr="00D17D74">
        <w:rPr>
          <w:rFonts w:ascii="Times New Roman" w:hAnsi="Times New Roman"/>
          <w:sz w:val="28"/>
          <w:szCs w:val="28"/>
        </w:rPr>
        <w:t>u pabeigš</w:t>
      </w:r>
      <w:r>
        <w:rPr>
          <w:rFonts w:ascii="Times New Roman" w:hAnsi="Times New Roman"/>
          <w:sz w:val="28"/>
          <w:szCs w:val="28"/>
        </w:rPr>
        <w:t>anas</w:t>
      </w:r>
      <w:r w:rsidR="00BA5481">
        <w:rPr>
          <w:rFonts w:ascii="Times New Roman" w:hAnsi="Times New Roman"/>
          <w:sz w:val="28"/>
          <w:szCs w:val="28"/>
        </w:rPr>
        <w:t>.</w:t>
      </w:r>
      <w:r w:rsidRPr="00BA5481">
        <w:rPr>
          <w:rFonts w:ascii="Times New Roman" w:hAnsi="Times New Roman"/>
          <w:sz w:val="28"/>
          <w:szCs w:val="28"/>
        </w:rPr>
        <w:t xml:space="preserve"> </w:t>
      </w:r>
      <w:r w:rsidR="006B0049" w:rsidRPr="00BA5481">
        <w:rPr>
          <w:rFonts w:ascii="Times New Roman" w:hAnsi="Times New Roman"/>
          <w:b/>
          <w:bCs/>
          <w:sz w:val="28"/>
          <w:szCs w:val="28"/>
        </w:rPr>
        <w:t xml:space="preserve"> </w:t>
      </w:r>
    </w:p>
    <w:p w:rsidR="00B07839" w:rsidRDefault="00B07839" w:rsidP="00B07839">
      <w:pPr>
        <w:pStyle w:val="ListParagraph"/>
        <w:spacing w:after="0" w:line="240" w:lineRule="auto"/>
        <w:ind w:left="1440"/>
        <w:jc w:val="both"/>
        <w:rPr>
          <w:rFonts w:ascii="Times New Roman" w:hAnsi="Times New Roman"/>
          <w:b/>
          <w:sz w:val="28"/>
          <w:szCs w:val="28"/>
        </w:rPr>
      </w:pPr>
    </w:p>
    <w:p w:rsidR="00C20C3D" w:rsidRDefault="00C20C3D" w:rsidP="003328EF">
      <w:pPr>
        <w:autoSpaceDE w:val="0"/>
        <w:autoSpaceDN w:val="0"/>
        <w:adjustRightInd w:val="0"/>
        <w:spacing w:after="0" w:line="240" w:lineRule="auto"/>
        <w:jc w:val="both"/>
        <w:rPr>
          <w:rFonts w:ascii="Times New Roman" w:hAnsi="Times New Roman"/>
          <w:sz w:val="28"/>
          <w:szCs w:val="28"/>
        </w:rPr>
      </w:pPr>
    </w:p>
    <w:p w:rsidR="00C62AF3" w:rsidRPr="00BD6195" w:rsidRDefault="009737FD" w:rsidP="00BD6195">
      <w:pPr>
        <w:pStyle w:val="ListParagraph"/>
        <w:numPr>
          <w:ilvl w:val="1"/>
          <w:numId w:val="23"/>
        </w:numPr>
        <w:autoSpaceDE w:val="0"/>
        <w:autoSpaceDN w:val="0"/>
        <w:adjustRightInd w:val="0"/>
        <w:spacing w:after="0" w:line="240" w:lineRule="auto"/>
        <w:jc w:val="both"/>
        <w:rPr>
          <w:rFonts w:ascii="Times New Roman" w:hAnsi="Times New Roman"/>
          <w:b/>
          <w:bCs/>
          <w:sz w:val="28"/>
          <w:szCs w:val="28"/>
        </w:rPr>
      </w:pPr>
      <w:r w:rsidRPr="00BD6195">
        <w:rPr>
          <w:rFonts w:ascii="Times New Roman" w:hAnsi="Times New Roman"/>
          <w:b/>
          <w:sz w:val="28"/>
          <w:szCs w:val="28"/>
        </w:rPr>
        <w:lastRenderedPageBreak/>
        <w:t>F</w:t>
      </w:r>
      <w:r w:rsidR="00C62AF3" w:rsidRPr="00BD6195">
        <w:rPr>
          <w:rFonts w:ascii="Times New Roman" w:hAnsi="Times New Roman"/>
          <w:b/>
          <w:sz w:val="28"/>
          <w:szCs w:val="28"/>
        </w:rPr>
        <w:t>inansiāl</w:t>
      </w:r>
      <w:r w:rsidR="00412B7C" w:rsidRPr="00BD6195">
        <w:rPr>
          <w:rFonts w:ascii="Times New Roman" w:hAnsi="Times New Roman"/>
          <w:b/>
          <w:sz w:val="28"/>
          <w:szCs w:val="28"/>
        </w:rPr>
        <w:t>o iespēju nodrošināšana</w:t>
      </w:r>
      <w:r w:rsidRPr="00BD6195">
        <w:rPr>
          <w:rFonts w:ascii="Times New Roman" w:hAnsi="Times New Roman"/>
          <w:b/>
          <w:sz w:val="28"/>
          <w:szCs w:val="28"/>
        </w:rPr>
        <w:t xml:space="preserve">s </w:t>
      </w:r>
      <w:r w:rsidR="00C94097">
        <w:rPr>
          <w:rFonts w:ascii="Times New Roman" w:hAnsi="Times New Roman"/>
          <w:b/>
          <w:sz w:val="28"/>
          <w:szCs w:val="28"/>
        </w:rPr>
        <w:t xml:space="preserve">iespējamie </w:t>
      </w:r>
      <w:r w:rsidRPr="00BD6195">
        <w:rPr>
          <w:rFonts w:ascii="Times New Roman" w:hAnsi="Times New Roman"/>
          <w:b/>
          <w:sz w:val="28"/>
          <w:szCs w:val="28"/>
        </w:rPr>
        <w:t>varianti</w:t>
      </w:r>
    </w:p>
    <w:p w:rsidR="00E43647" w:rsidRPr="00E408DC" w:rsidRDefault="00E43647" w:rsidP="00E43647">
      <w:pPr>
        <w:pStyle w:val="ListParagraph"/>
        <w:autoSpaceDE w:val="0"/>
        <w:autoSpaceDN w:val="0"/>
        <w:adjustRightInd w:val="0"/>
        <w:spacing w:after="0" w:line="240" w:lineRule="auto"/>
        <w:ind w:left="1080"/>
        <w:jc w:val="both"/>
        <w:rPr>
          <w:rFonts w:ascii="Times New Roman" w:hAnsi="Times New Roman"/>
          <w:b/>
          <w:bCs/>
          <w:sz w:val="28"/>
          <w:szCs w:val="28"/>
        </w:rPr>
      </w:pPr>
    </w:p>
    <w:p w:rsidR="008C57BF" w:rsidRPr="00E408DC" w:rsidRDefault="00E3402A" w:rsidP="008C57BF">
      <w:pPr>
        <w:autoSpaceDE w:val="0"/>
        <w:autoSpaceDN w:val="0"/>
        <w:adjustRightInd w:val="0"/>
        <w:spacing w:after="0" w:line="240" w:lineRule="auto"/>
        <w:jc w:val="both"/>
        <w:rPr>
          <w:rFonts w:ascii="Times New Roman" w:hAnsi="Times New Roman"/>
          <w:sz w:val="28"/>
          <w:szCs w:val="28"/>
        </w:rPr>
      </w:pPr>
      <w:r w:rsidRPr="00E408DC">
        <w:rPr>
          <w:rFonts w:ascii="Times New Roman" w:hAnsi="Times New Roman"/>
          <w:b/>
          <w:sz w:val="28"/>
          <w:szCs w:val="28"/>
        </w:rPr>
        <w:t xml:space="preserve">Nosacījums </w:t>
      </w:r>
      <w:r w:rsidR="008C57BF" w:rsidRPr="00E408DC">
        <w:rPr>
          <w:rFonts w:ascii="Times New Roman" w:hAnsi="Times New Roman"/>
          <w:sz w:val="28"/>
          <w:szCs w:val="28"/>
        </w:rPr>
        <w:t>–</w:t>
      </w:r>
      <w:r w:rsidR="00EE7C5E" w:rsidRPr="00E408DC">
        <w:rPr>
          <w:rFonts w:ascii="Times New Roman" w:hAnsi="Times New Roman"/>
          <w:sz w:val="28"/>
          <w:szCs w:val="28"/>
        </w:rPr>
        <w:t xml:space="preserve"> mēnešalgu izlīdzināšanas </w:t>
      </w:r>
      <w:r w:rsidR="008C57BF" w:rsidRPr="00E408DC">
        <w:rPr>
          <w:rFonts w:ascii="Times New Roman" w:hAnsi="Times New Roman"/>
          <w:sz w:val="28"/>
          <w:szCs w:val="28"/>
        </w:rPr>
        <w:t xml:space="preserve">rezultātā </w:t>
      </w:r>
      <w:r w:rsidR="004C5678">
        <w:rPr>
          <w:rFonts w:ascii="Times New Roman" w:hAnsi="Times New Roman"/>
          <w:sz w:val="28"/>
          <w:szCs w:val="28"/>
        </w:rPr>
        <w:t>netiek</w:t>
      </w:r>
      <w:r w:rsidR="00C757B9">
        <w:rPr>
          <w:rFonts w:ascii="Times New Roman" w:hAnsi="Times New Roman"/>
          <w:sz w:val="28"/>
          <w:szCs w:val="28"/>
        </w:rPr>
        <w:t xml:space="preserve"> </w:t>
      </w:r>
      <w:r w:rsidR="004C5678">
        <w:rPr>
          <w:rFonts w:ascii="Times New Roman" w:hAnsi="Times New Roman"/>
          <w:sz w:val="28"/>
          <w:szCs w:val="28"/>
        </w:rPr>
        <w:t>samazinātas</w:t>
      </w:r>
      <w:r w:rsidR="00C757B9">
        <w:rPr>
          <w:rFonts w:ascii="Times New Roman" w:hAnsi="Times New Roman"/>
          <w:sz w:val="28"/>
          <w:szCs w:val="28"/>
        </w:rPr>
        <w:t xml:space="preserve"> </w:t>
      </w:r>
      <w:r w:rsidR="004C5678">
        <w:rPr>
          <w:rFonts w:ascii="Times New Roman" w:hAnsi="Times New Roman"/>
          <w:sz w:val="28"/>
          <w:szCs w:val="28"/>
        </w:rPr>
        <w:t>amatpersonu</w:t>
      </w:r>
      <w:r w:rsidR="00EE7C5E" w:rsidRPr="00E408DC">
        <w:rPr>
          <w:rFonts w:ascii="Times New Roman" w:hAnsi="Times New Roman"/>
          <w:sz w:val="28"/>
          <w:szCs w:val="28"/>
        </w:rPr>
        <w:t xml:space="preserve"> (</w:t>
      </w:r>
      <w:r w:rsidR="008C57BF" w:rsidRPr="00E408DC">
        <w:rPr>
          <w:rFonts w:ascii="Times New Roman" w:hAnsi="Times New Roman"/>
          <w:sz w:val="28"/>
          <w:szCs w:val="28"/>
        </w:rPr>
        <w:t>darbiniek</w:t>
      </w:r>
      <w:r w:rsidR="004C5678">
        <w:rPr>
          <w:rFonts w:ascii="Times New Roman" w:hAnsi="Times New Roman"/>
          <w:sz w:val="28"/>
          <w:szCs w:val="28"/>
        </w:rPr>
        <w:t>u</w:t>
      </w:r>
      <w:r w:rsidR="00EE7C5E" w:rsidRPr="00E408DC">
        <w:rPr>
          <w:rFonts w:ascii="Times New Roman" w:hAnsi="Times New Roman"/>
          <w:sz w:val="28"/>
          <w:szCs w:val="28"/>
        </w:rPr>
        <w:t>)</w:t>
      </w:r>
      <w:r w:rsidR="004C5678">
        <w:rPr>
          <w:rFonts w:ascii="Times New Roman" w:hAnsi="Times New Roman"/>
          <w:sz w:val="28"/>
          <w:szCs w:val="28"/>
        </w:rPr>
        <w:t xml:space="preserve"> mēnešalgas</w:t>
      </w:r>
      <w:r w:rsidR="008C57BF" w:rsidRPr="00E408DC">
        <w:rPr>
          <w:rFonts w:ascii="Times New Roman" w:hAnsi="Times New Roman"/>
          <w:sz w:val="28"/>
          <w:szCs w:val="28"/>
        </w:rPr>
        <w:t>, nemainoties veicamajiem pienākumiem.</w:t>
      </w:r>
    </w:p>
    <w:p w:rsidR="008C57BF" w:rsidRPr="00E408DC" w:rsidRDefault="008C57BF" w:rsidP="008C57BF">
      <w:pPr>
        <w:autoSpaceDE w:val="0"/>
        <w:autoSpaceDN w:val="0"/>
        <w:adjustRightInd w:val="0"/>
        <w:spacing w:after="0" w:line="240" w:lineRule="auto"/>
        <w:jc w:val="both"/>
        <w:rPr>
          <w:rFonts w:ascii="Times New Roman" w:hAnsi="Times New Roman"/>
          <w:b/>
          <w:bCs/>
          <w:sz w:val="28"/>
          <w:szCs w:val="28"/>
        </w:rPr>
      </w:pPr>
    </w:p>
    <w:p w:rsidR="00C757B9" w:rsidRPr="00E408DC" w:rsidRDefault="00C757B9" w:rsidP="00C757B9">
      <w:pPr>
        <w:spacing w:after="0" w:line="240" w:lineRule="auto"/>
        <w:jc w:val="both"/>
        <w:rPr>
          <w:rFonts w:ascii="Times New Roman" w:hAnsi="Times New Roman"/>
          <w:sz w:val="28"/>
          <w:szCs w:val="28"/>
        </w:rPr>
      </w:pPr>
      <w:r>
        <w:rPr>
          <w:rFonts w:ascii="Times New Roman" w:hAnsi="Times New Roman"/>
          <w:b/>
          <w:sz w:val="28"/>
          <w:szCs w:val="28"/>
        </w:rPr>
        <w:t>1</w:t>
      </w:r>
      <w:r w:rsidRPr="00E408DC">
        <w:rPr>
          <w:rFonts w:ascii="Times New Roman" w:hAnsi="Times New Roman"/>
          <w:b/>
          <w:sz w:val="28"/>
          <w:szCs w:val="28"/>
        </w:rPr>
        <w:t>.variants</w:t>
      </w:r>
      <w:r w:rsidRPr="00E408DC">
        <w:rPr>
          <w:rFonts w:ascii="Times New Roman" w:hAnsi="Times New Roman"/>
          <w:sz w:val="28"/>
          <w:szCs w:val="28"/>
        </w:rPr>
        <w:t xml:space="preserve"> </w:t>
      </w:r>
      <w:r w:rsidR="00F4569C">
        <w:rPr>
          <w:rFonts w:ascii="Times New Roman" w:hAnsi="Times New Roman"/>
          <w:sz w:val="28"/>
          <w:szCs w:val="28"/>
        </w:rPr>
        <w:t>–</w:t>
      </w:r>
      <w:r w:rsidRPr="00E408DC">
        <w:rPr>
          <w:rFonts w:ascii="Times New Roman" w:hAnsi="Times New Roman"/>
          <w:sz w:val="28"/>
          <w:szCs w:val="28"/>
        </w:rPr>
        <w:t xml:space="preserve">  nepiešķirt papildu finansējumu atlīdzības izlīdzināšanai, bet, veicot optimizācijas pasākumus,</w:t>
      </w:r>
      <w:r>
        <w:rPr>
          <w:rFonts w:ascii="Times New Roman" w:hAnsi="Times New Roman"/>
          <w:sz w:val="28"/>
          <w:szCs w:val="28"/>
        </w:rPr>
        <w:t xml:space="preserve"> </w:t>
      </w:r>
      <w:r w:rsidRPr="00E408DC">
        <w:rPr>
          <w:rFonts w:ascii="Times New Roman" w:hAnsi="Times New Roman"/>
          <w:sz w:val="28"/>
          <w:szCs w:val="28"/>
        </w:rPr>
        <w:t>nodrošināt iespēju paaugstināt darbinieku atlīdzību. Tomēr jāņem vērā, ka iepriekšējos gados tika būtiski samazināts darbinieku skaits (no 76 tūkst. 2008.gadā līdz 52 tūkst</w:t>
      </w:r>
      <w:r w:rsidR="00C016C2">
        <w:rPr>
          <w:rFonts w:ascii="Times New Roman" w:hAnsi="Times New Roman"/>
          <w:sz w:val="28"/>
          <w:szCs w:val="28"/>
        </w:rPr>
        <w:t>.</w:t>
      </w:r>
      <w:r w:rsidRPr="00E408DC">
        <w:rPr>
          <w:rFonts w:ascii="Times New Roman" w:hAnsi="Times New Roman"/>
          <w:sz w:val="28"/>
          <w:szCs w:val="28"/>
        </w:rPr>
        <w:t xml:space="preserve"> 2013.gada janvār</w:t>
      </w:r>
      <w:r w:rsidR="00C016C2">
        <w:rPr>
          <w:rFonts w:ascii="Times New Roman" w:hAnsi="Times New Roman"/>
          <w:sz w:val="28"/>
          <w:szCs w:val="28"/>
        </w:rPr>
        <w:t>ī</w:t>
      </w:r>
      <w:r w:rsidRPr="00E408DC">
        <w:rPr>
          <w:rFonts w:ascii="Times New Roman" w:hAnsi="Times New Roman"/>
          <w:sz w:val="28"/>
          <w:szCs w:val="28"/>
        </w:rPr>
        <w:t xml:space="preserve">). </w:t>
      </w:r>
    </w:p>
    <w:p w:rsidR="00C757B9" w:rsidRPr="00E408DC" w:rsidRDefault="00C757B9" w:rsidP="00C757B9">
      <w:pPr>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4"/>
        <w:gridCol w:w="4595"/>
      </w:tblGrid>
      <w:tr w:rsidR="00C757B9" w:rsidRPr="00C94851" w:rsidTr="00C94851">
        <w:tc>
          <w:tcPr>
            <w:tcW w:w="4594" w:type="dxa"/>
            <w:shd w:val="clear" w:color="auto" w:fill="auto"/>
          </w:tcPr>
          <w:p w:rsidR="00C757B9" w:rsidRPr="00C94851" w:rsidRDefault="00C757B9" w:rsidP="00C94851">
            <w:pPr>
              <w:spacing w:after="0" w:line="240" w:lineRule="auto"/>
              <w:jc w:val="center"/>
              <w:rPr>
                <w:rFonts w:ascii="Times New Roman" w:eastAsia="Calibri" w:hAnsi="Times New Roman"/>
                <w:b/>
                <w:sz w:val="28"/>
                <w:szCs w:val="28"/>
                <w:lang w:eastAsia="en-US"/>
              </w:rPr>
            </w:pPr>
            <w:r w:rsidRPr="00C94851">
              <w:rPr>
                <w:rFonts w:ascii="Times New Roman" w:eastAsia="Calibri" w:hAnsi="Times New Roman"/>
                <w:b/>
                <w:sz w:val="28"/>
                <w:szCs w:val="28"/>
                <w:lang w:eastAsia="en-US"/>
              </w:rPr>
              <w:t>Pozitīvais</w:t>
            </w:r>
          </w:p>
        </w:tc>
        <w:tc>
          <w:tcPr>
            <w:tcW w:w="4595" w:type="dxa"/>
            <w:shd w:val="clear" w:color="auto" w:fill="auto"/>
          </w:tcPr>
          <w:p w:rsidR="00C757B9" w:rsidRPr="00C94851" w:rsidRDefault="00C757B9" w:rsidP="00C94851">
            <w:pPr>
              <w:spacing w:after="0" w:line="240" w:lineRule="auto"/>
              <w:jc w:val="center"/>
              <w:rPr>
                <w:rFonts w:ascii="Times New Roman" w:eastAsia="Calibri" w:hAnsi="Times New Roman"/>
                <w:b/>
                <w:sz w:val="28"/>
                <w:szCs w:val="28"/>
                <w:lang w:eastAsia="en-US"/>
              </w:rPr>
            </w:pPr>
            <w:r w:rsidRPr="00C94851">
              <w:rPr>
                <w:rFonts w:ascii="Times New Roman" w:eastAsia="Calibri" w:hAnsi="Times New Roman"/>
                <w:b/>
                <w:sz w:val="28"/>
                <w:szCs w:val="28"/>
                <w:lang w:eastAsia="en-US"/>
              </w:rPr>
              <w:t>Negatīvais</w:t>
            </w:r>
          </w:p>
        </w:tc>
      </w:tr>
      <w:tr w:rsidR="00C757B9" w:rsidRPr="00C94851" w:rsidTr="00C94851">
        <w:tc>
          <w:tcPr>
            <w:tcW w:w="4594" w:type="dxa"/>
            <w:shd w:val="clear" w:color="auto" w:fill="auto"/>
          </w:tcPr>
          <w:p w:rsidR="00C757B9" w:rsidRPr="00C94851" w:rsidRDefault="00C757B9" w:rsidP="00C94851">
            <w:pPr>
              <w:spacing w:after="0" w:line="240" w:lineRule="auto"/>
              <w:jc w:val="both"/>
              <w:rPr>
                <w:rFonts w:ascii="Times New Roman" w:eastAsia="Calibri" w:hAnsi="Times New Roman"/>
                <w:sz w:val="28"/>
                <w:szCs w:val="28"/>
                <w:lang w:eastAsia="en-US"/>
              </w:rPr>
            </w:pPr>
            <w:r w:rsidRPr="00C94851">
              <w:rPr>
                <w:rFonts w:ascii="Times New Roman" w:eastAsia="Calibri" w:hAnsi="Times New Roman"/>
                <w:sz w:val="28"/>
                <w:szCs w:val="28"/>
                <w:lang w:eastAsia="en-US"/>
              </w:rPr>
              <w:t>Nav nepieciešams papildu finansējums valsts budžetā.</w:t>
            </w:r>
          </w:p>
        </w:tc>
        <w:tc>
          <w:tcPr>
            <w:tcW w:w="4595" w:type="dxa"/>
            <w:shd w:val="clear" w:color="auto" w:fill="auto"/>
          </w:tcPr>
          <w:p w:rsidR="00C757B9" w:rsidRPr="00C94851" w:rsidRDefault="00C757B9" w:rsidP="00C94851">
            <w:pPr>
              <w:spacing w:after="0" w:line="240" w:lineRule="auto"/>
              <w:jc w:val="both"/>
              <w:rPr>
                <w:rFonts w:ascii="Times New Roman" w:eastAsia="Calibri" w:hAnsi="Times New Roman"/>
                <w:sz w:val="28"/>
                <w:szCs w:val="28"/>
                <w:lang w:eastAsia="en-US"/>
              </w:rPr>
            </w:pPr>
            <w:r w:rsidRPr="00C94851">
              <w:rPr>
                <w:rFonts w:ascii="Times New Roman" w:eastAsia="Calibri" w:hAnsi="Times New Roman"/>
                <w:sz w:val="28"/>
                <w:szCs w:val="28"/>
                <w:lang w:eastAsia="en-US"/>
              </w:rPr>
              <w:t>- mēnešalgu paaugstināšanai iespējams būs vēl vairāk jāsamazina darbinieku skaits, kā rezultātā var tikt apdraudēta iestādes funkciju izpilde, kā arī darbinieku pārslodze – „izdegšanas sindroms”.</w:t>
            </w:r>
          </w:p>
          <w:p w:rsidR="00C757B9" w:rsidRPr="00C94851" w:rsidRDefault="00C757B9" w:rsidP="00C94851">
            <w:pPr>
              <w:spacing w:after="0" w:line="240" w:lineRule="auto"/>
              <w:jc w:val="both"/>
              <w:rPr>
                <w:rFonts w:ascii="Times New Roman" w:eastAsia="Calibri" w:hAnsi="Times New Roman"/>
                <w:sz w:val="28"/>
                <w:szCs w:val="28"/>
                <w:lang w:eastAsia="en-US"/>
              </w:rPr>
            </w:pPr>
            <w:r w:rsidRPr="00C94851">
              <w:rPr>
                <w:rFonts w:ascii="Times New Roman" w:eastAsia="Calibri" w:hAnsi="Times New Roman"/>
                <w:sz w:val="28"/>
                <w:szCs w:val="28"/>
                <w:lang w:eastAsia="en-US"/>
              </w:rPr>
              <w:t>- ieekonomētais finansējums var būt nepietiekams atlīdzības izlīdzināšanai vai arī izlīdzināšanas iespējas būs nenozīmīgas.</w:t>
            </w:r>
          </w:p>
        </w:tc>
      </w:tr>
    </w:tbl>
    <w:p w:rsidR="00C757B9" w:rsidRPr="00E408DC" w:rsidRDefault="00C757B9" w:rsidP="00C757B9">
      <w:pPr>
        <w:spacing w:after="0" w:line="240" w:lineRule="auto"/>
        <w:jc w:val="both"/>
        <w:rPr>
          <w:rFonts w:ascii="Times New Roman" w:hAnsi="Times New Roman"/>
          <w:sz w:val="28"/>
          <w:szCs w:val="28"/>
        </w:rPr>
      </w:pPr>
    </w:p>
    <w:p w:rsidR="00C757B9" w:rsidRDefault="00C757B9" w:rsidP="00D90C0C">
      <w:pPr>
        <w:spacing w:after="0" w:line="240" w:lineRule="auto"/>
        <w:jc w:val="both"/>
        <w:rPr>
          <w:rFonts w:ascii="Times New Roman" w:hAnsi="Times New Roman"/>
          <w:b/>
          <w:sz w:val="28"/>
          <w:szCs w:val="28"/>
        </w:rPr>
      </w:pPr>
    </w:p>
    <w:p w:rsidR="0083299A" w:rsidRDefault="00EC0D4C" w:rsidP="00D90C0C">
      <w:pPr>
        <w:spacing w:after="0" w:line="240" w:lineRule="auto"/>
        <w:jc w:val="both"/>
        <w:rPr>
          <w:rFonts w:ascii="Times New Roman" w:hAnsi="Times New Roman"/>
          <w:sz w:val="28"/>
          <w:szCs w:val="28"/>
        </w:rPr>
      </w:pPr>
      <w:r>
        <w:rPr>
          <w:rFonts w:ascii="Times New Roman" w:hAnsi="Times New Roman"/>
          <w:b/>
          <w:sz w:val="28"/>
          <w:szCs w:val="28"/>
        </w:rPr>
        <w:t>2</w:t>
      </w:r>
      <w:r w:rsidR="00D90C0C" w:rsidRPr="00E408DC">
        <w:rPr>
          <w:rFonts w:ascii="Times New Roman" w:hAnsi="Times New Roman"/>
          <w:b/>
          <w:sz w:val="28"/>
          <w:szCs w:val="28"/>
        </w:rPr>
        <w:t>.variants</w:t>
      </w:r>
      <w:r w:rsidR="00D90C0C" w:rsidRPr="00E408DC">
        <w:rPr>
          <w:rFonts w:ascii="Times New Roman" w:hAnsi="Times New Roman"/>
          <w:sz w:val="28"/>
          <w:szCs w:val="28"/>
        </w:rPr>
        <w:t xml:space="preserve"> </w:t>
      </w:r>
      <w:r w:rsidR="00A62CB4">
        <w:rPr>
          <w:rFonts w:ascii="Times New Roman" w:hAnsi="Times New Roman"/>
          <w:sz w:val="28"/>
          <w:szCs w:val="28"/>
        </w:rPr>
        <w:t>–</w:t>
      </w:r>
      <w:r w:rsidR="00D90C0C" w:rsidRPr="00E408DC">
        <w:rPr>
          <w:rFonts w:ascii="Times New Roman" w:hAnsi="Times New Roman"/>
          <w:sz w:val="28"/>
          <w:szCs w:val="28"/>
        </w:rPr>
        <w:t xml:space="preserve"> p</w:t>
      </w:r>
      <w:r w:rsidR="0083299A" w:rsidRPr="00E408DC">
        <w:rPr>
          <w:rFonts w:ascii="Times New Roman" w:hAnsi="Times New Roman"/>
          <w:sz w:val="28"/>
          <w:szCs w:val="28"/>
        </w:rPr>
        <w:t>ārdalīt atlīdzības fondus starp dažādām iestādēm</w:t>
      </w:r>
      <w:r w:rsidR="00556C7A" w:rsidRPr="00E408DC">
        <w:rPr>
          <w:rFonts w:ascii="Times New Roman" w:hAnsi="Times New Roman"/>
          <w:sz w:val="28"/>
          <w:szCs w:val="28"/>
        </w:rPr>
        <w:t xml:space="preserve">, </w:t>
      </w:r>
      <w:r w:rsidR="0057229D" w:rsidRPr="00E408DC">
        <w:rPr>
          <w:rFonts w:ascii="Times New Roman" w:hAnsi="Times New Roman"/>
          <w:sz w:val="28"/>
          <w:szCs w:val="28"/>
        </w:rPr>
        <w:t>par labu tām iestādēm, kurās nodarbinātajiem ir salīdzinoši zema atlīdzība</w:t>
      </w:r>
      <w:r w:rsidR="008C57BF" w:rsidRPr="00E408DC">
        <w:rPr>
          <w:rFonts w:ascii="Times New Roman" w:hAnsi="Times New Roman"/>
          <w:sz w:val="28"/>
          <w:szCs w:val="28"/>
        </w:rPr>
        <w:t xml:space="preserve">. </w:t>
      </w:r>
    </w:p>
    <w:p w:rsidR="000F178F" w:rsidRPr="00E408DC" w:rsidRDefault="000F178F" w:rsidP="00D90C0C">
      <w:pPr>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4"/>
        <w:gridCol w:w="4595"/>
      </w:tblGrid>
      <w:tr w:rsidR="00DF41F0" w:rsidRPr="00C94851" w:rsidTr="00C94851">
        <w:tc>
          <w:tcPr>
            <w:tcW w:w="4594" w:type="dxa"/>
            <w:shd w:val="clear" w:color="auto" w:fill="auto"/>
          </w:tcPr>
          <w:p w:rsidR="00DF41F0" w:rsidRPr="00C94851" w:rsidRDefault="00D75EB8" w:rsidP="00C94851">
            <w:pPr>
              <w:spacing w:after="0" w:line="240" w:lineRule="auto"/>
              <w:jc w:val="center"/>
              <w:rPr>
                <w:rFonts w:ascii="Times New Roman" w:eastAsia="Calibri" w:hAnsi="Times New Roman"/>
                <w:b/>
                <w:sz w:val="28"/>
                <w:szCs w:val="28"/>
                <w:lang w:eastAsia="en-US"/>
              </w:rPr>
            </w:pPr>
            <w:r w:rsidRPr="00C94851">
              <w:rPr>
                <w:rFonts w:ascii="Times New Roman" w:eastAsia="Calibri" w:hAnsi="Times New Roman"/>
                <w:b/>
                <w:sz w:val="28"/>
                <w:szCs w:val="28"/>
                <w:lang w:eastAsia="en-US"/>
              </w:rPr>
              <w:t>Pozitīvais</w:t>
            </w:r>
          </w:p>
        </w:tc>
        <w:tc>
          <w:tcPr>
            <w:tcW w:w="4595" w:type="dxa"/>
            <w:shd w:val="clear" w:color="auto" w:fill="auto"/>
          </w:tcPr>
          <w:p w:rsidR="00DF41F0" w:rsidRPr="00C94851" w:rsidRDefault="00D75EB8" w:rsidP="00C94851">
            <w:pPr>
              <w:spacing w:after="0" w:line="240" w:lineRule="auto"/>
              <w:jc w:val="center"/>
              <w:rPr>
                <w:rFonts w:ascii="Times New Roman" w:eastAsia="Calibri" w:hAnsi="Times New Roman"/>
                <w:b/>
                <w:sz w:val="28"/>
                <w:szCs w:val="28"/>
                <w:lang w:eastAsia="en-US"/>
              </w:rPr>
            </w:pPr>
            <w:r w:rsidRPr="00C94851">
              <w:rPr>
                <w:rFonts w:ascii="Times New Roman" w:eastAsia="Calibri" w:hAnsi="Times New Roman"/>
                <w:b/>
                <w:sz w:val="28"/>
                <w:szCs w:val="28"/>
                <w:lang w:eastAsia="en-US"/>
              </w:rPr>
              <w:t>Negatīvais</w:t>
            </w:r>
          </w:p>
        </w:tc>
      </w:tr>
      <w:tr w:rsidR="00DF41F0" w:rsidRPr="00C94851" w:rsidTr="00C94851">
        <w:tc>
          <w:tcPr>
            <w:tcW w:w="4594" w:type="dxa"/>
            <w:shd w:val="clear" w:color="auto" w:fill="auto"/>
          </w:tcPr>
          <w:p w:rsidR="00DF41F0" w:rsidRPr="00C94851" w:rsidRDefault="003C43DB" w:rsidP="00C94851">
            <w:pPr>
              <w:spacing w:after="0" w:line="240" w:lineRule="auto"/>
              <w:jc w:val="both"/>
              <w:rPr>
                <w:rFonts w:ascii="Times New Roman" w:eastAsia="Calibri" w:hAnsi="Times New Roman"/>
                <w:sz w:val="28"/>
                <w:szCs w:val="28"/>
                <w:lang w:eastAsia="en-US"/>
              </w:rPr>
            </w:pPr>
            <w:r w:rsidRPr="00C94851">
              <w:rPr>
                <w:rFonts w:ascii="Times New Roman" w:eastAsia="Calibri" w:hAnsi="Times New Roman"/>
                <w:sz w:val="28"/>
                <w:szCs w:val="28"/>
                <w:lang w:eastAsia="en-US"/>
              </w:rPr>
              <w:t>Nav nepieciešams papildu finansējums valsts budžetā</w:t>
            </w:r>
            <w:r w:rsidR="008C57BF" w:rsidRPr="00C94851">
              <w:rPr>
                <w:rFonts w:ascii="Times New Roman" w:eastAsia="Calibri" w:hAnsi="Times New Roman"/>
                <w:sz w:val="28"/>
                <w:szCs w:val="28"/>
                <w:lang w:eastAsia="en-US"/>
              </w:rPr>
              <w:t>.</w:t>
            </w:r>
          </w:p>
        </w:tc>
        <w:tc>
          <w:tcPr>
            <w:tcW w:w="4595" w:type="dxa"/>
            <w:shd w:val="clear" w:color="auto" w:fill="auto"/>
          </w:tcPr>
          <w:p w:rsidR="00DF41F0" w:rsidRPr="00C94851" w:rsidRDefault="003C43DB" w:rsidP="00C94851">
            <w:pPr>
              <w:spacing w:after="0" w:line="240" w:lineRule="auto"/>
              <w:jc w:val="both"/>
              <w:rPr>
                <w:rFonts w:ascii="Times New Roman" w:eastAsia="Calibri" w:hAnsi="Times New Roman"/>
                <w:sz w:val="28"/>
                <w:szCs w:val="28"/>
                <w:lang w:eastAsia="en-US"/>
              </w:rPr>
            </w:pPr>
            <w:r w:rsidRPr="00C94851">
              <w:rPr>
                <w:rFonts w:ascii="Times New Roman" w:eastAsia="Calibri" w:hAnsi="Times New Roman"/>
                <w:sz w:val="28"/>
                <w:szCs w:val="28"/>
                <w:lang w:eastAsia="en-US"/>
              </w:rPr>
              <w:t xml:space="preserve">- </w:t>
            </w:r>
            <w:r w:rsidR="00ED6FB3" w:rsidRPr="00C94851">
              <w:rPr>
                <w:rFonts w:ascii="Times New Roman" w:eastAsia="Calibri" w:hAnsi="Times New Roman"/>
                <w:sz w:val="28"/>
                <w:szCs w:val="28"/>
                <w:lang w:eastAsia="en-US"/>
              </w:rPr>
              <w:t xml:space="preserve">iespējams </w:t>
            </w:r>
            <w:r w:rsidRPr="00C94851">
              <w:rPr>
                <w:rFonts w:ascii="Times New Roman" w:eastAsia="Calibri" w:hAnsi="Times New Roman"/>
                <w:sz w:val="28"/>
                <w:szCs w:val="28"/>
                <w:lang w:eastAsia="en-US"/>
              </w:rPr>
              <w:t xml:space="preserve">būs jāsamazina </w:t>
            </w:r>
            <w:r w:rsidR="005B3D38" w:rsidRPr="00C94851">
              <w:rPr>
                <w:rFonts w:ascii="Times New Roman" w:eastAsia="Calibri" w:hAnsi="Times New Roman"/>
                <w:sz w:val="28"/>
                <w:szCs w:val="28"/>
                <w:lang w:eastAsia="en-US"/>
              </w:rPr>
              <w:t>darba samaksa</w:t>
            </w:r>
            <w:r w:rsidRPr="00C94851">
              <w:rPr>
                <w:rFonts w:ascii="Times New Roman" w:eastAsia="Calibri" w:hAnsi="Times New Roman"/>
                <w:sz w:val="28"/>
                <w:szCs w:val="28"/>
                <w:lang w:eastAsia="en-US"/>
              </w:rPr>
              <w:t xml:space="preserve"> tās iestādes darbiniekiem, kuras atlīdzības fonds tiks pārdalīts citai iestādei par labu;</w:t>
            </w:r>
          </w:p>
          <w:p w:rsidR="003C43DB" w:rsidRPr="00C94851" w:rsidRDefault="008D632E" w:rsidP="00C94851">
            <w:pPr>
              <w:spacing w:after="0" w:line="240" w:lineRule="auto"/>
              <w:jc w:val="both"/>
              <w:rPr>
                <w:rFonts w:ascii="Times New Roman" w:eastAsia="Calibri" w:hAnsi="Times New Roman"/>
                <w:sz w:val="28"/>
                <w:szCs w:val="28"/>
                <w:lang w:eastAsia="en-US"/>
              </w:rPr>
            </w:pPr>
            <w:r w:rsidRPr="00C94851">
              <w:rPr>
                <w:rFonts w:ascii="Times New Roman" w:eastAsia="Calibri" w:hAnsi="Times New Roman"/>
                <w:sz w:val="28"/>
                <w:szCs w:val="28"/>
                <w:lang w:eastAsia="en-US"/>
              </w:rPr>
              <w:t xml:space="preserve">- </w:t>
            </w:r>
            <w:r w:rsidR="002E7F41" w:rsidRPr="00C94851">
              <w:rPr>
                <w:rFonts w:ascii="Times New Roman" w:eastAsia="Calibri" w:hAnsi="Times New Roman"/>
                <w:sz w:val="28"/>
                <w:szCs w:val="28"/>
                <w:lang w:eastAsia="en-US"/>
              </w:rPr>
              <w:t>p</w:t>
            </w:r>
            <w:r w:rsidRPr="00C94851">
              <w:rPr>
                <w:rFonts w:ascii="Times New Roman" w:eastAsia="Calibri" w:hAnsi="Times New Roman"/>
                <w:sz w:val="28"/>
                <w:szCs w:val="28"/>
                <w:lang w:eastAsia="en-US"/>
              </w:rPr>
              <w:t xml:space="preserve">ārdalāmais finansējums </w:t>
            </w:r>
            <w:r w:rsidR="005C10A9" w:rsidRPr="00C94851">
              <w:rPr>
                <w:rFonts w:ascii="Times New Roman" w:eastAsia="Calibri" w:hAnsi="Times New Roman"/>
                <w:sz w:val="28"/>
                <w:szCs w:val="28"/>
                <w:lang w:eastAsia="en-US"/>
              </w:rPr>
              <w:t>būs</w:t>
            </w:r>
            <w:r w:rsidRPr="00C94851">
              <w:rPr>
                <w:rFonts w:ascii="Times New Roman" w:eastAsia="Calibri" w:hAnsi="Times New Roman"/>
                <w:sz w:val="28"/>
                <w:szCs w:val="28"/>
                <w:lang w:eastAsia="en-US"/>
              </w:rPr>
              <w:t xml:space="preserve"> nepietiekams atlīdzības izlīdzināšanai vai arī izlīdzināšanas iespējas būs nenozīmīgas</w:t>
            </w:r>
            <w:r w:rsidR="005C10A9" w:rsidRPr="00C94851">
              <w:rPr>
                <w:rFonts w:ascii="Times New Roman" w:eastAsia="Calibri" w:hAnsi="Times New Roman"/>
                <w:sz w:val="28"/>
                <w:szCs w:val="28"/>
                <w:lang w:eastAsia="en-US"/>
              </w:rPr>
              <w:t>;</w:t>
            </w:r>
          </w:p>
          <w:p w:rsidR="005C10A9" w:rsidRPr="00C94851" w:rsidRDefault="005C10A9" w:rsidP="00C94851">
            <w:pPr>
              <w:spacing w:after="0" w:line="240" w:lineRule="auto"/>
              <w:jc w:val="both"/>
              <w:rPr>
                <w:rFonts w:ascii="Times New Roman" w:eastAsia="Calibri" w:hAnsi="Times New Roman"/>
                <w:sz w:val="28"/>
                <w:szCs w:val="28"/>
                <w:lang w:eastAsia="en-US"/>
              </w:rPr>
            </w:pPr>
            <w:r w:rsidRPr="00C94851">
              <w:rPr>
                <w:rFonts w:ascii="Times New Roman" w:eastAsia="Calibri" w:hAnsi="Times New Roman"/>
                <w:sz w:val="28"/>
                <w:szCs w:val="28"/>
                <w:lang w:eastAsia="en-US"/>
              </w:rPr>
              <w:t>-</w:t>
            </w:r>
            <w:r w:rsidR="00743498" w:rsidRPr="00C94851">
              <w:rPr>
                <w:rFonts w:ascii="Times New Roman" w:eastAsia="Calibri" w:hAnsi="Times New Roman"/>
                <w:sz w:val="28"/>
                <w:szCs w:val="28"/>
                <w:lang w:eastAsia="en-US"/>
              </w:rPr>
              <w:t xml:space="preserve"> </w:t>
            </w:r>
            <w:r w:rsidRPr="00C94851">
              <w:rPr>
                <w:rFonts w:ascii="Times New Roman" w:eastAsia="Calibri" w:hAnsi="Times New Roman"/>
                <w:sz w:val="28"/>
                <w:szCs w:val="28"/>
                <w:lang w:eastAsia="en-US"/>
              </w:rPr>
              <w:t>var izraisīt demotivāciju starp ministrijām.</w:t>
            </w:r>
          </w:p>
        </w:tc>
      </w:tr>
    </w:tbl>
    <w:p w:rsidR="00DF41F0" w:rsidRPr="00E408DC" w:rsidRDefault="00DF41F0" w:rsidP="00D90C0C">
      <w:pPr>
        <w:spacing w:after="0" w:line="240" w:lineRule="auto"/>
        <w:jc w:val="both"/>
        <w:rPr>
          <w:rFonts w:ascii="Times New Roman" w:hAnsi="Times New Roman"/>
          <w:b/>
          <w:sz w:val="28"/>
          <w:szCs w:val="28"/>
        </w:rPr>
      </w:pPr>
    </w:p>
    <w:p w:rsidR="00E43647" w:rsidRPr="00E408DC" w:rsidRDefault="00D90C0C" w:rsidP="00D90C0C">
      <w:pPr>
        <w:spacing w:after="0" w:line="240" w:lineRule="auto"/>
        <w:jc w:val="both"/>
        <w:rPr>
          <w:rFonts w:ascii="Times New Roman" w:hAnsi="Times New Roman"/>
          <w:sz w:val="28"/>
          <w:szCs w:val="28"/>
        </w:rPr>
      </w:pPr>
      <w:r w:rsidRPr="00E408DC">
        <w:rPr>
          <w:rFonts w:ascii="Times New Roman" w:hAnsi="Times New Roman"/>
          <w:b/>
          <w:sz w:val="28"/>
          <w:szCs w:val="28"/>
        </w:rPr>
        <w:t>3.variants</w:t>
      </w:r>
      <w:r w:rsidRPr="00E408DC">
        <w:rPr>
          <w:rFonts w:ascii="Times New Roman" w:hAnsi="Times New Roman"/>
          <w:sz w:val="28"/>
          <w:szCs w:val="28"/>
        </w:rPr>
        <w:t xml:space="preserve"> </w:t>
      </w:r>
      <w:r w:rsidR="00A62CB4">
        <w:rPr>
          <w:rFonts w:ascii="Times New Roman" w:hAnsi="Times New Roman"/>
          <w:sz w:val="28"/>
          <w:szCs w:val="28"/>
        </w:rPr>
        <w:t>–</w:t>
      </w:r>
      <w:r w:rsidRPr="00E408DC">
        <w:rPr>
          <w:rFonts w:ascii="Times New Roman" w:hAnsi="Times New Roman"/>
          <w:sz w:val="28"/>
          <w:szCs w:val="28"/>
        </w:rPr>
        <w:t xml:space="preserve"> p</w:t>
      </w:r>
      <w:r w:rsidR="00E43647" w:rsidRPr="00E408DC">
        <w:rPr>
          <w:rFonts w:ascii="Times New Roman" w:hAnsi="Times New Roman"/>
          <w:sz w:val="28"/>
          <w:szCs w:val="28"/>
        </w:rPr>
        <w:t>iešķirt iestādēm papildu finansējumu</w:t>
      </w:r>
      <w:r w:rsidR="005C714F">
        <w:rPr>
          <w:rFonts w:ascii="Times New Roman" w:hAnsi="Times New Roman"/>
          <w:sz w:val="28"/>
          <w:szCs w:val="28"/>
        </w:rPr>
        <w:t>. Jautājums</w:t>
      </w:r>
      <w:r w:rsidR="00054E9C">
        <w:rPr>
          <w:rFonts w:ascii="Times New Roman" w:hAnsi="Times New Roman"/>
          <w:sz w:val="28"/>
          <w:szCs w:val="28"/>
        </w:rPr>
        <w:t xml:space="preserve"> </w:t>
      </w:r>
      <w:r w:rsidR="005C714F" w:rsidRPr="00052A1B">
        <w:rPr>
          <w:rFonts w:ascii="Times New Roman" w:hAnsi="Times New Roman"/>
          <w:sz w:val="28"/>
          <w:szCs w:val="28"/>
        </w:rPr>
        <w:t>ir skatāms vism</w:t>
      </w:r>
      <w:r w:rsidR="005C714F">
        <w:rPr>
          <w:rFonts w:ascii="Times New Roman" w:hAnsi="Times New Roman"/>
          <w:sz w:val="28"/>
          <w:szCs w:val="28"/>
        </w:rPr>
        <w:t>az kā vidēja termiņa jautājums</w:t>
      </w:r>
      <w:r w:rsidR="005C714F" w:rsidRPr="00052A1B">
        <w:rPr>
          <w:rFonts w:ascii="Times New Roman" w:hAnsi="Times New Roman"/>
          <w:sz w:val="28"/>
          <w:szCs w:val="28"/>
        </w:rPr>
        <w:t xml:space="preserve">, piemērojot vienotu pieeju </w:t>
      </w:r>
      <w:r w:rsidR="00054E9C">
        <w:rPr>
          <w:rFonts w:ascii="Times New Roman" w:hAnsi="Times New Roman"/>
          <w:sz w:val="28"/>
          <w:szCs w:val="28"/>
        </w:rPr>
        <w:t xml:space="preserve">– lielāks papildu </w:t>
      </w:r>
      <w:r w:rsidR="00054E9C">
        <w:rPr>
          <w:rFonts w:ascii="Times New Roman" w:hAnsi="Times New Roman"/>
          <w:sz w:val="28"/>
          <w:szCs w:val="28"/>
        </w:rPr>
        <w:lastRenderedPageBreak/>
        <w:t xml:space="preserve">finansējums piešķirams </w:t>
      </w:r>
      <w:r w:rsidR="005C714F" w:rsidRPr="00052A1B">
        <w:rPr>
          <w:rFonts w:ascii="Times New Roman" w:hAnsi="Times New Roman"/>
          <w:sz w:val="28"/>
          <w:szCs w:val="28"/>
        </w:rPr>
        <w:t xml:space="preserve">tām </w:t>
      </w:r>
      <w:r w:rsidR="005C714F">
        <w:rPr>
          <w:rFonts w:ascii="Times New Roman" w:hAnsi="Times New Roman"/>
          <w:sz w:val="28"/>
          <w:szCs w:val="28"/>
        </w:rPr>
        <w:t>iestādēm, kurās lī</w:t>
      </w:r>
      <w:r w:rsidR="005C714F" w:rsidRPr="00052A1B">
        <w:rPr>
          <w:rFonts w:ascii="Times New Roman" w:hAnsi="Times New Roman"/>
          <w:sz w:val="28"/>
          <w:szCs w:val="28"/>
        </w:rPr>
        <w:t>dzīgu darba veicēju mēnešalg</w:t>
      </w:r>
      <w:r w:rsidR="005C714F">
        <w:rPr>
          <w:rFonts w:ascii="Times New Roman" w:hAnsi="Times New Roman"/>
          <w:sz w:val="28"/>
          <w:szCs w:val="28"/>
        </w:rPr>
        <w:t>as ir ievērojami zemākas salīdzinot ar citām iestādēm.</w:t>
      </w:r>
    </w:p>
    <w:p w:rsidR="00D76310" w:rsidRPr="00E408DC" w:rsidRDefault="00D76310" w:rsidP="00D90C0C">
      <w:pPr>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4"/>
        <w:gridCol w:w="4595"/>
      </w:tblGrid>
      <w:tr w:rsidR="00D76310" w:rsidRPr="00C94851" w:rsidTr="00C94851">
        <w:tc>
          <w:tcPr>
            <w:tcW w:w="4594" w:type="dxa"/>
            <w:shd w:val="clear" w:color="auto" w:fill="auto"/>
          </w:tcPr>
          <w:p w:rsidR="00D76310" w:rsidRPr="00C94851" w:rsidRDefault="00D75EB8" w:rsidP="00C94851">
            <w:pPr>
              <w:spacing w:after="0" w:line="240" w:lineRule="auto"/>
              <w:jc w:val="center"/>
              <w:rPr>
                <w:rFonts w:ascii="Times New Roman" w:eastAsia="Calibri" w:hAnsi="Times New Roman"/>
                <w:b/>
                <w:sz w:val="28"/>
                <w:szCs w:val="28"/>
                <w:lang w:eastAsia="en-US"/>
              </w:rPr>
            </w:pPr>
            <w:r w:rsidRPr="00C94851">
              <w:rPr>
                <w:rFonts w:ascii="Times New Roman" w:eastAsia="Calibri" w:hAnsi="Times New Roman"/>
                <w:b/>
                <w:sz w:val="28"/>
                <w:szCs w:val="28"/>
                <w:lang w:eastAsia="en-US"/>
              </w:rPr>
              <w:t>Pozitīvais</w:t>
            </w:r>
          </w:p>
        </w:tc>
        <w:tc>
          <w:tcPr>
            <w:tcW w:w="4595" w:type="dxa"/>
            <w:shd w:val="clear" w:color="auto" w:fill="auto"/>
          </w:tcPr>
          <w:p w:rsidR="00D76310" w:rsidRPr="00C94851" w:rsidRDefault="00D75EB8" w:rsidP="00C94851">
            <w:pPr>
              <w:spacing w:after="0" w:line="240" w:lineRule="auto"/>
              <w:jc w:val="center"/>
              <w:rPr>
                <w:rFonts w:ascii="Times New Roman" w:eastAsia="Calibri" w:hAnsi="Times New Roman"/>
                <w:b/>
                <w:sz w:val="28"/>
                <w:szCs w:val="28"/>
                <w:lang w:eastAsia="en-US"/>
              </w:rPr>
            </w:pPr>
            <w:r w:rsidRPr="00C94851">
              <w:rPr>
                <w:rFonts w:ascii="Times New Roman" w:eastAsia="Calibri" w:hAnsi="Times New Roman"/>
                <w:b/>
                <w:sz w:val="28"/>
                <w:szCs w:val="28"/>
                <w:lang w:eastAsia="en-US"/>
              </w:rPr>
              <w:t>Negatīvais</w:t>
            </w:r>
          </w:p>
        </w:tc>
      </w:tr>
      <w:tr w:rsidR="00D76310" w:rsidRPr="00C94851" w:rsidTr="00C94851">
        <w:tc>
          <w:tcPr>
            <w:tcW w:w="4594" w:type="dxa"/>
            <w:shd w:val="clear" w:color="auto" w:fill="auto"/>
          </w:tcPr>
          <w:p w:rsidR="00EC6824" w:rsidRPr="00C94851" w:rsidRDefault="00B4494A" w:rsidP="00C94851">
            <w:pPr>
              <w:spacing w:after="0" w:line="240" w:lineRule="auto"/>
              <w:jc w:val="both"/>
              <w:rPr>
                <w:rFonts w:ascii="Times New Roman" w:eastAsia="Calibri" w:hAnsi="Times New Roman"/>
                <w:sz w:val="28"/>
                <w:szCs w:val="28"/>
                <w:lang w:eastAsia="en-US"/>
              </w:rPr>
            </w:pPr>
            <w:r w:rsidRPr="00C94851">
              <w:rPr>
                <w:rFonts w:ascii="Times New Roman" w:eastAsia="Calibri" w:hAnsi="Times New Roman"/>
                <w:sz w:val="28"/>
                <w:szCs w:val="28"/>
                <w:lang w:eastAsia="en-US"/>
              </w:rPr>
              <w:t>A</w:t>
            </w:r>
            <w:r w:rsidR="00D76310" w:rsidRPr="00C94851">
              <w:rPr>
                <w:rFonts w:ascii="Times New Roman" w:eastAsia="Calibri" w:hAnsi="Times New Roman"/>
                <w:sz w:val="28"/>
                <w:szCs w:val="28"/>
                <w:lang w:eastAsia="en-US"/>
              </w:rPr>
              <w:t>tlīdzības izlīdzinā</w:t>
            </w:r>
            <w:r w:rsidR="002F7C08" w:rsidRPr="00C94851">
              <w:rPr>
                <w:rFonts w:ascii="Times New Roman" w:eastAsia="Calibri" w:hAnsi="Times New Roman"/>
                <w:sz w:val="28"/>
                <w:szCs w:val="28"/>
                <w:lang w:eastAsia="en-US"/>
              </w:rPr>
              <w:t>šan</w:t>
            </w:r>
            <w:r w:rsidRPr="00C94851">
              <w:rPr>
                <w:rFonts w:ascii="Times New Roman" w:eastAsia="Calibri" w:hAnsi="Times New Roman"/>
                <w:sz w:val="28"/>
                <w:szCs w:val="28"/>
                <w:lang w:eastAsia="en-US"/>
              </w:rPr>
              <w:t>a vidējā termiņā</w:t>
            </w:r>
            <w:r w:rsidR="002F7C08" w:rsidRPr="00C94851">
              <w:rPr>
                <w:rFonts w:ascii="Times New Roman" w:eastAsia="Calibri" w:hAnsi="Times New Roman"/>
                <w:sz w:val="28"/>
                <w:szCs w:val="28"/>
                <w:lang w:eastAsia="en-US"/>
              </w:rPr>
              <w:t xml:space="preserve"> atbilstoši plān</w:t>
            </w:r>
            <w:r w:rsidRPr="00C94851">
              <w:rPr>
                <w:rFonts w:ascii="Times New Roman" w:eastAsia="Calibri" w:hAnsi="Times New Roman"/>
                <w:sz w:val="28"/>
                <w:szCs w:val="28"/>
                <w:lang w:eastAsia="en-US"/>
              </w:rPr>
              <w:t>otajam</w:t>
            </w:r>
            <w:r w:rsidR="00EC6824" w:rsidRPr="00C94851">
              <w:rPr>
                <w:rFonts w:ascii="Times New Roman" w:eastAsia="Calibri" w:hAnsi="Times New Roman"/>
                <w:sz w:val="28"/>
                <w:szCs w:val="28"/>
                <w:lang w:eastAsia="en-US"/>
              </w:rPr>
              <w:t>, nodrošinot līdzvērtīgu atlīdzību līdzīgiem amatiem dažādās iestādēs</w:t>
            </w:r>
            <w:r w:rsidRPr="00C94851">
              <w:rPr>
                <w:rFonts w:ascii="Times New Roman" w:eastAsia="Calibri" w:hAnsi="Times New Roman"/>
                <w:sz w:val="28"/>
                <w:szCs w:val="28"/>
                <w:lang w:eastAsia="en-US"/>
              </w:rPr>
              <w:t>.</w:t>
            </w:r>
          </w:p>
        </w:tc>
        <w:tc>
          <w:tcPr>
            <w:tcW w:w="4595" w:type="dxa"/>
            <w:shd w:val="clear" w:color="auto" w:fill="auto"/>
          </w:tcPr>
          <w:p w:rsidR="00D76310" w:rsidRPr="00C94851" w:rsidRDefault="00D76310" w:rsidP="00C94851">
            <w:pPr>
              <w:spacing w:after="0" w:line="240" w:lineRule="auto"/>
              <w:jc w:val="both"/>
              <w:rPr>
                <w:rFonts w:ascii="Times New Roman" w:eastAsia="Calibri" w:hAnsi="Times New Roman"/>
                <w:sz w:val="28"/>
                <w:szCs w:val="28"/>
                <w:lang w:eastAsia="en-US"/>
              </w:rPr>
            </w:pPr>
            <w:r w:rsidRPr="00C94851">
              <w:rPr>
                <w:rFonts w:ascii="Times New Roman" w:eastAsia="Calibri" w:hAnsi="Times New Roman"/>
                <w:sz w:val="28"/>
                <w:szCs w:val="28"/>
                <w:lang w:eastAsia="en-US"/>
              </w:rPr>
              <w:t>Palielināsies valsts budžeta izdevumi</w:t>
            </w:r>
            <w:r w:rsidR="00ED6FB3" w:rsidRPr="00C94851">
              <w:rPr>
                <w:rFonts w:ascii="Times New Roman" w:eastAsia="Calibri" w:hAnsi="Times New Roman"/>
                <w:sz w:val="28"/>
                <w:szCs w:val="28"/>
                <w:lang w:eastAsia="en-US"/>
              </w:rPr>
              <w:t xml:space="preserve"> atlīdzībai</w:t>
            </w:r>
            <w:r w:rsidR="00B4494A" w:rsidRPr="00C94851">
              <w:rPr>
                <w:rFonts w:ascii="Times New Roman" w:eastAsia="Calibri" w:hAnsi="Times New Roman"/>
                <w:sz w:val="28"/>
                <w:szCs w:val="28"/>
                <w:lang w:eastAsia="en-US"/>
              </w:rPr>
              <w:t>.</w:t>
            </w:r>
          </w:p>
        </w:tc>
      </w:tr>
    </w:tbl>
    <w:p w:rsidR="00052A1B" w:rsidRDefault="00052A1B" w:rsidP="00052A1B">
      <w:pPr>
        <w:spacing w:after="0" w:line="240" w:lineRule="auto"/>
        <w:jc w:val="both"/>
        <w:rPr>
          <w:rFonts w:ascii="Times New Roman" w:hAnsi="Times New Roman"/>
          <w:sz w:val="28"/>
          <w:szCs w:val="28"/>
        </w:rPr>
      </w:pPr>
    </w:p>
    <w:p w:rsidR="00FA019A" w:rsidRDefault="00FA019A" w:rsidP="00052A1B">
      <w:pPr>
        <w:spacing w:after="0" w:line="240" w:lineRule="auto"/>
        <w:jc w:val="both"/>
        <w:rPr>
          <w:rFonts w:ascii="Times New Roman" w:hAnsi="Times New Roman"/>
          <w:sz w:val="28"/>
          <w:szCs w:val="28"/>
        </w:rPr>
      </w:pPr>
      <w:r>
        <w:rPr>
          <w:rFonts w:ascii="Times New Roman" w:hAnsi="Times New Roman"/>
          <w:sz w:val="28"/>
          <w:szCs w:val="28"/>
        </w:rPr>
        <w:t>Ņemot vērā, ka Latvijā</w:t>
      </w:r>
      <w:r w:rsidRPr="00FA019A">
        <w:rPr>
          <w:rFonts w:ascii="Times New Roman" w:hAnsi="Times New Roman"/>
          <w:sz w:val="28"/>
          <w:szCs w:val="28"/>
        </w:rPr>
        <w:t xml:space="preserve"> vispārējās valdības izdevum</w:t>
      </w:r>
      <w:r>
        <w:rPr>
          <w:rFonts w:ascii="Times New Roman" w:hAnsi="Times New Roman"/>
          <w:sz w:val="28"/>
          <w:szCs w:val="28"/>
        </w:rPr>
        <w:t>i</w:t>
      </w:r>
      <w:r w:rsidRPr="00FA019A">
        <w:rPr>
          <w:rFonts w:ascii="Times New Roman" w:hAnsi="Times New Roman"/>
          <w:sz w:val="28"/>
          <w:szCs w:val="28"/>
        </w:rPr>
        <w:t xml:space="preserve"> (valsts un pašvaldību budžeta izdevumi) atlīdzībai no iekšzemes kopprodukta (IKP)</w:t>
      </w:r>
      <w:r w:rsidR="0039322D">
        <w:rPr>
          <w:rFonts w:ascii="Times New Roman" w:hAnsi="Times New Roman"/>
          <w:sz w:val="28"/>
          <w:szCs w:val="28"/>
        </w:rPr>
        <w:t>,</w:t>
      </w:r>
      <w:r w:rsidRPr="00FA019A">
        <w:rPr>
          <w:rFonts w:ascii="Times New Roman" w:hAnsi="Times New Roman"/>
          <w:sz w:val="28"/>
          <w:szCs w:val="28"/>
        </w:rPr>
        <w:t xml:space="preserve"> </w:t>
      </w:r>
      <w:r>
        <w:rPr>
          <w:rFonts w:ascii="Times New Roman" w:hAnsi="Times New Roman"/>
          <w:sz w:val="28"/>
          <w:szCs w:val="28"/>
        </w:rPr>
        <w:t>salīdzinot ar citām Eiropas Savienības dalībval</w:t>
      </w:r>
      <w:r w:rsidR="000F2015">
        <w:rPr>
          <w:rFonts w:ascii="Times New Roman" w:hAnsi="Times New Roman"/>
          <w:sz w:val="28"/>
          <w:szCs w:val="28"/>
        </w:rPr>
        <w:t>stīm, ir no zemākajiem (skatīt 6</w:t>
      </w:r>
      <w:r>
        <w:rPr>
          <w:rFonts w:ascii="Times New Roman" w:hAnsi="Times New Roman"/>
          <w:sz w:val="28"/>
          <w:szCs w:val="28"/>
        </w:rPr>
        <w:t>.attēlu)</w:t>
      </w:r>
      <w:r w:rsidRPr="00FA019A">
        <w:rPr>
          <w:rFonts w:ascii="Times New Roman" w:hAnsi="Times New Roman"/>
          <w:sz w:val="28"/>
          <w:szCs w:val="28"/>
        </w:rPr>
        <w:t xml:space="preserve">, </w:t>
      </w:r>
      <w:r>
        <w:rPr>
          <w:rFonts w:ascii="Times New Roman" w:hAnsi="Times New Roman"/>
          <w:sz w:val="28"/>
          <w:szCs w:val="28"/>
        </w:rPr>
        <w:t>piedāvājam</w:t>
      </w:r>
      <w:r w:rsidR="00E85FE5">
        <w:rPr>
          <w:rFonts w:ascii="Times New Roman" w:hAnsi="Times New Roman"/>
          <w:sz w:val="28"/>
          <w:szCs w:val="28"/>
        </w:rPr>
        <w:t xml:space="preserve">, ievērojot makroekonomiskos un fiskālos nosacījumus, </w:t>
      </w:r>
      <w:r>
        <w:rPr>
          <w:rFonts w:ascii="Times New Roman" w:hAnsi="Times New Roman"/>
          <w:sz w:val="28"/>
          <w:szCs w:val="28"/>
        </w:rPr>
        <w:t xml:space="preserve"> valsts budžeta izdevumus</w:t>
      </w:r>
      <w:r w:rsidRPr="00FA019A">
        <w:rPr>
          <w:rFonts w:ascii="Times New Roman" w:hAnsi="Times New Roman"/>
          <w:sz w:val="28"/>
          <w:szCs w:val="28"/>
        </w:rPr>
        <w:t xml:space="preserve"> atlīdzībai noteikt, </w:t>
      </w:r>
      <w:r w:rsidR="00900698">
        <w:rPr>
          <w:rFonts w:ascii="Times New Roman" w:hAnsi="Times New Roman"/>
          <w:sz w:val="28"/>
          <w:szCs w:val="28"/>
        </w:rPr>
        <w:t>virzoties uz</w:t>
      </w:r>
      <w:r w:rsidRPr="00FA019A">
        <w:rPr>
          <w:rFonts w:ascii="Times New Roman" w:hAnsi="Times New Roman"/>
          <w:sz w:val="28"/>
          <w:szCs w:val="28"/>
        </w:rPr>
        <w:t xml:space="preserve"> sabalansētu proporciju pret IKP (vidēji 2013.gada līmenī, bet </w:t>
      </w:r>
      <w:r>
        <w:rPr>
          <w:rFonts w:ascii="Times New Roman" w:hAnsi="Times New Roman"/>
          <w:sz w:val="28"/>
          <w:szCs w:val="28"/>
        </w:rPr>
        <w:t xml:space="preserve">to </w:t>
      </w:r>
      <w:r w:rsidRPr="00FA019A">
        <w:rPr>
          <w:rFonts w:ascii="Times New Roman" w:hAnsi="Times New Roman"/>
          <w:sz w:val="28"/>
          <w:szCs w:val="28"/>
        </w:rPr>
        <w:t>nepārsniedzot)</w:t>
      </w:r>
      <w:r w:rsidR="00EC5780">
        <w:rPr>
          <w:rFonts w:ascii="Times New Roman" w:hAnsi="Times New Roman"/>
          <w:sz w:val="28"/>
          <w:szCs w:val="28"/>
        </w:rPr>
        <w:t xml:space="preserve">, skatīt </w:t>
      </w:r>
      <w:r w:rsidR="00EF2536">
        <w:rPr>
          <w:rFonts w:ascii="Times New Roman" w:hAnsi="Times New Roman"/>
          <w:sz w:val="28"/>
          <w:szCs w:val="28"/>
        </w:rPr>
        <w:t>7</w:t>
      </w:r>
      <w:r w:rsidR="00EC5780">
        <w:rPr>
          <w:rFonts w:ascii="Times New Roman" w:hAnsi="Times New Roman"/>
          <w:sz w:val="28"/>
          <w:szCs w:val="28"/>
        </w:rPr>
        <w:t>.attēl</w:t>
      </w:r>
      <w:r w:rsidR="004004DD">
        <w:rPr>
          <w:rFonts w:ascii="Times New Roman" w:hAnsi="Times New Roman"/>
          <w:sz w:val="28"/>
          <w:szCs w:val="28"/>
        </w:rPr>
        <w:t>u</w:t>
      </w:r>
      <w:r>
        <w:rPr>
          <w:rFonts w:ascii="Times New Roman" w:hAnsi="Times New Roman"/>
          <w:sz w:val="28"/>
          <w:szCs w:val="28"/>
        </w:rPr>
        <w:t>.</w:t>
      </w:r>
    </w:p>
    <w:p w:rsidR="00C00B9A" w:rsidRDefault="00C00B9A" w:rsidP="00FA019A">
      <w:pPr>
        <w:pStyle w:val="ListParagraph"/>
        <w:spacing w:after="0" w:line="240" w:lineRule="auto"/>
        <w:jc w:val="both"/>
        <w:rPr>
          <w:rFonts w:ascii="Times New Roman" w:hAnsi="Times New Roman"/>
          <w:b/>
          <w:sz w:val="28"/>
          <w:szCs w:val="28"/>
        </w:rPr>
      </w:pPr>
    </w:p>
    <w:p w:rsidR="005B1602" w:rsidRDefault="005B1602" w:rsidP="00FA019A">
      <w:pPr>
        <w:pStyle w:val="ListParagraph"/>
        <w:spacing w:after="0" w:line="240" w:lineRule="auto"/>
        <w:jc w:val="both"/>
        <w:rPr>
          <w:rFonts w:ascii="Times New Roman" w:hAnsi="Times New Roman"/>
          <w:b/>
          <w:sz w:val="28"/>
          <w:szCs w:val="28"/>
        </w:rPr>
      </w:pPr>
    </w:p>
    <w:p w:rsidR="00E15CA1" w:rsidRPr="00EB79DB" w:rsidRDefault="00EB79DB" w:rsidP="00EB79DB">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 xml:space="preserve">V. </w:t>
      </w:r>
      <w:r w:rsidR="00E15CA1" w:rsidRPr="00EB79DB">
        <w:rPr>
          <w:rFonts w:ascii="Times New Roman" w:hAnsi="Times New Roman"/>
          <w:b/>
          <w:sz w:val="28"/>
          <w:szCs w:val="28"/>
        </w:rPr>
        <w:t>Sociālās garantijas valsts tiešās pārvaldes iestādēs</w:t>
      </w:r>
    </w:p>
    <w:p w:rsidR="00E15CA1" w:rsidRDefault="00E15CA1" w:rsidP="00E15CA1">
      <w:pPr>
        <w:autoSpaceDE w:val="0"/>
        <w:autoSpaceDN w:val="0"/>
        <w:adjustRightInd w:val="0"/>
        <w:spacing w:after="0" w:line="240" w:lineRule="auto"/>
        <w:jc w:val="both"/>
        <w:rPr>
          <w:rFonts w:ascii="Times New Roman" w:hAnsi="Times New Roman"/>
          <w:sz w:val="28"/>
          <w:szCs w:val="28"/>
        </w:rPr>
      </w:pPr>
    </w:p>
    <w:p w:rsidR="00E15CA1" w:rsidRPr="00E408DC" w:rsidRDefault="00E15CA1" w:rsidP="00E15CA1">
      <w:pPr>
        <w:autoSpaceDE w:val="0"/>
        <w:autoSpaceDN w:val="0"/>
        <w:adjustRightInd w:val="0"/>
        <w:spacing w:after="0" w:line="240" w:lineRule="auto"/>
        <w:ind w:firstLine="720"/>
        <w:jc w:val="both"/>
        <w:rPr>
          <w:rFonts w:ascii="Times New Roman" w:hAnsi="Times New Roman"/>
          <w:sz w:val="28"/>
          <w:szCs w:val="28"/>
        </w:rPr>
      </w:pPr>
      <w:r w:rsidRPr="00E408DC">
        <w:rPr>
          <w:rFonts w:ascii="Times New Roman" w:hAnsi="Times New Roman"/>
          <w:sz w:val="28"/>
          <w:szCs w:val="28"/>
        </w:rPr>
        <w:t xml:space="preserve">Valsts tiešās pārvaldes iestādēs nodarbināto sociālās garantijas nosaka saskaņā ar Atlīdzības likumu, un tās iedalās </w:t>
      </w:r>
      <w:r w:rsidR="00F4569C">
        <w:rPr>
          <w:rFonts w:ascii="Times New Roman" w:hAnsi="Times New Roman"/>
          <w:sz w:val="28"/>
          <w:szCs w:val="28"/>
        </w:rPr>
        <w:t>–</w:t>
      </w:r>
      <w:r w:rsidRPr="00E408DC">
        <w:rPr>
          <w:rFonts w:ascii="Times New Roman" w:hAnsi="Times New Roman"/>
          <w:sz w:val="28"/>
          <w:szCs w:val="28"/>
        </w:rPr>
        <w:t xml:space="preserve"> tieši ar amata (darba, dienesta) pienākumu veikšanu saistītajās, piem., pabalsts ievainojuma un sakropļojuma gadījumā, kas radies pildot ar apdraudējumu veselībai un dzīvībai saistītus amata pienākumus,</w:t>
      </w:r>
      <w:r w:rsidR="0015556F">
        <w:rPr>
          <w:rFonts w:ascii="Times New Roman" w:hAnsi="Times New Roman"/>
          <w:sz w:val="28"/>
          <w:szCs w:val="28"/>
        </w:rPr>
        <w:t xml:space="preserve"> </w:t>
      </w:r>
      <w:r w:rsidRPr="00E408DC">
        <w:rPr>
          <w:rFonts w:ascii="Times New Roman" w:hAnsi="Times New Roman"/>
          <w:sz w:val="28"/>
          <w:szCs w:val="28"/>
        </w:rPr>
        <w:t xml:space="preserve">ka arī vispārēja rakstura sociālajās garantijas, kas nav saistītas ar amata (darba, dienesta) pienākumu izpildi un nav obligātas, bet institūcijas tās var paredzēt savu finanšu līdzekļu ietvaros, piemēram, veselības apdrošināšanas polise. </w:t>
      </w:r>
    </w:p>
    <w:p w:rsidR="0015556F" w:rsidRPr="008D24C5" w:rsidRDefault="00C16A54" w:rsidP="00C16A54">
      <w:pPr>
        <w:autoSpaceDE w:val="0"/>
        <w:autoSpaceDN w:val="0"/>
        <w:adjustRightInd w:val="0"/>
        <w:spacing w:after="0" w:line="240" w:lineRule="auto"/>
        <w:ind w:firstLine="720"/>
        <w:jc w:val="both"/>
        <w:rPr>
          <w:rFonts w:ascii="Times New Roman" w:hAnsi="Times New Roman"/>
          <w:sz w:val="28"/>
          <w:szCs w:val="28"/>
        </w:rPr>
      </w:pPr>
      <w:r w:rsidRPr="008D24C5">
        <w:rPr>
          <w:rFonts w:ascii="Times New Roman" w:hAnsi="Times New Roman"/>
          <w:sz w:val="28"/>
          <w:szCs w:val="28"/>
        </w:rPr>
        <w:t>Saskaņā ar Atlīdzības likumu iestād</w:t>
      </w:r>
      <w:r>
        <w:rPr>
          <w:rFonts w:ascii="Times New Roman" w:hAnsi="Times New Roman"/>
          <w:sz w:val="28"/>
          <w:szCs w:val="28"/>
        </w:rPr>
        <w:t xml:space="preserve">es obligāti </w:t>
      </w:r>
      <w:r w:rsidRPr="008D24C5">
        <w:rPr>
          <w:rFonts w:ascii="Times New Roman" w:hAnsi="Times New Roman"/>
          <w:sz w:val="28"/>
          <w:szCs w:val="28"/>
        </w:rPr>
        <w:t>apdrošina</w:t>
      </w:r>
      <w:r>
        <w:rPr>
          <w:rFonts w:ascii="Times New Roman" w:hAnsi="Times New Roman"/>
          <w:sz w:val="28"/>
          <w:szCs w:val="28"/>
        </w:rPr>
        <w:t xml:space="preserve"> tās</w:t>
      </w:r>
      <w:r w:rsidRPr="008D24C5">
        <w:rPr>
          <w:rFonts w:ascii="Times New Roman" w:hAnsi="Times New Roman"/>
          <w:sz w:val="28"/>
          <w:szCs w:val="28"/>
        </w:rPr>
        <w:t xml:space="preserve"> amatpersonas (darbiniek</w:t>
      </w:r>
      <w:r>
        <w:rPr>
          <w:rFonts w:ascii="Times New Roman" w:hAnsi="Times New Roman"/>
          <w:sz w:val="28"/>
          <w:szCs w:val="28"/>
        </w:rPr>
        <w:t>us</w:t>
      </w:r>
      <w:r w:rsidRPr="008D24C5">
        <w:rPr>
          <w:rFonts w:ascii="Times New Roman" w:hAnsi="Times New Roman"/>
          <w:sz w:val="28"/>
          <w:szCs w:val="28"/>
        </w:rPr>
        <w:t>), kuras pildot dienesta (darba) pienākumus ir pakļautas dzīvības vai veselības apdraudējumam (riskam), piemēram, tiesneši, prokurori, Korupcijas novēršanas un apkarošanas biroja amatpersonas, tiesu eksperti, Valsts meža dienesta amatpersonas (darbinieki), valsts vides inspektori, diplomāti, diplomātiskā  un konsulārā dienesta amatpersonas (darbinieki), specializētie atašeji, Valsts probācijas dienesta amatpersonas (darbinieki).</w:t>
      </w:r>
      <w:r>
        <w:rPr>
          <w:rFonts w:ascii="Times New Roman" w:hAnsi="Times New Roman"/>
          <w:sz w:val="28"/>
          <w:szCs w:val="28"/>
        </w:rPr>
        <w:t xml:space="preserve"> Sākot a</w:t>
      </w:r>
      <w:r w:rsidR="0015556F" w:rsidRPr="0015556F">
        <w:rPr>
          <w:rFonts w:ascii="Times New Roman" w:hAnsi="Times New Roman"/>
          <w:sz w:val="28"/>
          <w:szCs w:val="28"/>
        </w:rPr>
        <w:t xml:space="preserve">r 2012.gadu tika atjaunota iespēja apdrošināt </w:t>
      </w:r>
      <w:r>
        <w:rPr>
          <w:rFonts w:ascii="Times New Roman" w:hAnsi="Times New Roman"/>
          <w:sz w:val="28"/>
          <w:szCs w:val="28"/>
        </w:rPr>
        <w:t xml:space="preserve">arī pārējo </w:t>
      </w:r>
      <w:r w:rsidR="0015556F" w:rsidRPr="0015556F">
        <w:rPr>
          <w:rFonts w:ascii="Times New Roman" w:hAnsi="Times New Roman"/>
          <w:sz w:val="28"/>
          <w:szCs w:val="28"/>
        </w:rPr>
        <w:t xml:space="preserve">darbinieku veselību </w:t>
      </w:r>
      <w:r>
        <w:rPr>
          <w:rFonts w:ascii="Times New Roman" w:hAnsi="Times New Roman"/>
          <w:sz w:val="28"/>
          <w:szCs w:val="28"/>
        </w:rPr>
        <w:t>iestādei piešķirtā</w:t>
      </w:r>
      <w:r w:rsidR="0015556F" w:rsidRPr="0015556F">
        <w:rPr>
          <w:rFonts w:ascii="Times New Roman" w:hAnsi="Times New Roman"/>
          <w:sz w:val="28"/>
          <w:szCs w:val="28"/>
        </w:rPr>
        <w:t xml:space="preserve"> finansējuma ietvaros. Informācija par 2012.gadu liecina, ka </w:t>
      </w:r>
      <w:r w:rsidR="000E5023">
        <w:rPr>
          <w:rFonts w:ascii="Times New Roman" w:hAnsi="Times New Roman"/>
          <w:sz w:val="28"/>
          <w:szCs w:val="28"/>
        </w:rPr>
        <w:t xml:space="preserve">veselības apdrošināšanas </w:t>
      </w:r>
      <w:r w:rsidR="0015556F" w:rsidRPr="0015556F">
        <w:rPr>
          <w:rFonts w:ascii="Times New Roman" w:hAnsi="Times New Roman"/>
          <w:sz w:val="28"/>
          <w:szCs w:val="28"/>
        </w:rPr>
        <w:t xml:space="preserve">polises bija iegādājusies 51 valsts budžeta finansēta iestāde, jeb 44% no kopējā iestāžu skaita. </w:t>
      </w:r>
    </w:p>
    <w:p w:rsidR="00E03A4E" w:rsidRPr="00E03A4E" w:rsidRDefault="00E03A4E" w:rsidP="00E03A4E">
      <w:pPr>
        <w:spacing w:after="0" w:line="240" w:lineRule="auto"/>
        <w:ind w:firstLine="720"/>
        <w:jc w:val="both"/>
        <w:rPr>
          <w:rFonts w:ascii="Times New Roman" w:hAnsi="Times New Roman"/>
          <w:sz w:val="28"/>
          <w:szCs w:val="28"/>
        </w:rPr>
      </w:pPr>
      <w:r w:rsidRPr="00E03A4E">
        <w:rPr>
          <w:rFonts w:ascii="Times New Roman" w:hAnsi="Times New Roman"/>
          <w:sz w:val="28"/>
          <w:szCs w:val="28"/>
        </w:rPr>
        <w:t xml:space="preserve">2013.gada 19.martā valdības sēdē </w:t>
      </w:r>
      <w:r w:rsidR="00AF4EED">
        <w:rPr>
          <w:rFonts w:ascii="Times New Roman" w:hAnsi="Times New Roman"/>
          <w:sz w:val="28"/>
          <w:szCs w:val="28"/>
        </w:rPr>
        <w:t xml:space="preserve">tika </w:t>
      </w:r>
      <w:r w:rsidRPr="00E03A4E">
        <w:rPr>
          <w:rFonts w:ascii="Times New Roman" w:hAnsi="Times New Roman"/>
          <w:sz w:val="28"/>
          <w:szCs w:val="28"/>
        </w:rPr>
        <w:t xml:space="preserve">skatīts jautājums par karavīru un amatpersonu ar speciālajām dienesta pakāpēm sociālajām garantijām un </w:t>
      </w:r>
      <w:r w:rsidR="00AF4EED">
        <w:rPr>
          <w:rFonts w:ascii="Times New Roman" w:hAnsi="Times New Roman"/>
          <w:sz w:val="28"/>
          <w:szCs w:val="28"/>
        </w:rPr>
        <w:t xml:space="preserve">to iespējamu pilnveidošanu (Ministru kabineta protokols Nr.15. 36.§), un </w:t>
      </w:r>
      <w:r w:rsidRPr="00E03A4E">
        <w:rPr>
          <w:rFonts w:ascii="Times New Roman" w:hAnsi="Times New Roman"/>
          <w:sz w:val="28"/>
          <w:szCs w:val="28"/>
        </w:rPr>
        <w:t xml:space="preserve">nolemts </w:t>
      </w:r>
      <w:r w:rsidRPr="00E03A4E">
        <w:rPr>
          <w:rFonts w:ascii="Times New Roman" w:hAnsi="Times New Roman"/>
          <w:sz w:val="28"/>
          <w:szCs w:val="28"/>
        </w:rPr>
        <w:lastRenderedPageBreak/>
        <w:t xml:space="preserve">jautājumu par papildu finansējuma piešķiršanu </w:t>
      </w:r>
      <w:r w:rsidR="00AF4EED">
        <w:rPr>
          <w:rFonts w:ascii="Times New Roman" w:hAnsi="Times New Roman"/>
          <w:sz w:val="28"/>
          <w:szCs w:val="28"/>
        </w:rPr>
        <w:t xml:space="preserve">sociālajām garantijām </w:t>
      </w:r>
      <w:r w:rsidRPr="00E03A4E">
        <w:rPr>
          <w:rFonts w:ascii="Times New Roman" w:hAnsi="Times New Roman"/>
          <w:sz w:val="28"/>
          <w:szCs w:val="28"/>
        </w:rPr>
        <w:t>skatīt</w:t>
      </w:r>
      <w:r w:rsidR="00AF4EED">
        <w:rPr>
          <w:rFonts w:ascii="Times New Roman" w:hAnsi="Times New Roman"/>
          <w:sz w:val="28"/>
          <w:szCs w:val="28"/>
        </w:rPr>
        <w:t xml:space="preserve"> Ministru kabinetā </w:t>
      </w:r>
      <w:r w:rsidRPr="00E03A4E">
        <w:rPr>
          <w:rFonts w:ascii="Times New Roman" w:hAnsi="Times New Roman"/>
          <w:sz w:val="28"/>
          <w:szCs w:val="28"/>
        </w:rPr>
        <w:t xml:space="preserve">kopā ar </w:t>
      </w:r>
      <w:r w:rsidR="00AF4EED">
        <w:rPr>
          <w:rFonts w:ascii="Times New Roman" w:hAnsi="Times New Roman"/>
          <w:sz w:val="28"/>
          <w:szCs w:val="28"/>
        </w:rPr>
        <w:t xml:space="preserve">visu ministriju un citu centrālo valsts iestāžu </w:t>
      </w:r>
      <w:r w:rsidRPr="00E03A4E">
        <w:rPr>
          <w:rFonts w:ascii="Times New Roman" w:hAnsi="Times New Roman"/>
          <w:sz w:val="28"/>
          <w:szCs w:val="28"/>
        </w:rPr>
        <w:t xml:space="preserve">prioritāšu pieteikumiem </w:t>
      </w:r>
      <w:r w:rsidR="00AF4EED">
        <w:rPr>
          <w:rFonts w:ascii="Times New Roman" w:hAnsi="Times New Roman"/>
          <w:sz w:val="28"/>
          <w:szCs w:val="28"/>
        </w:rPr>
        <w:t xml:space="preserve">valsts </w:t>
      </w:r>
      <w:r w:rsidRPr="00E03A4E">
        <w:rPr>
          <w:rFonts w:ascii="Times New Roman" w:hAnsi="Times New Roman"/>
          <w:sz w:val="28"/>
          <w:szCs w:val="28"/>
        </w:rPr>
        <w:t xml:space="preserve">budžeta </w:t>
      </w:r>
      <w:r w:rsidR="00AF4EED">
        <w:rPr>
          <w:rFonts w:ascii="Times New Roman" w:hAnsi="Times New Roman"/>
          <w:sz w:val="28"/>
          <w:szCs w:val="28"/>
        </w:rPr>
        <w:t>likumprojekta izs</w:t>
      </w:r>
      <w:r w:rsidRPr="00E03A4E">
        <w:rPr>
          <w:rFonts w:ascii="Times New Roman" w:hAnsi="Times New Roman"/>
          <w:sz w:val="28"/>
          <w:szCs w:val="28"/>
        </w:rPr>
        <w:t>trādes gaitā.</w:t>
      </w:r>
    </w:p>
    <w:p w:rsidR="00651C35" w:rsidRPr="00862C8F" w:rsidRDefault="00651C35" w:rsidP="00F304CF">
      <w:pPr>
        <w:autoSpaceDE w:val="0"/>
        <w:autoSpaceDN w:val="0"/>
        <w:adjustRightInd w:val="0"/>
        <w:spacing w:after="0" w:line="240" w:lineRule="auto"/>
        <w:ind w:firstLine="720"/>
        <w:jc w:val="both"/>
        <w:rPr>
          <w:rFonts w:ascii="Times New Roman" w:hAnsi="Times New Roman"/>
          <w:b/>
          <w:sz w:val="28"/>
          <w:szCs w:val="28"/>
        </w:rPr>
      </w:pPr>
      <w:r w:rsidRPr="008D24C5">
        <w:rPr>
          <w:rFonts w:ascii="Times New Roman" w:hAnsi="Times New Roman"/>
          <w:b/>
          <w:sz w:val="28"/>
          <w:szCs w:val="28"/>
        </w:rPr>
        <w:t>Izvērtējot situāciju valsts tiešās pārvaldes</w:t>
      </w:r>
      <w:r w:rsidRPr="00862C8F">
        <w:rPr>
          <w:rFonts w:ascii="Times New Roman" w:hAnsi="Times New Roman"/>
          <w:b/>
          <w:sz w:val="28"/>
          <w:szCs w:val="28"/>
        </w:rPr>
        <w:t xml:space="preserve"> iestādēs, Finanšu ministrija uzskata, ka primāri  - tuvākajā laika periodā ir jārisina jautājums par darba samaksas izlīdzināšanu</w:t>
      </w:r>
      <w:r w:rsidR="004132B6" w:rsidRPr="00862C8F">
        <w:rPr>
          <w:rFonts w:ascii="Times New Roman" w:hAnsi="Times New Roman"/>
          <w:b/>
          <w:sz w:val="28"/>
          <w:szCs w:val="28"/>
        </w:rPr>
        <w:t>, l</w:t>
      </w:r>
      <w:r w:rsidRPr="00862C8F">
        <w:rPr>
          <w:rFonts w:ascii="Times New Roman" w:hAnsi="Times New Roman"/>
          <w:b/>
          <w:sz w:val="28"/>
          <w:szCs w:val="28"/>
        </w:rPr>
        <w:t xml:space="preserve">īdz ar to piedāvā </w:t>
      </w:r>
      <w:r w:rsidR="00EF3B59">
        <w:rPr>
          <w:rFonts w:ascii="Times New Roman" w:hAnsi="Times New Roman"/>
          <w:b/>
          <w:sz w:val="28"/>
          <w:szCs w:val="28"/>
        </w:rPr>
        <w:t xml:space="preserve">pie </w:t>
      </w:r>
      <w:r w:rsidRPr="00862C8F">
        <w:rPr>
          <w:rFonts w:ascii="Times New Roman" w:hAnsi="Times New Roman"/>
          <w:b/>
          <w:sz w:val="28"/>
          <w:szCs w:val="28"/>
        </w:rPr>
        <w:t>jautājum</w:t>
      </w:r>
      <w:r w:rsidR="00EF3B59">
        <w:rPr>
          <w:rFonts w:ascii="Times New Roman" w:hAnsi="Times New Roman"/>
          <w:b/>
          <w:sz w:val="28"/>
          <w:szCs w:val="28"/>
        </w:rPr>
        <w:t>a</w:t>
      </w:r>
      <w:r w:rsidRPr="00862C8F">
        <w:rPr>
          <w:rFonts w:ascii="Times New Roman" w:hAnsi="Times New Roman"/>
          <w:b/>
          <w:sz w:val="28"/>
          <w:szCs w:val="28"/>
        </w:rPr>
        <w:t xml:space="preserve"> par sociālo garantiju izlīdzināšanu </w:t>
      </w:r>
      <w:r w:rsidR="00EF3B59">
        <w:rPr>
          <w:rFonts w:ascii="Times New Roman" w:hAnsi="Times New Roman"/>
          <w:b/>
          <w:sz w:val="28"/>
          <w:szCs w:val="28"/>
        </w:rPr>
        <w:t>atgriezties</w:t>
      </w:r>
      <w:r w:rsidRPr="00862C8F">
        <w:rPr>
          <w:rFonts w:ascii="Times New Roman" w:hAnsi="Times New Roman"/>
          <w:b/>
          <w:sz w:val="28"/>
          <w:szCs w:val="28"/>
        </w:rPr>
        <w:t xml:space="preserve"> 2015.gad</w:t>
      </w:r>
      <w:r w:rsidR="00EF3B59">
        <w:rPr>
          <w:rFonts w:ascii="Times New Roman" w:hAnsi="Times New Roman"/>
          <w:b/>
          <w:sz w:val="28"/>
          <w:szCs w:val="28"/>
        </w:rPr>
        <w:t>ā</w:t>
      </w:r>
      <w:r w:rsidRPr="00862C8F">
        <w:rPr>
          <w:rFonts w:ascii="Times New Roman" w:hAnsi="Times New Roman"/>
          <w:b/>
          <w:sz w:val="28"/>
          <w:szCs w:val="28"/>
        </w:rPr>
        <w:t xml:space="preserve">. </w:t>
      </w:r>
    </w:p>
    <w:p w:rsidR="00C00B9A" w:rsidRDefault="00C00B9A" w:rsidP="00D27FDE">
      <w:pPr>
        <w:pStyle w:val="ListParagraph"/>
        <w:spacing w:after="0" w:line="240" w:lineRule="auto"/>
        <w:ind w:left="1080"/>
        <w:rPr>
          <w:rFonts w:ascii="Times New Roman" w:hAnsi="Times New Roman"/>
          <w:sz w:val="28"/>
          <w:szCs w:val="28"/>
        </w:rPr>
      </w:pPr>
    </w:p>
    <w:p w:rsidR="00660D6F" w:rsidRDefault="00660D6F" w:rsidP="00D27FDE">
      <w:pPr>
        <w:pStyle w:val="ListParagraph"/>
        <w:spacing w:after="0" w:line="240" w:lineRule="auto"/>
        <w:ind w:left="1080"/>
        <w:rPr>
          <w:rFonts w:ascii="Times New Roman" w:hAnsi="Times New Roman"/>
          <w:sz w:val="28"/>
          <w:szCs w:val="28"/>
        </w:rPr>
      </w:pPr>
    </w:p>
    <w:p w:rsidR="007275CE" w:rsidRPr="00EB79DB" w:rsidRDefault="00EB79DB" w:rsidP="00EB79DB">
      <w:pPr>
        <w:pStyle w:val="ListParagraph"/>
        <w:numPr>
          <w:ilvl w:val="0"/>
          <w:numId w:val="24"/>
        </w:numPr>
        <w:spacing w:after="0" w:line="240" w:lineRule="auto"/>
        <w:rPr>
          <w:rFonts w:ascii="Times New Roman" w:hAnsi="Times New Roman"/>
          <w:sz w:val="28"/>
          <w:szCs w:val="28"/>
        </w:rPr>
      </w:pPr>
      <w:r w:rsidRPr="00EB79DB">
        <w:rPr>
          <w:rFonts w:ascii="Times New Roman" w:hAnsi="Times New Roman"/>
          <w:b/>
          <w:bCs/>
          <w:sz w:val="28"/>
          <w:szCs w:val="28"/>
        </w:rPr>
        <w:t>Ko</w:t>
      </w:r>
      <w:r w:rsidR="007278EE" w:rsidRPr="00EB79DB">
        <w:rPr>
          <w:rFonts w:ascii="Times New Roman" w:hAnsi="Times New Roman"/>
          <w:b/>
          <w:bCs/>
          <w:sz w:val="28"/>
          <w:szCs w:val="28"/>
        </w:rPr>
        <w:t>psavilkums -</w:t>
      </w:r>
      <w:r w:rsidR="00270F1C" w:rsidRPr="00EB79DB">
        <w:rPr>
          <w:rFonts w:ascii="Times New Roman" w:hAnsi="Times New Roman"/>
          <w:b/>
          <w:bCs/>
          <w:sz w:val="28"/>
          <w:szCs w:val="28"/>
        </w:rPr>
        <w:t xml:space="preserve"> </w:t>
      </w:r>
      <w:r w:rsidR="007278EE" w:rsidRPr="00EB79DB">
        <w:rPr>
          <w:rFonts w:ascii="Times New Roman" w:hAnsi="Times New Roman"/>
          <w:b/>
          <w:bCs/>
          <w:sz w:val="28"/>
          <w:szCs w:val="28"/>
        </w:rPr>
        <w:t>piedāvājums 2014. līdz 2016.gadam</w:t>
      </w:r>
    </w:p>
    <w:p w:rsidR="00352CC8" w:rsidRDefault="00352CC8" w:rsidP="00BD2748">
      <w:pPr>
        <w:autoSpaceDE w:val="0"/>
        <w:autoSpaceDN w:val="0"/>
        <w:adjustRightInd w:val="0"/>
        <w:spacing w:after="0" w:line="240" w:lineRule="auto"/>
        <w:rPr>
          <w:rFonts w:ascii="Times New Roman" w:hAnsi="Times New Roman"/>
          <w:sz w:val="28"/>
          <w:szCs w:val="28"/>
        </w:rPr>
      </w:pPr>
    </w:p>
    <w:p w:rsidR="00BD2748" w:rsidRDefault="00352CC8" w:rsidP="00F8452D">
      <w:pPr>
        <w:pStyle w:val="ListParagraph"/>
        <w:numPr>
          <w:ilvl w:val="0"/>
          <w:numId w:val="26"/>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P</w:t>
      </w:r>
      <w:r w:rsidR="00BD2748" w:rsidRPr="00B34358">
        <w:rPr>
          <w:rFonts w:ascii="Times New Roman" w:hAnsi="Times New Roman"/>
          <w:sz w:val="28"/>
          <w:szCs w:val="28"/>
        </w:rPr>
        <w:t xml:space="preserve">rioritāri virzīties uz konkurētspējīgu mēnešalgu </w:t>
      </w:r>
      <w:r w:rsidR="00BD2748">
        <w:rPr>
          <w:rFonts w:ascii="Times New Roman" w:hAnsi="Times New Roman"/>
          <w:sz w:val="28"/>
          <w:szCs w:val="28"/>
        </w:rPr>
        <w:t>speciālistiem</w:t>
      </w:r>
      <w:r>
        <w:rPr>
          <w:rFonts w:ascii="Times New Roman" w:hAnsi="Times New Roman"/>
          <w:sz w:val="28"/>
          <w:szCs w:val="28"/>
        </w:rPr>
        <w:t>,</w:t>
      </w:r>
      <w:r w:rsidR="00BD2748">
        <w:rPr>
          <w:rFonts w:ascii="Times New Roman" w:hAnsi="Times New Roman"/>
          <w:sz w:val="28"/>
          <w:szCs w:val="28"/>
        </w:rPr>
        <w:t xml:space="preserve"> </w:t>
      </w:r>
      <w:r w:rsidRPr="00D27FDE">
        <w:rPr>
          <w:rFonts w:ascii="Times New Roman" w:hAnsi="Times New Roman"/>
          <w:sz w:val="28"/>
          <w:szCs w:val="28"/>
        </w:rPr>
        <w:t>sasaistot to ar privātā sektora algām</w:t>
      </w:r>
      <w:r w:rsidR="009042FE">
        <w:rPr>
          <w:rFonts w:ascii="Times New Roman" w:hAnsi="Times New Roman"/>
          <w:sz w:val="28"/>
          <w:szCs w:val="28"/>
        </w:rPr>
        <w:t xml:space="preserve"> (80% apmērā)</w:t>
      </w:r>
      <w:r w:rsidR="00F8452D">
        <w:rPr>
          <w:rFonts w:ascii="Times New Roman" w:hAnsi="Times New Roman"/>
          <w:sz w:val="28"/>
          <w:szCs w:val="28"/>
        </w:rPr>
        <w:t xml:space="preserve"> un</w:t>
      </w:r>
      <w:r w:rsidR="00F8452D" w:rsidRPr="00F8452D">
        <w:rPr>
          <w:rFonts w:ascii="Times New Roman" w:hAnsi="Times New Roman"/>
          <w:sz w:val="28"/>
          <w:szCs w:val="28"/>
        </w:rPr>
        <w:t xml:space="preserve"> turpmāk ik gadu pārskatot valsts tiešās pārvaldes mēnešalgu skalu, pamatojoties uz darba tirgus atalgojuma pētījuma datiem. </w:t>
      </w:r>
      <w:r w:rsidR="00CF1F51">
        <w:rPr>
          <w:rFonts w:ascii="Times New Roman" w:hAnsi="Times New Roman"/>
          <w:sz w:val="28"/>
          <w:szCs w:val="28"/>
        </w:rPr>
        <w:t>Nodrošināms</w:t>
      </w:r>
      <w:r w:rsidRPr="00D27FDE">
        <w:rPr>
          <w:rFonts w:ascii="Times New Roman" w:hAnsi="Times New Roman"/>
          <w:sz w:val="28"/>
          <w:szCs w:val="28"/>
        </w:rPr>
        <w:t xml:space="preserve"> esošā atlīdzības fonda ietvaros, veicot optimizācijas pasākumus un virzoties uz efektīvāku procesu veikšanu valsts pārvaldē</w:t>
      </w:r>
      <w:r w:rsidR="00BD2748" w:rsidRPr="00B34358">
        <w:rPr>
          <w:rFonts w:ascii="Times New Roman" w:hAnsi="Times New Roman"/>
          <w:sz w:val="28"/>
          <w:szCs w:val="28"/>
        </w:rPr>
        <w:t>.</w:t>
      </w:r>
    </w:p>
    <w:p w:rsidR="00870B46" w:rsidRDefault="00870B46" w:rsidP="00870B46">
      <w:pPr>
        <w:pStyle w:val="ListParagraph"/>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Nepieciešamie pasākumi:</w:t>
      </w:r>
    </w:p>
    <w:p w:rsidR="00624159" w:rsidRPr="00F27F32" w:rsidRDefault="00624159" w:rsidP="00F27F32">
      <w:pPr>
        <w:pStyle w:val="ListParagraph"/>
        <w:numPr>
          <w:ilvl w:val="1"/>
          <w:numId w:val="29"/>
        </w:numPr>
        <w:autoSpaceDE w:val="0"/>
        <w:autoSpaceDN w:val="0"/>
        <w:adjustRightInd w:val="0"/>
        <w:spacing w:after="0" w:line="240" w:lineRule="auto"/>
        <w:ind w:left="1276"/>
        <w:jc w:val="both"/>
        <w:rPr>
          <w:rFonts w:ascii="Times New Roman" w:hAnsi="Times New Roman"/>
          <w:iCs/>
          <w:sz w:val="28"/>
          <w:szCs w:val="28"/>
        </w:rPr>
      </w:pPr>
      <w:r w:rsidRPr="00F27F32">
        <w:rPr>
          <w:rFonts w:ascii="Times New Roman" w:hAnsi="Times New Roman"/>
          <w:sz w:val="28"/>
          <w:szCs w:val="28"/>
        </w:rPr>
        <w:t>mēnešalgu skalas maksimumus turpmāk noteikt tikai Ministru kabineta noteikumos;</w:t>
      </w:r>
    </w:p>
    <w:p w:rsidR="00184B48" w:rsidRPr="00F27F32" w:rsidRDefault="00F27F32" w:rsidP="00F27F32">
      <w:pPr>
        <w:pStyle w:val="ListParagraph"/>
        <w:numPr>
          <w:ilvl w:val="1"/>
          <w:numId w:val="29"/>
        </w:numPr>
        <w:autoSpaceDE w:val="0"/>
        <w:autoSpaceDN w:val="0"/>
        <w:adjustRightInd w:val="0"/>
        <w:spacing w:after="0" w:line="240" w:lineRule="auto"/>
        <w:ind w:left="1276"/>
        <w:jc w:val="both"/>
        <w:rPr>
          <w:rFonts w:ascii="Times New Roman" w:hAnsi="Times New Roman"/>
          <w:iCs/>
          <w:sz w:val="28"/>
          <w:szCs w:val="28"/>
        </w:rPr>
      </w:pPr>
      <w:r>
        <w:rPr>
          <w:rFonts w:ascii="Times New Roman" w:hAnsi="Times New Roman"/>
          <w:iCs/>
          <w:sz w:val="28"/>
          <w:szCs w:val="28"/>
        </w:rPr>
        <w:t>lai nodrošinātu iespēju noteikt konkurētspējīgu mēnešalgu:</w:t>
      </w:r>
    </w:p>
    <w:p w:rsidR="00184B48" w:rsidRPr="00B741F2" w:rsidRDefault="00B741F2" w:rsidP="00B741F2">
      <w:pPr>
        <w:autoSpaceDE w:val="0"/>
        <w:autoSpaceDN w:val="0"/>
        <w:adjustRightInd w:val="0"/>
        <w:spacing w:after="0" w:line="240" w:lineRule="auto"/>
        <w:ind w:firstLine="720"/>
        <w:jc w:val="both"/>
        <w:rPr>
          <w:rFonts w:ascii="Times New Roman" w:hAnsi="Times New Roman"/>
          <w:iCs/>
          <w:sz w:val="28"/>
          <w:szCs w:val="28"/>
        </w:rPr>
      </w:pPr>
      <w:r w:rsidRPr="000F2015">
        <w:rPr>
          <w:rFonts w:ascii="Times New Roman" w:hAnsi="Times New Roman"/>
          <w:sz w:val="28"/>
          <w:szCs w:val="28"/>
        </w:rPr>
        <w:t>1.variants</w:t>
      </w:r>
      <w:r w:rsidRPr="00B741F2">
        <w:rPr>
          <w:rFonts w:ascii="Times New Roman" w:hAnsi="Times New Roman"/>
          <w:sz w:val="28"/>
          <w:szCs w:val="28"/>
        </w:rPr>
        <w:t xml:space="preserve"> </w:t>
      </w:r>
      <w:r w:rsidR="00F4569C">
        <w:rPr>
          <w:rFonts w:ascii="Times New Roman" w:hAnsi="Times New Roman"/>
          <w:sz w:val="28"/>
          <w:szCs w:val="28"/>
        </w:rPr>
        <w:t>–</w:t>
      </w:r>
      <w:r w:rsidRPr="00B741F2">
        <w:rPr>
          <w:rFonts w:ascii="Times New Roman" w:hAnsi="Times New Roman"/>
          <w:sz w:val="28"/>
          <w:szCs w:val="28"/>
        </w:rPr>
        <w:t xml:space="preserve"> </w:t>
      </w:r>
      <w:r w:rsidR="00184B48" w:rsidRPr="00B741F2">
        <w:rPr>
          <w:rFonts w:ascii="Times New Roman" w:hAnsi="Times New Roman"/>
          <w:sz w:val="28"/>
          <w:szCs w:val="28"/>
        </w:rPr>
        <w:t>mainīt nosacījumu par valsts iestāžu darbinieku mēnešalgu sasaisti  ar Ministru prezidenta mēnešalgu</w:t>
      </w:r>
      <w:r w:rsidR="00184B48" w:rsidRPr="00B741F2">
        <w:rPr>
          <w:rFonts w:ascii="Times New Roman" w:hAnsi="Times New Roman"/>
          <w:iCs/>
          <w:sz w:val="28"/>
          <w:szCs w:val="28"/>
        </w:rPr>
        <w:t>;</w:t>
      </w:r>
    </w:p>
    <w:p w:rsidR="00EF6356" w:rsidRPr="00D9218D" w:rsidRDefault="00B741F2" w:rsidP="00D9218D">
      <w:pPr>
        <w:autoSpaceDE w:val="0"/>
        <w:autoSpaceDN w:val="0"/>
        <w:adjustRightInd w:val="0"/>
        <w:spacing w:after="0" w:line="240" w:lineRule="auto"/>
        <w:ind w:firstLine="720"/>
        <w:jc w:val="both"/>
        <w:rPr>
          <w:rFonts w:ascii="Times New Roman" w:hAnsi="Times New Roman"/>
          <w:iCs/>
          <w:sz w:val="28"/>
          <w:szCs w:val="28"/>
        </w:rPr>
      </w:pPr>
      <w:r w:rsidRPr="000F2015">
        <w:rPr>
          <w:rFonts w:ascii="Times New Roman" w:hAnsi="Times New Roman"/>
          <w:sz w:val="28"/>
          <w:szCs w:val="28"/>
        </w:rPr>
        <w:t>2.variants</w:t>
      </w:r>
      <w:r w:rsidRPr="00D9218D">
        <w:rPr>
          <w:rFonts w:ascii="Times New Roman" w:hAnsi="Times New Roman"/>
          <w:sz w:val="28"/>
          <w:szCs w:val="28"/>
        </w:rPr>
        <w:t xml:space="preserve"> </w:t>
      </w:r>
      <w:r w:rsidR="00F4569C">
        <w:rPr>
          <w:rFonts w:ascii="Times New Roman" w:hAnsi="Times New Roman"/>
          <w:sz w:val="28"/>
          <w:szCs w:val="28"/>
        </w:rPr>
        <w:t>–</w:t>
      </w:r>
      <w:r w:rsidRPr="00D9218D">
        <w:rPr>
          <w:rFonts w:ascii="Times New Roman" w:hAnsi="Times New Roman"/>
          <w:sz w:val="28"/>
          <w:szCs w:val="28"/>
        </w:rPr>
        <w:t xml:space="preserve"> </w:t>
      </w:r>
      <w:r w:rsidR="00184B48" w:rsidRPr="00D9218D">
        <w:rPr>
          <w:rFonts w:ascii="Times New Roman" w:hAnsi="Times New Roman"/>
          <w:sz w:val="28"/>
          <w:szCs w:val="28"/>
        </w:rPr>
        <w:t>pārskatīt</w:t>
      </w:r>
      <w:r w:rsidR="00184B48" w:rsidRPr="00D9218D">
        <w:rPr>
          <w:rFonts w:ascii="Times New Roman" w:hAnsi="Times New Roman"/>
          <w:iCs/>
          <w:sz w:val="28"/>
          <w:szCs w:val="28"/>
        </w:rPr>
        <w:t xml:space="preserve"> Ministru kabineta locekļu un citu vēlēto amatpersonu mēnešalgu aprēķināšanai piemērojamos koeficientus.</w:t>
      </w:r>
    </w:p>
    <w:p w:rsidR="00EB17ED" w:rsidRDefault="00EB17ED" w:rsidP="00EB17ED">
      <w:pPr>
        <w:pStyle w:val="ListParagraph"/>
        <w:autoSpaceDE w:val="0"/>
        <w:autoSpaceDN w:val="0"/>
        <w:adjustRightInd w:val="0"/>
        <w:spacing w:after="0" w:line="240" w:lineRule="auto"/>
        <w:jc w:val="both"/>
        <w:rPr>
          <w:rFonts w:ascii="Times New Roman" w:hAnsi="Times New Roman"/>
          <w:sz w:val="28"/>
          <w:szCs w:val="28"/>
        </w:rPr>
      </w:pPr>
    </w:p>
    <w:p w:rsidR="00870B46" w:rsidRDefault="00352CC8" w:rsidP="00870B46">
      <w:pPr>
        <w:pStyle w:val="ListParagraph"/>
        <w:numPr>
          <w:ilvl w:val="0"/>
          <w:numId w:val="26"/>
        </w:numPr>
        <w:autoSpaceDE w:val="0"/>
        <w:autoSpaceDN w:val="0"/>
        <w:adjustRightInd w:val="0"/>
        <w:spacing w:after="0" w:line="240" w:lineRule="auto"/>
        <w:jc w:val="both"/>
        <w:rPr>
          <w:rFonts w:ascii="Times New Roman" w:hAnsi="Times New Roman"/>
          <w:sz w:val="28"/>
          <w:szCs w:val="28"/>
        </w:rPr>
      </w:pPr>
      <w:r w:rsidRPr="00B34358">
        <w:rPr>
          <w:rFonts w:ascii="Times New Roman" w:hAnsi="Times New Roman"/>
          <w:sz w:val="28"/>
          <w:szCs w:val="28"/>
        </w:rPr>
        <w:t xml:space="preserve">Pakāpeniski izlīdzināt mēnešalgas līdzīgu darbu veicējiem, </w:t>
      </w:r>
      <w:r w:rsidRPr="00D27FDE">
        <w:rPr>
          <w:rFonts w:ascii="Times New Roman" w:hAnsi="Times New Roman"/>
          <w:sz w:val="28"/>
          <w:szCs w:val="28"/>
        </w:rPr>
        <w:t>sasaistot to ar minimālas algas paaugstināšanu un mēnešalgu skalas diapazonu</w:t>
      </w:r>
      <w:r w:rsidRPr="00352CC8">
        <w:rPr>
          <w:rFonts w:ascii="Times New Roman" w:hAnsi="Times New Roman"/>
          <w:sz w:val="28"/>
          <w:szCs w:val="28"/>
        </w:rPr>
        <w:t xml:space="preserve"> </w:t>
      </w:r>
      <w:r w:rsidRPr="00D27FDE">
        <w:rPr>
          <w:rFonts w:ascii="Times New Roman" w:hAnsi="Times New Roman"/>
          <w:sz w:val="28"/>
          <w:szCs w:val="28"/>
        </w:rPr>
        <w:t>sašaurināšanu</w:t>
      </w:r>
      <w:r>
        <w:rPr>
          <w:rFonts w:ascii="Times New Roman" w:hAnsi="Times New Roman"/>
          <w:sz w:val="28"/>
          <w:szCs w:val="28"/>
        </w:rPr>
        <w:t xml:space="preserve">, </w:t>
      </w:r>
      <w:r w:rsidR="00624159">
        <w:rPr>
          <w:rFonts w:ascii="Times New Roman" w:hAnsi="Times New Roman"/>
          <w:sz w:val="28"/>
          <w:szCs w:val="28"/>
        </w:rPr>
        <w:t xml:space="preserve">un </w:t>
      </w:r>
      <w:r>
        <w:rPr>
          <w:rFonts w:ascii="Times New Roman" w:hAnsi="Times New Roman"/>
          <w:sz w:val="28"/>
          <w:szCs w:val="28"/>
        </w:rPr>
        <w:t>paredzot attiecīgu</w:t>
      </w:r>
      <w:r w:rsidR="00CF1F51">
        <w:rPr>
          <w:rFonts w:ascii="Times New Roman" w:hAnsi="Times New Roman"/>
          <w:sz w:val="28"/>
          <w:szCs w:val="28"/>
        </w:rPr>
        <w:t xml:space="preserve"> papildu</w:t>
      </w:r>
      <w:r>
        <w:rPr>
          <w:rFonts w:ascii="Times New Roman" w:hAnsi="Times New Roman"/>
          <w:sz w:val="28"/>
          <w:szCs w:val="28"/>
        </w:rPr>
        <w:t xml:space="preserve"> finansējumu</w:t>
      </w:r>
      <w:r w:rsidR="00CF1F51">
        <w:rPr>
          <w:rFonts w:ascii="Times New Roman" w:hAnsi="Times New Roman"/>
          <w:sz w:val="28"/>
          <w:szCs w:val="28"/>
        </w:rPr>
        <w:t>.</w:t>
      </w:r>
    </w:p>
    <w:p w:rsidR="00624159" w:rsidRDefault="00624159" w:rsidP="00870B46">
      <w:pPr>
        <w:pStyle w:val="ListParagraph"/>
        <w:autoSpaceDE w:val="0"/>
        <w:autoSpaceDN w:val="0"/>
        <w:adjustRightInd w:val="0"/>
        <w:spacing w:after="0" w:line="240" w:lineRule="auto"/>
        <w:jc w:val="both"/>
        <w:rPr>
          <w:rFonts w:ascii="Times New Roman" w:hAnsi="Times New Roman"/>
          <w:sz w:val="28"/>
          <w:szCs w:val="28"/>
        </w:rPr>
      </w:pPr>
    </w:p>
    <w:p w:rsidR="00EF6356" w:rsidRDefault="00EF6356" w:rsidP="00870B46">
      <w:pPr>
        <w:pStyle w:val="ListParagraph"/>
        <w:autoSpaceDE w:val="0"/>
        <w:autoSpaceDN w:val="0"/>
        <w:adjustRightInd w:val="0"/>
        <w:spacing w:after="0" w:line="240" w:lineRule="auto"/>
        <w:jc w:val="both"/>
        <w:rPr>
          <w:rFonts w:ascii="Times New Roman" w:hAnsi="Times New Roman"/>
          <w:sz w:val="28"/>
          <w:szCs w:val="28"/>
        </w:rPr>
      </w:pPr>
      <w:r w:rsidRPr="00870B46">
        <w:rPr>
          <w:rFonts w:ascii="Times New Roman" w:hAnsi="Times New Roman"/>
          <w:sz w:val="28"/>
          <w:szCs w:val="28"/>
        </w:rPr>
        <w:t>Atbalstīt papildu finansējuma piešķiršanu</w:t>
      </w:r>
      <w:r w:rsidR="00624159">
        <w:rPr>
          <w:rFonts w:ascii="Times New Roman" w:hAnsi="Times New Roman"/>
          <w:sz w:val="28"/>
          <w:szCs w:val="28"/>
        </w:rPr>
        <w:t xml:space="preserve"> mēnešalgu izlīdzināšanai</w:t>
      </w:r>
      <w:r w:rsidRPr="00870B46">
        <w:rPr>
          <w:rFonts w:ascii="Times New Roman" w:hAnsi="Times New Roman"/>
          <w:sz w:val="28"/>
          <w:szCs w:val="28"/>
        </w:rPr>
        <w:t xml:space="preserve">:  </w:t>
      </w:r>
    </w:p>
    <w:p w:rsidR="00EF6356" w:rsidRDefault="00EF6356" w:rsidP="00870B46">
      <w:pPr>
        <w:pStyle w:val="ListParagraph"/>
        <w:autoSpaceDE w:val="0"/>
        <w:autoSpaceDN w:val="0"/>
        <w:adjustRightInd w:val="0"/>
        <w:spacing w:after="0" w:line="240" w:lineRule="auto"/>
        <w:jc w:val="both"/>
        <w:rPr>
          <w:rFonts w:ascii="Times New Roman" w:hAnsi="Times New Roman"/>
          <w:sz w:val="28"/>
          <w:szCs w:val="28"/>
        </w:rPr>
      </w:pPr>
    </w:p>
    <w:tbl>
      <w:tblPr>
        <w:tblW w:w="8238" w:type="dxa"/>
        <w:tblInd w:w="92" w:type="dxa"/>
        <w:tblLayout w:type="fixed"/>
        <w:tblLook w:val="04A0" w:firstRow="1" w:lastRow="0" w:firstColumn="1" w:lastColumn="0" w:noHBand="0" w:noVBand="1"/>
      </w:tblPr>
      <w:tblGrid>
        <w:gridCol w:w="1292"/>
        <w:gridCol w:w="1134"/>
        <w:gridCol w:w="1134"/>
        <w:gridCol w:w="1134"/>
        <w:gridCol w:w="1134"/>
        <w:gridCol w:w="1134"/>
        <w:gridCol w:w="1276"/>
      </w:tblGrid>
      <w:tr w:rsidR="00EF6356" w:rsidRPr="00EF6356" w:rsidTr="00EF6356">
        <w:trPr>
          <w:trHeight w:val="315"/>
        </w:trPr>
        <w:tc>
          <w:tcPr>
            <w:tcW w:w="1292" w:type="dxa"/>
            <w:tcBorders>
              <w:top w:val="single" w:sz="4" w:space="0" w:color="auto"/>
              <w:left w:val="single" w:sz="4" w:space="0" w:color="auto"/>
              <w:bottom w:val="single" w:sz="4" w:space="0" w:color="auto"/>
              <w:right w:val="single" w:sz="4" w:space="0" w:color="auto"/>
            </w:tcBorders>
            <w:shd w:val="clear" w:color="000000" w:fill="FFFFFF"/>
            <w:hideMark/>
          </w:tcPr>
          <w:p w:rsidR="00EF6356" w:rsidRPr="00EF6356" w:rsidRDefault="00EF6356" w:rsidP="00EF6356">
            <w:pPr>
              <w:spacing w:after="0" w:line="240" w:lineRule="auto"/>
              <w:rPr>
                <w:rFonts w:ascii="Times New Roman" w:hAnsi="Times New Roman"/>
                <w:b/>
                <w:bCs/>
                <w:color w:val="000000"/>
                <w:sz w:val="24"/>
                <w:szCs w:val="24"/>
              </w:rPr>
            </w:pPr>
            <w:r w:rsidRPr="00EF6356">
              <w:rPr>
                <w:rFonts w:ascii="Times New Roman" w:hAnsi="Times New Roman"/>
                <w:b/>
                <w:bCs/>
                <w:color w:val="000000"/>
                <w:sz w:val="24"/>
                <w:szCs w:val="24"/>
              </w:rPr>
              <w:t> </w:t>
            </w:r>
          </w:p>
        </w:tc>
        <w:tc>
          <w:tcPr>
            <w:tcW w:w="2268" w:type="dxa"/>
            <w:gridSpan w:val="2"/>
            <w:tcBorders>
              <w:top w:val="single" w:sz="4" w:space="0" w:color="auto"/>
              <w:left w:val="nil"/>
              <w:bottom w:val="single" w:sz="4" w:space="0" w:color="auto"/>
              <w:right w:val="single" w:sz="4" w:space="0" w:color="auto"/>
            </w:tcBorders>
            <w:shd w:val="clear" w:color="000000" w:fill="FFFFFF"/>
            <w:hideMark/>
          </w:tcPr>
          <w:p w:rsidR="00EF6356" w:rsidRPr="00EF6356" w:rsidRDefault="00EF6356" w:rsidP="00EF6356">
            <w:pPr>
              <w:spacing w:after="0" w:line="240" w:lineRule="auto"/>
              <w:rPr>
                <w:rFonts w:ascii="Times New Roman" w:hAnsi="Times New Roman"/>
                <w:b/>
                <w:bCs/>
                <w:color w:val="000000"/>
                <w:sz w:val="24"/>
                <w:szCs w:val="24"/>
              </w:rPr>
            </w:pPr>
            <w:r w:rsidRPr="00EF6356">
              <w:rPr>
                <w:rFonts w:ascii="Times New Roman" w:hAnsi="Times New Roman"/>
                <w:b/>
                <w:bCs/>
                <w:color w:val="000000"/>
                <w:sz w:val="24"/>
                <w:szCs w:val="24"/>
              </w:rPr>
              <w:t xml:space="preserve">2014.gads / 2013. </w:t>
            </w:r>
          </w:p>
        </w:tc>
        <w:tc>
          <w:tcPr>
            <w:tcW w:w="2268" w:type="dxa"/>
            <w:gridSpan w:val="2"/>
            <w:tcBorders>
              <w:top w:val="single" w:sz="4" w:space="0" w:color="auto"/>
              <w:left w:val="nil"/>
              <w:bottom w:val="single" w:sz="4" w:space="0" w:color="auto"/>
              <w:right w:val="single" w:sz="4" w:space="0" w:color="auto"/>
            </w:tcBorders>
            <w:shd w:val="clear" w:color="000000" w:fill="FFFFFF"/>
            <w:hideMark/>
          </w:tcPr>
          <w:p w:rsidR="00EF6356" w:rsidRPr="00EF6356" w:rsidRDefault="00EF6356" w:rsidP="00EF6356">
            <w:pPr>
              <w:spacing w:after="0" w:line="240" w:lineRule="auto"/>
              <w:rPr>
                <w:rFonts w:ascii="Times New Roman" w:hAnsi="Times New Roman"/>
                <w:b/>
                <w:bCs/>
                <w:color w:val="000000"/>
                <w:sz w:val="24"/>
                <w:szCs w:val="24"/>
              </w:rPr>
            </w:pPr>
            <w:r w:rsidRPr="00EF6356">
              <w:rPr>
                <w:rFonts w:ascii="Times New Roman" w:hAnsi="Times New Roman"/>
                <w:b/>
                <w:bCs/>
                <w:color w:val="000000"/>
                <w:sz w:val="24"/>
                <w:szCs w:val="24"/>
              </w:rPr>
              <w:t xml:space="preserve">2015.gads / 2014. </w:t>
            </w:r>
          </w:p>
        </w:tc>
        <w:tc>
          <w:tcPr>
            <w:tcW w:w="2410" w:type="dxa"/>
            <w:gridSpan w:val="2"/>
            <w:tcBorders>
              <w:top w:val="single" w:sz="4" w:space="0" w:color="auto"/>
              <w:left w:val="nil"/>
              <w:bottom w:val="single" w:sz="4" w:space="0" w:color="auto"/>
              <w:right w:val="single" w:sz="4" w:space="0" w:color="auto"/>
            </w:tcBorders>
            <w:shd w:val="clear" w:color="000000" w:fill="FFFFFF"/>
            <w:hideMark/>
          </w:tcPr>
          <w:p w:rsidR="00EF6356" w:rsidRPr="00EF6356" w:rsidRDefault="00EF6356" w:rsidP="00EF6356">
            <w:pPr>
              <w:spacing w:after="0" w:line="240" w:lineRule="auto"/>
              <w:rPr>
                <w:rFonts w:ascii="Times New Roman" w:hAnsi="Times New Roman"/>
                <w:b/>
                <w:bCs/>
                <w:color w:val="000000"/>
                <w:sz w:val="24"/>
                <w:szCs w:val="24"/>
              </w:rPr>
            </w:pPr>
            <w:r w:rsidRPr="00EF6356">
              <w:rPr>
                <w:rFonts w:ascii="Times New Roman" w:hAnsi="Times New Roman"/>
                <w:b/>
                <w:bCs/>
                <w:color w:val="000000"/>
                <w:sz w:val="24"/>
                <w:szCs w:val="24"/>
              </w:rPr>
              <w:t xml:space="preserve">2016.gads / 2015. </w:t>
            </w:r>
          </w:p>
        </w:tc>
      </w:tr>
      <w:tr w:rsidR="00EF6356" w:rsidRPr="00EF6356" w:rsidTr="00EF6356">
        <w:trPr>
          <w:trHeight w:val="630"/>
        </w:trPr>
        <w:tc>
          <w:tcPr>
            <w:tcW w:w="1292" w:type="dxa"/>
            <w:tcBorders>
              <w:top w:val="nil"/>
              <w:left w:val="single" w:sz="4" w:space="0" w:color="auto"/>
              <w:bottom w:val="single" w:sz="4" w:space="0" w:color="auto"/>
              <w:right w:val="single" w:sz="4" w:space="0" w:color="auto"/>
            </w:tcBorders>
            <w:shd w:val="clear" w:color="000000" w:fill="FFFFFF"/>
            <w:hideMark/>
          </w:tcPr>
          <w:p w:rsidR="00EF6356" w:rsidRPr="00EF6356" w:rsidRDefault="00EF6356" w:rsidP="00EF6356">
            <w:pPr>
              <w:spacing w:after="0" w:line="240" w:lineRule="auto"/>
              <w:rPr>
                <w:rFonts w:ascii="Times New Roman" w:hAnsi="Times New Roman"/>
                <w:color w:val="000000"/>
                <w:sz w:val="24"/>
                <w:szCs w:val="24"/>
              </w:rPr>
            </w:pPr>
            <w:r w:rsidRPr="00EF6356">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000000" w:fill="FFFFFF"/>
            <w:hideMark/>
          </w:tcPr>
          <w:p w:rsidR="00EF6356" w:rsidRPr="00EF6356" w:rsidRDefault="00EF6356" w:rsidP="00EF6356">
            <w:pPr>
              <w:spacing w:after="0" w:line="240" w:lineRule="auto"/>
              <w:rPr>
                <w:rFonts w:ascii="Times New Roman" w:hAnsi="Times New Roman"/>
                <w:color w:val="000000"/>
                <w:sz w:val="24"/>
                <w:szCs w:val="24"/>
              </w:rPr>
            </w:pPr>
            <w:r w:rsidRPr="00EF6356">
              <w:rPr>
                <w:rFonts w:ascii="Times New Roman" w:hAnsi="Times New Roman"/>
                <w:color w:val="000000"/>
                <w:sz w:val="24"/>
                <w:szCs w:val="24"/>
              </w:rPr>
              <w:t xml:space="preserve">Papildu atlīdzībai </w:t>
            </w:r>
          </w:p>
        </w:tc>
        <w:tc>
          <w:tcPr>
            <w:tcW w:w="1134" w:type="dxa"/>
            <w:tcBorders>
              <w:top w:val="nil"/>
              <w:left w:val="nil"/>
              <w:bottom w:val="single" w:sz="4" w:space="0" w:color="auto"/>
              <w:right w:val="single" w:sz="4" w:space="0" w:color="auto"/>
            </w:tcBorders>
            <w:shd w:val="clear" w:color="000000" w:fill="FFFFFF"/>
            <w:hideMark/>
          </w:tcPr>
          <w:p w:rsidR="00EF6356" w:rsidRPr="00EF6356" w:rsidRDefault="00EF6356" w:rsidP="00EF6356">
            <w:pPr>
              <w:spacing w:after="0" w:line="240" w:lineRule="auto"/>
              <w:rPr>
                <w:rFonts w:ascii="Times New Roman" w:hAnsi="Times New Roman"/>
                <w:color w:val="000000"/>
                <w:sz w:val="24"/>
                <w:szCs w:val="24"/>
              </w:rPr>
            </w:pPr>
            <w:r w:rsidRPr="00EF6356">
              <w:rPr>
                <w:rFonts w:ascii="Times New Roman" w:hAnsi="Times New Roman"/>
                <w:color w:val="000000"/>
                <w:sz w:val="24"/>
                <w:szCs w:val="24"/>
              </w:rPr>
              <w:t xml:space="preserve">neto ietekme </w:t>
            </w:r>
          </w:p>
        </w:tc>
        <w:tc>
          <w:tcPr>
            <w:tcW w:w="1134" w:type="dxa"/>
            <w:tcBorders>
              <w:top w:val="nil"/>
              <w:left w:val="nil"/>
              <w:bottom w:val="single" w:sz="4" w:space="0" w:color="auto"/>
              <w:right w:val="single" w:sz="4" w:space="0" w:color="auto"/>
            </w:tcBorders>
            <w:shd w:val="clear" w:color="000000" w:fill="FFFFFF"/>
            <w:hideMark/>
          </w:tcPr>
          <w:p w:rsidR="00EF6356" w:rsidRPr="00EF6356" w:rsidRDefault="00EF6356" w:rsidP="00EF6356">
            <w:pPr>
              <w:spacing w:after="0" w:line="240" w:lineRule="auto"/>
              <w:rPr>
                <w:rFonts w:ascii="Times New Roman" w:hAnsi="Times New Roman"/>
                <w:color w:val="000000"/>
                <w:sz w:val="24"/>
                <w:szCs w:val="24"/>
              </w:rPr>
            </w:pPr>
            <w:r w:rsidRPr="00EF6356">
              <w:rPr>
                <w:rFonts w:ascii="Times New Roman" w:hAnsi="Times New Roman"/>
                <w:color w:val="000000"/>
                <w:sz w:val="24"/>
                <w:szCs w:val="24"/>
              </w:rPr>
              <w:t xml:space="preserve">Papildu atlīdzībai </w:t>
            </w:r>
          </w:p>
        </w:tc>
        <w:tc>
          <w:tcPr>
            <w:tcW w:w="1134" w:type="dxa"/>
            <w:tcBorders>
              <w:top w:val="nil"/>
              <w:left w:val="nil"/>
              <w:bottom w:val="single" w:sz="4" w:space="0" w:color="auto"/>
              <w:right w:val="single" w:sz="4" w:space="0" w:color="auto"/>
            </w:tcBorders>
            <w:shd w:val="clear" w:color="000000" w:fill="FFFFFF"/>
            <w:hideMark/>
          </w:tcPr>
          <w:p w:rsidR="00EF6356" w:rsidRPr="00EF6356" w:rsidRDefault="00EF6356" w:rsidP="00EF6356">
            <w:pPr>
              <w:spacing w:after="0" w:line="240" w:lineRule="auto"/>
              <w:rPr>
                <w:rFonts w:ascii="Times New Roman" w:hAnsi="Times New Roman"/>
                <w:color w:val="000000"/>
                <w:sz w:val="24"/>
                <w:szCs w:val="24"/>
              </w:rPr>
            </w:pPr>
            <w:r w:rsidRPr="00EF6356">
              <w:rPr>
                <w:rFonts w:ascii="Times New Roman" w:hAnsi="Times New Roman"/>
                <w:color w:val="000000"/>
                <w:sz w:val="24"/>
                <w:szCs w:val="24"/>
              </w:rPr>
              <w:t xml:space="preserve">neto ietekme </w:t>
            </w:r>
          </w:p>
        </w:tc>
        <w:tc>
          <w:tcPr>
            <w:tcW w:w="1134" w:type="dxa"/>
            <w:tcBorders>
              <w:top w:val="nil"/>
              <w:left w:val="nil"/>
              <w:bottom w:val="single" w:sz="4" w:space="0" w:color="auto"/>
              <w:right w:val="single" w:sz="4" w:space="0" w:color="auto"/>
            </w:tcBorders>
            <w:shd w:val="clear" w:color="000000" w:fill="FFFFFF"/>
            <w:hideMark/>
          </w:tcPr>
          <w:p w:rsidR="00EF6356" w:rsidRPr="00EF6356" w:rsidRDefault="00EF6356" w:rsidP="00EF6356">
            <w:pPr>
              <w:spacing w:after="0" w:line="240" w:lineRule="auto"/>
              <w:rPr>
                <w:rFonts w:ascii="Times New Roman" w:hAnsi="Times New Roman"/>
                <w:color w:val="000000"/>
                <w:sz w:val="24"/>
                <w:szCs w:val="24"/>
              </w:rPr>
            </w:pPr>
            <w:r w:rsidRPr="00EF6356">
              <w:rPr>
                <w:rFonts w:ascii="Times New Roman" w:hAnsi="Times New Roman"/>
                <w:color w:val="000000"/>
                <w:sz w:val="24"/>
                <w:szCs w:val="24"/>
              </w:rPr>
              <w:t xml:space="preserve">Papildu atlīdzībai </w:t>
            </w:r>
          </w:p>
        </w:tc>
        <w:tc>
          <w:tcPr>
            <w:tcW w:w="1276" w:type="dxa"/>
            <w:tcBorders>
              <w:top w:val="nil"/>
              <w:left w:val="nil"/>
              <w:bottom w:val="single" w:sz="4" w:space="0" w:color="auto"/>
              <w:right w:val="single" w:sz="4" w:space="0" w:color="auto"/>
            </w:tcBorders>
            <w:shd w:val="clear" w:color="000000" w:fill="FFFFFF"/>
            <w:hideMark/>
          </w:tcPr>
          <w:p w:rsidR="00EF6356" w:rsidRPr="00EF6356" w:rsidRDefault="00EF6356" w:rsidP="00EF6356">
            <w:pPr>
              <w:spacing w:after="0" w:line="240" w:lineRule="auto"/>
              <w:rPr>
                <w:rFonts w:ascii="Times New Roman" w:hAnsi="Times New Roman"/>
                <w:color w:val="000000"/>
                <w:sz w:val="24"/>
                <w:szCs w:val="24"/>
              </w:rPr>
            </w:pPr>
            <w:r w:rsidRPr="00EF6356">
              <w:rPr>
                <w:rFonts w:ascii="Times New Roman" w:hAnsi="Times New Roman"/>
                <w:color w:val="000000"/>
                <w:sz w:val="24"/>
                <w:szCs w:val="24"/>
              </w:rPr>
              <w:t xml:space="preserve">neto ietekme </w:t>
            </w:r>
          </w:p>
        </w:tc>
      </w:tr>
      <w:tr w:rsidR="00EF6356" w:rsidRPr="00EF6356" w:rsidTr="00EF6356">
        <w:trPr>
          <w:trHeight w:val="315"/>
        </w:trPr>
        <w:tc>
          <w:tcPr>
            <w:tcW w:w="1292" w:type="dxa"/>
            <w:tcBorders>
              <w:top w:val="nil"/>
              <w:left w:val="single" w:sz="4" w:space="0" w:color="auto"/>
              <w:bottom w:val="single" w:sz="4" w:space="0" w:color="auto"/>
              <w:right w:val="single" w:sz="4" w:space="0" w:color="auto"/>
            </w:tcBorders>
            <w:shd w:val="clear" w:color="000000" w:fill="FFFFFF"/>
            <w:hideMark/>
          </w:tcPr>
          <w:p w:rsidR="00EF6356" w:rsidRPr="00EF6356" w:rsidRDefault="00EF6356" w:rsidP="00EF6356">
            <w:pPr>
              <w:spacing w:after="0" w:line="240" w:lineRule="auto"/>
              <w:rPr>
                <w:rFonts w:ascii="Times New Roman" w:hAnsi="Times New Roman"/>
                <w:color w:val="000000"/>
                <w:sz w:val="24"/>
                <w:szCs w:val="24"/>
              </w:rPr>
            </w:pPr>
            <w:r w:rsidRPr="00EF6356">
              <w:rPr>
                <w:rFonts w:ascii="Times New Roman" w:hAnsi="Times New Roman"/>
                <w:color w:val="000000"/>
                <w:sz w:val="24"/>
                <w:szCs w:val="24"/>
              </w:rPr>
              <w:t xml:space="preserve">1. variants  </w:t>
            </w:r>
          </w:p>
        </w:tc>
        <w:tc>
          <w:tcPr>
            <w:tcW w:w="1134" w:type="dxa"/>
            <w:tcBorders>
              <w:top w:val="nil"/>
              <w:left w:val="nil"/>
              <w:bottom w:val="single" w:sz="4" w:space="0" w:color="auto"/>
              <w:right w:val="single" w:sz="4" w:space="0" w:color="auto"/>
            </w:tcBorders>
            <w:shd w:val="clear" w:color="000000" w:fill="FFFFFF"/>
            <w:hideMark/>
          </w:tcPr>
          <w:p w:rsidR="00EF6356" w:rsidRPr="00EF6356" w:rsidRDefault="00EF6356" w:rsidP="00F4569C">
            <w:pPr>
              <w:spacing w:after="0" w:line="240" w:lineRule="auto"/>
              <w:rPr>
                <w:rFonts w:ascii="Times New Roman" w:hAnsi="Times New Roman"/>
                <w:color w:val="000000"/>
                <w:sz w:val="24"/>
                <w:szCs w:val="24"/>
              </w:rPr>
            </w:pPr>
            <w:r w:rsidRPr="00EF6356">
              <w:rPr>
                <w:rFonts w:ascii="Times New Roman" w:hAnsi="Times New Roman"/>
                <w:color w:val="000000"/>
                <w:sz w:val="24"/>
                <w:szCs w:val="24"/>
              </w:rPr>
              <w:t>9</w:t>
            </w:r>
            <w:r w:rsidR="00F4569C">
              <w:rPr>
                <w:rFonts w:ascii="Times New Roman" w:hAnsi="Times New Roman"/>
                <w:color w:val="000000"/>
                <w:sz w:val="24"/>
                <w:szCs w:val="24"/>
              </w:rPr>
              <w:t>,</w:t>
            </w:r>
            <w:r w:rsidRPr="00EF6356">
              <w:rPr>
                <w:rFonts w:ascii="Times New Roman" w:hAnsi="Times New Roman"/>
                <w:color w:val="000000"/>
                <w:sz w:val="24"/>
                <w:szCs w:val="24"/>
              </w:rPr>
              <w:t xml:space="preserve">40* </w:t>
            </w:r>
          </w:p>
        </w:tc>
        <w:tc>
          <w:tcPr>
            <w:tcW w:w="1134" w:type="dxa"/>
            <w:tcBorders>
              <w:top w:val="nil"/>
              <w:left w:val="nil"/>
              <w:bottom w:val="single" w:sz="4" w:space="0" w:color="auto"/>
              <w:right w:val="single" w:sz="4" w:space="0" w:color="auto"/>
            </w:tcBorders>
            <w:shd w:val="clear" w:color="000000" w:fill="FFFFFF"/>
            <w:hideMark/>
          </w:tcPr>
          <w:p w:rsidR="00EF6356" w:rsidRPr="00EF6356" w:rsidRDefault="00EF6356" w:rsidP="00F4569C">
            <w:pPr>
              <w:spacing w:after="0" w:line="240" w:lineRule="auto"/>
              <w:rPr>
                <w:rFonts w:ascii="Times New Roman" w:hAnsi="Times New Roman"/>
                <w:color w:val="000000"/>
                <w:sz w:val="24"/>
                <w:szCs w:val="24"/>
              </w:rPr>
            </w:pPr>
            <w:r w:rsidRPr="00EF6356">
              <w:rPr>
                <w:rFonts w:ascii="Times New Roman" w:hAnsi="Times New Roman"/>
                <w:color w:val="000000"/>
                <w:sz w:val="24"/>
                <w:szCs w:val="24"/>
              </w:rPr>
              <w:t>-4</w:t>
            </w:r>
            <w:r w:rsidR="00F4569C">
              <w:rPr>
                <w:rFonts w:ascii="Times New Roman" w:hAnsi="Times New Roman"/>
                <w:color w:val="000000"/>
                <w:sz w:val="24"/>
                <w:szCs w:val="24"/>
              </w:rPr>
              <w:t>,</w:t>
            </w:r>
            <w:r w:rsidRPr="00EF6356">
              <w:rPr>
                <w:rFonts w:ascii="Times New Roman" w:hAnsi="Times New Roman"/>
                <w:color w:val="000000"/>
                <w:sz w:val="24"/>
                <w:szCs w:val="24"/>
              </w:rPr>
              <w:t xml:space="preserve">50 </w:t>
            </w:r>
          </w:p>
        </w:tc>
        <w:tc>
          <w:tcPr>
            <w:tcW w:w="1134" w:type="dxa"/>
            <w:tcBorders>
              <w:top w:val="nil"/>
              <w:left w:val="nil"/>
              <w:bottom w:val="single" w:sz="4" w:space="0" w:color="auto"/>
              <w:right w:val="single" w:sz="4" w:space="0" w:color="auto"/>
            </w:tcBorders>
            <w:shd w:val="clear" w:color="000000" w:fill="FFFFFF"/>
            <w:hideMark/>
          </w:tcPr>
          <w:p w:rsidR="00EF6356" w:rsidRPr="00EF6356" w:rsidRDefault="00EF6356" w:rsidP="00EF6356">
            <w:pPr>
              <w:spacing w:after="0" w:line="240" w:lineRule="auto"/>
              <w:rPr>
                <w:rFonts w:ascii="Times New Roman" w:hAnsi="Times New Roman"/>
                <w:color w:val="000000"/>
                <w:sz w:val="24"/>
                <w:szCs w:val="24"/>
              </w:rPr>
            </w:pPr>
            <w:r w:rsidRPr="00EF6356">
              <w:rPr>
                <w:rFonts w:ascii="Times New Roman" w:hAnsi="Times New Roman"/>
                <w:color w:val="000000"/>
                <w:sz w:val="24"/>
                <w:szCs w:val="24"/>
              </w:rPr>
              <w:t>12,33</w:t>
            </w:r>
          </w:p>
        </w:tc>
        <w:tc>
          <w:tcPr>
            <w:tcW w:w="1134" w:type="dxa"/>
            <w:tcBorders>
              <w:top w:val="nil"/>
              <w:left w:val="nil"/>
              <w:bottom w:val="single" w:sz="4" w:space="0" w:color="auto"/>
              <w:right w:val="single" w:sz="4" w:space="0" w:color="auto"/>
            </w:tcBorders>
            <w:shd w:val="clear" w:color="000000" w:fill="FFFFFF"/>
            <w:hideMark/>
          </w:tcPr>
          <w:p w:rsidR="00EF6356" w:rsidRPr="00EF6356" w:rsidRDefault="00EF6356" w:rsidP="00EF6356">
            <w:pPr>
              <w:spacing w:after="0" w:line="240" w:lineRule="auto"/>
              <w:rPr>
                <w:rFonts w:ascii="Times New Roman" w:hAnsi="Times New Roman"/>
                <w:color w:val="000000"/>
                <w:sz w:val="24"/>
                <w:szCs w:val="24"/>
              </w:rPr>
            </w:pPr>
            <w:r w:rsidRPr="00EF6356">
              <w:rPr>
                <w:rFonts w:ascii="Times New Roman" w:hAnsi="Times New Roman"/>
                <w:color w:val="000000"/>
                <w:sz w:val="24"/>
                <w:szCs w:val="24"/>
              </w:rPr>
              <w:t>-5,91</w:t>
            </w:r>
          </w:p>
        </w:tc>
        <w:tc>
          <w:tcPr>
            <w:tcW w:w="1134" w:type="dxa"/>
            <w:tcBorders>
              <w:top w:val="nil"/>
              <w:left w:val="nil"/>
              <w:bottom w:val="single" w:sz="4" w:space="0" w:color="auto"/>
              <w:right w:val="single" w:sz="4" w:space="0" w:color="auto"/>
            </w:tcBorders>
            <w:shd w:val="clear" w:color="000000" w:fill="FFFFFF"/>
            <w:hideMark/>
          </w:tcPr>
          <w:p w:rsidR="00EF6356" w:rsidRPr="00EF6356" w:rsidRDefault="00EF6356" w:rsidP="00EF6356">
            <w:pPr>
              <w:spacing w:after="0" w:line="240" w:lineRule="auto"/>
              <w:rPr>
                <w:rFonts w:ascii="Times New Roman" w:hAnsi="Times New Roman"/>
                <w:color w:val="000000"/>
                <w:sz w:val="24"/>
                <w:szCs w:val="24"/>
              </w:rPr>
            </w:pPr>
            <w:r w:rsidRPr="00EF6356">
              <w:rPr>
                <w:rFonts w:ascii="Times New Roman" w:hAnsi="Times New Roman"/>
                <w:color w:val="000000"/>
                <w:sz w:val="24"/>
                <w:szCs w:val="24"/>
              </w:rPr>
              <w:t>17,29</w:t>
            </w:r>
          </w:p>
        </w:tc>
        <w:tc>
          <w:tcPr>
            <w:tcW w:w="1276" w:type="dxa"/>
            <w:tcBorders>
              <w:top w:val="nil"/>
              <w:left w:val="nil"/>
              <w:bottom w:val="single" w:sz="4" w:space="0" w:color="auto"/>
              <w:right w:val="single" w:sz="4" w:space="0" w:color="auto"/>
            </w:tcBorders>
            <w:shd w:val="clear" w:color="000000" w:fill="FFFFFF"/>
            <w:hideMark/>
          </w:tcPr>
          <w:p w:rsidR="00EF6356" w:rsidRPr="00EF6356" w:rsidRDefault="00EF6356" w:rsidP="00EF6356">
            <w:pPr>
              <w:spacing w:after="0" w:line="240" w:lineRule="auto"/>
              <w:rPr>
                <w:rFonts w:ascii="Times New Roman" w:hAnsi="Times New Roman"/>
                <w:color w:val="000000"/>
                <w:sz w:val="24"/>
                <w:szCs w:val="24"/>
              </w:rPr>
            </w:pPr>
            <w:r w:rsidRPr="00EF6356">
              <w:rPr>
                <w:rFonts w:ascii="Times New Roman" w:hAnsi="Times New Roman"/>
                <w:color w:val="000000"/>
                <w:sz w:val="24"/>
                <w:szCs w:val="24"/>
              </w:rPr>
              <w:t>-8,27</w:t>
            </w:r>
          </w:p>
        </w:tc>
      </w:tr>
      <w:tr w:rsidR="00EF6356" w:rsidRPr="00EF6356" w:rsidTr="00EF6356">
        <w:trPr>
          <w:trHeight w:val="315"/>
        </w:trPr>
        <w:tc>
          <w:tcPr>
            <w:tcW w:w="1292" w:type="dxa"/>
            <w:tcBorders>
              <w:top w:val="nil"/>
              <w:left w:val="single" w:sz="4" w:space="0" w:color="auto"/>
              <w:bottom w:val="single" w:sz="4" w:space="0" w:color="auto"/>
              <w:right w:val="single" w:sz="4" w:space="0" w:color="auto"/>
            </w:tcBorders>
            <w:shd w:val="clear" w:color="000000" w:fill="FFFFFF"/>
            <w:hideMark/>
          </w:tcPr>
          <w:p w:rsidR="00EF6356" w:rsidRPr="00EF6356" w:rsidRDefault="00EF6356" w:rsidP="00EF6356">
            <w:pPr>
              <w:spacing w:after="0" w:line="240" w:lineRule="auto"/>
              <w:rPr>
                <w:rFonts w:ascii="Times New Roman" w:hAnsi="Times New Roman"/>
                <w:color w:val="000000"/>
                <w:sz w:val="24"/>
                <w:szCs w:val="24"/>
              </w:rPr>
            </w:pPr>
            <w:r w:rsidRPr="00EF6356">
              <w:rPr>
                <w:rFonts w:ascii="Times New Roman" w:hAnsi="Times New Roman"/>
                <w:color w:val="000000"/>
                <w:sz w:val="24"/>
                <w:szCs w:val="24"/>
              </w:rPr>
              <w:t xml:space="preserve">2. variants  </w:t>
            </w:r>
          </w:p>
        </w:tc>
        <w:tc>
          <w:tcPr>
            <w:tcW w:w="1134" w:type="dxa"/>
            <w:tcBorders>
              <w:top w:val="nil"/>
              <w:left w:val="nil"/>
              <w:bottom w:val="single" w:sz="4" w:space="0" w:color="auto"/>
              <w:right w:val="single" w:sz="4" w:space="0" w:color="auto"/>
            </w:tcBorders>
            <w:shd w:val="clear" w:color="000000" w:fill="FFFFFF"/>
            <w:hideMark/>
          </w:tcPr>
          <w:p w:rsidR="00EF6356" w:rsidRPr="00EF6356" w:rsidRDefault="00EF6356" w:rsidP="00F4569C">
            <w:pPr>
              <w:spacing w:after="0" w:line="240" w:lineRule="auto"/>
              <w:rPr>
                <w:rFonts w:ascii="Times New Roman" w:hAnsi="Times New Roman"/>
                <w:color w:val="000000"/>
                <w:sz w:val="24"/>
                <w:szCs w:val="24"/>
              </w:rPr>
            </w:pPr>
            <w:r w:rsidRPr="00EF6356">
              <w:rPr>
                <w:rFonts w:ascii="Times New Roman" w:hAnsi="Times New Roman"/>
                <w:color w:val="000000"/>
                <w:sz w:val="24"/>
                <w:szCs w:val="24"/>
              </w:rPr>
              <w:t>13</w:t>
            </w:r>
            <w:r w:rsidR="00F4569C">
              <w:rPr>
                <w:rFonts w:ascii="Times New Roman" w:hAnsi="Times New Roman"/>
                <w:color w:val="000000"/>
                <w:sz w:val="24"/>
                <w:szCs w:val="24"/>
              </w:rPr>
              <w:t>,</w:t>
            </w:r>
            <w:r w:rsidRPr="00EF6356">
              <w:rPr>
                <w:rFonts w:ascii="Times New Roman" w:hAnsi="Times New Roman"/>
                <w:color w:val="000000"/>
                <w:sz w:val="24"/>
                <w:szCs w:val="24"/>
              </w:rPr>
              <w:t xml:space="preserve">61* </w:t>
            </w:r>
          </w:p>
        </w:tc>
        <w:tc>
          <w:tcPr>
            <w:tcW w:w="1134" w:type="dxa"/>
            <w:tcBorders>
              <w:top w:val="nil"/>
              <w:left w:val="nil"/>
              <w:bottom w:val="single" w:sz="4" w:space="0" w:color="auto"/>
              <w:right w:val="single" w:sz="4" w:space="0" w:color="auto"/>
            </w:tcBorders>
            <w:shd w:val="clear" w:color="000000" w:fill="FFFFFF"/>
            <w:hideMark/>
          </w:tcPr>
          <w:p w:rsidR="00EF6356" w:rsidRPr="00EF6356" w:rsidRDefault="00EF6356" w:rsidP="00F4569C">
            <w:pPr>
              <w:spacing w:after="0" w:line="240" w:lineRule="auto"/>
              <w:rPr>
                <w:rFonts w:ascii="Times New Roman" w:hAnsi="Times New Roman"/>
                <w:color w:val="000000"/>
                <w:sz w:val="24"/>
                <w:szCs w:val="24"/>
              </w:rPr>
            </w:pPr>
            <w:r w:rsidRPr="00EF6356">
              <w:rPr>
                <w:rFonts w:ascii="Times New Roman" w:hAnsi="Times New Roman"/>
                <w:color w:val="000000"/>
                <w:sz w:val="24"/>
                <w:szCs w:val="24"/>
              </w:rPr>
              <w:t>-6</w:t>
            </w:r>
            <w:r w:rsidR="00F4569C">
              <w:rPr>
                <w:rFonts w:ascii="Times New Roman" w:hAnsi="Times New Roman"/>
                <w:color w:val="000000"/>
                <w:sz w:val="24"/>
                <w:szCs w:val="24"/>
              </w:rPr>
              <w:t>,</w:t>
            </w:r>
            <w:r w:rsidRPr="00EF6356">
              <w:rPr>
                <w:rFonts w:ascii="Times New Roman" w:hAnsi="Times New Roman"/>
                <w:color w:val="000000"/>
                <w:sz w:val="24"/>
                <w:szCs w:val="24"/>
              </w:rPr>
              <w:t xml:space="preserve">52 </w:t>
            </w:r>
          </w:p>
        </w:tc>
        <w:tc>
          <w:tcPr>
            <w:tcW w:w="1134" w:type="dxa"/>
            <w:tcBorders>
              <w:top w:val="nil"/>
              <w:left w:val="nil"/>
              <w:bottom w:val="single" w:sz="4" w:space="0" w:color="auto"/>
              <w:right w:val="single" w:sz="4" w:space="0" w:color="auto"/>
            </w:tcBorders>
            <w:shd w:val="clear" w:color="000000" w:fill="FFFFFF"/>
            <w:hideMark/>
          </w:tcPr>
          <w:p w:rsidR="00EF6356" w:rsidRPr="00EF6356" w:rsidRDefault="00EF6356" w:rsidP="00EF6356">
            <w:pPr>
              <w:spacing w:after="0" w:line="240" w:lineRule="auto"/>
              <w:rPr>
                <w:rFonts w:ascii="Times New Roman" w:hAnsi="Times New Roman"/>
                <w:color w:val="000000"/>
                <w:sz w:val="24"/>
                <w:szCs w:val="24"/>
              </w:rPr>
            </w:pPr>
            <w:r w:rsidRPr="00EF6356">
              <w:rPr>
                <w:rFonts w:ascii="Times New Roman" w:hAnsi="Times New Roman"/>
                <w:color w:val="000000"/>
                <w:sz w:val="24"/>
                <w:szCs w:val="24"/>
              </w:rPr>
              <w:t>14,66</w:t>
            </w:r>
          </w:p>
        </w:tc>
        <w:tc>
          <w:tcPr>
            <w:tcW w:w="1134" w:type="dxa"/>
            <w:tcBorders>
              <w:top w:val="nil"/>
              <w:left w:val="nil"/>
              <w:bottom w:val="single" w:sz="4" w:space="0" w:color="auto"/>
              <w:right w:val="single" w:sz="4" w:space="0" w:color="auto"/>
            </w:tcBorders>
            <w:shd w:val="clear" w:color="000000" w:fill="FFFFFF"/>
            <w:hideMark/>
          </w:tcPr>
          <w:p w:rsidR="00EF6356" w:rsidRPr="00EF6356" w:rsidRDefault="00EF6356" w:rsidP="00EF6356">
            <w:pPr>
              <w:spacing w:after="0" w:line="240" w:lineRule="auto"/>
              <w:rPr>
                <w:rFonts w:ascii="Times New Roman" w:hAnsi="Times New Roman"/>
                <w:color w:val="000000"/>
                <w:sz w:val="24"/>
                <w:szCs w:val="24"/>
              </w:rPr>
            </w:pPr>
            <w:r w:rsidRPr="00EF6356">
              <w:rPr>
                <w:rFonts w:ascii="Times New Roman" w:hAnsi="Times New Roman"/>
                <w:color w:val="000000"/>
                <w:sz w:val="24"/>
                <w:szCs w:val="24"/>
              </w:rPr>
              <w:t>-7,02</w:t>
            </w:r>
          </w:p>
        </w:tc>
        <w:tc>
          <w:tcPr>
            <w:tcW w:w="1134" w:type="dxa"/>
            <w:tcBorders>
              <w:top w:val="nil"/>
              <w:left w:val="nil"/>
              <w:bottom w:val="single" w:sz="4" w:space="0" w:color="auto"/>
              <w:right w:val="single" w:sz="4" w:space="0" w:color="auto"/>
            </w:tcBorders>
            <w:shd w:val="clear" w:color="000000" w:fill="FFFFFF"/>
            <w:hideMark/>
          </w:tcPr>
          <w:p w:rsidR="00EF6356" w:rsidRPr="00EF6356" w:rsidRDefault="00EF6356" w:rsidP="00EF6356">
            <w:pPr>
              <w:spacing w:after="0" w:line="240" w:lineRule="auto"/>
              <w:rPr>
                <w:rFonts w:ascii="Times New Roman" w:hAnsi="Times New Roman"/>
                <w:color w:val="000000"/>
                <w:sz w:val="24"/>
                <w:szCs w:val="24"/>
              </w:rPr>
            </w:pPr>
            <w:r w:rsidRPr="00EF6356">
              <w:rPr>
                <w:rFonts w:ascii="Times New Roman" w:hAnsi="Times New Roman"/>
                <w:color w:val="000000"/>
                <w:sz w:val="24"/>
                <w:szCs w:val="24"/>
              </w:rPr>
              <w:t>19,04</w:t>
            </w:r>
          </w:p>
        </w:tc>
        <w:tc>
          <w:tcPr>
            <w:tcW w:w="1276" w:type="dxa"/>
            <w:tcBorders>
              <w:top w:val="nil"/>
              <w:left w:val="nil"/>
              <w:bottom w:val="single" w:sz="4" w:space="0" w:color="auto"/>
              <w:right w:val="single" w:sz="4" w:space="0" w:color="auto"/>
            </w:tcBorders>
            <w:shd w:val="clear" w:color="000000" w:fill="FFFFFF"/>
            <w:hideMark/>
          </w:tcPr>
          <w:p w:rsidR="00EF6356" w:rsidRPr="00EF6356" w:rsidRDefault="00EF6356" w:rsidP="00EF6356">
            <w:pPr>
              <w:spacing w:after="0" w:line="240" w:lineRule="auto"/>
              <w:rPr>
                <w:rFonts w:ascii="Times New Roman" w:hAnsi="Times New Roman"/>
                <w:color w:val="000000"/>
                <w:sz w:val="24"/>
                <w:szCs w:val="24"/>
              </w:rPr>
            </w:pPr>
            <w:r w:rsidRPr="00EF6356">
              <w:rPr>
                <w:rFonts w:ascii="Times New Roman" w:hAnsi="Times New Roman"/>
                <w:color w:val="000000"/>
                <w:sz w:val="24"/>
                <w:szCs w:val="24"/>
              </w:rPr>
              <w:t>-9,12</w:t>
            </w:r>
          </w:p>
        </w:tc>
      </w:tr>
      <w:tr w:rsidR="00EF6356" w:rsidRPr="00EF6356" w:rsidTr="00EF6356">
        <w:trPr>
          <w:trHeight w:val="315"/>
        </w:trPr>
        <w:tc>
          <w:tcPr>
            <w:tcW w:w="1292" w:type="dxa"/>
            <w:tcBorders>
              <w:top w:val="nil"/>
              <w:left w:val="single" w:sz="4" w:space="0" w:color="auto"/>
              <w:bottom w:val="single" w:sz="4" w:space="0" w:color="auto"/>
              <w:right w:val="single" w:sz="4" w:space="0" w:color="auto"/>
            </w:tcBorders>
            <w:shd w:val="clear" w:color="000000" w:fill="FFFFFF"/>
            <w:hideMark/>
          </w:tcPr>
          <w:p w:rsidR="00EF6356" w:rsidRPr="00EF6356" w:rsidRDefault="00EF6356" w:rsidP="00EF6356">
            <w:pPr>
              <w:spacing w:after="0" w:line="240" w:lineRule="auto"/>
              <w:rPr>
                <w:rFonts w:ascii="Times New Roman" w:hAnsi="Times New Roman"/>
                <w:color w:val="000000"/>
                <w:sz w:val="24"/>
                <w:szCs w:val="24"/>
              </w:rPr>
            </w:pPr>
            <w:r w:rsidRPr="00EF6356">
              <w:rPr>
                <w:rFonts w:ascii="Times New Roman" w:hAnsi="Times New Roman"/>
                <w:color w:val="000000"/>
                <w:sz w:val="24"/>
                <w:szCs w:val="24"/>
              </w:rPr>
              <w:t xml:space="preserve">3. variants  </w:t>
            </w:r>
          </w:p>
        </w:tc>
        <w:tc>
          <w:tcPr>
            <w:tcW w:w="1134" w:type="dxa"/>
            <w:tcBorders>
              <w:top w:val="nil"/>
              <w:left w:val="nil"/>
              <w:bottom w:val="single" w:sz="4" w:space="0" w:color="auto"/>
              <w:right w:val="single" w:sz="4" w:space="0" w:color="auto"/>
            </w:tcBorders>
            <w:shd w:val="clear" w:color="000000" w:fill="FFFFFF"/>
            <w:hideMark/>
          </w:tcPr>
          <w:p w:rsidR="00EF6356" w:rsidRPr="00EF6356" w:rsidRDefault="00EF6356" w:rsidP="00F4569C">
            <w:pPr>
              <w:spacing w:after="0" w:line="240" w:lineRule="auto"/>
              <w:rPr>
                <w:rFonts w:ascii="Times New Roman" w:hAnsi="Times New Roman"/>
                <w:color w:val="000000"/>
                <w:sz w:val="24"/>
                <w:szCs w:val="24"/>
              </w:rPr>
            </w:pPr>
            <w:r w:rsidRPr="00EF6356">
              <w:rPr>
                <w:rFonts w:ascii="Times New Roman" w:hAnsi="Times New Roman"/>
                <w:color w:val="000000"/>
                <w:sz w:val="24"/>
                <w:szCs w:val="24"/>
              </w:rPr>
              <w:t>21</w:t>
            </w:r>
            <w:r w:rsidR="00F4569C">
              <w:rPr>
                <w:rFonts w:ascii="Times New Roman" w:hAnsi="Times New Roman"/>
                <w:color w:val="000000"/>
                <w:sz w:val="24"/>
                <w:szCs w:val="24"/>
              </w:rPr>
              <w:t>,</w:t>
            </w:r>
            <w:r w:rsidRPr="00EF6356">
              <w:rPr>
                <w:rFonts w:ascii="Times New Roman" w:hAnsi="Times New Roman"/>
                <w:color w:val="000000"/>
                <w:sz w:val="24"/>
                <w:szCs w:val="24"/>
              </w:rPr>
              <w:t xml:space="preserve">73* </w:t>
            </w:r>
          </w:p>
        </w:tc>
        <w:tc>
          <w:tcPr>
            <w:tcW w:w="1134" w:type="dxa"/>
            <w:tcBorders>
              <w:top w:val="nil"/>
              <w:left w:val="nil"/>
              <w:bottom w:val="single" w:sz="4" w:space="0" w:color="auto"/>
              <w:right w:val="single" w:sz="4" w:space="0" w:color="auto"/>
            </w:tcBorders>
            <w:shd w:val="clear" w:color="000000" w:fill="FFFFFF"/>
            <w:hideMark/>
          </w:tcPr>
          <w:p w:rsidR="00EF6356" w:rsidRPr="00EF6356" w:rsidRDefault="00EF6356" w:rsidP="00F4569C">
            <w:pPr>
              <w:spacing w:after="0" w:line="240" w:lineRule="auto"/>
              <w:rPr>
                <w:rFonts w:ascii="Times New Roman" w:hAnsi="Times New Roman"/>
                <w:color w:val="000000"/>
                <w:sz w:val="24"/>
                <w:szCs w:val="24"/>
              </w:rPr>
            </w:pPr>
            <w:r w:rsidRPr="00EF6356">
              <w:rPr>
                <w:rFonts w:ascii="Times New Roman" w:hAnsi="Times New Roman"/>
                <w:color w:val="000000"/>
                <w:sz w:val="24"/>
                <w:szCs w:val="24"/>
              </w:rPr>
              <w:t>-10</w:t>
            </w:r>
            <w:r w:rsidR="00F4569C">
              <w:rPr>
                <w:rFonts w:ascii="Times New Roman" w:hAnsi="Times New Roman"/>
                <w:color w:val="000000"/>
                <w:sz w:val="24"/>
                <w:szCs w:val="24"/>
              </w:rPr>
              <w:t>,</w:t>
            </w:r>
            <w:r w:rsidRPr="00EF6356">
              <w:rPr>
                <w:rFonts w:ascii="Times New Roman" w:hAnsi="Times New Roman"/>
                <w:color w:val="000000"/>
                <w:sz w:val="24"/>
                <w:szCs w:val="24"/>
              </w:rPr>
              <w:t xml:space="preserve">41 </w:t>
            </w:r>
          </w:p>
        </w:tc>
        <w:tc>
          <w:tcPr>
            <w:tcW w:w="1134" w:type="dxa"/>
            <w:tcBorders>
              <w:top w:val="nil"/>
              <w:left w:val="nil"/>
              <w:bottom w:val="single" w:sz="4" w:space="0" w:color="auto"/>
              <w:right w:val="single" w:sz="4" w:space="0" w:color="auto"/>
            </w:tcBorders>
            <w:shd w:val="clear" w:color="000000" w:fill="FFFFFF"/>
            <w:hideMark/>
          </w:tcPr>
          <w:p w:rsidR="00EF6356" w:rsidRPr="00EF6356" w:rsidRDefault="00EF6356" w:rsidP="00EF6356">
            <w:pPr>
              <w:spacing w:after="0" w:line="240" w:lineRule="auto"/>
              <w:rPr>
                <w:rFonts w:ascii="Times New Roman" w:hAnsi="Times New Roman"/>
                <w:color w:val="000000"/>
                <w:sz w:val="24"/>
                <w:szCs w:val="24"/>
              </w:rPr>
            </w:pPr>
            <w:r w:rsidRPr="00EF6356">
              <w:rPr>
                <w:rFonts w:ascii="Times New Roman" w:hAnsi="Times New Roman"/>
                <w:color w:val="000000"/>
                <w:sz w:val="24"/>
                <w:szCs w:val="24"/>
              </w:rPr>
              <w:t>17,29</w:t>
            </w:r>
          </w:p>
        </w:tc>
        <w:tc>
          <w:tcPr>
            <w:tcW w:w="1134" w:type="dxa"/>
            <w:tcBorders>
              <w:top w:val="nil"/>
              <w:left w:val="nil"/>
              <w:bottom w:val="single" w:sz="4" w:space="0" w:color="auto"/>
              <w:right w:val="single" w:sz="4" w:space="0" w:color="auto"/>
            </w:tcBorders>
            <w:shd w:val="clear" w:color="000000" w:fill="FFFFFF"/>
            <w:hideMark/>
          </w:tcPr>
          <w:p w:rsidR="00EF6356" w:rsidRPr="00EF6356" w:rsidRDefault="00EF6356" w:rsidP="00EF6356">
            <w:pPr>
              <w:spacing w:after="0" w:line="240" w:lineRule="auto"/>
              <w:rPr>
                <w:rFonts w:ascii="Times New Roman" w:hAnsi="Times New Roman"/>
                <w:color w:val="000000"/>
                <w:sz w:val="24"/>
                <w:szCs w:val="24"/>
              </w:rPr>
            </w:pPr>
            <w:r w:rsidRPr="00EF6356">
              <w:rPr>
                <w:rFonts w:ascii="Times New Roman" w:hAnsi="Times New Roman"/>
                <w:color w:val="000000"/>
                <w:sz w:val="24"/>
                <w:szCs w:val="24"/>
              </w:rPr>
              <w:t>-8,27</w:t>
            </w:r>
          </w:p>
        </w:tc>
        <w:tc>
          <w:tcPr>
            <w:tcW w:w="1134" w:type="dxa"/>
            <w:tcBorders>
              <w:top w:val="nil"/>
              <w:left w:val="nil"/>
              <w:bottom w:val="single" w:sz="4" w:space="0" w:color="auto"/>
              <w:right w:val="single" w:sz="4" w:space="0" w:color="auto"/>
            </w:tcBorders>
            <w:shd w:val="clear" w:color="000000" w:fill="FFFFFF"/>
            <w:hideMark/>
          </w:tcPr>
          <w:p w:rsidR="00EF6356" w:rsidRPr="00EF6356" w:rsidRDefault="00EF6356" w:rsidP="00EF6356">
            <w:pPr>
              <w:spacing w:after="0" w:line="240" w:lineRule="auto"/>
              <w:rPr>
                <w:rFonts w:ascii="Times New Roman" w:hAnsi="Times New Roman"/>
                <w:color w:val="000000"/>
                <w:sz w:val="24"/>
                <w:szCs w:val="24"/>
              </w:rPr>
            </w:pPr>
            <w:r w:rsidRPr="00EF6356">
              <w:rPr>
                <w:rFonts w:ascii="Times New Roman" w:hAnsi="Times New Roman"/>
                <w:color w:val="000000"/>
                <w:sz w:val="24"/>
                <w:szCs w:val="24"/>
              </w:rPr>
              <w:t>18,5</w:t>
            </w:r>
          </w:p>
        </w:tc>
        <w:tc>
          <w:tcPr>
            <w:tcW w:w="1276" w:type="dxa"/>
            <w:tcBorders>
              <w:top w:val="nil"/>
              <w:left w:val="nil"/>
              <w:bottom w:val="single" w:sz="4" w:space="0" w:color="auto"/>
              <w:right w:val="single" w:sz="4" w:space="0" w:color="auto"/>
            </w:tcBorders>
            <w:shd w:val="clear" w:color="000000" w:fill="FFFFFF"/>
            <w:hideMark/>
          </w:tcPr>
          <w:p w:rsidR="00EF6356" w:rsidRPr="00EF6356" w:rsidRDefault="00EF6356" w:rsidP="00EF6356">
            <w:pPr>
              <w:spacing w:after="0" w:line="240" w:lineRule="auto"/>
              <w:rPr>
                <w:rFonts w:ascii="Times New Roman" w:hAnsi="Times New Roman"/>
                <w:color w:val="000000"/>
                <w:sz w:val="24"/>
                <w:szCs w:val="24"/>
              </w:rPr>
            </w:pPr>
            <w:r w:rsidRPr="00EF6356">
              <w:rPr>
                <w:rFonts w:ascii="Times New Roman" w:hAnsi="Times New Roman"/>
                <w:color w:val="000000"/>
                <w:sz w:val="24"/>
                <w:szCs w:val="24"/>
              </w:rPr>
              <w:t>-8,86</w:t>
            </w:r>
          </w:p>
        </w:tc>
      </w:tr>
    </w:tbl>
    <w:p w:rsidR="00EF6356" w:rsidRPr="00624159" w:rsidRDefault="00AD2472" w:rsidP="00870B46">
      <w:pPr>
        <w:pStyle w:val="ListParagraph"/>
        <w:autoSpaceDE w:val="0"/>
        <w:autoSpaceDN w:val="0"/>
        <w:adjustRightInd w:val="0"/>
        <w:spacing w:after="0" w:line="240" w:lineRule="auto"/>
        <w:jc w:val="both"/>
        <w:rPr>
          <w:rFonts w:ascii="Times New Roman" w:hAnsi="Times New Roman"/>
          <w:sz w:val="24"/>
          <w:szCs w:val="24"/>
        </w:rPr>
      </w:pPr>
      <w:r w:rsidRPr="00624159">
        <w:rPr>
          <w:rFonts w:ascii="Times New Roman" w:hAnsi="Times New Roman"/>
          <w:sz w:val="24"/>
          <w:szCs w:val="24"/>
        </w:rPr>
        <w:t>*2014.gadā papildu finansējums atlīdzībai ietver arī  7,</w:t>
      </w:r>
      <w:r w:rsidR="00624159" w:rsidRPr="00624159">
        <w:rPr>
          <w:rFonts w:ascii="Times New Roman" w:hAnsi="Times New Roman"/>
          <w:sz w:val="24"/>
          <w:szCs w:val="24"/>
        </w:rPr>
        <w:t>37</w:t>
      </w:r>
      <w:r w:rsidRPr="00624159">
        <w:rPr>
          <w:rFonts w:ascii="Times New Roman" w:hAnsi="Times New Roman"/>
          <w:sz w:val="24"/>
          <w:szCs w:val="24"/>
        </w:rPr>
        <w:t xml:space="preserve"> milj.Ls minimālās algas paaugstināšanai.</w:t>
      </w:r>
    </w:p>
    <w:p w:rsidR="00EF6356" w:rsidRDefault="006A6EDE" w:rsidP="00870B46">
      <w:pPr>
        <w:pStyle w:val="ListParagraph"/>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Finanšu ministrija piedāvā atbalstīt 2.variantu.</w:t>
      </w:r>
    </w:p>
    <w:p w:rsidR="009A1F27" w:rsidRDefault="009A1F27" w:rsidP="00870B46">
      <w:pPr>
        <w:pStyle w:val="ListParagraph"/>
        <w:autoSpaceDE w:val="0"/>
        <w:autoSpaceDN w:val="0"/>
        <w:adjustRightInd w:val="0"/>
        <w:spacing w:after="0" w:line="240" w:lineRule="auto"/>
        <w:jc w:val="both"/>
        <w:rPr>
          <w:rFonts w:ascii="Times New Roman" w:hAnsi="Times New Roman"/>
          <w:sz w:val="28"/>
          <w:szCs w:val="28"/>
        </w:rPr>
      </w:pPr>
    </w:p>
    <w:p w:rsidR="005213FD" w:rsidRDefault="007275CE" w:rsidP="00B6279F">
      <w:pPr>
        <w:pStyle w:val="ListParagraph"/>
        <w:numPr>
          <w:ilvl w:val="0"/>
          <w:numId w:val="26"/>
        </w:numPr>
        <w:autoSpaceDE w:val="0"/>
        <w:autoSpaceDN w:val="0"/>
        <w:adjustRightInd w:val="0"/>
        <w:spacing w:after="0" w:line="240" w:lineRule="auto"/>
        <w:jc w:val="both"/>
        <w:rPr>
          <w:rFonts w:ascii="Times New Roman" w:hAnsi="Times New Roman"/>
          <w:sz w:val="28"/>
          <w:szCs w:val="28"/>
        </w:rPr>
      </w:pPr>
      <w:r w:rsidRPr="00870B46">
        <w:rPr>
          <w:rFonts w:ascii="Times New Roman" w:hAnsi="Times New Roman"/>
          <w:sz w:val="28"/>
          <w:szCs w:val="28"/>
        </w:rPr>
        <w:t>Pie jautājuma par sociālo garantiju izlī</w:t>
      </w:r>
      <w:r w:rsidR="00332F0A" w:rsidRPr="00870B46">
        <w:rPr>
          <w:rFonts w:ascii="Times New Roman" w:hAnsi="Times New Roman"/>
          <w:sz w:val="28"/>
          <w:szCs w:val="28"/>
        </w:rPr>
        <w:t>dzināšanu atgriezties 2015.gadā</w:t>
      </w:r>
      <w:r w:rsidRPr="00870B46">
        <w:rPr>
          <w:rFonts w:ascii="Times New Roman" w:hAnsi="Times New Roman"/>
          <w:sz w:val="28"/>
          <w:szCs w:val="28"/>
        </w:rPr>
        <w:t xml:space="preserve"> un primāri risināt jautājumu par </w:t>
      </w:r>
      <w:r w:rsidR="00FF3A6F">
        <w:rPr>
          <w:rFonts w:ascii="Times New Roman" w:hAnsi="Times New Roman"/>
          <w:sz w:val="28"/>
          <w:szCs w:val="28"/>
        </w:rPr>
        <w:t>mēnešalgu</w:t>
      </w:r>
      <w:r w:rsidRPr="00870B46">
        <w:rPr>
          <w:rFonts w:ascii="Times New Roman" w:hAnsi="Times New Roman"/>
          <w:sz w:val="28"/>
          <w:szCs w:val="28"/>
        </w:rPr>
        <w:t xml:space="preserve"> izlīdzināšanu</w:t>
      </w:r>
      <w:r w:rsidR="00B6279F">
        <w:rPr>
          <w:rFonts w:ascii="Times New Roman" w:hAnsi="Times New Roman"/>
          <w:sz w:val="28"/>
          <w:szCs w:val="28"/>
        </w:rPr>
        <w:t>.</w:t>
      </w:r>
    </w:p>
    <w:p w:rsidR="006A6EDE" w:rsidRDefault="006A6EDE" w:rsidP="006A6EDE">
      <w:pPr>
        <w:autoSpaceDE w:val="0"/>
        <w:autoSpaceDN w:val="0"/>
        <w:adjustRightInd w:val="0"/>
        <w:spacing w:after="0" w:line="240" w:lineRule="auto"/>
        <w:jc w:val="both"/>
        <w:rPr>
          <w:rFonts w:ascii="Times New Roman" w:hAnsi="Times New Roman"/>
          <w:sz w:val="28"/>
          <w:szCs w:val="28"/>
        </w:rPr>
      </w:pPr>
    </w:p>
    <w:p w:rsidR="006A6EDE" w:rsidRDefault="006A6EDE" w:rsidP="006A6EDE">
      <w:pPr>
        <w:autoSpaceDE w:val="0"/>
        <w:autoSpaceDN w:val="0"/>
        <w:adjustRightInd w:val="0"/>
        <w:spacing w:after="0" w:line="240" w:lineRule="auto"/>
        <w:jc w:val="both"/>
        <w:rPr>
          <w:rFonts w:ascii="Times New Roman" w:hAnsi="Times New Roman"/>
          <w:sz w:val="28"/>
          <w:szCs w:val="28"/>
        </w:rPr>
      </w:pPr>
    </w:p>
    <w:p w:rsidR="006A6EDE" w:rsidRPr="006A6EDE" w:rsidRDefault="006A6EDE" w:rsidP="006A6EDE">
      <w:pPr>
        <w:autoSpaceDE w:val="0"/>
        <w:autoSpaceDN w:val="0"/>
        <w:adjustRightInd w:val="0"/>
        <w:spacing w:after="0" w:line="240" w:lineRule="auto"/>
        <w:jc w:val="both"/>
        <w:rPr>
          <w:rFonts w:ascii="Times New Roman" w:hAnsi="Times New Roman"/>
          <w:sz w:val="28"/>
          <w:szCs w:val="28"/>
        </w:rPr>
      </w:pPr>
    </w:p>
    <w:p w:rsidR="005213FD" w:rsidRPr="005213FD" w:rsidRDefault="005213FD" w:rsidP="005213FD">
      <w:pPr>
        <w:keepNext/>
        <w:spacing w:after="0" w:line="240" w:lineRule="auto"/>
        <w:ind w:firstLine="720"/>
        <w:jc w:val="both"/>
        <w:rPr>
          <w:rFonts w:ascii="Times New Roman" w:hAnsi="Times New Roman"/>
          <w:sz w:val="28"/>
          <w:szCs w:val="28"/>
        </w:rPr>
      </w:pPr>
      <w:r w:rsidRPr="005213FD">
        <w:rPr>
          <w:rFonts w:ascii="Times New Roman" w:hAnsi="Times New Roman"/>
          <w:sz w:val="28"/>
          <w:szCs w:val="28"/>
        </w:rPr>
        <w:t>Finanšu ministrs</w:t>
      </w:r>
      <w:r w:rsidRPr="005213FD">
        <w:rPr>
          <w:rFonts w:ascii="Times New Roman" w:hAnsi="Times New Roman"/>
          <w:sz w:val="28"/>
          <w:szCs w:val="28"/>
        </w:rPr>
        <w:tab/>
      </w:r>
      <w:r w:rsidRPr="005213FD">
        <w:rPr>
          <w:rFonts w:ascii="Times New Roman" w:hAnsi="Times New Roman"/>
          <w:sz w:val="28"/>
          <w:szCs w:val="28"/>
        </w:rPr>
        <w:tab/>
      </w:r>
      <w:r w:rsidRPr="005213FD">
        <w:rPr>
          <w:rFonts w:ascii="Times New Roman" w:hAnsi="Times New Roman"/>
          <w:sz w:val="28"/>
          <w:szCs w:val="28"/>
        </w:rPr>
        <w:tab/>
      </w:r>
      <w:r w:rsidRPr="005213FD">
        <w:rPr>
          <w:rFonts w:ascii="Times New Roman" w:hAnsi="Times New Roman"/>
          <w:sz w:val="28"/>
          <w:szCs w:val="28"/>
        </w:rPr>
        <w:tab/>
      </w:r>
      <w:r w:rsidRPr="005213FD">
        <w:rPr>
          <w:rFonts w:ascii="Times New Roman" w:hAnsi="Times New Roman"/>
          <w:sz w:val="28"/>
          <w:szCs w:val="28"/>
        </w:rPr>
        <w:tab/>
      </w:r>
      <w:r w:rsidRPr="005213FD">
        <w:rPr>
          <w:rFonts w:ascii="Times New Roman" w:hAnsi="Times New Roman"/>
          <w:sz w:val="28"/>
          <w:szCs w:val="28"/>
        </w:rPr>
        <w:tab/>
      </w:r>
      <w:r w:rsidRPr="005213FD">
        <w:rPr>
          <w:rFonts w:ascii="Times New Roman" w:hAnsi="Times New Roman"/>
          <w:sz w:val="28"/>
          <w:szCs w:val="28"/>
        </w:rPr>
        <w:tab/>
        <w:t>A.Vilks</w:t>
      </w:r>
    </w:p>
    <w:p w:rsidR="005213FD" w:rsidRPr="005213FD" w:rsidRDefault="005213FD" w:rsidP="005213FD">
      <w:pPr>
        <w:keepNext/>
        <w:spacing w:after="0" w:line="240" w:lineRule="auto"/>
        <w:jc w:val="both"/>
        <w:rPr>
          <w:rFonts w:ascii="Times New Roman" w:hAnsi="Times New Roman"/>
          <w:sz w:val="28"/>
          <w:szCs w:val="28"/>
        </w:rPr>
      </w:pPr>
    </w:p>
    <w:p w:rsidR="005213FD" w:rsidRPr="005213FD" w:rsidRDefault="005213FD" w:rsidP="005213FD">
      <w:pPr>
        <w:keepNext/>
        <w:spacing w:after="0" w:line="240" w:lineRule="auto"/>
        <w:jc w:val="both"/>
        <w:rPr>
          <w:rFonts w:ascii="Times New Roman" w:hAnsi="Times New Roman"/>
          <w:sz w:val="28"/>
          <w:szCs w:val="28"/>
        </w:rPr>
      </w:pPr>
    </w:p>
    <w:p w:rsidR="005213FD" w:rsidRDefault="005213FD" w:rsidP="005213FD">
      <w:pPr>
        <w:keepNext/>
        <w:spacing w:after="0" w:line="240" w:lineRule="auto"/>
        <w:jc w:val="both"/>
        <w:rPr>
          <w:rFonts w:ascii="Times New Roman" w:hAnsi="Times New Roman"/>
          <w:sz w:val="28"/>
          <w:szCs w:val="28"/>
        </w:rPr>
      </w:pPr>
    </w:p>
    <w:p w:rsidR="005213FD" w:rsidRDefault="005213FD" w:rsidP="005213FD">
      <w:pPr>
        <w:keepNext/>
        <w:spacing w:after="0" w:line="240" w:lineRule="auto"/>
        <w:jc w:val="both"/>
        <w:rPr>
          <w:rFonts w:ascii="Times New Roman" w:hAnsi="Times New Roman"/>
          <w:sz w:val="28"/>
          <w:szCs w:val="28"/>
        </w:rPr>
      </w:pPr>
    </w:p>
    <w:p w:rsidR="005213FD" w:rsidRDefault="005213FD" w:rsidP="005213FD">
      <w:pPr>
        <w:keepNext/>
        <w:spacing w:after="0" w:line="240" w:lineRule="auto"/>
        <w:jc w:val="both"/>
        <w:rPr>
          <w:rFonts w:ascii="Times New Roman" w:hAnsi="Times New Roman"/>
          <w:sz w:val="28"/>
          <w:szCs w:val="28"/>
        </w:rPr>
      </w:pPr>
    </w:p>
    <w:p w:rsidR="005213FD" w:rsidRDefault="005213FD" w:rsidP="005213FD">
      <w:pPr>
        <w:keepNext/>
        <w:spacing w:after="0" w:line="240" w:lineRule="auto"/>
        <w:jc w:val="both"/>
        <w:rPr>
          <w:rFonts w:ascii="Times New Roman" w:hAnsi="Times New Roman"/>
          <w:sz w:val="28"/>
          <w:szCs w:val="28"/>
        </w:rPr>
      </w:pPr>
    </w:p>
    <w:p w:rsidR="005213FD" w:rsidRDefault="005213FD" w:rsidP="005213FD">
      <w:pPr>
        <w:keepNext/>
        <w:spacing w:after="0" w:line="240" w:lineRule="auto"/>
        <w:jc w:val="both"/>
        <w:rPr>
          <w:rFonts w:ascii="Times New Roman" w:hAnsi="Times New Roman"/>
          <w:sz w:val="28"/>
          <w:szCs w:val="28"/>
        </w:rPr>
      </w:pPr>
    </w:p>
    <w:p w:rsidR="005213FD" w:rsidRDefault="005213FD" w:rsidP="005213FD">
      <w:pPr>
        <w:keepNext/>
        <w:spacing w:after="0" w:line="240" w:lineRule="auto"/>
        <w:jc w:val="both"/>
        <w:rPr>
          <w:rFonts w:ascii="Times New Roman" w:hAnsi="Times New Roman"/>
          <w:sz w:val="28"/>
          <w:szCs w:val="28"/>
        </w:rPr>
      </w:pPr>
    </w:p>
    <w:p w:rsidR="005213FD" w:rsidRDefault="005213FD" w:rsidP="005213FD">
      <w:pPr>
        <w:keepNext/>
        <w:spacing w:after="0" w:line="240" w:lineRule="auto"/>
        <w:jc w:val="both"/>
        <w:rPr>
          <w:rFonts w:ascii="Times New Roman" w:hAnsi="Times New Roman"/>
          <w:sz w:val="28"/>
          <w:szCs w:val="28"/>
        </w:rPr>
      </w:pPr>
    </w:p>
    <w:p w:rsidR="005213FD" w:rsidRDefault="005213FD" w:rsidP="005213FD">
      <w:pPr>
        <w:keepNext/>
        <w:spacing w:after="0" w:line="240" w:lineRule="auto"/>
        <w:jc w:val="both"/>
        <w:rPr>
          <w:rFonts w:ascii="Times New Roman" w:hAnsi="Times New Roman"/>
          <w:sz w:val="28"/>
          <w:szCs w:val="28"/>
        </w:rPr>
      </w:pPr>
    </w:p>
    <w:p w:rsidR="005213FD" w:rsidRDefault="005213FD" w:rsidP="005213FD">
      <w:pPr>
        <w:keepNext/>
        <w:spacing w:after="0" w:line="240" w:lineRule="auto"/>
        <w:jc w:val="both"/>
        <w:rPr>
          <w:rFonts w:ascii="Times New Roman" w:hAnsi="Times New Roman"/>
          <w:sz w:val="28"/>
          <w:szCs w:val="28"/>
        </w:rPr>
      </w:pPr>
    </w:p>
    <w:p w:rsidR="000D67E7" w:rsidRDefault="000D67E7" w:rsidP="005213FD">
      <w:pPr>
        <w:keepNext/>
        <w:spacing w:after="0" w:line="240" w:lineRule="auto"/>
        <w:jc w:val="both"/>
        <w:rPr>
          <w:rFonts w:ascii="Times New Roman" w:hAnsi="Times New Roman"/>
          <w:sz w:val="28"/>
          <w:szCs w:val="28"/>
        </w:rPr>
      </w:pPr>
    </w:p>
    <w:p w:rsidR="000D67E7" w:rsidRDefault="000D67E7" w:rsidP="005213FD">
      <w:pPr>
        <w:keepNext/>
        <w:spacing w:after="0" w:line="240" w:lineRule="auto"/>
        <w:jc w:val="both"/>
        <w:rPr>
          <w:rFonts w:ascii="Times New Roman" w:hAnsi="Times New Roman"/>
          <w:sz w:val="28"/>
          <w:szCs w:val="28"/>
        </w:rPr>
      </w:pPr>
    </w:p>
    <w:p w:rsidR="000D67E7" w:rsidRDefault="000D67E7" w:rsidP="005213FD">
      <w:pPr>
        <w:keepNext/>
        <w:spacing w:after="0" w:line="240" w:lineRule="auto"/>
        <w:jc w:val="both"/>
        <w:rPr>
          <w:rFonts w:ascii="Times New Roman" w:hAnsi="Times New Roman"/>
          <w:sz w:val="28"/>
          <w:szCs w:val="28"/>
        </w:rPr>
      </w:pPr>
    </w:p>
    <w:p w:rsidR="000D67E7" w:rsidRDefault="000D67E7" w:rsidP="005213FD">
      <w:pPr>
        <w:keepNext/>
        <w:spacing w:after="0" w:line="240" w:lineRule="auto"/>
        <w:jc w:val="both"/>
        <w:rPr>
          <w:rFonts w:ascii="Times New Roman" w:hAnsi="Times New Roman"/>
          <w:sz w:val="28"/>
          <w:szCs w:val="28"/>
        </w:rPr>
      </w:pPr>
    </w:p>
    <w:p w:rsidR="000D67E7" w:rsidRDefault="000D67E7" w:rsidP="005213FD">
      <w:pPr>
        <w:keepNext/>
        <w:spacing w:after="0" w:line="240" w:lineRule="auto"/>
        <w:jc w:val="both"/>
        <w:rPr>
          <w:rFonts w:ascii="Times New Roman" w:hAnsi="Times New Roman"/>
          <w:sz w:val="28"/>
          <w:szCs w:val="28"/>
        </w:rPr>
      </w:pPr>
    </w:p>
    <w:p w:rsidR="000D67E7" w:rsidRDefault="000D67E7" w:rsidP="005213FD">
      <w:pPr>
        <w:keepNext/>
        <w:spacing w:after="0" w:line="240" w:lineRule="auto"/>
        <w:jc w:val="both"/>
        <w:rPr>
          <w:rFonts w:ascii="Times New Roman" w:hAnsi="Times New Roman"/>
          <w:sz w:val="28"/>
          <w:szCs w:val="28"/>
        </w:rPr>
      </w:pPr>
    </w:p>
    <w:p w:rsidR="000D67E7" w:rsidRDefault="000D67E7" w:rsidP="005213FD">
      <w:pPr>
        <w:keepNext/>
        <w:spacing w:after="0" w:line="240" w:lineRule="auto"/>
        <w:jc w:val="both"/>
        <w:rPr>
          <w:rFonts w:ascii="Times New Roman" w:hAnsi="Times New Roman"/>
          <w:sz w:val="28"/>
          <w:szCs w:val="28"/>
        </w:rPr>
      </w:pPr>
    </w:p>
    <w:p w:rsidR="000D67E7" w:rsidRDefault="000D67E7" w:rsidP="005213FD">
      <w:pPr>
        <w:keepNext/>
        <w:spacing w:after="0" w:line="240" w:lineRule="auto"/>
        <w:jc w:val="both"/>
        <w:rPr>
          <w:rFonts w:ascii="Times New Roman" w:hAnsi="Times New Roman"/>
          <w:sz w:val="28"/>
          <w:szCs w:val="28"/>
        </w:rPr>
      </w:pPr>
    </w:p>
    <w:p w:rsidR="000D67E7" w:rsidRDefault="000D67E7" w:rsidP="005213FD">
      <w:pPr>
        <w:keepNext/>
        <w:spacing w:after="0" w:line="240" w:lineRule="auto"/>
        <w:jc w:val="both"/>
        <w:rPr>
          <w:rFonts w:ascii="Times New Roman" w:hAnsi="Times New Roman"/>
          <w:sz w:val="28"/>
          <w:szCs w:val="28"/>
        </w:rPr>
      </w:pPr>
    </w:p>
    <w:p w:rsidR="000D67E7" w:rsidRDefault="000D67E7" w:rsidP="005213FD">
      <w:pPr>
        <w:keepNext/>
        <w:spacing w:after="0" w:line="240" w:lineRule="auto"/>
        <w:jc w:val="both"/>
        <w:rPr>
          <w:rFonts w:ascii="Times New Roman" w:hAnsi="Times New Roman"/>
          <w:sz w:val="28"/>
          <w:szCs w:val="28"/>
        </w:rPr>
      </w:pPr>
    </w:p>
    <w:p w:rsidR="000D67E7" w:rsidRDefault="000D67E7" w:rsidP="005213FD">
      <w:pPr>
        <w:keepNext/>
        <w:spacing w:after="0" w:line="240" w:lineRule="auto"/>
        <w:jc w:val="both"/>
        <w:rPr>
          <w:rFonts w:ascii="Times New Roman" w:hAnsi="Times New Roman"/>
          <w:sz w:val="28"/>
          <w:szCs w:val="28"/>
        </w:rPr>
      </w:pPr>
    </w:p>
    <w:p w:rsidR="000D67E7" w:rsidRDefault="000D67E7" w:rsidP="005213FD">
      <w:pPr>
        <w:keepNext/>
        <w:spacing w:after="0" w:line="240" w:lineRule="auto"/>
        <w:jc w:val="both"/>
        <w:rPr>
          <w:rFonts w:ascii="Times New Roman" w:hAnsi="Times New Roman"/>
          <w:sz w:val="28"/>
          <w:szCs w:val="28"/>
        </w:rPr>
      </w:pPr>
    </w:p>
    <w:p w:rsidR="005213FD" w:rsidRDefault="005213FD" w:rsidP="005213FD">
      <w:pPr>
        <w:keepNext/>
        <w:spacing w:after="0" w:line="240" w:lineRule="auto"/>
        <w:jc w:val="both"/>
        <w:rPr>
          <w:rFonts w:ascii="Times New Roman" w:hAnsi="Times New Roman"/>
          <w:sz w:val="28"/>
          <w:szCs w:val="28"/>
        </w:rPr>
      </w:pPr>
    </w:p>
    <w:p w:rsidR="005213FD" w:rsidRPr="005213FD" w:rsidRDefault="005213FD" w:rsidP="005213FD">
      <w:pPr>
        <w:keepNext/>
        <w:spacing w:after="0" w:line="240" w:lineRule="auto"/>
        <w:jc w:val="both"/>
        <w:rPr>
          <w:rFonts w:ascii="Times New Roman" w:hAnsi="Times New Roman"/>
          <w:sz w:val="28"/>
          <w:szCs w:val="28"/>
        </w:rPr>
      </w:pPr>
    </w:p>
    <w:p w:rsidR="005213FD" w:rsidRPr="005213FD" w:rsidRDefault="005213FD" w:rsidP="005213FD">
      <w:pPr>
        <w:keepNext/>
        <w:spacing w:after="0" w:line="240" w:lineRule="auto"/>
        <w:jc w:val="both"/>
        <w:rPr>
          <w:rFonts w:ascii="Times New Roman" w:hAnsi="Times New Roman"/>
          <w:sz w:val="24"/>
          <w:szCs w:val="24"/>
        </w:rPr>
      </w:pPr>
    </w:p>
    <w:p w:rsidR="0058225E" w:rsidRDefault="0058225E" w:rsidP="005213FD">
      <w:pPr>
        <w:keepNext/>
        <w:spacing w:after="0" w:line="240" w:lineRule="auto"/>
        <w:jc w:val="both"/>
        <w:rPr>
          <w:rFonts w:ascii="Times New Roman" w:hAnsi="Times New Roman"/>
          <w:sz w:val="24"/>
          <w:szCs w:val="24"/>
        </w:rPr>
      </w:pPr>
      <w:r>
        <w:rPr>
          <w:rFonts w:ascii="Times New Roman" w:hAnsi="Times New Roman"/>
          <w:sz w:val="24"/>
          <w:szCs w:val="24"/>
        </w:rPr>
        <w:t>24.05.2013 10:12</w:t>
      </w:r>
    </w:p>
    <w:p w:rsidR="005213FD" w:rsidRPr="005213FD" w:rsidRDefault="005213FD" w:rsidP="005213FD">
      <w:pPr>
        <w:keepNext/>
        <w:spacing w:after="0" w:line="240" w:lineRule="auto"/>
        <w:jc w:val="both"/>
        <w:rPr>
          <w:rFonts w:ascii="Times New Roman" w:hAnsi="Times New Roman"/>
          <w:sz w:val="24"/>
          <w:szCs w:val="24"/>
        </w:rPr>
      </w:pPr>
      <w:r w:rsidRPr="005213FD">
        <w:rPr>
          <w:rFonts w:ascii="Times New Roman" w:hAnsi="Times New Roman"/>
          <w:sz w:val="24"/>
          <w:szCs w:val="24"/>
        </w:rPr>
        <w:t>I.</w:t>
      </w:r>
      <w:r>
        <w:rPr>
          <w:rFonts w:ascii="Times New Roman" w:hAnsi="Times New Roman"/>
          <w:sz w:val="24"/>
          <w:szCs w:val="24"/>
        </w:rPr>
        <w:t>Ošiņa</w:t>
      </w:r>
    </w:p>
    <w:p w:rsidR="005213FD" w:rsidRPr="005213FD" w:rsidRDefault="001952EA" w:rsidP="005213FD">
      <w:pPr>
        <w:keepNext/>
        <w:spacing w:after="0" w:line="240" w:lineRule="auto"/>
        <w:jc w:val="both"/>
        <w:rPr>
          <w:rFonts w:ascii="Times New Roman" w:hAnsi="Times New Roman"/>
          <w:sz w:val="24"/>
          <w:szCs w:val="24"/>
        </w:rPr>
      </w:pPr>
      <w:r>
        <w:fldChar w:fldCharType="begin"/>
      </w:r>
      <w:r>
        <w:instrText xml:space="preserve"> NUMWORDS   \* MERGEFORMAT </w:instrText>
      </w:r>
      <w:r>
        <w:fldChar w:fldCharType="separate"/>
      </w:r>
      <w:r w:rsidR="002A12DF" w:rsidRPr="002A12DF">
        <w:rPr>
          <w:rFonts w:ascii="Times New Roman" w:hAnsi="Times New Roman"/>
          <w:noProof/>
          <w:sz w:val="24"/>
          <w:szCs w:val="24"/>
        </w:rPr>
        <w:t>4</w:t>
      </w:r>
      <w:r w:rsidR="002A12DF">
        <w:rPr>
          <w:rFonts w:ascii="Times New Roman" w:hAnsi="Times New Roman"/>
          <w:noProof/>
          <w:sz w:val="24"/>
          <w:szCs w:val="24"/>
        </w:rPr>
        <w:t>5</w:t>
      </w:r>
      <w:r w:rsidR="00C524BB">
        <w:rPr>
          <w:rFonts w:ascii="Times New Roman" w:hAnsi="Times New Roman"/>
          <w:noProof/>
          <w:sz w:val="24"/>
          <w:szCs w:val="24"/>
        </w:rPr>
        <w:t>09</w:t>
      </w:r>
      <w:r>
        <w:rPr>
          <w:rFonts w:ascii="Times New Roman" w:hAnsi="Times New Roman"/>
          <w:noProof/>
          <w:sz w:val="24"/>
          <w:szCs w:val="24"/>
        </w:rPr>
        <w:fldChar w:fldCharType="end"/>
      </w:r>
      <w:r w:rsidR="005213FD" w:rsidRPr="005213FD">
        <w:rPr>
          <w:rFonts w:ascii="Times New Roman" w:hAnsi="Times New Roman"/>
          <w:sz w:val="24"/>
          <w:szCs w:val="24"/>
        </w:rPr>
        <w:tab/>
      </w:r>
      <w:r w:rsidR="005213FD" w:rsidRPr="005213FD">
        <w:rPr>
          <w:rFonts w:ascii="Times New Roman" w:hAnsi="Times New Roman"/>
          <w:sz w:val="24"/>
          <w:szCs w:val="24"/>
        </w:rPr>
        <w:tab/>
      </w:r>
    </w:p>
    <w:p w:rsidR="005213FD" w:rsidRPr="005213FD" w:rsidRDefault="005213FD" w:rsidP="005213FD">
      <w:pPr>
        <w:keepNext/>
        <w:spacing w:after="0" w:line="240" w:lineRule="auto"/>
        <w:jc w:val="both"/>
        <w:rPr>
          <w:rFonts w:ascii="Times New Roman" w:hAnsi="Times New Roman"/>
          <w:sz w:val="24"/>
          <w:szCs w:val="24"/>
        </w:rPr>
      </w:pPr>
      <w:r w:rsidRPr="005213FD">
        <w:rPr>
          <w:rFonts w:ascii="Times New Roman" w:hAnsi="Times New Roman"/>
          <w:sz w:val="24"/>
          <w:szCs w:val="24"/>
        </w:rPr>
        <w:t>tālr.670956</w:t>
      </w:r>
      <w:r>
        <w:rPr>
          <w:rFonts w:ascii="Times New Roman" w:hAnsi="Times New Roman"/>
          <w:sz w:val="24"/>
          <w:szCs w:val="24"/>
        </w:rPr>
        <w:t>62</w:t>
      </w:r>
      <w:r w:rsidRPr="005213FD">
        <w:rPr>
          <w:rFonts w:ascii="Times New Roman" w:hAnsi="Times New Roman"/>
          <w:sz w:val="24"/>
          <w:szCs w:val="24"/>
        </w:rPr>
        <w:t>; fakss 67095541</w:t>
      </w:r>
    </w:p>
    <w:p w:rsidR="005213FD" w:rsidRPr="005213FD" w:rsidRDefault="005213FD" w:rsidP="005213FD">
      <w:pPr>
        <w:keepNext/>
        <w:spacing w:after="0" w:line="240" w:lineRule="auto"/>
        <w:jc w:val="both"/>
        <w:rPr>
          <w:rFonts w:ascii="Times New Roman" w:hAnsi="Times New Roman"/>
          <w:sz w:val="24"/>
          <w:szCs w:val="24"/>
        </w:rPr>
      </w:pPr>
      <w:r w:rsidRPr="005213FD">
        <w:rPr>
          <w:rFonts w:ascii="Times New Roman" w:hAnsi="Times New Roman"/>
          <w:sz w:val="24"/>
          <w:szCs w:val="24"/>
        </w:rPr>
        <w:t>In</w:t>
      </w:r>
      <w:r>
        <w:rPr>
          <w:rFonts w:ascii="Times New Roman" w:hAnsi="Times New Roman"/>
          <w:sz w:val="24"/>
          <w:szCs w:val="24"/>
        </w:rPr>
        <w:t>ga</w:t>
      </w:r>
      <w:r w:rsidRPr="005213FD">
        <w:rPr>
          <w:rFonts w:ascii="Times New Roman" w:hAnsi="Times New Roman"/>
          <w:sz w:val="24"/>
          <w:szCs w:val="24"/>
        </w:rPr>
        <w:t>.</w:t>
      </w:r>
      <w:r>
        <w:rPr>
          <w:rFonts w:ascii="Times New Roman" w:hAnsi="Times New Roman"/>
          <w:sz w:val="24"/>
          <w:szCs w:val="24"/>
        </w:rPr>
        <w:t>Osina</w:t>
      </w:r>
      <w:r w:rsidRPr="005213FD">
        <w:rPr>
          <w:rFonts w:ascii="Times New Roman" w:hAnsi="Times New Roman"/>
          <w:sz w:val="24"/>
          <w:szCs w:val="24"/>
        </w:rPr>
        <w:t>@fm.gov.lv</w:t>
      </w:r>
    </w:p>
    <w:sectPr w:rsidR="005213FD" w:rsidRPr="005213FD" w:rsidSect="00122563">
      <w:headerReference w:type="default" r:id="rId36"/>
      <w:pgSz w:w="12240" w:h="15840"/>
      <w:pgMar w:top="1440" w:right="1134" w:bottom="1247" w:left="1701" w:header="720" w:footer="539"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2EA" w:rsidRDefault="001952EA" w:rsidP="003155A6">
      <w:pPr>
        <w:spacing w:after="0" w:line="240" w:lineRule="auto"/>
      </w:pPr>
      <w:r>
        <w:separator/>
      </w:r>
    </w:p>
  </w:endnote>
  <w:endnote w:type="continuationSeparator" w:id="0">
    <w:p w:rsidR="001952EA" w:rsidRDefault="001952EA" w:rsidP="00315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EYInterstate Light">
    <w:altName w:val="Franklin Gothic Medium Cond"/>
    <w:charset w:val="BA"/>
    <w:family w:val="auto"/>
    <w:pitch w:val="variable"/>
    <w:sig w:usb0="00000001" w:usb1="5000206A"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069" w:rsidRPr="00D754A4" w:rsidRDefault="00836069">
    <w:pPr>
      <w:pStyle w:val="Footer"/>
      <w:rPr>
        <w:rFonts w:ascii="Times New Roman" w:hAnsi="Times New Roman"/>
        <w:sz w:val="18"/>
        <w:szCs w:val="18"/>
      </w:rPr>
    </w:pPr>
    <w:r w:rsidRPr="00D754A4">
      <w:rPr>
        <w:rFonts w:ascii="Times New Roman" w:hAnsi="Times New Roman"/>
        <w:sz w:val="18"/>
        <w:szCs w:val="18"/>
      </w:rPr>
      <w:t>FMInf</w:t>
    </w:r>
    <w:r>
      <w:rPr>
        <w:rFonts w:ascii="Times New Roman" w:hAnsi="Times New Roman"/>
        <w:sz w:val="18"/>
        <w:szCs w:val="18"/>
      </w:rPr>
      <w:t>_23052013</w:t>
    </w:r>
    <w:r w:rsidRPr="00D754A4">
      <w:rPr>
        <w:rFonts w:ascii="Times New Roman" w:hAnsi="Times New Roman"/>
        <w:sz w:val="18"/>
        <w:szCs w:val="18"/>
      </w:rPr>
      <w:t>; Informatīv</w:t>
    </w:r>
    <w:r>
      <w:rPr>
        <w:rFonts w:ascii="Times New Roman" w:hAnsi="Times New Roman"/>
        <w:sz w:val="18"/>
        <w:szCs w:val="18"/>
      </w:rPr>
      <w:t>ā ziņojuma</w:t>
    </w:r>
    <w:r w:rsidRPr="00D754A4">
      <w:rPr>
        <w:rFonts w:ascii="Times New Roman" w:hAnsi="Times New Roman"/>
        <w:sz w:val="18"/>
        <w:szCs w:val="18"/>
      </w:rPr>
      <w:t xml:space="preserve"> </w:t>
    </w:r>
    <w:r>
      <w:rPr>
        <w:rFonts w:ascii="Times New Roman" w:hAnsi="Times New Roman"/>
        <w:sz w:val="18"/>
        <w:szCs w:val="18"/>
      </w:rPr>
      <w:t>„P</w:t>
    </w:r>
    <w:r w:rsidRPr="00D754A4">
      <w:rPr>
        <w:rFonts w:ascii="Times New Roman" w:hAnsi="Times New Roman"/>
        <w:sz w:val="18"/>
        <w:szCs w:val="18"/>
      </w:rPr>
      <w:t>ar iespējām pakāpeniski izlīdzināt atlīdzības fondus valsts tiešās pārvaldes iestādēm, lai nodrošinātu līdzvērtīgu atlīdzību līdzīgiem amatiem dažādās iestādēs</w:t>
    </w:r>
    <w:r>
      <w:rPr>
        <w:rFonts w:ascii="Times New Roman" w:hAnsi="Times New Roman"/>
        <w:sz w:val="18"/>
        <w:szCs w:val="18"/>
      </w:rPr>
      <w:t>” projekts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2EA" w:rsidRDefault="001952EA" w:rsidP="003155A6">
      <w:pPr>
        <w:spacing w:after="0" w:line="240" w:lineRule="auto"/>
      </w:pPr>
      <w:r>
        <w:separator/>
      </w:r>
    </w:p>
  </w:footnote>
  <w:footnote w:type="continuationSeparator" w:id="0">
    <w:p w:rsidR="001952EA" w:rsidRDefault="001952EA" w:rsidP="003155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2465984"/>
      <w:docPartObj>
        <w:docPartGallery w:val="Page Numbers (Top of Page)"/>
        <w:docPartUnique/>
      </w:docPartObj>
    </w:sdtPr>
    <w:sdtEndPr>
      <w:rPr>
        <w:noProof/>
      </w:rPr>
    </w:sdtEndPr>
    <w:sdtContent>
      <w:p w:rsidR="00836069" w:rsidRDefault="00836069">
        <w:pPr>
          <w:pStyle w:val="Header"/>
          <w:jc w:val="center"/>
        </w:pPr>
        <w:r>
          <w:fldChar w:fldCharType="begin"/>
        </w:r>
        <w:r>
          <w:instrText xml:space="preserve"> PAGE   \* MERGEFORMAT </w:instrText>
        </w:r>
        <w:r>
          <w:fldChar w:fldCharType="separate"/>
        </w:r>
        <w:r w:rsidR="00FD71AB">
          <w:rPr>
            <w:noProof/>
          </w:rPr>
          <w:t>32</w:t>
        </w:r>
        <w:r>
          <w:rPr>
            <w:noProof/>
          </w:rPr>
          <w:fldChar w:fldCharType="end"/>
        </w:r>
      </w:p>
    </w:sdtContent>
  </w:sdt>
  <w:p w:rsidR="00836069" w:rsidRPr="009813FA" w:rsidRDefault="00836069" w:rsidP="009813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6E41BF2"/>
    <w:lvl w:ilvl="0">
      <w:numFmt w:val="bullet"/>
      <w:lvlText w:val="*"/>
      <w:lvlJc w:val="left"/>
    </w:lvl>
  </w:abstractNum>
  <w:abstractNum w:abstractNumId="1">
    <w:nsid w:val="07B42C86"/>
    <w:multiLevelType w:val="hybridMultilevel"/>
    <w:tmpl w:val="C74C5124"/>
    <w:lvl w:ilvl="0" w:tplc="A794427A">
      <w:start w:val="6"/>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7EF7BC3"/>
    <w:multiLevelType w:val="multilevel"/>
    <w:tmpl w:val="818E952E"/>
    <w:lvl w:ilvl="0">
      <w:start w:val="1"/>
      <w:numFmt w:val="decimal"/>
      <w:lvlText w:val="%1."/>
      <w:lvlJc w:val="left"/>
      <w:pPr>
        <w:ind w:left="450" w:hanging="450"/>
      </w:pPr>
      <w:rPr>
        <w:rFonts w:hint="default"/>
      </w:rPr>
    </w:lvl>
    <w:lvl w:ilvl="1">
      <w:start w:val="1"/>
      <w:numFmt w:val="lowerLetter"/>
      <w:lvlText w:val="%2)"/>
      <w:lvlJc w:val="left"/>
      <w:pPr>
        <w:ind w:left="720" w:hanging="72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8E2775A"/>
    <w:multiLevelType w:val="multilevel"/>
    <w:tmpl w:val="F824337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5493617"/>
    <w:multiLevelType w:val="multilevel"/>
    <w:tmpl w:val="4184C886"/>
    <w:lvl w:ilvl="0">
      <w:start w:val="1"/>
      <w:numFmt w:val="upperRoman"/>
      <w:lvlText w:val="%1."/>
      <w:lvlJc w:val="left"/>
      <w:pPr>
        <w:ind w:left="1080" w:hanging="72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7816A88"/>
    <w:multiLevelType w:val="hybridMultilevel"/>
    <w:tmpl w:val="020AA31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1B071268"/>
    <w:multiLevelType w:val="hybridMultilevel"/>
    <w:tmpl w:val="8960C4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1E1C47DF"/>
    <w:multiLevelType w:val="multilevel"/>
    <w:tmpl w:val="4184C886"/>
    <w:lvl w:ilvl="0">
      <w:start w:val="1"/>
      <w:numFmt w:val="upperRoman"/>
      <w:lvlText w:val="%1."/>
      <w:lvlJc w:val="left"/>
      <w:pPr>
        <w:ind w:left="1080" w:hanging="72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F176E91"/>
    <w:multiLevelType w:val="multilevel"/>
    <w:tmpl w:val="1CF0ABC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02304BF"/>
    <w:multiLevelType w:val="multilevel"/>
    <w:tmpl w:val="A73AC55E"/>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208F4938"/>
    <w:multiLevelType w:val="hybridMultilevel"/>
    <w:tmpl w:val="A7366DC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20B57588"/>
    <w:multiLevelType w:val="hybridMultilevel"/>
    <w:tmpl w:val="3BE650EA"/>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26AE2C29"/>
    <w:multiLevelType w:val="hybridMultilevel"/>
    <w:tmpl w:val="6B0E7E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0938BE"/>
    <w:multiLevelType w:val="hybridMultilevel"/>
    <w:tmpl w:val="FC5E28A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2F520F97"/>
    <w:multiLevelType w:val="hybridMultilevel"/>
    <w:tmpl w:val="6CC668CE"/>
    <w:lvl w:ilvl="0" w:tplc="2B8C10A8">
      <w:start w:val="1"/>
      <w:numFmt w:val="decimal"/>
      <w:lvlText w:val="%1."/>
      <w:lvlJc w:val="left"/>
      <w:pPr>
        <w:tabs>
          <w:tab w:val="num" w:pos="720"/>
        </w:tabs>
        <w:ind w:left="720" w:hanging="360"/>
      </w:pPr>
    </w:lvl>
    <w:lvl w:ilvl="1" w:tplc="4B80BE40" w:tentative="1">
      <w:start w:val="1"/>
      <w:numFmt w:val="decimal"/>
      <w:lvlText w:val="%2."/>
      <w:lvlJc w:val="left"/>
      <w:pPr>
        <w:tabs>
          <w:tab w:val="num" w:pos="1440"/>
        </w:tabs>
        <w:ind w:left="1440" w:hanging="360"/>
      </w:pPr>
    </w:lvl>
    <w:lvl w:ilvl="2" w:tplc="471C6446" w:tentative="1">
      <w:start w:val="1"/>
      <w:numFmt w:val="decimal"/>
      <w:lvlText w:val="%3."/>
      <w:lvlJc w:val="left"/>
      <w:pPr>
        <w:tabs>
          <w:tab w:val="num" w:pos="2160"/>
        </w:tabs>
        <w:ind w:left="2160" w:hanging="360"/>
      </w:pPr>
    </w:lvl>
    <w:lvl w:ilvl="3" w:tplc="591290F2" w:tentative="1">
      <w:start w:val="1"/>
      <w:numFmt w:val="decimal"/>
      <w:lvlText w:val="%4."/>
      <w:lvlJc w:val="left"/>
      <w:pPr>
        <w:tabs>
          <w:tab w:val="num" w:pos="2880"/>
        </w:tabs>
        <w:ind w:left="2880" w:hanging="360"/>
      </w:pPr>
    </w:lvl>
    <w:lvl w:ilvl="4" w:tplc="0F1E3CBC" w:tentative="1">
      <w:start w:val="1"/>
      <w:numFmt w:val="decimal"/>
      <w:lvlText w:val="%5."/>
      <w:lvlJc w:val="left"/>
      <w:pPr>
        <w:tabs>
          <w:tab w:val="num" w:pos="3600"/>
        </w:tabs>
        <w:ind w:left="3600" w:hanging="360"/>
      </w:pPr>
    </w:lvl>
    <w:lvl w:ilvl="5" w:tplc="6F0ED180" w:tentative="1">
      <w:start w:val="1"/>
      <w:numFmt w:val="decimal"/>
      <w:lvlText w:val="%6."/>
      <w:lvlJc w:val="left"/>
      <w:pPr>
        <w:tabs>
          <w:tab w:val="num" w:pos="4320"/>
        </w:tabs>
        <w:ind w:left="4320" w:hanging="360"/>
      </w:pPr>
    </w:lvl>
    <w:lvl w:ilvl="6" w:tplc="A4EEC9C4" w:tentative="1">
      <w:start w:val="1"/>
      <w:numFmt w:val="decimal"/>
      <w:lvlText w:val="%7."/>
      <w:lvlJc w:val="left"/>
      <w:pPr>
        <w:tabs>
          <w:tab w:val="num" w:pos="5040"/>
        </w:tabs>
        <w:ind w:left="5040" w:hanging="360"/>
      </w:pPr>
    </w:lvl>
    <w:lvl w:ilvl="7" w:tplc="DBE6975A" w:tentative="1">
      <w:start w:val="1"/>
      <w:numFmt w:val="decimal"/>
      <w:lvlText w:val="%8."/>
      <w:lvlJc w:val="left"/>
      <w:pPr>
        <w:tabs>
          <w:tab w:val="num" w:pos="5760"/>
        </w:tabs>
        <w:ind w:left="5760" w:hanging="360"/>
      </w:pPr>
    </w:lvl>
    <w:lvl w:ilvl="8" w:tplc="002CF16A" w:tentative="1">
      <w:start w:val="1"/>
      <w:numFmt w:val="decimal"/>
      <w:lvlText w:val="%9."/>
      <w:lvlJc w:val="left"/>
      <w:pPr>
        <w:tabs>
          <w:tab w:val="num" w:pos="6480"/>
        </w:tabs>
        <w:ind w:left="6480" w:hanging="360"/>
      </w:pPr>
    </w:lvl>
  </w:abstractNum>
  <w:abstractNum w:abstractNumId="15">
    <w:nsid w:val="2F6B5293"/>
    <w:multiLevelType w:val="multilevel"/>
    <w:tmpl w:val="BC660A62"/>
    <w:lvl w:ilvl="0">
      <w:start w:val="1"/>
      <w:numFmt w:val="decimal"/>
      <w:lvlText w:val="%1."/>
      <w:lvlJc w:val="left"/>
      <w:pPr>
        <w:ind w:left="675" w:hanging="675"/>
      </w:pPr>
      <w:rPr>
        <w:rFonts w:ascii="Times New Roman" w:eastAsia="Times New Roman" w:hAnsi="Times New Roman" w:cs="Times New Roman"/>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6">
    <w:nsid w:val="38B127BC"/>
    <w:multiLevelType w:val="hybridMultilevel"/>
    <w:tmpl w:val="ABFA3DE8"/>
    <w:lvl w:ilvl="0" w:tplc="04260017">
      <w:start w:val="1"/>
      <w:numFmt w:val="lowerLetter"/>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38C1720A"/>
    <w:multiLevelType w:val="hybridMultilevel"/>
    <w:tmpl w:val="8466A9AE"/>
    <w:lvl w:ilvl="0" w:tplc="1AA81E56">
      <w:start w:val="1"/>
      <w:numFmt w:val="bullet"/>
      <w:lvlText w:val="•"/>
      <w:lvlJc w:val="left"/>
      <w:pPr>
        <w:tabs>
          <w:tab w:val="num" w:pos="720"/>
        </w:tabs>
        <w:ind w:left="720" w:hanging="360"/>
      </w:pPr>
      <w:rPr>
        <w:rFonts w:ascii="Arial" w:hAnsi="Arial" w:hint="default"/>
      </w:rPr>
    </w:lvl>
    <w:lvl w:ilvl="1" w:tplc="4B2406CC" w:tentative="1">
      <w:start w:val="1"/>
      <w:numFmt w:val="bullet"/>
      <w:lvlText w:val="•"/>
      <w:lvlJc w:val="left"/>
      <w:pPr>
        <w:tabs>
          <w:tab w:val="num" w:pos="1440"/>
        </w:tabs>
        <w:ind w:left="1440" w:hanging="360"/>
      </w:pPr>
      <w:rPr>
        <w:rFonts w:ascii="Arial" w:hAnsi="Arial" w:hint="default"/>
      </w:rPr>
    </w:lvl>
    <w:lvl w:ilvl="2" w:tplc="3988948E" w:tentative="1">
      <w:start w:val="1"/>
      <w:numFmt w:val="bullet"/>
      <w:lvlText w:val="•"/>
      <w:lvlJc w:val="left"/>
      <w:pPr>
        <w:tabs>
          <w:tab w:val="num" w:pos="2160"/>
        </w:tabs>
        <w:ind w:left="2160" w:hanging="360"/>
      </w:pPr>
      <w:rPr>
        <w:rFonts w:ascii="Arial" w:hAnsi="Arial" w:hint="default"/>
      </w:rPr>
    </w:lvl>
    <w:lvl w:ilvl="3" w:tplc="7892FBCE" w:tentative="1">
      <w:start w:val="1"/>
      <w:numFmt w:val="bullet"/>
      <w:lvlText w:val="•"/>
      <w:lvlJc w:val="left"/>
      <w:pPr>
        <w:tabs>
          <w:tab w:val="num" w:pos="2880"/>
        </w:tabs>
        <w:ind w:left="2880" w:hanging="360"/>
      </w:pPr>
      <w:rPr>
        <w:rFonts w:ascii="Arial" w:hAnsi="Arial" w:hint="default"/>
      </w:rPr>
    </w:lvl>
    <w:lvl w:ilvl="4" w:tplc="9BDCC55A" w:tentative="1">
      <w:start w:val="1"/>
      <w:numFmt w:val="bullet"/>
      <w:lvlText w:val="•"/>
      <w:lvlJc w:val="left"/>
      <w:pPr>
        <w:tabs>
          <w:tab w:val="num" w:pos="3600"/>
        </w:tabs>
        <w:ind w:left="3600" w:hanging="360"/>
      </w:pPr>
      <w:rPr>
        <w:rFonts w:ascii="Arial" w:hAnsi="Arial" w:hint="default"/>
      </w:rPr>
    </w:lvl>
    <w:lvl w:ilvl="5" w:tplc="CAD0283C" w:tentative="1">
      <w:start w:val="1"/>
      <w:numFmt w:val="bullet"/>
      <w:lvlText w:val="•"/>
      <w:lvlJc w:val="left"/>
      <w:pPr>
        <w:tabs>
          <w:tab w:val="num" w:pos="4320"/>
        </w:tabs>
        <w:ind w:left="4320" w:hanging="360"/>
      </w:pPr>
      <w:rPr>
        <w:rFonts w:ascii="Arial" w:hAnsi="Arial" w:hint="default"/>
      </w:rPr>
    </w:lvl>
    <w:lvl w:ilvl="6" w:tplc="D4C8847C" w:tentative="1">
      <w:start w:val="1"/>
      <w:numFmt w:val="bullet"/>
      <w:lvlText w:val="•"/>
      <w:lvlJc w:val="left"/>
      <w:pPr>
        <w:tabs>
          <w:tab w:val="num" w:pos="5040"/>
        </w:tabs>
        <w:ind w:left="5040" w:hanging="360"/>
      </w:pPr>
      <w:rPr>
        <w:rFonts w:ascii="Arial" w:hAnsi="Arial" w:hint="default"/>
      </w:rPr>
    </w:lvl>
    <w:lvl w:ilvl="7" w:tplc="00AE9626" w:tentative="1">
      <w:start w:val="1"/>
      <w:numFmt w:val="bullet"/>
      <w:lvlText w:val="•"/>
      <w:lvlJc w:val="left"/>
      <w:pPr>
        <w:tabs>
          <w:tab w:val="num" w:pos="5760"/>
        </w:tabs>
        <w:ind w:left="5760" w:hanging="360"/>
      </w:pPr>
      <w:rPr>
        <w:rFonts w:ascii="Arial" w:hAnsi="Arial" w:hint="default"/>
      </w:rPr>
    </w:lvl>
    <w:lvl w:ilvl="8" w:tplc="CE483DE4" w:tentative="1">
      <w:start w:val="1"/>
      <w:numFmt w:val="bullet"/>
      <w:lvlText w:val="•"/>
      <w:lvlJc w:val="left"/>
      <w:pPr>
        <w:tabs>
          <w:tab w:val="num" w:pos="6480"/>
        </w:tabs>
        <w:ind w:left="6480" w:hanging="360"/>
      </w:pPr>
      <w:rPr>
        <w:rFonts w:ascii="Arial" w:hAnsi="Arial" w:hint="default"/>
      </w:rPr>
    </w:lvl>
  </w:abstractNum>
  <w:abstractNum w:abstractNumId="18">
    <w:nsid w:val="398E3672"/>
    <w:multiLevelType w:val="hybridMultilevel"/>
    <w:tmpl w:val="F56E0CBE"/>
    <w:lvl w:ilvl="0" w:tplc="44CA76E0">
      <w:start w:val="6"/>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3F8A531D"/>
    <w:multiLevelType w:val="multilevel"/>
    <w:tmpl w:val="774409E2"/>
    <w:lvl w:ilvl="0">
      <w:start w:val="3"/>
      <w:numFmt w:val="decimal"/>
      <w:lvlText w:val="%1."/>
      <w:lvlJc w:val="left"/>
      <w:pPr>
        <w:ind w:left="675" w:hanging="675"/>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0">
    <w:nsid w:val="463348E4"/>
    <w:multiLevelType w:val="multilevel"/>
    <w:tmpl w:val="4D3448BE"/>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466D0761"/>
    <w:multiLevelType w:val="hybridMultilevel"/>
    <w:tmpl w:val="A7366D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49521958"/>
    <w:multiLevelType w:val="hybridMultilevel"/>
    <w:tmpl w:val="F73ECEAE"/>
    <w:lvl w:ilvl="0" w:tplc="6608AF98">
      <w:start w:val="1"/>
      <w:numFmt w:val="decimal"/>
      <w:lvlText w:val="%1."/>
      <w:lvlJc w:val="left"/>
      <w:pPr>
        <w:tabs>
          <w:tab w:val="num" w:pos="720"/>
        </w:tabs>
        <w:ind w:left="720" w:hanging="360"/>
      </w:pPr>
    </w:lvl>
    <w:lvl w:ilvl="1" w:tplc="0D62EE82" w:tentative="1">
      <w:start w:val="1"/>
      <w:numFmt w:val="decimal"/>
      <w:lvlText w:val="%2."/>
      <w:lvlJc w:val="left"/>
      <w:pPr>
        <w:tabs>
          <w:tab w:val="num" w:pos="1440"/>
        </w:tabs>
        <w:ind w:left="1440" w:hanging="360"/>
      </w:pPr>
    </w:lvl>
    <w:lvl w:ilvl="2" w:tplc="B4103BBC" w:tentative="1">
      <w:start w:val="1"/>
      <w:numFmt w:val="decimal"/>
      <w:lvlText w:val="%3."/>
      <w:lvlJc w:val="left"/>
      <w:pPr>
        <w:tabs>
          <w:tab w:val="num" w:pos="2160"/>
        </w:tabs>
        <w:ind w:left="2160" w:hanging="360"/>
      </w:pPr>
    </w:lvl>
    <w:lvl w:ilvl="3" w:tplc="062AD428" w:tentative="1">
      <w:start w:val="1"/>
      <w:numFmt w:val="decimal"/>
      <w:lvlText w:val="%4."/>
      <w:lvlJc w:val="left"/>
      <w:pPr>
        <w:tabs>
          <w:tab w:val="num" w:pos="2880"/>
        </w:tabs>
        <w:ind w:left="2880" w:hanging="360"/>
      </w:pPr>
    </w:lvl>
    <w:lvl w:ilvl="4" w:tplc="883CF2E8" w:tentative="1">
      <w:start w:val="1"/>
      <w:numFmt w:val="decimal"/>
      <w:lvlText w:val="%5."/>
      <w:lvlJc w:val="left"/>
      <w:pPr>
        <w:tabs>
          <w:tab w:val="num" w:pos="3600"/>
        </w:tabs>
        <w:ind w:left="3600" w:hanging="360"/>
      </w:pPr>
    </w:lvl>
    <w:lvl w:ilvl="5" w:tplc="2D94F122" w:tentative="1">
      <w:start w:val="1"/>
      <w:numFmt w:val="decimal"/>
      <w:lvlText w:val="%6."/>
      <w:lvlJc w:val="left"/>
      <w:pPr>
        <w:tabs>
          <w:tab w:val="num" w:pos="4320"/>
        </w:tabs>
        <w:ind w:left="4320" w:hanging="360"/>
      </w:pPr>
    </w:lvl>
    <w:lvl w:ilvl="6" w:tplc="68645CE8" w:tentative="1">
      <w:start w:val="1"/>
      <w:numFmt w:val="decimal"/>
      <w:lvlText w:val="%7."/>
      <w:lvlJc w:val="left"/>
      <w:pPr>
        <w:tabs>
          <w:tab w:val="num" w:pos="5040"/>
        </w:tabs>
        <w:ind w:left="5040" w:hanging="360"/>
      </w:pPr>
    </w:lvl>
    <w:lvl w:ilvl="7" w:tplc="A50EB5B6" w:tentative="1">
      <w:start w:val="1"/>
      <w:numFmt w:val="decimal"/>
      <w:lvlText w:val="%8."/>
      <w:lvlJc w:val="left"/>
      <w:pPr>
        <w:tabs>
          <w:tab w:val="num" w:pos="5760"/>
        </w:tabs>
        <w:ind w:left="5760" w:hanging="360"/>
      </w:pPr>
    </w:lvl>
    <w:lvl w:ilvl="8" w:tplc="962ECF96" w:tentative="1">
      <w:start w:val="1"/>
      <w:numFmt w:val="decimal"/>
      <w:lvlText w:val="%9."/>
      <w:lvlJc w:val="left"/>
      <w:pPr>
        <w:tabs>
          <w:tab w:val="num" w:pos="6480"/>
        </w:tabs>
        <w:ind w:left="6480" w:hanging="360"/>
      </w:pPr>
    </w:lvl>
  </w:abstractNum>
  <w:abstractNum w:abstractNumId="23">
    <w:nsid w:val="4D056D4C"/>
    <w:multiLevelType w:val="multilevel"/>
    <w:tmpl w:val="357AF250"/>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510A29A2"/>
    <w:multiLevelType w:val="multilevel"/>
    <w:tmpl w:val="C4744988"/>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AF81C12"/>
    <w:multiLevelType w:val="hybridMultilevel"/>
    <w:tmpl w:val="BE9863BA"/>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66647528">
      <w:start w:val="2"/>
      <w:numFmt w:val="bullet"/>
      <w:lvlText w:val="-"/>
      <w:lvlJc w:val="left"/>
      <w:pPr>
        <w:ind w:left="2340" w:hanging="360"/>
      </w:pPr>
      <w:rPr>
        <w:rFonts w:ascii="Times New Roman" w:eastAsia="Times New Roman" w:hAnsi="Times New Roman" w:cs="Times New Roman"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66E528F1"/>
    <w:multiLevelType w:val="hybridMultilevel"/>
    <w:tmpl w:val="5C50D80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nsid w:val="6800199D"/>
    <w:multiLevelType w:val="hybridMultilevel"/>
    <w:tmpl w:val="67046D0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EED2437"/>
    <w:multiLevelType w:val="hybridMultilevel"/>
    <w:tmpl w:val="0966F27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7"/>
  </w:num>
  <w:num w:numId="3">
    <w:abstractNumId w:val="12"/>
  </w:num>
  <w:num w:numId="4">
    <w:abstractNumId w:val="27"/>
  </w:num>
  <w:num w:numId="5">
    <w:abstractNumId w:val="2"/>
  </w:num>
  <w:num w:numId="6">
    <w:abstractNumId w:val="6"/>
  </w:num>
  <w:num w:numId="7">
    <w:abstractNumId w:val="23"/>
  </w:num>
  <w:num w:numId="8">
    <w:abstractNumId w:val="5"/>
  </w:num>
  <w:num w:numId="9">
    <w:abstractNumId w:val="20"/>
  </w:num>
  <w:num w:numId="10">
    <w:abstractNumId w:val="9"/>
  </w:num>
  <w:num w:numId="11">
    <w:abstractNumId w:val="3"/>
  </w:num>
  <w:num w:numId="12">
    <w:abstractNumId w:val="17"/>
  </w:num>
  <w:num w:numId="13">
    <w:abstractNumId w:val="19"/>
  </w:num>
  <w:num w:numId="14">
    <w:abstractNumId w:val="15"/>
  </w:num>
  <w:num w:numId="15">
    <w:abstractNumId w:val="13"/>
  </w:num>
  <w:num w:numId="16">
    <w:abstractNumId w:val="21"/>
  </w:num>
  <w:num w:numId="17">
    <w:abstractNumId w:val="25"/>
  </w:num>
  <w:num w:numId="18">
    <w:abstractNumId w:val="26"/>
  </w:num>
  <w:num w:numId="19">
    <w:abstractNumId w:val="11"/>
  </w:num>
  <w:num w:numId="20">
    <w:abstractNumId w:val="28"/>
  </w:num>
  <w:num w:numId="21">
    <w:abstractNumId w:val="4"/>
  </w:num>
  <w:num w:numId="22">
    <w:abstractNumId w:val="18"/>
  </w:num>
  <w:num w:numId="23">
    <w:abstractNumId w:val="24"/>
  </w:num>
  <w:num w:numId="24">
    <w:abstractNumId w:val="1"/>
  </w:num>
  <w:num w:numId="25">
    <w:abstractNumId w:val="14"/>
  </w:num>
  <w:num w:numId="26">
    <w:abstractNumId w:val="10"/>
  </w:num>
  <w:num w:numId="27">
    <w:abstractNumId w:val="22"/>
  </w:num>
  <w:num w:numId="28">
    <w:abstractNumId w:val="16"/>
  </w:num>
  <w:num w:numId="29">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BA0"/>
    <w:rsid w:val="00002F85"/>
    <w:rsid w:val="00003E10"/>
    <w:rsid w:val="000051B0"/>
    <w:rsid w:val="000053A9"/>
    <w:rsid w:val="000058F3"/>
    <w:rsid w:val="00005A01"/>
    <w:rsid w:val="00005BF4"/>
    <w:rsid w:val="00006097"/>
    <w:rsid w:val="0001143C"/>
    <w:rsid w:val="00011B69"/>
    <w:rsid w:val="00013E19"/>
    <w:rsid w:val="00013F25"/>
    <w:rsid w:val="00014FDC"/>
    <w:rsid w:val="0001695A"/>
    <w:rsid w:val="000179BF"/>
    <w:rsid w:val="00017C88"/>
    <w:rsid w:val="00020BE4"/>
    <w:rsid w:val="00022414"/>
    <w:rsid w:val="0002404E"/>
    <w:rsid w:val="00024524"/>
    <w:rsid w:val="00026768"/>
    <w:rsid w:val="000269A5"/>
    <w:rsid w:val="00026B9B"/>
    <w:rsid w:val="00030731"/>
    <w:rsid w:val="000316FB"/>
    <w:rsid w:val="0003286F"/>
    <w:rsid w:val="000350F8"/>
    <w:rsid w:val="00035FEC"/>
    <w:rsid w:val="00036188"/>
    <w:rsid w:val="00037B6A"/>
    <w:rsid w:val="000421A5"/>
    <w:rsid w:val="0004272D"/>
    <w:rsid w:val="00043223"/>
    <w:rsid w:val="0004340F"/>
    <w:rsid w:val="00043B99"/>
    <w:rsid w:val="00043C4A"/>
    <w:rsid w:val="00043C6B"/>
    <w:rsid w:val="0004494D"/>
    <w:rsid w:val="00045E1E"/>
    <w:rsid w:val="00045ED0"/>
    <w:rsid w:val="000472BB"/>
    <w:rsid w:val="00047E6C"/>
    <w:rsid w:val="00050C63"/>
    <w:rsid w:val="000512DE"/>
    <w:rsid w:val="0005225E"/>
    <w:rsid w:val="00052A1B"/>
    <w:rsid w:val="00053FAE"/>
    <w:rsid w:val="0005411D"/>
    <w:rsid w:val="000544E4"/>
    <w:rsid w:val="00054E9C"/>
    <w:rsid w:val="00056A2F"/>
    <w:rsid w:val="00057157"/>
    <w:rsid w:val="00057D5F"/>
    <w:rsid w:val="0006047E"/>
    <w:rsid w:val="00060F46"/>
    <w:rsid w:val="000612D1"/>
    <w:rsid w:val="0006414B"/>
    <w:rsid w:val="000652C8"/>
    <w:rsid w:val="00065F10"/>
    <w:rsid w:val="000668B5"/>
    <w:rsid w:val="00066AF5"/>
    <w:rsid w:val="000700E3"/>
    <w:rsid w:val="00070AEF"/>
    <w:rsid w:val="000716AA"/>
    <w:rsid w:val="0007473A"/>
    <w:rsid w:val="0007559C"/>
    <w:rsid w:val="00076FCF"/>
    <w:rsid w:val="0007786B"/>
    <w:rsid w:val="00077969"/>
    <w:rsid w:val="00077B75"/>
    <w:rsid w:val="000803D9"/>
    <w:rsid w:val="00081B13"/>
    <w:rsid w:val="00087120"/>
    <w:rsid w:val="000904FC"/>
    <w:rsid w:val="000905CD"/>
    <w:rsid w:val="00090672"/>
    <w:rsid w:val="00092C48"/>
    <w:rsid w:val="000935CB"/>
    <w:rsid w:val="00093A24"/>
    <w:rsid w:val="00094CD3"/>
    <w:rsid w:val="000951B3"/>
    <w:rsid w:val="00095A93"/>
    <w:rsid w:val="00095DE7"/>
    <w:rsid w:val="00095EF5"/>
    <w:rsid w:val="000964A7"/>
    <w:rsid w:val="0009777B"/>
    <w:rsid w:val="000A1697"/>
    <w:rsid w:val="000A2015"/>
    <w:rsid w:val="000A2280"/>
    <w:rsid w:val="000A3786"/>
    <w:rsid w:val="000A46B3"/>
    <w:rsid w:val="000A4774"/>
    <w:rsid w:val="000B1F95"/>
    <w:rsid w:val="000B45FE"/>
    <w:rsid w:val="000B4F26"/>
    <w:rsid w:val="000B569A"/>
    <w:rsid w:val="000C1DD9"/>
    <w:rsid w:val="000C2F1D"/>
    <w:rsid w:val="000C582A"/>
    <w:rsid w:val="000C6A4A"/>
    <w:rsid w:val="000C6DF0"/>
    <w:rsid w:val="000C7344"/>
    <w:rsid w:val="000D0199"/>
    <w:rsid w:val="000D0A68"/>
    <w:rsid w:val="000D0D12"/>
    <w:rsid w:val="000D2371"/>
    <w:rsid w:val="000D4168"/>
    <w:rsid w:val="000D5A5D"/>
    <w:rsid w:val="000D6270"/>
    <w:rsid w:val="000D67E7"/>
    <w:rsid w:val="000D6F66"/>
    <w:rsid w:val="000E06B4"/>
    <w:rsid w:val="000E0C15"/>
    <w:rsid w:val="000E1524"/>
    <w:rsid w:val="000E1B2E"/>
    <w:rsid w:val="000E2B3A"/>
    <w:rsid w:val="000E39E1"/>
    <w:rsid w:val="000E5023"/>
    <w:rsid w:val="000E630F"/>
    <w:rsid w:val="000E6CDC"/>
    <w:rsid w:val="000E742F"/>
    <w:rsid w:val="000F07C5"/>
    <w:rsid w:val="000F0EC5"/>
    <w:rsid w:val="000F178F"/>
    <w:rsid w:val="000F2015"/>
    <w:rsid w:val="000F205E"/>
    <w:rsid w:val="000F271E"/>
    <w:rsid w:val="000F3A87"/>
    <w:rsid w:val="000F3FEB"/>
    <w:rsid w:val="000F4028"/>
    <w:rsid w:val="000F48D3"/>
    <w:rsid w:val="00100914"/>
    <w:rsid w:val="00100FC2"/>
    <w:rsid w:val="00101C7E"/>
    <w:rsid w:val="00101E2D"/>
    <w:rsid w:val="001020B5"/>
    <w:rsid w:val="00103110"/>
    <w:rsid w:val="00103420"/>
    <w:rsid w:val="00103792"/>
    <w:rsid w:val="00104B63"/>
    <w:rsid w:val="00105124"/>
    <w:rsid w:val="00107071"/>
    <w:rsid w:val="001075A9"/>
    <w:rsid w:val="00107BB9"/>
    <w:rsid w:val="00111790"/>
    <w:rsid w:val="0011284F"/>
    <w:rsid w:val="00115971"/>
    <w:rsid w:val="0012017F"/>
    <w:rsid w:val="0012028C"/>
    <w:rsid w:val="00122563"/>
    <w:rsid w:val="00122622"/>
    <w:rsid w:val="00122D30"/>
    <w:rsid w:val="0012568C"/>
    <w:rsid w:val="00127BBA"/>
    <w:rsid w:val="00130D9E"/>
    <w:rsid w:val="00132C84"/>
    <w:rsid w:val="0013409E"/>
    <w:rsid w:val="00134634"/>
    <w:rsid w:val="00137451"/>
    <w:rsid w:val="001374CE"/>
    <w:rsid w:val="00140364"/>
    <w:rsid w:val="001427E1"/>
    <w:rsid w:val="0014334A"/>
    <w:rsid w:val="00143590"/>
    <w:rsid w:val="00144F88"/>
    <w:rsid w:val="001450A9"/>
    <w:rsid w:val="001460D6"/>
    <w:rsid w:val="001462CC"/>
    <w:rsid w:val="0014751C"/>
    <w:rsid w:val="00150670"/>
    <w:rsid w:val="00150BF0"/>
    <w:rsid w:val="00155118"/>
    <w:rsid w:val="0015556F"/>
    <w:rsid w:val="0015602D"/>
    <w:rsid w:val="001562BD"/>
    <w:rsid w:val="00157635"/>
    <w:rsid w:val="001576F2"/>
    <w:rsid w:val="00157F47"/>
    <w:rsid w:val="0016016F"/>
    <w:rsid w:val="00160EAF"/>
    <w:rsid w:val="00161228"/>
    <w:rsid w:val="00162826"/>
    <w:rsid w:val="001666B9"/>
    <w:rsid w:val="00166CAE"/>
    <w:rsid w:val="0017135B"/>
    <w:rsid w:val="001731B6"/>
    <w:rsid w:val="001732F8"/>
    <w:rsid w:val="001737A5"/>
    <w:rsid w:val="00175C0B"/>
    <w:rsid w:val="00177421"/>
    <w:rsid w:val="001831D6"/>
    <w:rsid w:val="0018357E"/>
    <w:rsid w:val="001838D1"/>
    <w:rsid w:val="00183B8D"/>
    <w:rsid w:val="00184B48"/>
    <w:rsid w:val="001852D8"/>
    <w:rsid w:val="00185FBF"/>
    <w:rsid w:val="001876F0"/>
    <w:rsid w:val="00190C4E"/>
    <w:rsid w:val="0019235D"/>
    <w:rsid w:val="00193679"/>
    <w:rsid w:val="0019462C"/>
    <w:rsid w:val="001947E9"/>
    <w:rsid w:val="001952EA"/>
    <w:rsid w:val="001960D9"/>
    <w:rsid w:val="00196C9D"/>
    <w:rsid w:val="00197DE5"/>
    <w:rsid w:val="001A2232"/>
    <w:rsid w:val="001A22A5"/>
    <w:rsid w:val="001A4EFE"/>
    <w:rsid w:val="001A5353"/>
    <w:rsid w:val="001A637F"/>
    <w:rsid w:val="001A6ED5"/>
    <w:rsid w:val="001B0092"/>
    <w:rsid w:val="001B0B93"/>
    <w:rsid w:val="001B13E5"/>
    <w:rsid w:val="001B30AF"/>
    <w:rsid w:val="001B65F4"/>
    <w:rsid w:val="001B66E1"/>
    <w:rsid w:val="001B6E03"/>
    <w:rsid w:val="001B730C"/>
    <w:rsid w:val="001B76E8"/>
    <w:rsid w:val="001C12BA"/>
    <w:rsid w:val="001C2903"/>
    <w:rsid w:val="001C4297"/>
    <w:rsid w:val="001C4751"/>
    <w:rsid w:val="001C560F"/>
    <w:rsid w:val="001C64B6"/>
    <w:rsid w:val="001C6775"/>
    <w:rsid w:val="001C68CF"/>
    <w:rsid w:val="001C6994"/>
    <w:rsid w:val="001C726E"/>
    <w:rsid w:val="001C7FC6"/>
    <w:rsid w:val="001D1708"/>
    <w:rsid w:val="001D3FA8"/>
    <w:rsid w:val="001D48BE"/>
    <w:rsid w:val="001D4C91"/>
    <w:rsid w:val="001D6834"/>
    <w:rsid w:val="001D6ECA"/>
    <w:rsid w:val="001E041C"/>
    <w:rsid w:val="001E1994"/>
    <w:rsid w:val="001E1D0A"/>
    <w:rsid w:val="001E2576"/>
    <w:rsid w:val="001E2795"/>
    <w:rsid w:val="001E2D77"/>
    <w:rsid w:val="001E4157"/>
    <w:rsid w:val="001E45E1"/>
    <w:rsid w:val="001E5F4A"/>
    <w:rsid w:val="001E7396"/>
    <w:rsid w:val="001F0B5A"/>
    <w:rsid w:val="001F1565"/>
    <w:rsid w:val="001F1A46"/>
    <w:rsid w:val="001F1FB0"/>
    <w:rsid w:val="001F4E0B"/>
    <w:rsid w:val="00201590"/>
    <w:rsid w:val="0020287B"/>
    <w:rsid w:val="002037CC"/>
    <w:rsid w:val="00203996"/>
    <w:rsid w:val="00207472"/>
    <w:rsid w:val="002079B0"/>
    <w:rsid w:val="0021211A"/>
    <w:rsid w:val="00212D9A"/>
    <w:rsid w:val="002130C3"/>
    <w:rsid w:val="00213AE2"/>
    <w:rsid w:val="00213E2A"/>
    <w:rsid w:val="00215481"/>
    <w:rsid w:val="00215634"/>
    <w:rsid w:val="00217C45"/>
    <w:rsid w:val="0022018D"/>
    <w:rsid w:val="0022037A"/>
    <w:rsid w:val="00221045"/>
    <w:rsid w:val="002216E4"/>
    <w:rsid w:val="002216E8"/>
    <w:rsid w:val="002229D7"/>
    <w:rsid w:val="0022377E"/>
    <w:rsid w:val="002247FA"/>
    <w:rsid w:val="00224A27"/>
    <w:rsid w:val="00225FFB"/>
    <w:rsid w:val="00226EF3"/>
    <w:rsid w:val="00227DF6"/>
    <w:rsid w:val="00227FFB"/>
    <w:rsid w:val="002308CC"/>
    <w:rsid w:val="00230E59"/>
    <w:rsid w:val="002311F4"/>
    <w:rsid w:val="002320CB"/>
    <w:rsid w:val="00232827"/>
    <w:rsid w:val="002334A4"/>
    <w:rsid w:val="00234019"/>
    <w:rsid w:val="00236419"/>
    <w:rsid w:val="0023746B"/>
    <w:rsid w:val="00237B83"/>
    <w:rsid w:val="002408FC"/>
    <w:rsid w:val="002500AE"/>
    <w:rsid w:val="0025133C"/>
    <w:rsid w:val="00252B18"/>
    <w:rsid w:val="00252B49"/>
    <w:rsid w:val="002547B3"/>
    <w:rsid w:val="00256879"/>
    <w:rsid w:val="00256979"/>
    <w:rsid w:val="002569BE"/>
    <w:rsid w:val="00257158"/>
    <w:rsid w:val="00257B08"/>
    <w:rsid w:val="00257B09"/>
    <w:rsid w:val="002612C9"/>
    <w:rsid w:val="002645D5"/>
    <w:rsid w:val="00264867"/>
    <w:rsid w:val="00264AD8"/>
    <w:rsid w:val="00266659"/>
    <w:rsid w:val="00270F1C"/>
    <w:rsid w:val="0027294B"/>
    <w:rsid w:val="00272F18"/>
    <w:rsid w:val="00274D52"/>
    <w:rsid w:val="0027711D"/>
    <w:rsid w:val="00277A42"/>
    <w:rsid w:val="00281417"/>
    <w:rsid w:val="00281D57"/>
    <w:rsid w:val="00284182"/>
    <w:rsid w:val="002844E1"/>
    <w:rsid w:val="00286BB5"/>
    <w:rsid w:val="00286C81"/>
    <w:rsid w:val="00287205"/>
    <w:rsid w:val="00287402"/>
    <w:rsid w:val="00287D8D"/>
    <w:rsid w:val="00287E8D"/>
    <w:rsid w:val="00291AA0"/>
    <w:rsid w:val="002928E4"/>
    <w:rsid w:val="00292CAC"/>
    <w:rsid w:val="00293CC3"/>
    <w:rsid w:val="002973F9"/>
    <w:rsid w:val="00297D4B"/>
    <w:rsid w:val="002A094B"/>
    <w:rsid w:val="002A12DF"/>
    <w:rsid w:val="002A175F"/>
    <w:rsid w:val="002A1BA1"/>
    <w:rsid w:val="002A1D22"/>
    <w:rsid w:val="002A2E3B"/>
    <w:rsid w:val="002A36C9"/>
    <w:rsid w:val="002A4E30"/>
    <w:rsid w:val="002B0DF7"/>
    <w:rsid w:val="002B125D"/>
    <w:rsid w:val="002B196F"/>
    <w:rsid w:val="002B1B24"/>
    <w:rsid w:val="002B1E42"/>
    <w:rsid w:val="002B2DF0"/>
    <w:rsid w:val="002B391B"/>
    <w:rsid w:val="002B3E58"/>
    <w:rsid w:val="002B40AD"/>
    <w:rsid w:val="002B4C9E"/>
    <w:rsid w:val="002B4E1F"/>
    <w:rsid w:val="002B62FF"/>
    <w:rsid w:val="002B726A"/>
    <w:rsid w:val="002C05A3"/>
    <w:rsid w:val="002C1A50"/>
    <w:rsid w:val="002C20A2"/>
    <w:rsid w:val="002C331A"/>
    <w:rsid w:val="002C3728"/>
    <w:rsid w:val="002C49C1"/>
    <w:rsid w:val="002C6622"/>
    <w:rsid w:val="002C6887"/>
    <w:rsid w:val="002C7409"/>
    <w:rsid w:val="002C759E"/>
    <w:rsid w:val="002C7EC0"/>
    <w:rsid w:val="002D2465"/>
    <w:rsid w:val="002D305F"/>
    <w:rsid w:val="002D3EDA"/>
    <w:rsid w:val="002D4CEE"/>
    <w:rsid w:val="002D5315"/>
    <w:rsid w:val="002D5D1C"/>
    <w:rsid w:val="002D5D26"/>
    <w:rsid w:val="002D65A2"/>
    <w:rsid w:val="002D6CCB"/>
    <w:rsid w:val="002D7E07"/>
    <w:rsid w:val="002E0A82"/>
    <w:rsid w:val="002E0F56"/>
    <w:rsid w:val="002E17D5"/>
    <w:rsid w:val="002E2558"/>
    <w:rsid w:val="002E36BD"/>
    <w:rsid w:val="002E3F46"/>
    <w:rsid w:val="002E4E4F"/>
    <w:rsid w:val="002E647C"/>
    <w:rsid w:val="002E64A6"/>
    <w:rsid w:val="002E67DD"/>
    <w:rsid w:val="002E6927"/>
    <w:rsid w:val="002E7F41"/>
    <w:rsid w:val="002F0B97"/>
    <w:rsid w:val="002F320A"/>
    <w:rsid w:val="002F4023"/>
    <w:rsid w:val="002F6291"/>
    <w:rsid w:val="002F64BB"/>
    <w:rsid w:val="002F7A32"/>
    <w:rsid w:val="002F7C08"/>
    <w:rsid w:val="00300EB9"/>
    <w:rsid w:val="00304248"/>
    <w:rsid w:val="00304F5D"/>
    <w:rsid w:val="00306C48"/>
    <w:rsid w:val="003102E1"/>
    <w:rsid w:val="003104D7"/>
    <w:rsid w:val="00312AA1"/>
    <w:rsid w:val="0031305F"/>
    <w:rsid w:val="00313D1E"/>
    <w:rsid w:val="003155A6"/>
    <w:rsid w:val="00316734"/>
    <w:rsid w:val="00316A47"/>
    <w:rsid w:val="00317CA9"/>
    <w:rsid w:val="00321D53"/>
    <w:rsid w:val="003229DB"/>
    <w:rsid w:val="00323115"/>
    <w:rsid w:val="00325891"/>
    <w:rsid w:val="003322AF"/>
    <w:rsid w:val="00332650"/>
    <w:rsid w:val="0033277B"/>
    <w:rsid w:val="003328EF"/>
    <w:rsid w:val="00332F0A"/>
    <w:rsid w:val="00334312"/>
    <w:rsid w:val="003358B6"/>
    <w:rsid w:val="00336BBB"/>
    <w:rsid w:val="003374C4"/>
    <w:rsid w:val="003401D2"/>
    <w:rsid w:val="00341D3F"/>
    <w:rsid w:val="00344615"/>
    <w:rsid w:val="0034464B"/>
    <w:rsid w:val="0034485F"/>
    <w:rsid w:val="00344F17"/>
    <w:rsid w:val="00345206"/>
    <w:rsid w:val="00345646"/>
    <w:rsid w:val="003458C9"/>
    <w:rsid w:val="0034710F"/>
    <w:rsid w:val="003476CD"/>
    <w:rsid w:val="003510A3"/>
    <w:rsid w:val="003525E5"/>
    <w:rsid w:val="00352CC8"/>
    <w:rsid w:val="00355331"/>
    <w:rsid w:val="003573AC"/>
    <w:rsid w:val="00361626"/>
    <w:rsid w:val="00364FB0"/>
    <w:rsid w:val="003654AE"/>
    <w:rsid w:val="003659B9"/>
    <w:rsid w:val="00366073"/>
    <w:rsid w:val="003660CE"/>
    <w:rsid w:val="003675EF"/>
    <w:rsid w:val="00367BEC"/>
    <w:rsid w:val="003702D0"/>
    <w:rsid w:val="00371232"/>
    <w:rsid w:val="00374C10"/>
    <w:rsid w:val="00374F81"/>
    <w:rsid w:val="00375A12"/>
    <w:rsid w:val="00377C70"/>
    <w:rsid w:val="00382707"/>
    <w:rsid w:val="0038610C"/>
    <w:rsid w:val="003915C6"/>
    <w:rsid w:val="00392FD7"/>
    <w:rsid w:val="0039322D"/>
    <w:rsid w:val="00394EEF"/>
    <w:rsid w:val="00394FF1"/>
    <w:rsid w:val="0039530A"/>
    <w:rsid w:val="00395C27"/>
    <w:rsid w:val="003A10B5"/>
    <w:rsid w:val="003A1409"/>
    <w:rsid w:val="003A2C71"/>
    <w:rsid w:val="003A2E84"/>
    <w:rsid w:val="003A31A4"/>
    <w:rsid w:val="003A3892"/>
    <w:rsid w:val="003A53E9"/>
    <w:rsid w:val="003A62BB"/>
    <w:rsid w:val="003B1012"/>
    <w:rsid w:val="003B6346"/>
    <w:rsid w:val="003B73FD"/>
    <w:rsid w:val="003C0042"/>
    <w:rsid w:val="003C1AA1"/>
    <w:rsid w:val="003C1E0D"/>
    <w:rsid w:val="003C2BE7"/>
    <w:rsid w:val="003C4241"/>
    <w:rsid w:val="003C43DB"/>
    <w:rsid w:val="003C578D"/>
    <w:rsid w:val="003C5CF9"/>
    <w:rsid w:val="003D19F9"/>
    <w:rsid w:val="003D5CD5"/>
    <w:rsid w:val="003D60D9"/>
    <w:rsid w:val="003D6E42"/>
    <w:rsid w:val="003D7255"/>
    <w:rsid w:val="003E161F"/>
    <w:rsid w:val="003E1995"/>
    <w:rsid w:val="003E1C67"/>
    <w:rsid w:val="003E1E3F"/>
    <w:rsid w:val="003E22D8"/>
    <w:rsid w:val="003E25C9"/>
    <w:rsid w:val="003E2778"/>
    <w:rsid w:val="003E287F"/>
    <w:rsid w:val="003E37B0"/>
    <w:rsid w:val="003E3F32"/>
    <w:rsid w:val="003E5FC5"/>
    <w:rsid w:val="003E66AB"/>
    <w:rsid w:val="003E7263"/>
    <w:rsid w:val="003F3B3D"/>
    <w:rsid w:val="003F7146"/>
    <w:rsid w:val="003F78CC"/>
    <w:rsid w:val="004004DD"/>
    <w:rsid w:val="004014E7"/>
    <w:rsid w:val="00401C26"/>
    <w:rsid w:val="00403EEF"/>
    <w:rsid w:val="00404B43"/>
    <w:rsid w:val="00404E6B"/>
    <w:rsid w:val="004053A4"/>
    <w:rsid w:val="00405E13"/>
    <w:rsid w:val="00412B7C"/>
    <w:rsid w:val="004132B6"/>
    <w:rsid w:val="00415F0D"/>
    <w:rsid w:val="00416EB5"/>
    <w:rsid w:val="00416F42"/>
    <w:rsid w:val="00416FD3"/>
    <w:rsid w:val="00417FD7"/>
    <w:rsid w:val="00420CF4"/>
    <w:rsid w:val="0042124D"/>
    <w:rsid w:val="0042161E"/>
    <w:rsid w:val="00421EE0"/>
    <w:rsid w:val="00422055"/>
    <w:rsid w:val="004240E1"/>
    <w:rsid w:val="00424488"/>
    <w:rsid w:val="00424BE9"/>
    <w:rsid w:val="00424C21"/>
    <w:rsid w:val="00426C29"/>
    <w:rsid w:val="004275C5"/>
    <w:rsid w:val="00430199"/>
    <w:rsid w:val="00433284"/>
    <w:rsid w:val="00433C2E"/>
    <w:rsid w:val="00434E5B"/>
    <w:rsid w:val="00435342"/>
    <w:rsid w:val="00435603"/>
    <w:rsid w:val="00440685"/>
    <w:rsid w:val="004429CF"/>
    <w:rsid w:val="004435D2"/>
    <w:rsid w:val="004451C3"/>
    <w:rsid w:val="004459A8"/>
    <w:rsid w:val="00445D85"/>
    <w:rsid w:val="00446E01"/>
    <w:rsid w:val="00450DF9"/>
    <w:rsid w:val="004512B3"/>
    <w:rsid w:val="00451F7C"/>
    <w:rsid w:val="00451FC4"/>
    <w:rsid w:val="004523DC"/>
    <w:rsid w:val="00452D50"/>
    <w:rsid w:val="00455717"/>
    <w:rsid w:val="00455A5E"/>
    <w:rsid w:val="00455DAD"/>
    <w:rsid w:val="00456CAB"/>
    <w:rsid w:val="00460B5A"/>
    <w:rsid w:val="00463B67"/>
    <w:rsid w:val="00463D49"/>
    <w:rsid w:val="00464624"/>
    <w:rsid w:val="00464FBF"/>
    <w:rsid w:val="00466C7D"/>
    <w:rsid w:val="00467C34"/>
    <w:rsid w:val="00470400"/>
    <w:rsid w:val="00473213"/>
    <w:rsid w:val="0047563D"/>
    <w:rsid w:val="00476547"/>
    <w:rsid w:val="00476963"/>
    <w:rsid w:val="00477003"/>
    <w:rsid w:val="0047729A"/>
    <w:rsid w:val="004802C7"/>
    <w:rsid w:val="00481075"/>
    <w:rsid w:val="0048108C"/>
    <w:rsid w:val="00482106"/>
    <w:rsid w:val="0048472D"/>
    <w:rsid w:val="0048505C"/>
    <w:rsid w:val="00486E7F"/>
    <w:rsid w:val="00486F3D"/>
    <w:rsid w:val="00487D5B"/>
    <w:rsid w:val="0049041F"/>
    <w:rsid w:val="0049078F"/>
    <w:rsid w:val="00491C0A"/>
    <w:rsid w:val="0049237D"/>
    <w:rsid w:val="00493669"/>
    <w:rsid w:val="00494508"/>
    <w:rsid w:val="00494A23"/>
    <w:rsid w:val="00496735"/>
    <w:rsid w:val="00496A50"/>
    <w:rsid w:val="00497A04"/>
    <w:rsid w:val="004A0259"/>
    <w:rsid w:val="004A0515"/>
    <w:rsid w:val="004A1B10"/>
    <w:rsid w:val="004A2C4A"/>
    <w:rsid w:val="004A37C0"/>
    <w:rsid w:val="004A3A37"/>
    <w:rsid w:val="004A5648"/>
    <w:rsid w:val="004A583D"/>
    <w:rsid w:val="004A6F4E"/>
    <w:rsid w:val="004A7AC5"/>
    <w:rsid w:val="004B1078"/>
    <w:rsid w:val="004B257C"/>
    <w:rsid w:val="004B367E"/>
    <w:rsid w:val="004B3743"/>
    <w:rsid w:val="004B3834"/>
    <w:rsid w:val="004B48D2"/>
    <w:rsid w:val="004B491C"/>
    <w:rsid w:val="004B5033"/>
    <w:rsid w:val="004B61E0"/>
    <w:rsid w:val="004B7184"/>
    <w:rsid w:val="004B74F6"/>
    <w:rsid w:val="004B78AD"/>
    <w:rsid w:val="004B7C26"/>
    <w:rsid w:val="004C182A"/>
    <w:rsid w:val="004C1858"/>
    <w:rsid w:val="004C1BAA"/>
    <w:rsid w:val="004C43D4"/>
    <w:rsid w:val="004C5678"/>
    <w:rsid w:val="004C56B7"/>
    <w:rsid w:val="004C700E"/>
    <w:rsid w:val="004D365B"/>
    <w:rsid w:val="004D3F83"/>
    <w:rsid w:val="004D4E6A"/>
    <w:rsid w:val="004D61AB"/>
    <w:rsid w:val="004D70A6"/>
    <w:rsid w:val="004D7342"/>
    <w:rsid w:val="004D7BFD"/>
    <w:rsid w:val="004E1271"/>
    <w:rsid w:val="004E1E12"/>
    <w:rsid w:val="004E2326"/>
    <w:rsid w:val="004E3B55"/>
    <w:rsid w:val="004E45FB"/>
    <w:rsid w:val="004E50BA"/>
    <w:rsid w:val="004E527D"/>
    <w:rsid w:val="004E5EC9"/>
    <w:rsid w:val="004E6561"/>
    <w:rsid w:val="004F005E"/>
    <w:rsid w:val="004F1625"/>
    <w:rsid w:val="004F16A3"/>
    <w:rsid w:val="004F1E1E"/>
    <w:rsid w:val="004F3696"/>
    <w:rsid w:val="004F4D5F"/>
    <w:rsid w:val="004F56D7"/>
    <w:rsid w:val="004F5EF0"/>
    <w:rsid w:val="004F6591"/>
    <w:rsid w:val="004F7A1E"/>
    <w:rsid w:val="004F7B4C"/>
    <w:rsid w:val="005004F3"/>
    <w:rsid w:val="00500533"/>
    <w:rsid w:val="0050101F"/>
    <w:rsid w:val="00501C0D"/>
    <w:rsid w:val="00502EB8"/>
    <w:rsid w:val="00503CAE"/>
    <w:rsid w:val="00505120"/>
    <w:rsid w:val="00510170"/>
    <w:rsid w:val="00512F1A"/>
    <w:rsid w:val="00514186"/>
    <w:rsid w:val="00514387"/>
    <w:rsid w:val="00514498"/>
    <w:rsid w:val="00514A21"/>
    <w:rsid w:val="00515ADC"/>
    <w:rsid w:val="00515E4A"/>
    <w:rsid w:val="00515E6F"/>
    <w:rsid w:val="005168DB"/>
    <w:rsid w:val="00520732"/>
    <w:rsid w:val="005213FD"/>
    <w:rsid w:val="0052149A"/>
    <w:rsid w:val="00521EC7"/>
    <w:rsid w:val="00522946"/>
    <w:rsid w:val="00523563"/>
    <w:rsid w:val="00524A3D"/>
    <w:rsid w:val="00527250"/>
    <w:rsid w:val="00527B6F"/>
    <w:rsid w:val="00530FD3"/>
    <w:rsid w:val="00531206"/>
    <w:rsid w:val="005344E7"/>
    <w:rsid w:val="00534E1F"/>
    <w:rsid w:val="00535409"/>
    <w:rsid w:val="0054129E"/>
    <w:rsid w:val="005412DF"/>
    <w:rsid w:val="00542AA7"/>
    <w:rsid w:val="00542B82"/>
    <w:rsid w:val="0054305D"/>
    <w:rsid w:val="00543701"/>
    <w:rsid w:val="00550307"/>
    <w:rsid w:val="005519A5"/>
    <w:rsid w:val="00552B02"/>
    <w:rsid w:val="00553004"/>
    <w:rsid w:val="00553282"/>
    <w:rsid w:val="005541D2"/>
    <w:rsid w:val="005554B8"/>
    <w:rsid w:val="005554D4"/>
    <w:rsid w:val="005559F7"/>
    <w:rsid w:val="00556858"/>
    <w:rsid w:val="00556C7A"/>
    <w:rsid w:val="00561D5E"/>
    <w:rsid w:val="00562C1D"/>
    <w:rsid w:val="005646F0"/>
    <w:rsid w:val="00565B23"/>
    <w:rsid w:val="00566C0C"/>
    <w:rsid w:val="00566E6B"/>
    <w:rsid w:val="00567340"/>
    <w:rsid w:val="00570501"/>
    <w:rsid w:val="00570F13"/>
    <w:rsid w:val="00571111"/>
    <w:rsid w:val="005721C8"/>
    <w:rsid w:val="0057229D"/>
    <w:rsid w:val="005729BD"/>
    <w:rsid w:val="00572FD4"/>
    <w:rsid w:val="00573C2E"/>
    <w:rsid w:val="00574A69"/>
    <w:rsid w:val="00576E48"/>
    <w:rsid w:val="00576F2D"/>
    <w:rsid w:val="00577113"/>
    <w:rsid w:val="00577314"/>
    <w:rsid w:val="00580C49"/>
    <w:rsid w:val="005812F3"/>
    <w:rsid w:val="00581F4F"/>
    <w:rsid w:val="0058225E"/>
    <w:rsid w:val="00582ACF"/>
    <w:rsid w:val="0058378F"/>
    <w:rsid w:val="00583849"/>
    <w:rsid w:val="00585678"/>
    <w:rsid w:val="00586C43"/>
    <w:rsid w:val="00590CA0"/>
    <w:rsid w:val="0059166E"/>
    <w:rsid w:val="00593699"/>
    <w:rsid w:val="005963A3"/>
    <w:rsid w:val="00596B45"/>
    <w:rsid w:val="005A0480"/>
    <w:rsid w:val="005A34E5"/>
    <w:rsid w:val="005A3F31"/>
    <w:rsid w:val="005A4918"/>
    <w:rsid w:val="005A4C36"/>
    <w:rsid w:val="005A4FF7"/>
    <w:rsid w:val="005A6553"/>
    <w:rsid w:val="005B0120"/>
    <w:rsid w:val="005B1546"/>
    <w:rsid w:val="005B1589"/>
    <w:rsid w:val="005B1602"/>
    <w:rsid w:val="005B17FF"/>
    <w:rsid w:val="005B3D38"/>
    <w:rsid w:val="005B3DC5"/>
    <w:rsid w:val="005B4B3A"/>
    <w:rsid w:val="005B53F2"/>
    <w:rsid w:val="005B5822"/>
    <w:rsid w:val="005B5A90"/>
    <w:rsid w:val="005B6281"/>
    <w:rsid w:val="005B657D"/>
    <w:rsid w:val="005B79C6"/>
    <w:rsid w:val="005B7D69"/>
    <w:rsid w:val="005C10A9"/>
    <w:rsid w:val="005C14F1"/>
    <w:rsid w:val="005C2780"/>
    <w:rsid w:val="005C2A42"/>
    <w:rsid w:val="005C3104"/>
    <w:rsid w:val="005C3930"/>
    <w:rsid w:val="005C52DF"/>
    <w:rsid w:val="005C561C"/>
    <w:rsid w:val="005C58D2"/>
    <w:rsid w:val="005C714F"/>
    <w:rsid w:val="005D026B"/>
    <w:rsid w:val="005D05E3"/>
    <w:rsid w:val="005D21B0"/>
    <w:rsid w:val="005D58B5"/>
    <w:rsid w:val="005D6344"/>
    <w:rsid w:val="005D7D14"/>
    <w:rsid w:val="005E02C5"/>
    <w:rsid w:val="005E30EB"/>
    <w:rsid w:val="005E3E12"/>
    <w:rsid w:val="005E3EFF"/>
    <w:rsid w:val="005E4B7F"/>
    <w:rsid w:val="005E54FD"/>
    <w:rsid w:val="005E5D95"/>
    <w:rsid w:val="005E651F"/>
    <w:rsid w:val="005E7257"/>
    <w:rsid w:val="005E7EAA"/>
    <w:rsid w:val="005F0270"/>
    <w:rsid w:val="005F06CB"/>
    <w:rsid w:val="005F0B99"/>
    <w:rsid w:val="005F0DA8"/>
    <w:rsid w:val="005F5FF9"/>
    <w:rsid w:val="005F6F76"/>
    <w:rsid w:val="005F7F7C"/>
    <w:rsid w:val="00600D21"/>
    <w:rsid w:val="0060264C"/>
    <w:rsid w:val="00602860"/>
    <w:rsid w:val="00603BF5"/>
    <w:rsid w:val="006054E4"/>
    <w:rsid w:val="006054E5"/>
    <w:rsid w:val="00611346"/>
    <w:rsid w:val="006123AD"/>
    <w:rsid w:val="00612C32"/>
    <w:rsid w:val="00612CF8"/>
    <w:rsid w:val="006130E0"/>
    <w:rsid w:val="00613D03"/>
    <w:rsid w:val="0061512C"/>
    <w:rsid w:val="00615CC8"/>
    <w:rsid w:val="00620195"/>
    <w:rsid w:val="00621A28"/>
    <w:rsid w:val="00621F7C"/>
    <w:rsid w:val="00622053"/>
    <w:rsid w:val="0062320D"/>
    <w:rsid w:val="006237C7"/>
    <w:rsid w:val="00624159"/>
    <w:rsid w:val="006247B1"/>
    <w:rsid w:val="00625BBB"/>
    <w:rsid w:val="006261B1"/>
    <w:rsid w:val="006265B2"/>
    <w:rsid w:val="00626F2C"/>
    <w:rsid w:val="00630EAC"/>
    <w:rsid w:val="00632238"/>
    <w:rsid w:val="00633604"/>
    <w:rsid w:val="00634A0D"/>
    <w:rsid w:val="00635431"/>
    <w:rsid w:val="00635728"/>
    <w:rsid w:val="0064030E"/>
    <w:rsid w:val="00640A01"/>
    <w:rsid w:val="0064137C"/>
    <w:rsid w:val="006427E0"/>
    <w:rsid w:val="00642AAC"/>
    <w:rsid w:val="00643644"/>
    <w:rsid w:val="00643AB8"/>
    <w:rsid w:val="00644CA1"/>
    <w:rsid w:val="0064505B"/>
    <w:rsid w:val="00645205"/>
    <w:rsid w:val="00645361"/>
    <w:rsid w:val="006453A4"/>
    <w:rsid w:val="00645800"/>
    <w:rsid w:val="00646014"/>
    <w:rsid w:val="0065030D"/>
    <w:rsid w:val="00651C35"/>
    <w:rsid w:val="0065200A"/>
    <w:rsid w:val="00652BEF"/>
    <w:rsid w:val="00652D44"/>
    <w:rsid w:val="0065388D"/>
    <w:rsid w:val="00654E4F"/>
    <w:rsid w:val="00655D53"/>
    <w:rsid w:val="0065617E"/>
    <w:rsid w:val="00660D6F"/>
    <w:rsid w:val="006640A5"/>
    <w:rsid w:val="00664724"/>
    <w:rsid w:val="006651EE"/>
    <w:rsid w:val="006655E8"/>
    <w:rsid w:val="00666373"/>
    <w:rsid w:val="00666F2E"/>
    <w:rsid w:val="00670E31"/>
    <w:rsid w:val="00672DA2"/>
    <w:rsid w:val="006754F3"/>
    <w:rsid w:val="00677D59"/>
    <w:rsid w:val="0068013C"/>
    <w:rsid w:val="00680744"/>
    <w:rsid w:val="00681B3C"/>
    <w:rsid w:val="00681BDC"/>
    <w:rsid w:val="00683324"/>
    <w:rsid w:val="00683894"/>
    <w:rsid w:val="00683B23"/>
    <w:rsid w:val="00683D33"/>
    <w:rsid w:val="00685838"/>
    <w:rsid w:val="006865A0"/>
    <w:rsid w:val="00686C5B"/>
    <w:rsid w:val="00687FED"/>
    <w:rsid w:val="006907C6"/>
    <w:rsid w:val="0069108C"/>
    <w:rsid w:val="0069357E"/>
    <w:rsid w:val="00695AD1"/>
    <w:rsid w:val="00696420"/>
    <w:rsid w:val="006A00A3"/>
    <w:rsid w:val="006A0110"/>
    <w:rsid w:val="006A2821"/>
    <w:rsid w:val="006A4651"/>
    <w:rsid w:val="006A5D68"/>
    <w:rsid w:val="006A6837"/>
    <w:rsid w:val="006A6CF7"/>
    <w:rsid w:val="006A6EDE"/>
    <w:rsid w:val="006A726A"/>
    <w:rsid w:val="006B0049"/>
    <w:rsid w:val="006B113E"/>
    <w:rsid w:val="006B1ABC"/>
    <w:rsid w:val="006B347F"/>
    <w:rsid w:val="006B39BD"/>
    <w:rsid w:val="006B3F7F"/>
    <w:rsid w:val="006B4440"/>
    <w:rsid w:val="006B674E"/>
    <w:rsid w:val="006C0A98"/>
    <w:rsid w:val="006C5417"/>
    <w:rsid w:val="006C584A"/>
    <w:rsid w:val="006C5D1A"/>
    <w:rsid w:val="006D068D"/>
    <w:rsid w:val="006D184F"/>
    <w:rsid w:val="006D1CE6"/>
    <w:rsid w:val="006D2537"/>
    <w:rsid w:val="006D4BAB"/>
    <w:rsid w:val="006D5E5D"/>
    <w:rsid w:val="006E03DB"/>
    <w:rsid w:val="006E163C"/>
    <w:rsid w:val="006E284A"/>
    <w:rsid w:val="006E2E59"/>
    <w:rsid w:val="006E30F4"/>
    <w:rsid w:val="006E3A1B"/>
    <w:rsid w:val="006E460B"/>
    <w:rsid w:val="006E47EA"/>
    <w:rsid w:val="006E4FEC"/>
    <w:rsid w:val="006E778F"/>
    <w:rsid w:val="006F02D5"/>
    <w:rsid w:val="006F05F6"/>
    <w:rsid w:val="006F0875"/>
    <w:rsid w:val="006F1AAD"/>
    <w:rsid w:val="006F3131"/>
    <w:rsid w:val="006F4429"/>
    <w:rsid w:val="006F458A"/>
    <w:rsid w:val="006F65FC"/>
    <w:rsid w:val="006F73BF"/>
    <w:rsid w:val="006F756F"/>
    <w:rsid w:val="006F7EAD"/>
    <w:rsid w:val="007005CE"/>
    <w:rsid w:val="0070070D"/>
    <w:rsid w:val="00705027"/>
    <w:rsid w:val="0070773F"/>
    <w:rsid w:val="00711BC3"/>
    <w:rsid w:val="00711BFF"/>
    <w:rsid w:val="007120E3"/>
    <w:rsid w:val="00713123"/>
    <w:rsid w:val="007143C0"/>
    <w:rsid w:val="007154A0"/>
    <w:rsid w:val="00716E08"/>
    <w:rsid w:val="00717A50"/>
    <w:rsid w:val="00717AFA"/>
    <w:rsid w:val="00723224"/>
    <w:rsid w:val="00723265"/>
    <w:rsid w:val="00724790"/>
    <w:rsid w:val="00725E04"/>
    <w:rsid w:val="007275CE"/>
    <w:rsid w:val="007278EE"/>
    <w:rsid w:val="00730428"/>
    <w:rsid w:val="00730974"/>
    <w:rsid w:val="007315CE"/>
    <w:rsid w:val="00735561"/>
    <w:rsid w:val="007366FA"/>
    <w:rsid w:val="00737D43"/>
    <w:rsid w:val="00740811"/>
    <w:rsid w:val="00740F8D"/>
    <w:rsid w:val="00741133"/>
    <w:rsid w:val="007425CE"/>
    <w:rsid w:val="007427FD"/>
    <w:rsid w:val="00743498"/>
    <w:rsid w:val="00743666"/>
    <w:rsid w:val="007455BF"/>
    <w:rsid w:val="00745D16"/>
    <w:rsid w:val="00746863"/>
    <w:rsid w:val="00746ACD"/>
    <w:rsid w:val="007471BA"/>
    <w:rsid w:val="00750A35"/>
    <w:rsid w:val="00750EEF"/>
    <w:rsid w:val="007512E2"/>
    <w:rsid w:val="00751BCE"/>
    <w:rsid w:val="00754BBD"/>
    <w:rsid w:val="00756D18"/>
    <w:rsid w:val="007600E5"/>
    <w:rsid w:val="00760975"/>
    <w:rsid w:val="00763661"/>
    <w:rsid w:val="007643E4"/>
    <w:rsid w:val="00765938"/>
    <w:rsid w:val="00766683"/>
    <w:rsid w:val="0076723D"/>
    <w:rsid w:val="00770763"/>
    <w:rsid w:val="00771657"/>
    <w:rsid w:val="0077184E"/>
    <w:rsid w:val="0077276E"/>
    <w:rsid w:val="0077341E"/>
    <w:rsid w:val="00773522"/>
    <w:rsid w:val="00773D9D"/>
    <w:rsid w:val="00773F00"/>
    <w:rsid w:val="00774A87"/>
    <w:rsid w:val="00774E56"/>
    <w:rsid w:val="00774EAE"/>
    <w:rsid w:val="00775DF1"/>
    <w:rsid w:val="00777604"/>
    <w:rsid w:val="00783222"/>
    <w:rsid w:val="00783271"/>
    <w:rsid w:val="0078372B"/>
    <w:rsid w:val="007853EC"/>
    <w:rsid w:val="00787114"/>
    <w:rsid w:val="00791398"/>
    <w:rsid w:val="007916DD"/>
    <w:rsid w:val="00794AEE"/>
    <w:rsid w:val="00794B67"/>
    <w:rsid w:val="007955F7"/>
    <w:rsid w:val="00795A15"/>
    <w:rsid w:val="00796450"/>
    <w:rsid w:val="007969E1"/>
    <w:rsid w:val="007976FC"/>
    <w:rsid w:val="007A1A91"/>
    <w:rsid w:val="007A1AE2"/>
    <w:rsid w:val="007A1DEF"/>
    <w:rsid w:val="007A28F3"/>
    <w:rsid w:val="007A5EB6"/>
    <w:rsid w:val="007A63EC"/>
    <w:rsid w:val="007A67AD"/>
    <w:rsid w:val="007B31EA"/>
    <w:rsid w:val="007B331C"/>
    <w:rsid w:val="007B4473"/>
    <w:rsid w:val="007B54C3"/>
    <w:rsid w:val="007B636E"/>
    <w:rsid w:val="007B6973"/>
    <w:rsid w:val="007B76BB"/>
    <w:rsid w:val="007B7874"/>
    <w:rsid w:val="007C040F"/>
    <w:rsid w:val="007C1365"/>
    <w:rsid w:val="007C17FD"/>
    <w:rsid w:val="007C19AE"/>
    <w:rsid w:val="007C1CA4"/>
    <w:rsid w:val="007C233C"/>
    <w:rsid w:val="007C2639"/>
    <w:rsid w:val="007C453B"/>
    <w:rsid w:val="007C4B04"/>
    <w:rsid w:val="007C5C2F"/>
    <w:rsid w:val="007C7769"/>
    <w:rsid w:val="007D042A"/>
    <w:rsid w:val="007D0708"/>
    <w:rsid w:val="007D13BF"/>
    <w:rsid w:val="007D1F3A"/>
    <w:rsid w:val="007D24EF"/>
    <w:rsid w:val="007D2A84"/>
    <w:rsid w:val="007D3C42"/>
    <w:rsid w:val="007D53AD"/>
    <w:rsid w:val="007D5DA7"/>
    <w:rsid w:val="007D743F"/>
    <w:rsid w:val="007E1BCD"/>
    <w:rsid w:val="007E4175"/>
    <w:rsid w:val="007E46F0"/>
    <w:rsid w:val="007E4DAD"/>
    <w:rsid w:val="007E5AC1"/>
    <w:rsid w:val="007E6068"/>
    <w:rsid w:val="007E65AC"/>
    <w:rsid w:val="007E65CD"/>
    <w:rsid w:val="007F02D1"/>
    <w:rsid w:val="007F134C"/>
    <w:rsid w:val="007F154E"/>
    <w:rsid w:val="007F24B9"/>
    <w:rsid w:val="007F36C6"/>
    <w:rsid w:val="007F3773"/>
    <w:rsid w:val="007F4E83"/>
    <w:rsid w:val="007F54D8"/>
    <w:rsid w:val="007F6DEF"/>
    <w:rsid w:val="007F7A42"/>
    <w:rsid w:val="00800117"/>
    <w:rsid w:val="00800AD2"/>
    <w:rsid w:val="00800B5D"/>
    <w:rsid w:val="00801E29"/>
    <w:rsid w:val="00803A8C"/>
    <w:rsid w:val="00804BB2"/>
    <w:rsid w:val="008056E2"/>
    <w:rsid w:val="00805828"/>
    <w:rsid w:val="00806B70"/>
    <w:rsid w:val="00807192"/>
    <w:rsid w:val="00811FAF"/>
    <w:rsid w:val="00812352"/>
    <w:rsid w:val="008124DE"/>
    <w:rsid w:val="00812A4C"/>
    <w:rsid w:val="00813075"/>
    <w:rsid w:val="0081337D"/>
    <w:rsid w:val="00813448"/>
    <w:rsid w:val="008157A6"/>
    <w:rsid w:val="008200BD"/>
    <w:rsid w:val="008206A3"/>
    <w:rsid w:val="008237C5"/>
    <w:rsid w:val="00827F74"/>
    <w:rsid w:val="00830926"/>
    <w:rsid w:val="0083144E"/>
    <w:rsid w:val="0083299A"/>
    <w:rsid w:val="00833CE7"/>
    <w:rsid w:val="008344D7"/>
    <w:rsid w:val="00834D18"/>
    <w:rsid w:val="00836069"/>
    <w:rsid w:val="0083653A"/>
    <w:rsid w:val="0083799A"/>
    <w:rsid w:val="00837AFD"/>
    <w:rsid w:val="00837C92"/>
    <w:rsid w:val="008401A8"/>
    <w:rsid w:val="00840BC1"/>
    <w:rsid w:val="00842EA2"/>
    <w:rsid w:val="00842F9E"/>
    <w:rsid w:val="0084304F"/>
    <w:rsid w:val="0084437A"/>
    <w:rsid w:val="00844AA9"/>
    <w:rsid w:val="008462A2"/>
    <w:rsid w:val="008479FC"/>
    <w:rsid w:val="00851A34"/>
    <w:rsid w:val="008520F9"/>
    <w:rsid w:val="0085295A"/>
    <w:rsid w:val="00852A21"/>
    <w:rsid w:val="00854200"/>
    <w:rsid w:val="008548F0"/>
    <w:rsid w:val="00857CF1"/>
    <w:rsid w:val="00860441"/>
    <w:rsid w:val="008625E5"/>
    <w:rsid w:val="00862C8F"/>
    <w:rsid w:val="00863C0E"/>
    <w:rsid w:val="00865DEE"/>
    <w:rsid w:val="0086615E"/>
    <w:rsid w:val="008663A7"/>
    <w:rsid w:val="00867351"/>
    <w:rsid w:val="00870B46"/>
    <w:rsid w:val="00871190"/>
    <w:rsid w:val="00874CF5"/>
    <w:rsid w:val="00877AD7"/>
    <w:rsid w:val="008804AD"/>
    <w:rsid w:val="008819E5"/>
    <w:rsid w:val="00881F3E"/>
    <w:rsid w:val="00882B4D"/>
    <w:rsid w:val="00883530"/>
    <w:rsid w:val="00883F33"/>
    <w:rsid w:val="00884CA8"/>
    <w:rsid w:val="00885E94"/>
    <w:rsid w:val="00892090"/>
    <w:rsid w:val="0089302D"/>
    <w:rsid w:val="00895EC9"/>
    <w:rsid w:val="008969B9"/>
    <w:rsid w:val="00897F1F"/>
    <w:rsid w:val="008A072E"/>
    <w:rsid w:val="008A2CE1"/>
    <w:rsid w:val="008A3DE3"/>
    <w:rsid w:val="008A6051"/>
    <w:rsid w:val="008A7281"/>
    <w:rsid w:val="008A7B36"/>
    <w:rsid w:val="008B0F12"/>
    <w:rsid w:val="008B18ED"/>
    <w:rsid w:val="008B1D12"/>
    <w:rsid w:val="008B658B"/>
    <w:rsid w:val="008B7750"/>
    <w:rsid w:val="008C2B9C"/>
    <w:rsid w:val="008C4917"/>
    <w:rsid w:val="008C57BF"/>
    <w:rsid w:val="008C5BA0"/>
    <w:rsid w:val="008C6CE3"/>
    <w:rsid w:val="008C7EA5"/>
    <w:rsid w:val="008D0453"/>
    <w:rsid w:val="008D17E9"/>
    <w:rsid w:val="008D24C5"/>
    <w:rsid w:val="008D25DC"/>
    <w:rsid w:val="008D29CA"/>
    <w:rsid w:val="008D3F96"/>
    <w:rsid w:val="008D430C"/>
    <w:rsid w:val="008D4902"/>
    <w:rsid w:val="008D5906"/>
    <w:rsid w:val="008D624F"/>
    <w:rsid w:val="008D632E"/>
    <w:rsid w:val="008D6963"/>
    <w:rsid w:val="008D739D"/>
    <w:rsid w:val="008D7E88"/>
    <w:rsid w:val="008E05EF"/>
    <w:rsid w:val="008E1AA3"/>
    <w:rsid w:val="008E39AD"/>
    <w:rsid w:val="008E7540"/>
    <w:rsid w:val="008E7CDC"/>
    <w:rsid w:val="008E7EB3"/>
    <w:rsid w:val="008F068B"/>
    <w:rsid w:val="008F092C"/>
    <w:rsid w:val="008F1D85"/>
    <w:rsid w:val="008F267E"/>
    <w:rsid w:val="008F281D"/>
    <w:rsid w:val="008F5212"/>
    <w:rsid w:val="008F5378"/>
    <w:rsid w:val="008F6EE5"/>
    <w:rsid w:val="008F7003"/>
    <w:rsid w:val="008F744C"/>
    <w:rsid w:val="00900569"/>
    <w:rsid w:val="00900698"/>
    <w:rsid w:val="00901CD7"/>
    <w:rsid w:val="00903882"/>
    <w:rsid w:val="00903DE7"/>
    <w:rsid w:val="00903E99"/>
    <w:rsid w:val="00903EF6"/>
    <w:rsid w:val="009042FE"/>
    <w:rsid w:val="00904EF0"/>
    <w:rsid w:val="009063B1"/>
    <w:rsid w:val="00907FF2"/>
    <w:rsid w:val="00910A81"/>
    <w:rsid w:val="009114B0"/>
    <w:rsid w:val="00912461"/>
    <w:rsid w:val="00914A28"/>
    <w:rsid w:val="0091549B"/>
    <w:rsid w:val="00916FA0"/>
    <w:rsid w:val="00921890"/>
    <w:rsid w:val="00922B5B"/>
    <w:rsid w:val="00923312"/>
    <w:rsid w:val="009238D6"/>
    <w:rsid w:val="009244E3"/>
    <w:rsid w:val="0092453F"/>
    <w:rsid w:val="009248B5"/>
    <w:rsid w:val="00924FF9"/>
    <w:rsid w:val="00926529"/>
    <w:rsid w:val="0092670B"/>
    <w:rsid w:val="009267B3"/>
    <w:rsid w:val="00926875"/>
    <w:rsid w:val="00927D55"/>
    <w:rsid w:val="009310FA"/>
    <w:rsid w:val="00931A90"/>
    <w:rsid w:val="00932F33"/>
    <w:rsid w:val="00933F1C"/>
    <w:rsid w:val="00936531"/>
    <w:rsid w:val="00940C6F"/>
    <w:rsid w:val="00941286"/>
    <w:rsid w:val="00942686"/>
    <w:rsid w:val="00942A87"/>
    <w:rsid w:val="009434D6"/>
    <w:rsid w:val="00945DAB"/>
    <w:rsid w:val="00945EF5"/>
    <w:rsid w:val="00946B09"/>
    <w:rsid w:val="009474A2"/>
    <w:rsid w:val="00950BA6"/>
    <w:rsid w:val="009525E0"/>
    <w:rsid w:val="00954BE7"/>
    <w:rsid w:val="00954FA5"/>
    <w:rsid w:val="00955108"/>
    <w:rsid w:val="009551BC"/>
    <w:rsid w:val="009567E4"/>
    <w:rsid w:val="00957041"/>
    <w:rsid w:val="00957BF4"/>
    <w:rsid w:val="00960DEA"/>
    <w:rsid w:val="0096114B"/>
    <w:rsid w:val="00961F92"/>
    <w:rsid w:val="00962079"/>
    <w:rsid w:val="009634D6"/>
    <w:rsid w:val="00966596"/>
    <w:rsid w:val="00967401"/>
    <w:rsid w:val="009737FD"/>
    <w:rsid w:val="00974408"/>
    <w:rsid w:val="00974B75"/>
    <w:rsid w:val="00976720"/>
    <w:rsid w:val="009778BB"/>
    <w:rsid w:val="009813FA"/>
    <w:rsid w:val="0098168A"/>
    <w:rsid w:val="00981B3F"/>
    <w:rsid w:val="00981BCB"/>
    <w:rsid w:val="0098353D"/>
    <w:rsid w:val="00986186"/>
    <w:rsid w:val="00987D38"/>
    <w:rsid w:val="0099065B"/>
    <w:rsid w:val="00991037"/>
    <w:rsid w:val="009917BD"/>
    <w:rsid w:val="00994511"/>
    <w:rsid w:val="00997562"/>
    <w:rsid w:val="009A0CE9"/>
    <w:rsid w:val="009A1EAA"/>
    <w:rsid w:val="009A1F27"/>
    <w:rsid w:val="009A21AF"/>
    <w:rsid w:val="009A2690"/>
    <w:rsid w:val="009A4982"/>
    <w:rsid w:val="009A4EB5"/>
    <w:rsid w:val="009A700A"/>
    <w:rsid w:val="009A7543"/>
    <w:rsid w:val="009A79FE"/>
    <w:rsid w:val="009B121F"/>
    <w:rsid w:val="009B3A16"/>
    <w:rsid w:val="009B46F3"/>
    <w:rsid w:val="009B47E4"/>
    <w:rsid w:val="009B4B12"/>
    <w:rsid w:val="009B5172"/>
    <w:rsid w:val="009B55A6"/>
    <w:rsid w:val="009B5DD4"/>
    <w:rsid w:val="009B73CB"/>
    <w:rsid w:val="009B77D1"/>
    <w:rsid w:val="009B7C58"/>
    <w:rsid w:val="009B7CF1"/>
    <w:rsid w:val="009C008B"/>
    <w:rsid w:val="009C1F54"/>
    <w:rsid w:val="009C2CB1"/>
    <w:rsid w:val="009C35A9"/>
    <w:rsid w:val="009C5A21"/>
    <w:rsid w:val="009C5ADF"/>
    <w:rsid w:val="009C6E00"/>
    <w:rsid w:val="009C710B"/>
    <w:rsid w:val="009D07F6"/>
    <w:rsid w:val="009D117D"/>
    <w:rsid w:val="009D148F"/>
    <w:rsid w:val="009D241C"/>
    <w:rsid w:val="009D4C03"/>
    <w:rsid w:val="009D5C22"/>
    <w:rsid w:val="009D79E2"/>
    <w:rsid w:val="009E0F8C"/>
    <w:rsid w:val="009E0FDC"/>
    <w:rsid w:val="009E1D48"/>
    <w:rsid w:val="009E2302"/>
    <w:rsid w:val="009E405B"/>
    <w:rsid w:val="009E64DD"/>
    <w:rsid w:val="009E6B47"/>
    <w:rsid w:val="009F17DC"/>
    <w:rsid w:val="009F1927"/>
    <w:rsid w:val="009F2199"/>
    <w:rsid w:val="009F2A45"/>
    <w:rsid w:val="009F2DBC"/>
    <w:rsid w:val="009F5BAD"/>
    <w:rsid w:val="00A00F62"/>
    <w:rsid w:val="00A02429"/>
    <w:rsid w:val="00A02F4F"/>
    <w:rsid w:val="00A039E1"/>
    <w:rsid w:val="00A039FF"/>
    <w:rsid w:val="00A047F5"/>
    <w:rsid w:val="00A05481"/>
    <w:rsid w:val="00A064C6"/>
    <w:rsid w:val="00A06531"/>
    <w:rsid w:val="00A06B31"/>
    <w:rsid w:val="00A10B8A"/>
    <w:rsid w:val="00A114E2"/>
    <w:rsid w:val="00A1248D"/>
    <w:rsid w:val="00A12EC9"/>
    <w:rsid w:val="00A14522"/>
    <w:rsid w:val="00A14916"/>
    <w:rsid w:val="00A14FE2"/>
    <w:rsid w:val="00A15674"/>
    <w:rsid w:val="00A15A0A"/>
    <w:rsid w:val="00A15FC5"/>
    <w:rsid w:val="00A178E8"/>
    <w:rsid w:val="00A20B90"/>
    <w:rsid w:val="00A20E42"/>
    <w:rsid w:val="00A22659"/>
    <w:rsid w:val="00A23B6E"/>
    <w:rsid w:val="00A23C94"/>
    <w:rsid w:val="00A24E23"/>
    <w:rsid w:val="00A26206"/>
    <w:rsid w:val="00A269A2"/>
    <w:rsid w:val="00A26B17"/>
    <w:rsid w:val="00A26B69"/>
    <w:rsid w:val="00A26D1A"/>
    <w:rsid w:val="00A26DE8"/>
    <w:rsid w:val="00A26DF1"/>
    <w:rsid w:val="00A27DDA"/>
    <w:rsid w:val="00A308E3"/>
    <w:rsid w:val="00A34263"/>
    <w:rsid w:val="00A37AC8"/>
    <w:rsid w:val="00A4134A"/>
    <w:rsid w:val="00A41839"/>
    <w:rsid w:val="00A41F61"/>
    <w:rsid w:val="00A4247A"/>
    <w:rsid w:val="00A44837"/>
    <w:rsid w:val="00A457D5"/>
    <w:rsid w:val="00A46A9B"/>
    <w:rsid w:val="00A46AAF"/>
    <w:rsid w:val="00A50B6B"/>
    <w:rsid w:val="00A516D7"/>
    <w:rsid w:val="00A51A13"/>
    <w:rsid w:val="00A52427"/>
    <w:rsid w:val="00A54161"/>
    <w:rsid w:val="00A56204"/>
    <w:rsid w:val="00A56915"/>
    <w:rsid w:val="00A577BB"/>
    <w:rsid w:val="00A60A99"/>
    <w:rsid w:val="00A60D8B"/>
    <w:rsid w:val="00A60EAD"/>
    <w:rsid w:val="00A614F8"/>
    <w:rsid w:val="00A61D3E"/>
    <w:rsid w:val="00A61E0B"/>
    <w:rsid w:val="00A62CB4"/>
    <w:rsid w:val="00A6333B"/>
    <w:rsid w:val="00A63B45"/>
    <w:rsid w:val="00A65257"/>
    <w:rsid w:val="00A660B7"/>
    <w:rsid w:val="00A71E0F"/>
    <w:rsid w:val="00A74B7C"/>
    <w:rsid w:val="00A75193"/>
    <w:rsid w:val="00A7529D"/>
    <w:rsid w:val="00A75EAD"/>
    <w:rsid w:val="00A76AC3"/>
    <w:rsid w:val="00A76B2E"/>
    <w:rsid w:val="00A771E6"/>
    <w:rsid w:val="00A778D0"/>
    <w:rsid w:val="00A80D76"/>
    <w:rsid w:val="00A80F6F"/>
    <w:rsid w:val="00A83B70"/>
    <w:rsid w:val="00A86858"/>
    <w:rsid w:val="00A91081"/>
    <w:rsid w:val="00A925C7"/>
    <w:rsid w:val="00A93EC4"/>
    <w:rsid w:val="00A941B9"/>
    <w:rsid w:val="00A942C7"/>
    <w:rsid w:val="00A95DAC"/>
    <w:rsid w:val="00AA226A"/>
    <w:rsid w:val="00AA3EEB"/>
    <w:rsid w:val="00AA56FA"/>
    <w:rsid w:val="00AA5A9D"/>
    <w:rsid w:val="00AA6CB9"/>
    <w:rsid w:val="00AA7045"/>
    <w:rsid w:val="00AA79F0"/>
    <w:rsid w:val="00AB0351"/>
    <w:rsid w:val="00AB03A3"/>
    <w:rsid w:val="00AB0AB8"/>
    <w:rsid w:val="00AB11C0"/>
    <w:rsid w:val="00AB1367"/>
    <w:rsid w:val="00AB1975"/>
    <w:rsid w:val="00AB1D62"/>
    <w:rsid w:val="00AB1E01"/>
    <w:rsid w:val="00AB4A66"/>
    <w:rsid w:val="00AB4E6F"/>
    <w:rsid w:val="00AB52F5"/>
    <w:rsid w:val="00AB676D"/>
    <w:rsid w:val="00AB6A2D"/>
    <w:rsid w:val="00AB7186"/>
    <w:rsid w:val="00AB7191"/>
    <w:rsid w:val="00AB77EE"/>
    <w:rsid w:val="00AB7819"/>
    <w:rsid w:val="00AC0355"/>
    <w:rsid w:val="00AC24CD"/>
    <w:rsid w:val="00AC34D8"/>
    <w:rsid w:val="00AC3F9A"/>
    <w:rsid w:val="00AC49C9"/>
    <w:rsid w:val="00AC5770"/>
    <w:rsid w:val="00AC586B"/>
    <w:rsid w:val="00AD2472"/>
    <w:rsid w:val="00AD2628"/>
    <w:rsid w:val="00AD3BAA"/>
    <w:rsid w:val="00AD4F1A"/>
    <w:rsid w:val="00AD599E"/>
    <w:rsid w:val="00AD625E"/>
    <w:rsid w:val="00AD6D35"/>
    <w:rsid w:val="00AD72A5"/>
    <w:rsid w:val="00AE0DDD"/>
    <w:rsid w:val="00AE141C"/>
    <w:rsid w:val="00AE310E"/>
    <w:rsid w:val="00AE6D41"/>
    <w:rsid w:val="00AE6E57"/>
    <w:rsid w:val="00AE73AB"/>
    <w:rsid w:val="00AE784B"/>
    <w:rsid w:val="00AE7863"/>
    <w:rsid w:val="00AE7E1B"/>
    <w:rsid w:val="00AF0215"/>
    <w:rsid w:val="00AF02A8"/>
    <w:rsid w:val="00AF3725"/>
    <w:rsid w:val="00AF4EED"/>
    <w:rsid w:val="00AF795E"/>
    <w:rsid w:val="00B00025"/>
    <w:rsid w:val="00B018CF"/>
    <w:rsid w:val="00B0221A"/>
    <w:rsid w:val="00B02938"/>
    <w:rsid w:val="00B04498"/>
    <w:rsid w:val="00B04EE8"/>
    <w:rsid w:val="00B04FD7"/>
    <w:rsid w:val="00B05CFB"/>
    <w:rsid w:val="00B07839"/>
    <w:rsid w:val="00B07DF0"/>
    <w:rsid w:val="00B10765"/>
    <w:rsid w:val="00B168CB"/>
    <w:rsid w:val="00B17FB4"/>
    <w:rsid w:val="00B201E2"/>
    <w:rsid w:val="00B211C4"/>
    <w:rsid w:val="00B2153D"/>
    <w:rsid w:val="00B21A69"/>
    <w:rsid w:val="00B221A4"/>
    <w:rsid w:val="00B2294A"/>
    <w:rsid w:val="00B23CA1"/>
    <w:rsid w:val="00B25567"/>
    <w:rsid w:val="00B2557E"/>
    <w:rsid w:val="00B26CFF"/>
    <w:rsid w:val="00B27DC3"/>
    <w:rsid w:val="00B3017C"/>
    <w:rsid w:val="00B30A10"/>
    <w:rsid w:val="00B32E20"/>
    <w:rsid w:val="00B33AE5"/>
    <w:rsid w:val="00B34358"/>
    <w:rsid w:val="00B35B83"/>
    <w:rsid w:val="00B3630B"/>
    <w:rsid w:val="00B37482"/>
    <w:rsid w:val="00B40801"/>
    <w:rsid w:val="00B4097E"/>
    <w:rsid w:val="00B40E52"/>
    <w:rsid w:val="00B4111D"/>
    <w:rsid w:val="00B414A7"/>
    <w:rsid w:val="00B41D03"/>
    <w:rsid w:val="00B440E4"/>
    <w:rsid w:val="00B4494A"/>
    <w:rsid w:val="00B44A2D"/>
    <w:rsid w:val="00B45E2A"/>
    <w:rsid w:val="00B462FD"/>
    <w:rsid w:val="00B46765"/>
    <w:rsid w:val="00B47851"/>
    <w:rsid w:val="00B51A4F"/>
    <w:rsid w:val="00B5231C"/>
    <w:rsid w:val="00B52ADB"/>
    <w:rsid w:val="00B5529C"/>
    <w:rsid w:val="00B5561A"/>
    <w:rsid w:val="00B566C2"/>
    <w:rsid w:val="00B5681A"/>
    <w:rsid w:val="00B5696C"/>
    <w:rsid w:val="00B577C4"/>
    <w:rsid w:val="00B611A2"/>
    <w:rsid w:val="00B6279F"/>
    <w:rsid w:val="00B6310D"/>
    <w:rsid w:val="00B67C9F"/>
    <w:rsid w:val="00B719C9"/>
    <w:rsid w:val="00B72618"/>
    <w:rsid w:val="00B73BA0"/>
    <w:rsid w:val="00B741F2"/>
    <w:rsid w:val="00B756BA"/>
    <w:rsid w:val="00B76194"/>
    <w:rsid w:val="00B77E45"/>
    <w:rsid w:val="00B80FA3"/>
    <w:rsid w:val="00B82892"/>
    <w:rsid w:val="00B829B1"/>
    <w:rsid w:val="00B8375A"/>
    <w:rsid w:val="00B918D7"/>
    <w:rsid w:val="00B93A2D"/>
    <w:rsid w:val="00B950BE"/>
    <w:rsid w:val="00B965CC"/>
    <w:rsid w:val="00B97B07"/>
    <w:rsid w:val="00BA21D9"/>
    <w:rsid w:val="00BA3076"/>
    <w:rsid w:val="00BA49FF"/>
    <w:rsid w:val="00BA4B38"/>
    <w:rsid w:val="00BA5481"/>
    <w:rsid w:val="00BB2170"/>
    <w:rsid w:val="00BB27E8"/>
    <w:rsid w:val="00BB5781"/>
    <w:rsid w:val="00BB5A8B"/>
    <w:rsid w:val="00BB608E"/>
    <w:rsid w:val="00BB6D86"/>
    <w:rsid w:val="00BC0F58"/>
    <w:rsid w:val="00BC1404"/>
    <w:rsid w:val="00BC43D7"/>
    <w:rsid w:val="00BC54CD"/>
    <w:rsid w:val="00BC5CE2"/>
    <w:rsid w:val="00BC604F"/>
    <w:rsid w:val="00BC6765"/>
    <w:rsid w:val="00BD0AAD"/>
    <w:rsid w:val="00BD0D22"/>
    <w:rsid w:val="00BD1E84"/>
    <w:rsid w:val="00BD23BF"/>
    <w:rsid w:val="00BD2748"/>
    <w:rsid w:val="00BD367D"/>
    <w:rsid w:val="00BD6195"/>
    <w:rsid w:val="00BE023F"/>
    <w:rsid w:val="00BE482D"/>
    <w:rsid w:val="00BE56DC"/>
    <w:rsid w:val="00BE6356"/>
    <w:rsid w:val="00BE6E05"/>
    <w:rsid w:val="00BE6E78"/>
    <w:rsid w:val="00BF063F"/>
    <w:rsid w:val="00BF1B39"/>
    <w:rsid w:val="00BF1BC2"/>
    <w:rsid w:val="00BF29AC"/>
    <w:rsid w:val="00BF2C1B"/>
    <w:rsid w:val="00BF4CC8"/>
    <w:rsid w:val="00BF5687"/>
    <w:rsid w:val="00BF5E05"/>
    <w:rsid w:val="00BF662E"/>
    <w:rsid w:val="00BF6ED5"/>
    <w:rsid w:val="00C00338"/>
    <w:rsid w:val="00C0085E"/>
    <w:rsid w:val="00C00B9A"/>
    <w:rsid w:val="00C00BCB"/>
    <w:rsid w:val="00C00E5E"/>
    <w:rsid w:val="00C016C2"/>
    <w:rsid w:val="00C03041"/>
    <w:rsid w:val="00C03DBC"/>
    <w:rsid w:val="00C03E98"/>
    <w:rsid w:val="00C04794"/>
    <w:rsid w:val="00C055D7"/>
    <w:rsid w:val="00C05C69"/>
    <w:rsid w:val="00C063F2"/>
    <w:rsid w:val="00C068CE"/>
    <w:rsid w:val="00C0737A"/>
    <w:rsid w:val="00C112E3"/>
    <w:rsid w:val="00C12C7A"/>
    <w:rsid w:val="00C135D8"/>
    <w:rsid w:val="00C15DF0"/>
    <w:rsid w:val="00C16304"/>
    <w:rsid w:val="00C16A54"/>
    <w:rsid w:val="00C20319"/>
    <w:rsid w:val="00C20C3D"/>
    <w:rsid w:val="00C22C0C"/>
    <w:rsid w:val="00C238AF"/>
    <w:rsid w:val="00C23C35"/>
    <w:rsid w:val="00C24385"/>
    <w:rsid w:val="00C24DE4"/>
    <w:rsid w:val="00C27D43"/>
    <w:rsid w:val="00C27FEA"/>
    <w:rsid w:val="00C308AF"/>
    <w:rsid w:val="00C3403E"/>
    <w:rsid w:val="00C35831"/>
    <w:rsid w:val="00C36769"/>
    <w:rsid w:val="00C36C55"/>
    <w:rsid w:val="00C377D1"/>
    <w:rsid w:val="00C41385"/>
    <w:rsid w:val="00C4548F"/>
    <w:rsid w:val="00C47677"/>
    <w:rsid w:val="00C476B2"/>
    <w:rsid w:val="00C501D2"/>
    <w:rsid w:val="00C518B0"/>
    <w:rsid w:val="00C51EC6"/>
    <w:rsid w:val="00C524BB"/>
    <w:rsid w:val="00C533B1"/>
    <w:rsid w:val="00C53DAE"/>
    <w:rsid w:val="00C54042"/>
    <w:rsid w:val="00C5408F"/>
    <w:rsid w:val="00C54543"/>
    <w:rsid w:val="00C54678"/>
    <w:rsid w:val="00C55592"/>
    <w:rsid w:val="00C57E63"/>
    <w:rsid w:val="00C600BD"/>
    <w:rsid w:val="00C600C1"/>
    <w:rsid w:val="00C60956"/>
    <w:rsid w:val="00C60B1F"/>
    <w:rsid w:val="00C60DA6"/>
    <w:rsid w:val="00C615EE"/>
    <w:rsid w:val="00C62AF3"/>
    <w:rsid w:val="00C633DB"/>
    <w:rsid w:val="00C63FF6"/>
    <w:rsid w:val="00C6420E"/>
    <w:rsid w:val="00C6600E"/>
    <w:rsid w:val="00C6656C"/>
    <w:rsid w:val="00C667C5"/>
    <w:rsid w:val="00C67C4B"/>
    <w:rsid w:val="00C71064"/>
    <w:rsid w:val="00C723F4"/>
    <w:rsid w:val="00C7307A"/>
    <w:rsid w:val="00C7530B"/>
    <w:rsid w:val="00C7571A"/>
    <w:rsid w:val="00C757B9"/>
    <w:rsid w:val="00C758E0"/>
    <w:rsid w:val="00C8000B"/>
    <w:rsid w:val="00C810BD"/>
    <w:rsid w:val="00C81DE7"/>
    <w:rsid w:val="00C82C89"/>
    <w:rsid w:val="00C82F37"/>
    <w:rsid w:val="00C831A6"/>
    <w:rsid w:val="00C83490"/>
    <w:rsid w:val="00C835B1"/>
    <w:rsid w:val="00C84F81"/>
    <w:rsid w:val="00C86323"/>
    <w:rsid w:val="00C8769F"/>
    <w:rsid w:val="00C87AAD"/>
    <w:rsid w:val="00C90D4E"/>
    <w:rsid w:val="00C914B9"/>
    <w:rsid w:val="00C924DA"/>
    <w:rsid w:val="00C92EEB"/>
    <w:rsid w:val="00C936C0"/>
    <w:rsid w:val="00C94097"/>
    <w:rsid w:val="00C94851"/>
    <w:rsid w:val="00C95200"/>
    <w:rsid w:val="00C966CC"/>
    <w:rsid w:val="00CA0AF2"/>
    <w:rsid w:val="00CA3A94"/>
    <w:rsid w:val="00CA63CA"/>
    <w:rsid w:val="00CA6FA3"/>
    <w:rsid w:val="00CB0659"/>
    <w:rsid w:val="00CB395D"/>
    <w:rsid w:val="00CB503B"/>
    <w:rsid w:val="00CB5586"/>
    <w:rsid w:val="00CB6D97"/>
    <w:rsid w:val="00CB7385"/>
    <w:rsid w:val="00CB7DCC"/>
    <w:rsid w:val="00CB7ECA"/>
    <w:rsid w:val="00CB7EE6"/>
    <w:rsid w:val="00CC1919"/>
    <w:rsid w:val="00CC1AC5"/>
    <w:rsid w:val="00CC4AAA"/>
    <w:rsid w:val="00CC6263"/>
    <w:rsid w:val="00CC7049"/>
    <w:rsid w:val="00CC722C"/>
    <w:rsid w:val="00CC77A5"/>
    <w:rsid w:val="00CC7B92"/>
    <w:rsid w:val="00CD26E1"/>
    <w:rsid w:val="00CD3255"/>
    <w:rsid w:val="00CD38F6"/>
    <w:rsid w:val="00CD3CC6"/>
    <w:rsid w:val="00CD60CC"/>
    <w:rsid w:val="00CE09D8"/>
    <w:rsid w:val="00CE23CD"/>
    <w:rsid w:val="00CE3588"/>
    <w:rsid w:val="00CE4B98"/>
    <w:rsid w:val="00CE6D25"/>
    <w:rsid w:val="00CE7225"/>
    <w:rsid w:val="00CF0967"/>
    <w:rsid w:val="00CF0C6C"/>
    <w:rsid w:val="00CF13DB"/>
    <w:rsid w:val="00CF13EA"/>
    <w:rsid w:val="00CF1F51"/>
    <w:rsid w:val="00CF3445"/>
    <w:rsid w:val="00CF5141"/>
    <w:rsid w:val="00CF5970"/>
    <w:rsid w:val="00CF5A40"/>
    <w:rsid w:val="00CF5BA7"/>
    <w:rsid w:val="00CF66C6"/>
    <w:rsid w:val="00CF6D69"/>
    <w:rsid w:val="00D01AF2"/>
    <w:rsid w:val="00D01B26"/>
    <w:rsid w:val="00D01C56"/>
    <w:rsid w:val="00D04B1A"/>
    <w:rsid w:val="00D05E95"/>
    <w:rsid w:val="00D05EC7"/>
    <w:rsid w:val="00D06786"/>
    <w:rsid w:val="00D06B56"/>
    <w:rsid w:val="00D07212"/>
    <w:rsid w:val="00D10471"/>
    <w:rsid w:val="00D10894"/>
    <w:rsid w:val="00D12972"/>
    <w:rsid w:val="00D13F81"/>
    <w:rsid w:val="00D15C69"/>
    <w:rsid w:val="00D1694E"/>
    <w:rsid w:val="00D17D74"/>
    <w:rsid w:val="00D20049"/>
    <w:rsid w:val="00D215C2"/>
    <w:rsid w:val="00D22928"/>
    <w:rsid w:val="00D23B68"/>
    <w:rsid w:val="00D242ED"/>
    <w:rsid w:val="00D252B8"/>
    <w:rsid w:val="00D25C63"/>
    <w:rsid w:val="00D26976"/>
    <w:rsid w:val="00D26BEF"/>
    <w:rsid w:val="00D278E4"/>
    <w:rsid w:val="00D27FDE"/>
    <w:rsid w:val="00D32CA2"/>
    <w:rsid w:val="00D34FD8"/>
    <w:rsid w:val="00D351CE"/>
    <w:rsid w:val="00D37899"/>
    <w:rsid w:val="00D40DD0"/>
    <w:rsid w:val="00D40FFF"/>
    <w:rsid w:val="00D42495"/>
    <w:rsid w:val="00D44C00"/>
    <w:rsid w:val="00D47F7E"/>
    <w:rsid w:val="00D5023D"/>
    <w:rsid w:val="00D50AC9"/>
    <w:rsid w:val="00D52603"/>
    <w:rsid w:val="00D53188"/>
    <w:rsid w:val="00D53E93"/>
    <w:rsid w:val="00D54EC9"/>
    <w:rsid w:val="00D55A9A"/>
    <w:rsid w:val="00D55E13"/>
    <w:rsid w:val="00D562FC"/>
    <w:rsid w:val="00D5672F"/>
    <w:rsid w:val="00D60C78"/>
    <w:rsid w:val="00D613F7"/>
    <w:rsid w:val="00D614C2"/>
    <w:rsid w:val="00D61C90"/>
    <w:rsid w:val="00D62456"/>
    <w:rsid w:val="00D647B1"/>
    <w:rsid w:val="00D64800"/>
    <w:rsid w:val="00D64AF8"/>
    <w:rsid w:val="00D67103"/>
    <w:rsid w:val="00D6713A"/>
    <w:rsid w:val="00D67784"/>
    <w:rsid w:val="00D679D4"/>
    <w:rsid w:val="00D67DB3"/>
    <w:rsid w:val="00D700F9"/>
    <w:rsid w:val="00D7080F"/>
    <w:rsid w:val="00D71521"/>
    <w:rsid w:val="00D71F64"/>
    <w:rsid w:val="00D72842"/>
    <w:rsid w:val="00D73A76"/>
    <w:rsid w:val="00D74FB0"/>
    <w:rsid w:val="00D7545C"/>
    <w:rsid w:val="00D754A4"/>
    <w:rsid w:val="00D75EB8"/>
    <w:rsid w:val="00D76310"/>
    <w:rsid w:val="00D76681"/>
    <w:rsid w:val="00D76E4C"/>
    <w:rsid w:val="00D77A50"/>
    <w:rsid w:val="00D77BF0"/>
    <w:rsid w:val="00D810B6"/>
    <w:rsid w:val="00D8261D"/>
    <w:rsid w:val="00D82630"/>
    <w:rsid w:val="00D82A29"/>
    <w:rsid w:val="00D85459"/>
    <w:rsid w:val="00D875E1"/>
    <w:rsid w:val="00D87E2E"/>
    <w:rsid w:val="00D902B8"/>
    <w:rsid w:val="00D90C0C"/>
    <w:rsid w:val="00D90DDC"/>
    <w:rsid w:val="00D9117D"/>
    <w:rsid w:val="00D9218D"/>
    <w:rsid w:val="00D92850"/>
    <w:rsid w:val="00D94629"/>
    <w:rsid w:val="00D95095"/>
    <w:rsid w:val="00D9597D"/>
    <w:rsid w:val="00D95A06"/>
    <w:rsid w:val="00D95BD8"/>
    <w:rsid w:val="00D95CBA"/>
    <w:rsid w:val="00D95ED1"/>
    <w:rsid w:val="00D96667"/>
    <w:rsid w:val="00D97833"/>
    <w:rsid w:val="00DA0049"/>
    <w:rsid w:val="00DA42C8"/>
    <w:rsid w:val="00DA4A1A"/>
    <w:rsid w:val="00DA5219"/>
    <w:rsid w:val="00DA567F"/>
    <w:rsid w:val="00DA58B6"/>
    <w:rsid w:val="00DA60EF"/>
    <w:rsid w:val="00DA68FE"/>
    <w:rsid w:val="00DB2285"/>
    <w:rsid w:val="00DB39CE"/>
    <w:rsid w:val="00DC09E9"/>
    <w:rsid w:val="00DC16C3"/>
    <w:rsid w:val="00DC1F75"/>
    <w:rsid w:val="00DC1FE1"/>
    <w:rsid w:val="00DC2E49"/>
    <w:rsid w:val="00DC2F73"/>
    <w:rsid w:val="00DC329C"/>
    <w:rsid w:val="00DC4D80"/>
    <w:rsid w:val="00DC54F6"/>
    <w:rsid w:val="00DC5C6E"/>
    <w:rsid w:val="00DD2AE9"/>
    <w:rsid w:val="00DD2DA7"/>
    <w:rsid w:val="00DD3825"/>
    <w:rsid w:val="00DD3C01"/>
    <w:rsid w:val="00DD44D8"/>
    <w:rsid w:val="00DD4BC6"/>
    <w:rsid w:val="00DD5481"/>
    <w:rsid w:val="00DD5D6D"/>
    <w:rsid w:val="00DD5DE8"/>
    <w:rsid w:val="00DD6D56"/>
    <w:rsid w:val="00DD7AC9"/>
    <w:rsid w:val="00DE1B56"/>
    <w:rsid w:val="00DE27BB"/>
    <w:rsid w:val="00DE32AA"/>
    <w:rsid w:val="00DE3824"/>
    <w:rsid w:val="00DE3A94"/>
    <w:rsid w:val="00DE5F20"/>
    <w:rsid w:val="00DE680E"/>
    <w:rsid w:val="00DE6D87"/>
    <w:rsid w:val="00DE75BD"/>
    <w:rsid w:val="00DE7AF0"/>
    <w:rsid w:val="00DE7FAF"/>
    <w:rsid w:val="00DF0214"/>
    <w:rsid w:val="00DF08D6"/>
    <w:rsid w:val="00DF35F7"/>
    <w:rsid w:val="00DF3F3F"/>
    <w:rsid w:val="00DF41F0"/>
    <w:rsid w:val="00DF4761"/>
    <w:rsid w:val="00DF56DA"/>
    <w:rsid w:val="00DF6EB8"/>
    <w:rsid w:val="00DF7D80"/>
    <w:rsid w:val="00E016E6"/>
    <w:rsid w:val="00E02396"/>
    <w:rsid w:val="00E0261B"/>
    <w:rsid w:val="00E02839"/>
    <w:rsid w:val="00E02B5B"/>
    <w:rsid w:val="00E03599"/>
    <w:rsid w:val="00E03A4E"/>
    <w:rsid w:val="00E04978"/>
    <w:rsid w:val="00E05071"/>
    <w:rsid w:val="00E05D68"/>
    <w:rsid w:val="00E063AA"/>
    <w:rsid w:val="00E064F1"/>
    <w:rsid w:val="00E12005"/>
    <w:rsid w:val="00E124A6"/>
    <w:rsid w:val="00E1268C"/>
    <w:rsid w:val="00E13000"/>
    <w:rsid w:val="00E15CA1"/>
    <w:rsid w:val="00E17D24"/>
    <w:rsid w:val="00E21CC9"/>
    <w:rsid w:val="00E233E5"/>
    <w:rsid w:val="00E23BB7"/>
    <w:rsid w:val="00E245A9"/>
    <w:rsid w:val="00E25021"/>
    <w:rsid w:val="00E257C3"/>
    <w:rsid w:val="00E25873"/>
    <w:rsid w:val="00E26BDF"/>
    <w:rsid w:val="00E27FC8"/>
    <w:rsid w:val="00E3120A"/>
    <w:rsid w:val="00E32364"/>
    <w:rsid w:val="00E3402A"/>
    <w:rsid w:val="00E35F50"/>
    <w:rsid w:val="00E36068"/>
    <w:rsid w:val="00E408DC"/>
    <w:rsid w:val="00E420A9"/>
    <w:rsid w:val="00E43647"/>
    <w:rsid w:val="00E439D0"/>
    <w:rsid w:val="00E4605A"/>
    <w:rsid w:val="00E471F5"/>
    <w:rsid w:val="00E50DF8"/>
    <w:rsid w:val="00E51B52"/>
    <w:rsid w:val="00E53021"/>
    <w:rsid w:val="00E55063"/>
    <w:rsid w:val="00E57760"/>
    <w:rsid w:val="00E57FA9"/>
    <w:rsid w:val="00E6124B"/>
    <w:rsid w:val="00E61EE2"/>
    <w:rsid w:val="00E62905"/>
    <w:rsid w:val="00E633D8"/>
    <w:rsid w:val="00E63812"/>
    <w:rsid w:val="00E63E9B"/>
    <w:rsid w:val="00E63FC5"/>
    <w:rsid w:val="00E64DB1"/>
    <w:rsid w:val="00E654AB"/>
    <w:rsid w:val="00E656A4"/>
    <w:rsid w:val="00E6603E"/>
    <w:rsid w:val="00E66347"/>
    <w:rsid w:val="00E6666B"/>
    <w:rsid w:val="00E71A57"/>
    <w:rsid w:val="00E724E0"/>
    <w:rsid w:val="00E72C90"/>
    <w:rsid w:val="00E72ED2"/>
    <w:rsid w:val="00E7359E"/>
    <w:rsid w:val="00E74A21"/>
    <w:rsid w:val="00E75BB7"/>
    <w:rsid w:val="00E76A5D"/>
    <w:rsid w:val="00E82F56"/>
    <w:rsid w:val="00E8521C"/>
    <w:rsid w:val="00E859E8"/>
    <w:rsid w:val="00E85FE5"/>
    <w:rsid w:val="00E9117C"/>
    <w:rsid w:val="00E91796"/>
    <w:rsid w:val="00E92389"/>
    <w:rsid w:val="00E962CE"/>
    <w:rsid w:val="00E97252"/>
    <w:rsid w:val="00E97F87"/>
    <w:rsid w:val="00EA112B"/>
    <w:rsid w:val="00EA2E2B"/>
    <w:rsid w:val="00EA5E67"/>
    <w:rsid w:val="00EA71F8"/>
    <w:rsid w:val="00EB0CE7"/>
    <w:rsid w:val="00EB17ED"/>
    <w:rsid w:val="00EB1BD3"/>
    <w:rsid w:val="00EB653B"/>
    <w:rsid w:val="00EB79DB"/>
    <w:rsid w:val="00EB7C02"/>
    <w:rsid w:val="00EC00B9"/>
    <w:rsid w:val="00EC0175"/>
    <w:rsid w:val="00EC0D4C"/>
    <w:rsid w:val="00EC22E3"/>
    <w:rsid w:val="00EC401D"/>
    <w:rsid w:val="00EC4335"/>
    <w:rsid w:val="00EC5341"/>
    <w:rsid w:val="00EC540B"/>
    <w:rsid w:val="00EC5585"/>
    <w:rsid w:val="00EC5780"/>
    <w:rsid w:val="00EC6421"/>
    <w:rsid w:val="00EC6824"/>
    <w:rsid w:val="00EC69B5"/>
    <w:rsid w:val="00ED08AD"/>
    <w:rsid w:val="00ED08F2"/>
    <w:rsid w:val="00ED1275"/>
    <w:rsid w:val="00ED1ADC"/>
    <w:rsid w:val="00ED3D6C"/>
    <w:rsid w:val="00ED44EA"/>
    <w:rsid w:val="00ED46BD"/>
    <w:rsid w:val="00ED63CF"/>
    <w:rsid w:val="00ED6848"/>
    <w:rsid w:val="00ED6FB3"/>
    <w:rsid w:val="00EE02AA"/>
    <w:rsid w:val="00EE06DC"/>
    <w:rsid w:val="00EE09BD"/>
    <w:rsid w:val="00EE17FA"/>
    <w:rsid w:val="00EE1841"/>
    <w:rsid w:val="00EE1A30"/>
    <w:rsid w:val="00EE28DE"/>
    <w:rsid w:val="00EE32DB"/>
    <w:rsid w:val="00EE36CC"/>
    <w:rsid w:val="00EE418C"/>
    <w:rsid w:val="00EE5192"/>
    <w:rsid w:val="00EE527C"/>
    <w:rsid w:val="00EE52D2"/>
    <w:rsid w:val="00EE7C5E"/>
    <w:rsid w:val="00EF0CE9"/>
    <w:rsid w:val="00EF2536"/>
    <w:rsid w:val="00EF3443"/>
    <w:rsid w:val="00EF3B59"/>
    <w:rsid w:val="00EF5666"/>
    <w:rsid w:val="00EF6356"/>
    <w:rsid w:val="00EF6C19"/>
    <w:rsid w:val="00EF7142"/>
    <w:rsid w:val="00EF76A3"/>
    <w:rsid w:val="00EF7F73"/>
    <w:rsid w:val="00F011FF"/>
    <w:rsid w:val="00F014B2"/>
    <w:rsid w:val="00F0161C"/>
    <w:rsid w:val="00F01F3C"/>
    <w:rsid w:val="00F04DC6"/>
    <w:rsid w:val="00F05923"/>
    <w:rsid w:val="00F05DCA"/>
    <w:rsid w:val="00F05F88"/>
    <w:rsid w:val="00F06061"/>
    <w:rsid w:val="00F11D74"/>
    <w:rsid w:val="00F142CB"/>
    <w:rsid w:val="00F14A06"/>
    <w:rsid w:val="00F163BD"/>
    <w:rsid w:val="00F16417"/>
    <w:rsid w:val="00F17BB3"/>
    <w:rsid w:val="00F20104"/>
    <w:rsid w:val="00F212C5"/>
    <w:rsid w:val="00F23C06"/>
    <w:rsid w:val="00F26A3C"/>
    <w:rsid w:val="00F270B8"/>
    <w:rsid w:val="00F27997"/>
    <w:rsid w:val="00F27F32"/>
    <w:rsid w:val="00F304CF"/>
    <w:rsid w:val="00F30FCF"/>
    <w:rsid w:val="00F32CA4"/>
    <w:rsid w:val="00F3308C"/>
    <w:rsid w:val="00F346D8"/>
    <w:rsid w:val="00F35126"/>
    <w:rsid w:val="00F37132"/>
    <w:rsid w:val="00F41D57"/>
    <w:rsid w:val="00F4569C"/>
    <w:rsid w:val="00F4694A"/>
    <w:rsid w:val="00F51B23"/>
    <w:rsid w:val="00F53350"/>
    <w:rsid w:val="00F53B66"/>
    <w:rsid w:val="00F549A7"/>
    <w:rsid w:val="00F54A79"/>
    <w:rsid w:val="00F5530E"/>
    <w:rsid w:val="00F557CF"/>
    <w:rsid w:val="00F563E4"/>
    <w:rsid w:val="00F56972"/>
    <w:rsid w:val="00F56B81"/>
    <w:rsid w:val="00F572D5"/>
    <w:rsid w:val="00F57B8C"/>
    <w:rsid w:val="00F62004"/>
    <w:rsid w:val="00F63528"/>
    <w:rsid w:val="00F63707"/>
    <w:rsid w:val="00F63C09"/>
    <w:rsid w:val="00F65644"/>
    <w:rsid w:val="00F66AA6"/>
    <w:rsid w:val="00F66F03"/>
    <w:rsid w:val="00F67152"/>
    <w:rsid w:val="00F6732C"/>
    <w:rsid w:val="00F7075D"/>
    <w:rsid w:val="00F71DD2"/>
    <w:rsid w:val="00F73C14"/>
    <w:rsid w:val="00F73C3D"/>
    <w:rsid w:val="00F73C6D"/>
    <w:rsid w:val="00F74277"/>
    <w:rsid w:val="00F74C33"/>
    <w:rsid w:val="00F75749"/>
    <w:rsid w:val="00F77452"/>
    <w:rsid w:val="00F77D52"/>
    <w:rsid w:val="00F83E47"/>
    <w:rsid w:val="00F842BF"/>
    <w:rsid w:val="00F8452D"/>
    <w:rsid w:val="00F84C81"/>
    <w:rsid w:val="00F85B10"/>
    <w:rsid w:val="00F86DFD"/>
    <w:rsid w:val="00F90B32"/>
    <w:rsid w:val="00F90B7A"/>
    <w:rsid w:val="00F92922"/>
    <w:rsid w:val="00F941FD"/>
    <w:rsid w:val="00F94D8E"/>
    <w:rsid w:val="00F94E05"/>
    <w:rsid w:val="00F95999"/>
    <w:rsid w:val="00F9627B"/>
    <w:rsid w:val="00F97E7D"/>
    <w:rsid w:val="00FA019A"/>
    <w:rsid w:val="00FA083D"/>
    <w:rsid w:val="00FA0999"/>
    <w:rsid w:val="00FA1C91"/>
    <w:rsid w:val="00FA33E1"/>
    <w:rsid w:val="00FA4AFC"/>
    <w:rsid w:val="00FA4CBB"/>
    <w:rsid w:val="00FA5F4F"/>
    <w:rsid w:val="00FA6027"/>
    <w:rsid w:val="00FA70AF"/>
    <w:rsid w:val="00FA73FF"/>
    <w:rsid w:val="00FB24D5"/>
    <w:rsid w:val="00FB3348"/>
    <w:rsid w:val="00FB6DF5"/>
    <w:rsid w:val="00FC0AAC"/>
    <w:rsid w:val="00FC0C6D"/>
    <w:rsid w:val="00FC3F9D"/>
    <w:rsid w:val="00FC50D6"/>
    <w:rsid w:val="00FC5178"/>
    <w:rsid w:val="00FD054A"/>
    <w:rsid w:val="00FD0B6C"/>
    <w:rsid w:val="00FD1738"/>
    <w:rsid w:val="00FD253B"/>
    <w:rsid w:val="00FD2930"/>
    <w:rsid w:val="00FD458F"/>
    <w:rsid w:val="00FD4DBD"/>
    <w:rsid w:val="00FD71AB"/>
    <w:rsid w:val="00FD7633"/>
    <w:rsid w:val="00FE2506"/>
    <w:rsid w:val="00FE4634"/>
    <w:rsid w:val="00FE4CF7"/>
    <w:rsid w:val="00FE7547"/>
    <w:rsid w:val="00FE7B05"/>
    <w:rsid w:val="00FF381A"/>
    <w:rsid w:val="00FF3A6F"/>
    <w:rsid w:val="00FF3BBA"/>
    <w:rsid w:val="00FF5B06"/>
    <w:rsid w:val="00FF6011"/>
    <w:rsid w:val="00FF6453"/>
    <w:rsid w:val="00FF67FB"/>
    <w:rsid w:val="00FF6BBC"/>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722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228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A2280"/>
    <w:rPr>
      <w:rFonts w:ascii="Tahoma" w:hAnsi="Tahoma" w:cs="Tahoma"/>
      <w:sz w:val="16"/>
      <w:szCs w:val="16"/>
    </w:rPr>
  </w:style>
  <w:style w:type="paragraph" w:customStyle="1" w:styleId="naispant">
    <w:name w:val="naispant"/>
    <w:basedOn w:val="Normal"/>
    <w:rsid w:val="0078372B"/>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6D184F"/>
    <w:pPr>
      <w:ind w:left="720"/>
      <w:contextualSpacing/>
    </w:pPr>
  </w:style>
  <w:style w:type="paragraph" w:styleId="Header">
    <w:name w:val="header"/>
    <w:basedOn w:val="Normal"/>
    <w:link w:val="HeaderChar"/>
    <w:uiPriority w:val="99"/>
    <w:unhideWhenUsed/>
    <w:rsid w:val="003155A6"/>
    <w:pPr>
      <w:tabs>
        <w:tab w:val="center" w:pos="4153"/>
        <w:tab w:val="right" w:pos="8306"/>
      </w:tabs>
      <w:spacing w:after="0" w:line="240" w:lineRule="auto"/>
    </w:pPr>
  </w:style>
  <w:style w:type="character" w:customStyle="1" w:styleId="HeaderChar">
    <w:name w:val="Header Char"/>
    <w:basedOn w:val="DefaultParagraphFont"/>
    <w:link w:val="Header"/>
    <w:uiPriority w:val="99"/>
    <w:rsid w:val="003155A6"/>
  </w:style>
  <w:style w:type="paragraph" w:styleId="Footer">
    <w:name w:val="footer"/>
    <w:basedOn w:val="Normal"/>
    <w:link w:val="FooterChar"/>
    <w:uiPriority w:val="99"/>
    <w:unhideWhenUsed/>
    <w:rsid w:val="003155A6"/>
    <w:pPr>
      <w:tabs>
        <w:tab w:val="center" w:pos="4153"/>
        <w:tab w:val="right" w:pos="8306"/>
      </w:tabs>
      <w:spacing w:after="0" w:line="240" w:lineRule="auto"/>
    </w:pPr>
  </w:style>
  <w:style w:type="character" w:customStyle="1" w:styleId="FooterChar">
    <w:name w:val="Footer Char"/>
    <w:basedOn w:val="DefaultParagraphFont"/>
    <w:link w:val="Footer"/>
    <w:uiPriority w:val="99"/>
    <w:rsid w:val="003155A6"/>
  </w:style>
  <w:style w:type="paragraph" w:styleId="EndnoteText">
    <w:name w:val="endnote text"/>
    <w:basedOn w:val="Normal"/>
    <w:link w:val="EndnoteTextChar"/>
    <w:uiPriority w:val="99"/>
    <w:semiHidden/>
    <w:unhideWhenUsed/>
    <w:rsid w:val="0083299A"/>
    <w:pPr>
      <w:spacing w:after="0" w:line="240" w:lineRule="auto"/>
    </w:pPr>
    <w:rPr>
      <w:sz w:val="20"/>
      <w:szCs w:val="20"/>
    </w:rPr>
  </w:style>
  <w:style w:type="character" w:customStyle="1" w:styleId="EndnoteTextChar">
    <w:name w:val="Endnote Text Char"/>
    <w:link w:val="EndnoteText"/>
    <w:uiPriority w:val="99"/>
    <w:semiHidden/>
    <w:rsid w:val="0083299A"/>
    <w:rPr>
      <w:sz w:val="20"/>
      <w:szCs w:val="20"/>
    </w:rPr>
  </w:style>
  <w:style w:type="character" w:styleId="EndnoteReference">
    <w:name w:val="endnote reference"/>
    <w:uiPriority w:val="99"/>
    <w:semiHidden/>
    <w:unhideWhenUsed/>
    <w:rsid w:val="0083299A"/>
    <w:rPr>
      <w:vertAlign w:val="superscript"/>
    </w:rPr>
  </w:style>
  <w:style w:type="paragraph" w:customStyle="1" w:styleId="EYSub-title">
    <w:name w:val="EY Sub-title"/>
    <w:basedOn w:val="Normal"/>
    <w:uiPriority w:val="99"/>
    <w:rsid w:val="00F66F03"/>
    <w:pPr>
      <w:tabs>
        <w:tab w:val="right" w:pos="6750"/>
      </w:tabs>
      <w:spacing w:after="360" w:line="550" w:lineRule="exact"/>
      <w:jc w:val="right"/>
    </w:pPr>
    <w:rPr>
      <w:rFonts w:ascii="EYInterstate Light" w:hAnsi="EYInterstate Light" w:cs="EYInterstate Light"/>
      <w:b/>
      <w:bCs/>
      <w:kern w:val="28"/>
    </w:rPr>
  </w:style>
  <w:style w:type="table" w:styleId="TableGrid">
    <w:name w:val="Table Grid"/>
    <w:basedOn w:val="TableNormal"/>
    <w:uiPriority w:val="59"/>
    <w:rsid w:val="00C501D2"/>
    <w:rPr>
      <w:rFonts w:ascii="Times New Roman" w:eastAsia="Calibri" w:hAnsi="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A637F"/>
    <w:pPr>
      <w:spacing w:before="100" w:beforeAutospacing="1" w:after="100" w:afterAutospacing="1" w:line="240" w:lineRule="auto"/>
    </w:pPr>
    <w:rPr>
      <w:rFonts w:ascii="Times New Roman" w:hAnsi="Times New Roman"/>
      <w:sz w:val="24"/>
      <w:szCs w:val="24"/>
    </w:rPr>
  </w:style>
  <w:style w:type="character" w:styleId="PageNumber">
    <w:name w:val="page number"/>
    <w:basedOn w:val="DefaultParagraphFont"/>
    <w:rsid w:val="00632238"/>
  </w:style>
  <w:style w:type="paragraph" w:styleId="Revision">
    <w:name w:val="Revision"/>
    <w:hidden/>
    <w:uiPriority w:val="99"/>
    <w:semiHidden/>
    <w:rsid w:val="00FD0B6C"/>
    <w:rPr>
      <w:sz w:val="22"/>
      <w:szCs w:val="22"/>
    </w:rPr>
  </w:style>
  <w:style w:type="paragraph" w:styleId="NoSpacing">
    <w:name w:val="No Spacing"/>
    <w:uiPriority w:val="1"/>
    <w:qFormat/>
    <w:rsid w:val="00DD5DE8"/>
    <w:rPr>
      <w:sz w:val="22"/>
      <w:szCs w:val="22"/>
    </w:rPr>
  </w:style>
  <w:style w:type="character" w:styleId="CommentReference">
    <w:name w:val="annotation reference"/>
    <w:uiPriority w:val="99"/>
    <w:semiHidden/>
    <w:unhideWhenUsed/>
    <w:rsid w:val="00392FD7"/>
    <w:rPr>
      <w:sz w:val="16"/>
      <w:szCs w:val="16"/>
    </w:rPr>
  </w:style>
  <w:style w:type="paragraph" w:styleId="CommentText">
    <w:name w:val="annotation text"/>
    <w:basedOn w:val="Normal"/>
    <w:link w:val="CommentTextChar"/>
    <w:uiPriority w:val="99"/>
    <w:semiHidden/>
    <w:unhideWhenUsed/>
    <w:rsid w:val="00392FD7"/>
    <w:pPr>
      <w:spacing w:line="240" w:lineRule="auto"/>
    </w:pPr>
    <w:rPr>
      <w:sz w:val="20"/>
      <w:szCs w:val="20"/>
    </w:rPr>
  </w:style>
  <w:style w:type="character" w:customStyle="1" w:styleId="CommentTextChar">
    <w:name w:val="Comment Text Char"/>
    <w:link w:val="CommentText"/>
    <w:uiPriority w:val="99"/>
    <w:semiHidden/>
    <w:rsid w:val="00392FD7"/>
    <w:rPr>
      <w:sz w:val="20"/>
      <w:szCs w:val="20"/>
    </w:rPr>
  </w:style>
  <w:style w:type="paragraph" w:styleId="CommentSubject">
    <w:name w:val="annotation subject"/>
    <w:basedOn w:val="CommentText"/>
    <w:next w:val="CommentText"/>
    <w:link w:val="CommentSubjectChar"/>
    <w:uiPriority w:val="99"/>
    <w:semiHidden/>
    <w:unhideWhenUsed/>
    <w:rsid w:val="00392FD7"/>
    <w:rPr>
      <w:b/>
      <w:bCs/>
    </w:rPr>
  </w:style>
  <w:style w:type="character" w:customStyle="1" w:styleId="CommentSubjectChar">
    <w:name w:val="Comment Subject Char"/>
    <w:link w:val="CommentSubject"/>
    <w:uiPriority w:val="99"/>
    <w:semiHidden/>
    <w:rsid w:val="00392F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64395">
      <w:bodyDiv w:val="1"/>
      <w:marLeft w:val="0"/>
      <w:marRight w:val="0"/>
      <w:marTop w:val="0"/>
      <w:marBottom w:val="0"/>
      <w:divBdr>
        <w:top w:val="none" w:sz="0" w:space="0" w:color="auto"/>
        <w:left w:val="none" w:sz="0" w:space="0" w:color="auto"/>
        <w:bottom w:val="none" w:sz="0" w:space="0" w:color="auto"/>
        <w:right w:val="none" w:sz="0" w:space="0" w:color="auto"/>
      </w:divBdr>
    </w:div>
    <w:div w:id="37097621">
      <w:bodyDiv w:val="1"/>
      <w:marLeft w:val="0"/>
      <w:marRight w:val="0"/>
      <w:marTop w:val="0"/>
      <w:marBottom w:val="0"/>
      <w:divBdr>
        <w:top w:val="none" w:sz="0" w:space="0" w:color="auto"/>
        <w:left w:val="none" w:sz="0" w:space="0" w:color="auto"/>
        <w:bottom w:val="none" w:sz="0" w:space="0" w:color="auto"/>
        <w:right w:val="none" w:sz="0" w:space="0" w:color="auto"/>
      </w:divBdr>
    </w:div>
    <w:div w:id="41903919">
      <w:bodyDiv w:val="1"/>
      <w:marLeft w:val="0"/>
      <w:marRight w:val="0"/>
      <w:marTop w:val="0"/>
      <w:marBottom w:val="0"/>
      <w:divBdr>
        <w:top w:val="none" w:sz="0" w:space="0" w:color="auto"/>
        <w:left w:val="none" w:sz="0" w:space="0" w:color="auto"/>
        <w:bottom w:val="none" w:sz="0" w:space="0" w:color="auto"/>
        <w:right w:val="none" w:sz="0" w:space="0" w:color="auto"/>
      </w:divBdr>
    </w:div>
    <w:div w:id="74716424">
      <w:bodyDiv w:val="1"/>
      <w:marLeft w:val="0"/>
      <w:marRight w:val="0"/>
      <w:marTop w:val="0"/>
      <w:marBottom w:val="0"/>
      <w:divBdr>
        <w:top w:val="none" w:sz="0" w:space="0" w:color="auto"/>
        <w:left w:val="none" w:sz="0" w:space="0" w:color="auto"/>
        <w:bottom w:val="none" w:sz="0" w:space="0" w:color="auto"/>
        <w:right w:val="none" w:sz="0" w:space="0" w:color="auto"/>
      </w:divBdr>
      <w:divsChild>
        <w:div w:id="44061792">
          <w:marLeft w:val="806"/>
          <w:marRight w:val="0"/>
          <w:marTop w:val="115"/>
          <w:marBottom w:val="0"/>
          <w:divBdr>
            <w:top w:val="none" w:sz="0" w:space="0" w:color="auto"/>
            <w:left w:val="none" w:sz="0" w:space="0" w:color="auto"/>
            <w:bottom w:val="none" w:sz="0" w:space="0" w:color="auto"/>
            <w:right w:val="none" w:sz="0" w:space="0" w:color="auto"/>
          </w:divBdr>
        </w:div>
        <w:div w:id="384840070">
          <w:marLeft w:val="806"/>
          <w:marRight w:val="0"/>
          <w:marTop w:val="115"/>
          <w:marBottom w:val="0"/>
          <w:divBdr>
            <w:top w:val="none" w:sz="0" w:space="0" w:color="auto"/>
            <w:left w:val="none" w:sz="0" w:space="0" w:color="auto"/>
            <w:bottom w:val="none" w:sz="0" w:space="0" w:color="auto"/>
            <w:right w:val="none" w:sz="0" w:space="0" w:color="auto"/>
          </w:divBdr>
        </w:div>
      </w:divsChild>
    </w:div>
    <w:div w:id="75638642">
      <w:bodyDiv w:val="1"/>
      <w:marLeft w:val="0"/>
      <w:marRight w:val="0"/>
      <w:marTop w:val="0"/>
      <w:marBottom w:val="0"/>
      <w:divBdr>
        <w:top w:val="none" w:sz="0" w:space="0" w:color="auto"/>
        <w:left w:val="none" w:sz="0" w:space="0" w:color="auto"/>
        <w:bottom w:val="none" w:sz="0" w:space="0" w:color="auto"/>
        <w:right w:val="none" w:sz="0" w:space="0" w:color="auto"/>
      </w:divBdr>
    </w:div>
    <w:div w:id="84695558">
      <w:bodyDiv w:val="1"/>
      <w:marLeft w:val="0"/>
      <w:marRight w:val="0"/>
      <w:marTop w:val="0"/>
      <w:marBottom w:val="0"/>
      <w:divBdr>
        <w:top w:val="none" w:sz="0" w:space="0" w:color="auto"/>
        <w:left w:val="none" w:sz="0" w:space="0" w:color="auto"/>
        <w:bottom w:val="none" w:sz="0" w:space="0" w:color="auto"/>
        <w:right w:val="none" w:sz="0" w:space="0" w:color="auto"/>
      </w:divBdr>
      <w:divsChild>
        <w:div w:id="1413088773">
          <w:marLeft w:val="547"/>
          <w:marRight w:val="0"/>
          <w:marTop w:val="96"/>
          <w:marBottom w:val="0"/>
          <w:divBdr>
            <w:top w:val="none" w:sz="0" w:space="0" w:color="auto"/>
            <w:left w:val="none" w:sz="0" w:space="0" w:color="auto"/>
            <w:bottom w:val="none" w:sz="0" w:space="0" w:color="auto"/>
            <w:right w:val="none" w:sz="0" w:space="0" w:color="auto"/>
          </w:divBdr>
        </w:div>
      </w:divsChild>
    </w:div>
    <w:div w:id="196165966">
      <w:bodyDiv w:val="1"/>
      <w:marLeft w:val="0"/>
      <w:marRight w:val="0"/>
      <w:marTop w:val="0"/>
      <w:marBottom w:val="0"/>
      <w:divBdr>
        <w:top w:val="none" w:sz="0" w:space="0" w:color="auto"/>
        <w:left w:val="none" w:sz="0" w:space="0" w:color="auto"/>
        <w:bottom w:val="none" w:sz="0" w:space="0" w:color="auto"/>
        <w:right w:val="none" w:sz="0" w:space="0" w:color="auto"/>
      </w:divBdr>
      <w:divsChild>
        <w:div w:id="545143510">
          <w:marLeft w:val="547"/>
          <w:marRight w:val="0"/>
          <w:marTop w:val="96"/>
          <w:marBottom w:val="0"/>
          <w:divBdr>
            <w:top w:val="none" w:sz="0" w:space="0" w:color="auto"/>
            <w:left w:val="none" w:sz="0" w:space="0" w:color="auto"/>
            <w:bottom w:val="none" w:sz="0" w:space="0" w:color="auto"/>
            <w:right w:val="none" w:sz="0" w:space="0" w:color="auto"/>
          </w:divBdr>
        </w:div>
        <w:div w:id="1047803211">
          <w:marLeft w:val="547"/>
          <w:marRight w:val="0"/>
          <w:marTop w:val="96"/>
          <w:marBottom w:val="0"/>
          <w:divBdr>
            <w:top w:val="none" w:sz="0" w:space="0" w:color="auto"/>
            <w:left w:val="none" w:sz="0" w:space="0" w:color="auto"/>
            <w:bottom w:val="none" w:sz="0" w:space="0" w:color="auto"/>
            <w:right w:val="none" w:sz="0" w:space="0" w:color="auto"/>
          </w:divBdr>
        </w:div>
        <w:div w:id="1746032387">
          <w:marLeft w:val="547"/>
          <w:marRight w:val="0"/>
          <w:marTop w:val="96"/>
          <w:marBottom w:val="0"/>
          <w:divBdr>
            <w:top w:val="none" w:sz="0" w:space="0" w:color="auto"/>
            <w:left w:val="none" w:sz="0" w:space="0" w:color="auto"/>
            <w:bottom w:val="none" w:sz="0" w:space="0" w:color="auto"/>
            <w:right w:val="none" w:sz="0" w:space="0" w:color="auto"/>
          </w:divBdr>
        </w:div>
      </w:divsChild>
    </w:div>
    <w:div w:id="222522665">
      <w:bodyDiv w:val="1"/>
      <w:marLeft w:val="0"/>
      <w:marRight w:val="0"/>
      <w:marTop w:val="0"/>
      <w:marBottom w:val="0"/>
      <w:divBdr>
        <w:top w:val="none" w:sz="0" w:space="0" w:color="auto"/>
        <w:left w:val="none" w:sz="0" w:space="0" w:color="auto"/>
        <w:bottom w:val="none" w:sz="0" w:space="0" w:color="auto"/>
        <w:right w:val="none" w:sz="0" w:space="0" w:color="auto"/>
      </w:divBdr>
    </w:div>
    <w:div w:id="238758868">
      <w:bodyDiv w:val="1"/>
      <w:marLeft w:val="0"/>
      <w:marRight w:val="0"/>
      <w:marTop w:val="0"/>
      <w:marBottom w:val="0"/>
      <w:divBdr>
        <w:top w:val="none" w:sz="0" w:space="0" w:color="auto"/>
        <w:left w:val="none" w:sz="0" w:space="0" w:color="auto"/>
        <w:bottom w:val="none" w:sz="0" w:space="0" w:color="auto"/>
        <w:right w:val="none" w:sz="0" w:space="0" w:color="auto"/>
      </w:divBdr>
      <w:divsChild>
        <w:div w:id="110519982">
          <w:marLeft w:val="806"/>
          <w:marRight w:val="0"/>
          <w:marTop w:val="96"/>
          <w:marBottom w:val="0"/>
          <w:divBdr>
            <w:top w:val="none" w:sz="0" w:space="0" w:color="auto"/>
            <w:left w:val="none" w:sz="0" w:space="0" w:color="auto"/>
            <w:bottom w:val="none" w:sz="0" w:space="0" w:color="auto"/>
            <w:right w:val="none" w:sz="0" w:space="0" w:color="auto"/>
          </w:divBdr>
        </w:div>
        <w:div w:id="279193736">
          <w:marLeft w:val="806"/>
          <w:marRight w:val="0"/>
          <w:marTop w:val="96"/>
          <w:marBottom w:val="0"/>
          <w:divBdr>
            <w:top w:val="none" w:sz="0" w:space="0" w:color="auto"/>
            <w:left w:val="none" w:sz="0" w:space="0" w:color="auto"/>
            <w:bottom w:val="none" w:sz="0" w:space="0" w:color="auto"/>
            <w:right w:val="none" w:sz="0" w:space="0" w:color="auto"/>
          </w:divBdr>
        </w:div>
        <w:div w:id="370111152">
          <w:marLeft w:val="806"/>
          <w:marRight w:val="0"/>
          <w:marTop w:val="96"/>
          <w:marBottom w:val="0"/>
          <w:divBdr>
            <w:top w:val="none" w:sz="0" w:space="0" w:color="auto"/>
            <w:left w:val="none" w:sz="0" w:space="0" w:color="auto"/>
            <w:bottom w:val="none" w:sz="0" w:space="0" w:color="auto"/>
            <w:right w:val="none" w:sz="0" w:space="0" w:color="auto"/>
          </w:divBdr>
        </w:div>
        <w:div w:id="1167214154">
          <w:marLeft w:val="806"/>
          <w:marRight w:val="0"/>
          <w:marTop w:val="96"/>
          <w:marBottom w:val="0"/>
          <w:divBdr>
            <w:top w:val="none" w:sz="0" w:space="0" w:color="auto"/>
            <w:left w:val="none" w:sz="0" w:space="0" w:color="auto"/>
            <w:bottom w:val="none" w:sz="0" w:space="0" w:color="auto"/>
            <w:right w:val="none" w:sz="0" w:space="0" w:color="auto"/>
          </w:divBdr>
        </w:div>
        <w:div w:id="1730375048">
          <w:marLeft w:val="806"/>
          <w:marRight w:val="0"/>
          <w:marTop w:val="96"/>
          <w:marBottom w:val="0"/>
          <w:divBdr>
            <w:top w:val="none" w:sz="0" w:space="0" w:color="auto"/>
            <w:left w:val="none" w:sz="0" w:space="0" w:color="auto"/>
            <w:bottom w:val="none" w:sz="0" w:space="0" w:color="auto"/>
            <w:right w:val="none" w:sz="0" w:space="0" w:color="auto"/>
          </w:divBdr>
        </w:div>
        <w:div w:id="1855683235">
          <w:marLeft w:val="806"/>
          <w:marRight w:val="0"/>
          <w:marTop w:val="96"/>
          <w:marBottom w:val="0"/>
          <w:divBdr>
            <w:top w:val="none" w:sz="0" w:space="0" w:color="auto"/>
            <w:left w:val="none" w:sz="0" w:space="0" w:color="auto"/>
            <w:bottom w:val="none" w:sz="0" w:space="0" w:color="auto"/>
            <w:right w:val="none" w:sz="0" w:space="0" w:color="auto"/>
          </w:divBdr>
        </w:div>
      </w:divsChild>
    </w:div>
    <w:div w:id="265698283">
      <w:bodyDiv w:val="1"/>
      <w:marLeft w:val="0"/>
      <w:marRight w:val="0"/>
      <w:marTop w:val="0"/>
      <w:marBottom w:val="0"/>
      <w:divBdr>
        <w:top w:val="none" w:sz="0" w:space="0" w:color="auto"/>
        <w:left w:val="none" w:sz="0" w:space="0" w:color="auto"/>
        <w:bottom w:val="none" w:sz="0" w:space="0" w:color="auto"/>
        <w:right w:val="none" w:sz="0" w:space="0" w:color="auto"/>
      </w:divBdr>
    </w:div>
    <w:div w:id="304510074">
      <w:bodyDiv w:val="1"/>
      <w:marLeft w:val="0"/>
      <w:marRight w:val="0"/>
      <w:marTop w:val="0"/>
      <w:marBottom w:val="0"/>
      <w:divBdr>
        <w:top w:val="none" w:sz="0" w:space="0" w:color="auto"/>
        <w:left w:val="none" w:sz="0" w:space="0" w:color="auto"/>
        <w:bottom w:val="none" w:sz="0" w:space="0" w:color="auto"/>
        <w:right w:val="none" w:sz="0" w:space="0" w:color="auto"/>
      </w:divBdr>
    </w:div>
    <w:div w:id="314460346">
      <w:bodyDiv w:val="1"/>
      <w:marLeft w:val="0"/>
      <w:marRight w:val="0"/>
      <w:marTop w:val="0"/>
      <w:marBottom w:val="0"/>
      <w:divBdr>
        <w:top w:val="none" w:sz="0" w:space="0" w:color="auto"/>
        <w:left w:val="none" w:sz="0" w:space="0" w:color="auto"/>
        <w:bottom w:val="none" w:sz="0" w:space="0" w:color="auto"/>
        <w:right w:val="none" w:sz="0" w:space="0" w:color="auto"/>
      </w:divBdr>
    </w:div>
    <w:div w:id="314529232">
      <w:bodyDiv w:val="1"/>
      <w:marLeft w:val="0"/>
      <w:marRight w:val="0"/>
      <w:marTop w:val="0"/>
      <w:marBottom w:val="0"/>
      <w:divBdr>
        <w:top w:val="none" w:sz="0" w:space="0" w:color="auto"/>
        <w:left w:val="none" w:sz="0" w:space="0" w:color="auto"/>
        <w:bottom w:val="none" w:sz="0" w:space="0" w:color="auto"/>
        <w:right w:val="none" w:sz="0" w:space="0" w:color="auto"/>
      </w:divBdr>
      <w:divsChild>
        <w:div w:id="1373460667">
          <w:marLeft w:val="547"/>
          <w:marRight w:val="0"/>
          <w:marTop w:val="106"/>
          <w:marBottom w:val="0"/>
          <w:divBdr>
            <w:top w:val="none" w:sz="0" w:space="0" w:color="auto"/>
            <w:left w:val="none" w:sz="0" w:space="0" w:color="auto"/>
            <w:bottom w:val="none" w:sz="0" w:space="0" w:color="auto"/>
            <w:right w:val="none" w:sz="0" w:space="0" w:color="auto"/>
          </w:divBdr>
        </w:div>
      </w:divsChild>
    </w:div>
    <w:div w:id="342323112">
      <w:bodyDiv w:val="1"/>
      <w:marLeft w:val="0"/>
      <w:marRight w:val="0"/>
      <w:marTop w:val="0"/>
      <w:marBottom w:val="0"/>
      <w:divBdr>
        <w:top w:val="none" w:sz="0" w:space="0" w:color="auto"/>
        <w:left w:val="none" w:sz="0" w:space="0" w:color="auto"/>
        <w:bottom w:val="none" w:sz="0" w:space="0" w:color="auto"/>
        <w:right w:val="none" w:sz="0" w:space="0" w:color="auto"/>
      </w:divBdr>
    </w:div>
    <w:div w:id="351567175">
      <w:bodyDiv w:val="1"/>
      <w:marLeft w:val="0"/>
      <w:marRight w:val="0"/>
      <w:marTop w:val="0"/>
      <w:marBottom w:val="0"/>
      <w:divBdr>
        <w:top w:val="none" w:sz="0" w:space="0" w:color="auto"/>
        <w:left w:val="none" w:sz="0" w:space="0" w:color="auto"/>
        <w:bottom w:val="none" w:sz="0" w:space="0" w:color="auto"/>
        <w:right w:val="none" w:sz="0" w:space="0" w:color="auto"/>
      </w:divBdr>
    </w:div>
    <w:div w:id="374428703">
      <w:bodyDiv w:val="1"/>
      <w:marLeft w:val="0"/>
      <w:marRight w:val="0"/>
      <w:marTop w:val="0"/>
      <w:marBottom w:val="0"/>
      <w:divBdr>
        <w:top w:val="none" w:sz="0" w:space="0" w:color="auto"/>
        <w:left w:val="none" w:sz="0" w:space="0" w:color="auto"/>
        <w:bottom w:val="none" w:sz="0" w:space="0" w:color="auto"/>
        <w:right w:val="none" w:sz="0" w:space="0" w:color="auto"/>
      </w:divBdr>
      <w:divsChild>
        <w:div w:id="1087844122">
          <w:marLeft w:val="806"/>
          <w:marRight w:val="0"/>
          <w:marTop w:val="134"/>
          <w:marBottom w:val="0"/>
          <w:divBdr>
            <w:top w:val="none" w:sz="0" w:space="0" w:color="auto"/>
            <w:left w:val="none" w:sz="0" w:space="0" w:color="auto"/>
            <w:bottom w:val="none" w:sz="0" w:space="0" w:color="auto"/>
            <w:right w:val="none" w:sz="0" w:space="0" w:color="auto"/>
          </w:divBdr>
        </w:div>
        <w:div w:id="348139461">
          <w:marLeft w:val="806"/>
          <w:marRight w:val="0"/>
          <w:marTop w:val="134"/>
          <w:marBottom w:val="0"/>
          <w:divBdr>
            <w:top w:val="none" w:sz="0" w:space="0" w:color="auto"/>
            <w:left w:val="none" w:sz="0" w:space="0" w:color="auto"/>
            <w:bottom w:val="none" w:sz="0" w:space="0" w:color="auto"/>
            <w:right w:val="none" w:sz="0" w:space="0" w:color="auto"/>
          </w:divBdr>
        </w:div>
        <w:div w:id="994604958">
          <w:marLeft w:val="806"/>
          <w:marRight w:val="0"/>
          <w:marTop w:val="134"/>
          <w:marBottom w:val="0"/>
          <w:divBdr>
            <w:top w:val="none" w:sz="0" w:space="0" w:color="auto"/>
            <w:left w:val="none" w:sz="0" w:space="0" w:color="auto"/>
            <w:bottom w:val="none" w:sz="0" w:space="0" w:color="auto"/>
            <w:right w:val="none" w:sz="0" w:space="0" w:color="auto"/>
          </w:divBdr>
        </w:div>
      </w:divsChild>
    </w:div>
    <w:div w:id="375159254">
      <w:bodyDiv w:val="1"/>
      <w:marLeft w:val="0"/>
      <w:marRight w:val="0"/>
      <w:marTop w:val="0"/>
      <w:marBottom w:val="0"/>
      <w:divBdr>
        <w:top w:val="none" w:sz="0" w:space="0" w:color="auto"/>
        <w:left w:val="none" w:sz="0" w:space="0" w:color="auto"/>
        <w:bottom w:val="none" w:sz="0" w:space="0" w:color="auto"/>
        <w:right w:val="none" w:sz="0" w:space="0" w:color="auto"/>
      </w:divBdr>
    </w:div>
    <w:div w:id="398287504">
      <w:bodyDiv w:val="1"/>
      <w:marLeft w:val="0"/>
      <w:marRight w:val="0"/>
      <w:marTop w:val="0"/>
      <w:marBottom w:val="0"/>
      <w:divBdr>
        <w:top w:val="none" w:sz="0" w:space="0" w:color="auto"/>
        <w:left w:val="none" w:sz="0" w:space="0" w:color="auto"/>
        <w:bottom w:val="none" w:sz="0" w:space="0" w:color="auto"/>
        <w:right w:val="none" w:sz="0" w:space="0" w:color="auto"/>
      </w:divBdr>
    </w:div>
    <w:div w:id="402141843">
      <w:bodyDiv w:val="1"/>
      <w:marLeft w:val="0"/>
      <w:marRight w:val="0"/>
      <w:marTop w:val="0"/>
      <w:marBottom w:val="0"/>
      <w:divBdr>
        <w:top w:val="none" w:sz="0" w:space="0" w:color="auto"/>
        <w:left w:val="none" w:sz="0" w:space="0" w:color="auto"/>
        <w:bottom w:val="none" w:sz="0" w:space="0" w:color="auto"/>
        <w:right w:val="none" w:sz="0" w:space="0" w:color="auto"/>
      </w:divBdr>
    </w:div>
    <w:div w:id="404449887">
      <w:bodyDiv w:val="1"/>
      <w:marLeft w:val="0"/>
      <w:marRight w:val="0"/>
      <w:marTop w:val="0"/>
      <w:marBottom w:val="0"/>
      <w:divBdr>
        <w:top w:val="none" w:sz="0" w:space="0" w:color="auto"/>
        <w:left w:val="none" w:sz="0" w:space="0" w:color="auto"/>
        <w:bottom w:val="none" w:sz="0" w:space="0" w:color="auto"/>
        <w:right w:val="none" w:sz="0" w:space="0" w:color="auto"/>
      </w:divBdr>
    </w:div>
    <w:div w:id="409356044">
      <w:bodyDiv w:val="1"/>
      <w:marLeft w:val="0"/>
      <w:marRight w:val="0"/>
      <w:marTop w:val="0"/>
      <w:marBottom w:val="0"/>
      <w:divBdr>
        <w:top w:val="none" w:sz="0" w:space="0" w:color="auto"/>
        <w:left w:val="none" w:sz="0" w:space="0" w:color="auto"/>
        <w:bottom w:val="none" w:sz="0" w:space="0" w:color="auto"/>
        <w:right w:val="none" w:sz="0" w:space="0" w:color="auto"/>
      </w:divBdr>
    </w:div>
    <w:div w:id="470250400">
      <w:bodyDiv w:val="1"/>
      <w:marLeft w:val="0"/>
      <w:marRight w:val="0"/>
      <w:marTop w:val="0"/>
      <w:marBottom w:val="0"/>
      <w:divBdr>
        <w:top w:val="none" w:sz="0" w:space="0" w:color="auto"/>
        <w:left w:val="none" w:sz="0" w:space="0" w:color="auto"/>
        <w:bottom w:val="none" w:sz="0" w:space="0" w:color="auto"/>
        <w:right w:val="none" w:sz="0" w:space="0" w:color="auto"/>
      </w:divBdr>
    </w:div>
    <w:div w:id="504975371">
      <w:bodyDiv w:val="1"/>
      <w:marLeft w:val="0"/>
      <w:marRight w:val="0"/>
      <w:marTop w:val="0"/>
      <w:marBottom w:val="0"/>
      <w:divBdr>
        <w:top w:val="none" w:sz="0" w:space="0" w:color="auto"/>
        <w:left w:val="none" w:sz="0" w:space="0" w:color="auto"/>
        <w:bottom w:val="none" w:sz="0" w:space="0" w:color="auto"/>
        <w:right w:val="none" w:sz="0" w:space="0" w:color="auto"/>
      </w:divBdr>
      <w:divsChild>
        <w:div w:id="163400118">
          <w:marLeft w:val="806"/>
          <w:marRight w:val="0"/>
          <w:marTop w:val="96"/>
          <w:marBottom w:val="0"/>
          <w:divBdr>
            <w:top w:val="none" w:sz="0" w:space="0" w:color="auto"/>
            <w:left w:val="none" w:sz="0" w:space="0" w:color="auto"/>
            <w:bottom w:val="none" w:sz="0" w:space="0" w:color="auto"/>
            <w:right w:val="none" w:sz="0" w:space="0" w:color="auto"/>
          </w:divBdr>
        </w:div>
        <w:div w:id="335154733">
          <w:marLeft w:val="806"/>
          <w:marRight w:val="0"/>
          <w:marTop w:val="96"/>
          <w:marBottom w:val="0"/>
          <w:divBdr>
            <w:top w:val="none" w:sz="0" w:space="0" w:color="auto"/>
            <w:left w:val="none" w:sz="0" w:space="0" w:color="auto"/>
            <w:bottom w:val="none" w:sz="0" w:space="0" w:color="auto"/>
            <w:right w:val="none" w:sz="0" w:space="0" w:color="auto"/>
          </w:divBdr>
        </w:div>
        <w:div w:id="827786618">
          <w:marLeft w:val="806"/>
          <w:marRight w:val="0"/>
          <w:marTop w:val="96"/>
          <w:marBottom w:val="0"/>
          <w:divBdr>
            <w:top w:val="none" w:sz="0" w:space="0" w:color="auto"/>
            <w:left w:val="none" w:sz="0" w:space="0" w:color="auto"/>
            <w:bottom w:val="none" w:sz="0" w:space="0" w:color="auto"/>
            <w:right w:val="none" w:sz="0" w:space="0" w:color="auto"/>
          </w:divBdr>
        </w:div>
        <w:div w:id="1243105742">
          <w:marLeft w:val="806"/>
          <w:marRight w:val="0"/>
          <w:marTop w:val="96"/>
          <w:marBottom w:val="0"/>
          <w:divBdr>
            <w:top w:val="none" w:sz="0" w:space="0" w:color="auto"/>
            <w:left w:val="none" w:sz="0" w:space="0" w:color="auto"/>
            <w:bottom w:val="none" w:sz="0" w:space="0" w:color="auto"/>
            <w:right w:val="none" w:sz="0" w:space="0" w:color="auto"/>
          </w:divBdr>
        </w:div>
        <w:div w:id="1765833551">
          <w:marLeft w:val="806"/>
          <w:marRight w:val="0"/>
          <w:marTop w:val="96"/>
          <w:marBottom w:val="0"/>
          <w:divBdr>
            <w:top w:val="none" w:sz="0" w:space="0" w:color="auto"/>
            <w:left w:val="none" w:sz="0" w:space="0" w:color="auto"/>
            <w:bottom w:val="none" w:sz="0" w:space="0" w:color="auto"/>
            <w:right w:val="none" w:sz="0" w:space="0" w:color="auto"/>
          </w:divBdr>
        </w:div>
        <w:div w:id="1872498179">
          <w:marLeft w:val="806"/>
          <w:marRight w:val="0"/>
          <w:marTop w:val="96"/>
          <w:marBottom w:val="0"/>
          <w:divBdr>
            <w:top w:val="none" w:sz="0" w:space="0" w:color="auto"/>
            <w:left w:val="none" w:sz="0" w:space="0" w:color="auto"/>
            <w:bottom w:val="none" w:sz="0" w:space="0" w:color="auto"/>
            <w:right w:val="none" w:sz="0" w:space="0" w:color="auto"/>
          </w:divBdr>
        </w:div>
      </w:divsChild>
    </w:div>
    <w:div w:id="534394058">
      <w:bodyDiv w:val="1"/>
      <w:marLeft w:val="0"/>
      <w:marRight w:val="0"/>
      <w:marTop w:val="0"/>
      <w:marBottom w:val="0"/>
      <w:divBdr>
        <w:top w:val="none" w:sz="0" w:space="0" w:color="auto"/>
        <w:left w:val="none" w:sz="0" w:space="0" w:color="auto"/>
        <w:bottom w:val="none" w:sz="0" w:space="0" w:color="auto"/>
        <w:right w:val="none" w:sz="0" w:space="0" w:color="auto"/>
      </w:divBdr>
    </w:div>
    <w:div w:id="549270100">
      <w:bodyDiv w:val="1"/>
      <w:marLeft w:val="0"/>
      <w:marRight w:val="0"/>
      <w:marTop w:val="0"/>
      <w:marBottom w:val="0"/>
      <w:divBdr>
        <w:top w:val="none" w:sz="0" w:space="0" w:color="auto"/>
        <w:left w:val="none" w:sz="0" w:space="0" w:color="auto"/>
        <w:bottom w:val="none" w:sz="0" w:space="0" w:color="auto"/>
        <w:right w:val="none" w:sz="0" w:space="0" w:color="auto"/>
      </w:divBdr>
    </w:div>
    <w:div w:id="559823766">
      <w:bodyDiv w:val="1"/>
      <w:marLeft w:val="0"/>
      <w:marRight w:val="0"/>
      <w:marTop w:val="0"/>
      <w:marBottom w:val="0"/>
      <w:divBdr>
        <w:top w:val="none" w:sz="0" w:space="0" w:color="auto"/>
        <w:left w:val="none" w:sz="0" w:space="0" w:color="auto"/>
        <w:bottom w:val="none" w:sz="0" w:space="0" w:color="auto"/>
        <w:right w:val="none" w:sz="0" w:space="0" w:color="auto"/>
      </w:divBdr>
    </w:div>
    <w:div w:id="610818536">
      <w:bodyDiv w:val="1"/>
      <w:marLeft w:val="0"/>
      <w:marRight w:val="0"/>
      <w:marTop w:val="0"/>
      <w:marBottom w:val="0"/>
      <w:divBdr>
        <w:top w:val="none" w:sz="0" w:space="0" w:color="auto"/>
        <w:left w:val="none" w:sz="0" w:space="0" w:color="auto"/>
        <w:bottom w:val="none" w:sz="0" w:space="0" w:color="auto"/>
        <w:right w:val="none" w:sz="0" w:space="0" w:color="auto"/>
      </w:divBdr>
    </w:div>
    <w:div w:id="656803922">
      <w:bodyDiv w:val="1"/>
      <w:marLeft w:val="0"/>
      <w:marRight w:val="0"/>
      <w:marTop w:val="0"/>
      <w:marBottom w:val="0"/>
      <w:divBdr>
        <w:top w:val="none" w:sz="0" w:space="0" w:color="auto"/>
        <w:left w:val="none" w:sz="0" w:space="0" w:color="auto"/>
        <w:bottom w:val="none" w:sz="0" w:space="0" w:color="auto"/>
        <w:right w:val="none" w:sz="0" w:space="0" w:color="auto"/>
      </w:divBdr>
    </w:div>
    <w:div w:id="662123116">
      <w:bodyDiv w:val="1"/>
      <w:marLeft w:val="0"/>
      <w:marRight w:val="0"/>
      <w:marTop w:val="0"/>
      <w:marBottom w:val="0"/>
      <w:divBdr>
        <w:top w:val="none" w:sz="0" w:space="0" w:color="auto"/>
        <w:left w:val="none" w:sz="0" w:space="0" w:color="auto"/>
        <w:bottom w:val="none" w:sz="0" w:space="0" w:color="auto"/>
        <w:right w:val="none" w:sz="0" w:space="0" w:color="auto"/>
      </w:divBdr>
    </w:div>
    <w:div w:id="685399105">
      <w:bodyDiv w:val="1"/>
      <w:marLeft w:val="0"/>
      <w:marRight w:val="0"/>
      <w:marTop w:val="0"/>
      <w:marBottom w:val="0"/>
      <w:divBdr>
        <w:top w:val="none" w:sz="0" w:space="0" w:color="auto"/>
        <w:left w:val="none" w:sz="0" w:space="0" w:color="auto"/>
        <w:bottom w:val="none" w:sz="0" w:space="0" w:color="auto"/>
        <w:right w:val="none" w:sz="0" w:space="0" w:color="auto"/>
      </w:divBdr>
    </w:div>
    <w:div w:id="686324609">
      <w:bodyDiv w:val="1"/>
      <w:marLeft w:val="0"/>
      <w:marRight w:val="0"/>
      <w:marTop w:val="0"/>
      <w:marBottom w:val="0"/>
      <w:divBdr>
        <w:top w:val="none" w:sz="0" w:space="0" w:color="auto"/>
        <w:left w:val="none" w:sz="0" w:space="0" w:color="auto"/>
        <w:bottom w:val="none" w:sz="0" w:space="0" w:color="auto"/>
        <w:right w:val="none" w:sz="0" w:space="0" w:color="auto"/>
      </w:divBdr>
    </w:div>
    <w:div w:id="708532852">
      <w:bodyDiv w:val="1"/>
      <w:marLeft w:val="0"/>
      <w:marRight w:val="0"/>
      <w:marTop w:val="0"/>
      <w:marBottom w:val="0"/>
      <w:divBdr>
        <w:top w:val="none" w:sz="0" w:space="0" w:color="auto"/>
        <w:left w:val="none" w:sz="0" w:space="0" w:color="auto"/>
        <w:bottom w:val="none" w:sz="0" w:space="0" w:color="auto"/>
        <w:right w:val="none" w:sz="0" w:space="0" w:color="auto"/>
      </w:divBdr>
      <w:divsChild>
        <w:div w:id="379136749">
          <w:marLeft w:val="720"/>
          <w:marRight w:val="0"/>
          <w:marTop w:val="106"/>
          <w:marBottom w:val="0"/>
          <w:divBdr>
            <w:top w:val="none" w:sz="0" w:space="0" w:color="auto"/>
            <w:left w:val="none" w:sz="0" w:space="0" w:color="auto"/>
            <w:bottom w:val="none" w:sz="0" w:space="0" w:color="auto"/>
            <w:right w:val="none" w:sz="0" w:space="0" w:color="auto"/>
          </w:divBdr>
        </w:div>
        <w:div w:id="896211350">
          <w:marLeft w:val="1354"/>
          <w:marRight w:val="0"/>
          <w:marTop w:val="62"/>
          <w:marBottom w:val="0"/>
          <w:divBdr>
            <w:top w:val="none" w:sz="0" w:space="0" w:color="auto"/>
            <w:left w:val="none" w:sz="0" w:space="0" w:color="auto"/>
            <w:bottom w:val="none" w:sz="0" w:space="0" w:color="auto"/>
            <w:right w:val="none" w:sz="0" w:space="0" w:color="auto"/>
          </w:divBdr>
        </w:div>
        <w:div w:id="903877727">
          <w:marLeft w:val="1354"/>
          <w:marRight w:val="0"/>
          <w:marTop w:val="62"/>
          <w:marBottom w:val="0"/>
          <w:divBdr>
            <w:top w:val="none" w:sz="0" w:space="0" w:color="auto"/>
            <w:left w:val="none" w:sz="0" w:space="0" w:color="auto"/>
            <w:bottom w:val="none" w:sz="0" w:space="0" w:color="auto"/>
            <w:right w:val="none" w:sz="0" w:space="0" w:color="auto"/>
          </w:divBdr>
        </w:div>
        <w:div w:id="1464231140">
          <w:marLeft w:val="1354"/>
          <w:marRight w:val="0"/>
          <w:marTop w:val="62"/>
          <w:marBottom w:val="0"/>
          <w:divBdr>
            <w:top w:val="none" w:sz="0" w:space="0" w:color="auto"/>
            <w:left w:val="none" w:sz="0" w:space="0" w:color="auto"/>
            <w:bottom w:val="none" w:sz="0" w:space="0" w:color="auto"/>
            <w:right w:val="none" w:sz="0" w:space="0" w:color="auto"/>
          </w:divBdr>
        </w:div>
        <w:div w:id="1720396068">
          <w:marLeft w:val="720"/>
          <w:marRight w:val="0"/>
          <w:marTop w:val="106"/>
          <w:marBottom w:val="0"/>
          <w:divBdr>
            <w:top w:val="none" w:sz="0" w:space="0" w:color="auto"/>
            <w:left w:val="none" w:sz="0" w:space="0" w:color="auto"/>
            <w:bottom w:val="none" w:sz="0" w:space="0" w:color="auto"/>
            <w:right w:val="none" w:sz="0" w:space="0" w:color="auto"/>
          </w:divBdr>
        </w:div>
        <w:div w:id="1659309476">
          <w:marLeft w:val="1354"/>
          <w:marRight w:val="0"/>
          <w:marTop w:val="62"/>
          <w:marBottom w:val="0"/>
          <w:divBdr>
            <w:top w:val="none" w:sz="0" w:space="0" w:color="auto"/>
            <w:left w:val="none" w:sz="0" w:space="0" w:color="auto"/>
            <w:bottom w:val="none" w:sz="0" w:space="0" w:color="auto"/>
            <w:right w:val="none" w:sz="0" w:space="0" w:color="auto"/>
          </w:divBdr>
        </w:div>
        <w:div w:id="1390954715">
          <w:marLeft w:val="1354"/>
          <w:marRight w:val="0"/>
          <w:marTop w:val="62"/>
          <w:marBottom w:val="0"/>
          <w:divBdr>
            <w:top w:val="none" w:sz="0" w:space="0" w:color="auto"/>
            <w:left w:val="none" w:sz="0" w:space="0" w:color="auto"/>
            <w:bottom w:val="none" w:sz="0" w:space="0" w:color="auto"/>
            <w:right w:val="none" w:sz="0" w:space="0" w:color="auto"/>
          </w:divBdr>
        </w:div>
        <w:div w:id="1204640102">
          <w:marLeft w:val="1354"/>
          <w:marRight w:val="0"/>
          <w:marTop w:val="62"/>
          <w:marBottom w:val="0"/>
          <w:divBdr>
            <w:top w:val="none" w:sz="0" w:space="0" w:color="auto"/>
            <w:left w:val="none" w:sz="0" w:space="0" w:color="auto"/>
            <w:bottom w:val="none" w:sz="0" w:space="0" w:color="auto"/>
            <w:right w:val="none" w:sz="0" w:space="0" w:color="auto"/>
          </w:divBdr>
        </w:div>
        <w:div w:id="1275283535">
          <w:marLeft w:val="720"/>
          <w:marRight w:val="0"/>
          <w:marTop w:val="106"/>
          <w:marBottom w:val="0"/>
          <w:divBdr>
            <w:top w:val="none" w:sz="0" w:space="0" w:color="auto"/>
            <w:left w:val="none" w:sz="0" w:space="0" w:color="auto"/>
            <w:bottom w:val="none" w:sz="0" w:space="0" w:color="auto"/>
            <w:right w:val="none" w:sz="0" w:space="0" w:color="auto"/>
          </w:divBdr>
        </w:div>
        <w:div w:id="2028628698">
          <w:marLeft w:val="1354"/>
          <w:marRight w:val="0"/>
          <w:marTop w:val="62"/>
          <w:marBottom w:val="0"/>
          <w:divBdr>
            <w:top w:val="none" w:sz="0" w:space="0" w:color="auto"/>
            <w:left w:val="none" w:sz="0" w:space="0" w:color="auto"/>
            <w:bottom w:val="none" w:sz="0" w:space="0" w:color="auto"/>
            <w:right w:val="none" w:sz="0" w:space="0" w:color="auto"/>
          </w:divBdr>
        </w:div>
        <w:div w:id="1195775774">
          <w:marLeft w:val="720"/>
          <w:marRight w:val="0"/>
          <w:marTop w:val="106"/>
          <w:marBottom w:val="0"/>
          <w:divBdr>
            <w:top w:val="none" w:sz="0" w:space="0" w:color="auto"/>
            <w:left w:val="none" w:sz="0" w:space="0" w:color="auto"/>
            <w:bottom w:val="none" w:sz="0" w:space="0" w:color="auto"/>
            <w:right w:val="none" w:sz="0" w:space="0" w:color="auto"/>
          </w:divBdr>
        </w:div>
        <w:div w:id="404499143">
          <w:marLeft w:val="1354"/>
          <w:marRight w:val="0"/>
          <w:marTop w:val="62"/>
          <w:marBottom w:val="0"/>
          <w:divBdr>
            <w:top w:val="none" w:sz="0" w:space="0" w:color="auto"/>
            <w:left w:val="none" w:sz="0" w:space="0" w:color="auto"/>
            <w:bottom w:val="none" w:sz="0" w:space="0" w:color="auto"/>
            <w:right w:val="none" w:sz="0" w:space="0" w:color="auto"/>
          </w:divBdr>
        </w:div>
        <w:div w:id="334693555">
          <w:marLeft w:val="1354"/>
          <w:marRight w:val="0"/>
          <w:marTop w:val="62"/>
          <w:marBottom w:val="0"/>
          <w:divBdr>
            <w:top w:val="none" w:sz="0" w:space="0" w:color="auto"/>
            <w:left w:val="none" w:sz="0" w:space="0" w:color="auto"/>
            <w:bottom w:val="none" w:sz="0" w:space="0" w:color="auto"/>
            <w:right w:val="none" w:sz="0" w:space="0" w:color="auto"/>
          </w:divBdr>
        </w:div>
        <w:div w:id="2022730877">
          <w:marLeft w:val="1987"/>
          <w:marRight w:val="0"/>
          <w:marTop w:val="62"/>
          <w:marBottom w:val="0"/>
          <w:divBdr>
            <w:top w:val="none" w:sz="0" w:space="0" w:color="auto"/>
            <w:left w:val="none" w:sz="0" w:space="0" w:color="auto"/>
            <w:bottom w:val="none" w:sz="0" w:space="0" w:color="auto"/>
            <w:right w:val="none" w:sz="0" w:space="0" w:color="auto"/>
          </w:divBdr>
        </w:div>
        <w:div w:id="582377957">
          <w:marLeft w:val="1987"/>
          <w:marRight w:val="0"/>
          <w:marTop w:val="62"/>
          <w:marBottom w:val="0"/>
          <w:divBdr>
            <w:top w:val="none" w:sz="0" w:space="0" w:color="auto"/>
            <w:left w:val="none" w:sz="0" w:space="0" w:color="auto"/>
            <w:bottom w:val="none" w:sz="0" w:space="0" w:color="auto"/>
            <w:right w:val="none" w:sz="0" w:space="0" w:color="auto"/>
          </w:divBdr>
        </w:div>
        <w:div w:id="771705822">
          <w:marLeft w:val="1987"/>
          <w:marRight w:val="0"/>
          <w:marTop w:val="62"/>
          <w:marBottom w:val="0"/>
          <w:divBdr>
            <w:top w:val="none" w:sz="0" w:space="0" w:color="auto"/>
            <w:left w:val="none" w:sz="0" w:space="0" w:color="auto"/>
            <w:bottom w:val="none" w:sz="0" w:space="0" w:color="auto"/>
            <w:right w:val="none" w:sz="0" w:space="0" w:color="auto"/>
          </w:divBdr>
        </w:div>
      </w:divsChild>
    </w:div>
    <w:div w:id="714889702">
      <w:bodyDiv w:val="1"/>
      <w:marLeft w:val="0"/>
      <w:marRight w:val="0"/>
      <w:marTop w:val="0"/>
      <w:marBottom w:val="0"/>
      <w:divBdr>
        <w:top w:val="none" w:sz="0" w:space="0" w:color="auto"/>
        <w:left w:val="none" w:sz="0" w:space="0" w:color="auto"/>
        <w:bottom w:val="none" w:sz="0" w:space="0" w:color="auto"/>
        <w:right w:val="none" w:sz="0" w:space="0" w:color="auto"/>
      </w:divBdr>
    </w:div>
    <w:div w:id="726077000">
      <w:bodyDiv w:val="1"/>
      <w:marLeft w:val="0"/>
      <w:marRight w:val="0"/>
      <w:marTop w:val="0"/>
      <w:marBottom w:val="0"/>
      <w:divBdr>
        <w:top w:val="none" w:sz="0" w:space="0" w:color="auto"/>
        <w:left w:val="none" w:sz="0" w:space="0" w:color="auto"/>
        <w:bottom w:val="none" w:sz="0" w:space="0" w:color="auto"/>
        <w:right w:val="none" w:sz="0" w:space="0" w:color="auto"/>
      </w:divBdr>
    </w:div>
    <w:div w:id="776828619">
      <w:bodyDiv w:val="1"/>
      <w:marLeft w:val="0"/>
      <w:marRight w:val="0"/>
      <w:marTop w:val="0"/>
      <w:marBottom w:val="0"/>
      <w:divBdr>
        <w:top w:val="none" w:sz="0" w:space="0" w:color="auto"/>
        <w:left w:val="none" w:sz="0" w:space="0" w:color="auto"/>
        <w:bottom w:val="none" w:sz="0" w:space="0" w:color="auto"/>
        <w:right w:val="none" w:sz="0" w:space="0" w:color="auto"/>
      </w:divBdr>
      <w:divsChild>
        <w:div w:id="242185926">
          <w:marLeft w:val="806"/>
          <w:marRight w:val="0"/>
          <w:marTop w:val="96"/>
          <w:marBottom w:val="0"/>
          <w:divBdr>
            <w:top w:val="none" w:sz="0" w:space="0" w:color="auto"/>
            <w:left w:val="none" w:sz="0" w:space="0" w:color="auto"/>
            <w:bottom w:val="none" w:sz="0" w:space="0" w:color="auto"/>
            <w:right w:val="none" w:sz="0" w:space="0" w:color="auto"/>
          </w:divBdr>
        </w:div>
      </w:divsChild>
    </w:div>
    <w:div w:id="810173088">
      <w:bodyDiv w:val="1"/>
      <w:marLeft w:val="0"/>
      <w:marRight w:val="0"/>
      <w:marTop w:val="0"/>
      <w:marBottom w:val="0"/>
      <w:divBdr>
        <w:top w:val="none" w:sz="0" w:space="0" w:color="auto"/>
        <w:left w:val="none" w:sz="0" w:space="0" w:color="auto"/>
        <w:bottom w:val="none" w:sz="0" w:space="0" w:color="auto"/>
        <w:right w:val="none" w:sz="0" w:space="0" w:color="auto"/>
      </w:divBdr>
    </w:div>
    <w:div w:id="830172943">
      <w:bodyDiv w:val="1"/>
      <w:marLeft w:val="0"/>
      <w:marRight w:val="0"/>
      <w:marTop w:val="0"/>
      <w:marBottom w:val="0"/>
      <w:divBdr>
        <w:top w:val="none" w:sz="0" w:space="0" w:color="auto"/>
        <w:left w:val="none" w:sz="0" w:space="0" w:color="auto"/>
        <w:bottom w:val="none" w:sz="0" w:space="0" w:color="auto"/>
        <w:right w:val="none" w:sz="0" w:space="0" w:color="auto"/>
      </w:divBdr>
    </w:div>
    <w:div w:id="957372426">
      <w:bodyDiv w:val="1"/>
      <w:marLeft w:val="0"/>
      <w:marRight w:val="0"/>
      <w:marTop w:val="0"/>
      <w:marBottom w:val="0"/>
      <w:divBdr>
        <w:top w:val="none" w:sz="0" w:space="0" w:color="auto"/>
        <w:left w:val="none" w:sz="0" w:space="0" w:color="auto"/>
        <w:bottom w:val="none" w:sz="0" w:space="0" w:color="auto"/>
        <w:right w:val="none" w:sz="0" w:space="0" w:color="auto"/>
      </w:divBdr>
    </w:div>
    <w:div w:id="970326109">
      <w:bodyDiv w:val="1"/>
      <w:marLeft w:val="0"/>
      <w:marRight w:val="0"/>
      <w:marTop w:val="0"/>
      <w:marBottom w:val="0"/>
      <w:divBdr>
        <w:top w:val="none" w:sz="0" w:space="0" w:color="auto"/>
        <w:left w:val="none" w:sz="0" w:space="0" w:color="auto"/>
        <w:bottom w:val="none" w:sz="0" w:space="0" w:color="auto"/>
        <w:right w:val="none" w:sz="0" w:space="0" w:color="auto"/>
      </w:divBdr>
    </w:div>
    <w:div w:id="1003319766">
      <w:bodyDiv w:val="1"/>
      <w:marLeft w:val="0"/>
      <w:marRight w:val="0"/>
      <w:marTop w:val="0"/>
      <w:marBottom w:val="0"/>
      <w:divBdr>
        <w:top w:val="none" w:sz="0" w:space="0" w:color="auto"/>
        <w:left w:val="none" w:sz="0" w:space="0" w:color="auto"/>
        <w:bottom w:val="none" w:sz="0" w:space="0" w:color="auto"/>
        <w:right w:val="none" w:sz="0" w:space="0" w:color="auto"/>
      </w:divBdr>
    </w:div>
    <w:div w:id="1008865891">
      <w:bodyDiv w:val="1"/>
      <w:marLeft w:val="0"/>
      <w:marRight w:val="0"/>
      <w:marTop w:val="0"/>
      <w:marBottom w:val="0"/>
      <w:divBdr>
        <w:top w:val="none" w:sz="0" w:space="0" w:color="auto"/>
        <w:left w:val="none" w:sz="0" w:space="0" w:color="auto"/>
        <w:bottom w:val="none" w:sz="0" w:space="0" w:color="auto"/>
        <w:right w:val="none" w:sz="0" w:space="0" w:color="auto"/>
      </w:divBdr>
    </w:div>
    <w:div w:id="1024481018">
      <w:bodyDiv w:val="1"/>
      <w:marLeft w:val="0"/>
      <w:marRight w:val="0"/>
      <w:marTop w:val="0"/>
      <w:marBottom w:val="0"/>
      <w:divBdr>
        <w:top w:val="none" w:sz="0" w:space="0" w:color="auto"/>
        <w:left w:val="none" w:sz="0" w:space="0" w:color="auto"/>
        <w:bottom w:val="none" w:sz="0" w:space="0" w:color="auto"/>
        <w:right w:val="none" w:sz="0" w:space="0" w:color="auto"/>
      </w:divBdr>
    </w:div>
    <w:div w:id="1097748196">
      <w:bodyDiv w:val="1"/>
      <w:marLeft w:val="0"/>
      <w:marRight w:val="0"/>
      <w:marTop w:val="0"/>
      <w:marBottom w:val="0"/>
      <w:divBdr>
        <w:top w:val="none" w:sz="0" w:space="0" w:color="auto"/>
        <w:left w:val="none" w:sz="0" w:space="0" w:color="auto"/>
        <w:bottom w:val="none" w:sz="0" w:space="0" w:color="auto"/>
        <w:right w:val="none" w:sz="0" w:space="0" w:color="auto"/>
      </w:divBdr>
    </w:div>
    <w:div w:id="1138760801">
      <w:bodyDiv w:val="1"/>
      <w:marLeft w:val="0"/>
      <w:marRight w:val="0"/>
      <w:marTop w:val="0"/>
      <w:marBottom w:val="0"/>
      <w:divBdr>
        <w:top w:val="none" w:sz="0" w:space="0" w:color="auto"/>
        <w:left w:val="none" w:sz="0" w:space="0" w:color="auto"/>
        <w:bottom w:val="none" w:sz="0" w:space="0" w:color="auto"/>
        <w:right w:val="none" w:sz="0" w:space="0" w:color="auto"/>
      </w:divBdr>
    </w:div>
    <w:div w:id="1167011862">
      <w:bodyDiv w:val="1"/>
      <w:marLeft w:val="0"/>
      <w:marRight w:val="0"/>
      <w:marTop w:val="0"/>
      <w:marBottom w:val="0"/>
      <w:divBdr>
        <w:top w:val="none" w:sz="0" w:space="0" w:color="auto"/>
        <w:left w:val="none" w:sz="0" w:space="0" w:color="auto"/>
        <w:bottom w:val="none" w:sz="0" w:space="0" w:color="auto"/>
        <w:right w:val="none" w:sz="0" w:space="0" w:color="auto"/>
      </w:divBdr>
    </w:div>
    <w:div w:id="1194265959">
      <w:bodyDiv w:val="1"/>
      <w:marLeft w:val="0"/>
      <w:marRight w:val="0"/>
      <w:marTop w:val="0"/>
      <w:marBottom w:val="0"/>
      <w:divBdr>
        <w:top w:val="none" w:sz="0" w:space="0" w:color="auto"/>
        <w:left w:val="none" w:sz="0" w:space="0" w:color="auto"/>
        <w:bottom w:val="none" w:sz="0" w:space="0" w:color="auto"/>
        <w:right w:val="none" w:sz="0" w:space="0" w:color="auto"/>
      </w:divBdr>
    </w:div>
    <w:div w:id="1206257287">
      <w:bodyDiv w:val="1"/>
      <w:marLeft w:val="0"/>
      <w:marRight w:val="0"/>
      <w:marTop w:val="0"/>
      <w:marBottom w:val="0"/>
      <w:divBdr>
        <w:top w:val="none" w:sz="0" w:space="0" w:color="auto"/>
        <w:left w:val="none" w:sz="0" w:space="0" w:color="auto"/>
        <w:bottom w:val="none" w:sz="0" w:space="0" w:color="auto"/>
        <w:right w:val="none" w:sz="0" w:space="0" w:color="auto"/>
      </w:divBdr>
    </w:div>
    <w:div w:id="1209297899">
      <w:bodyDiv w:val="1"/>
      <w:marLeft w:val="0"/>
      <w:marRight w:val="0"/>
      <w:marTop w:val="0"/>
      <w:marBottom w:val="0"/>
      <w:divBdr>
        <w:top w:val="none" w:sz="0" w:space="0" w:color="auto"/>
        <w:left w:val="none" w:sz="0" w:space="0" w:color="auto"/>
        <w:bottom w:val="none" w:sz="0" w:space="0" w:color="auto"/>
        <w:right w:val="none" w:sz="0" w:space="0" w:color="auto"/>
      </w:divBdr>
    </w:div>
    <w:div w:id="1210342594">
      <w:bodyDiv w:val="1"/>
      <w:marLeft w:val="0"/>
      <w:marRight w:val="0"/>
      <w:marTop w:val="0"/>
      <w:marBottom w:val="0"/>
      <w:divBdr>
        <w:top w:val="none" w:sz="0" w:space="0" w:color="auto"/>
        <w:left w:val="none" w:sz="0" w:space="0" w:color="auto"/>
        <w:bottom w:val="none" w:sz="0" w:space="0" w:color="auto"/>
        <w:right w:val="none" w:sz="0" w:space="0" w:color="auto"/>
      </w:divBdr>
    </w:div>
    <w:div w:id="1277567077">
      <w:bodyDiv w:val="1"/>
      <w:marLeft w:val="0"/>
      <w:marRight w:val="0"/>
      <w:marTop w:val="0"/>
      <w:marBottom w:val="0"/>
      <w:divBdr>
        <w:top w:val="none" w:sz="0" w:space="0" w:color="auto"/>
        <w:left w:val="none" w:sz="0" w:space="0" w:color="auto"/>
        <w:bottom w:val="none" w:sz="0" w:space="0" w:color="auto"/>
        <w:right w:val="none" w:sz="0" w:space="0" w:color="auto"/>
      </w:divBdr>
      <w:divsChild>
        <w:div w:id="593248276">
          <w:marLeft w:val="547"/>
          <w:marRight w:val="0"/>
          <w:marTop w:val="96"/>
          <w:marBottom w:val="0"/>
          <w:divBdr>
            <w:top w:val="none" w:sz="0" w:space="0" w:color="auto"/>
            <w:left w:val="none" w:sz="0" w:space="0" w:color="auto"/>
            <w:bottom w:val="none" w:sz="0" w:space="0" w:color="auto"/>
            <w:right w:val="none" w:sz="0" w:space="0" w:color="auto"/>
          </w:divBdr>
        </w:div>
        <w:div w:id="1646467212">
          <w:marLeft w:val="547"/>
          <w:marRight w:val="0"/>
          <w:marTop w:val="96"/>
          <w:marBottom w:val="0"/>
          <w:divBdr>
            <w:top w:val="none" w:sz="0" w:space="0" w:color="auto"/>
            <w:left w:val="none" w:sz="0" w:space="0" w:color="auto"/>
            <w:bottom w:val="none" w:sz="0" w:space="0" w:color="auto"/>
            <w:right w:val="none" w:sz="0" w:space="0" w:color="auto"/>
          </w:divBdr>
        </w:div>
        <w:div w:id="1397435229">
          <w:marLeft w:val="547"/>
          <w:marRight w:val="0"/>
          <w:marTop w:val="96"/>
          <w:marBottom w:val="0"/>
          <w:divBdr>
            <w:top w:val="none" w:sz="0" w:space="0" w:color="auto"/>
            <w:left w:val="none" w:sz="0" w:space="0" w:color="auto"/>
            <w:bottom w:val="none" w:sz="0" w:space="0" w:color="auto"/>
            <w:right w:val="none" w:sz="0" w:space="0" w:color="auto"/>
          </w:divBdr>
        </w:div>
        <w:div w:id="433985122">
          <w:marLeft w:val="547"/>
          <w:marRight w:val="0"/>
          <w:marTop w:val="96"/>
          <w:marBottom w:val="0"/>
          <w:divBdr>
            <w:top w:val="none" w:sz="0" w:space="0" w:color="auto"/>
            <w:left w:val="none" w:sz="0" w:space="0" w:color="auto"/>
            <w:bottom w:val="none" w:sz="0" w:space="0" w:color="auto"/>
            <w:right w:val="none" w:sz="0" w:space="0" w:color="auto"/>
          </w:divBdr>
        </w:div>
      </w:divsChild>
    </w:div>
    <w:div w:id="1286352266">
      <w:bodyDiv w:val="1"/>
      <w:marLeft w:val="0"/>
      <w:marRight w:val="0"/>
      <w:marTop w:val="0"/>
      <w:marBottom w:val="0"/>
      <w:divBdr>
        <w:top w:val="none" w:sz="0" w:space="0" w:color="auto"/>
        <w:left w:val="none" w:sz="0" w:space="0" w:color="auto"/>
        <w:bottom w:val="none" w:sz="0" w:space="0" w:color="auto"/>
        <w:right w:val="none" w:sz="0" w:space="0" w:color="auto"/>
      </w:divBdr>
      <w:divsChild>
        <w:div w:id="628583971">
          <w:marLeft w:val="547"/>
          <w:marRight w:val="0"/>
          <w:marTop w:val="82"/>
          <w:marBottom w:val="0"/>
          <w:divBdr>
            <w:top w:val="none" w:sz="0" w:space="0" w:color="auto"/>
            <w:left w:val="none" w:sz="0" w:space="0" w:color="auto"/>
            <w:bottom w:val="none" w:sz="0" w:space="0" w:color="auto"/>
            <w:right w:val="none" w:sz="0" w:space="0" w:color="auto"/>
          </w:divBdr>
        </w:div>
      </w:divsChild>
    </w:div>
    <w:div w:id="1311062289">
      <w:bodyDiv w:val="1"/>
      <w:marLeft w:val="0"/>
      <w:marRight w:val="0"/>
      <w:marTop w:val="0"/>
      <w:marBottom w:val="0"/>
      <w:divBdr>
        <w:top w:val="none" w:sz="0" w:space="0" w:color="auto"/>
        <w:left w:val="none" w:sz="0" w:space="0" w:color="auto"/>
        <w:bottom w:val="none" w:sz="0" w:space="0" w:color="auto"/>
        <w:right w:val="none" w:sz="0" w:space="0" w:color="auto"/>
      </w:divBdr>
    </w:div>
    <w:div w:id="1352338927">
      <w:bodyDiv w:val="1"/>
      <w:marLeft w:val="0"/>
      <w:marRight w:val="0"/>
      <w:marTop w:val="0"/>
      <w:marBottom w:val="0"/>
      <w:divBdr>
        <w:top w:val="none" w:sz="0" w:space="0" w:color="auto"/>
        <w:left w:val="none" w:sz="0" w:space="0" w:color="auto"/>
        <w:bottom w:val="none" w:sz="0" w:space="0" w:color="auto"/>
        <w:right w:val="none" w:sz="0" w:space="0" w:color="auto"/>
      </w:divBdr>
    </w:div>
    <w:div w:id="1364745870">
      <w:bodyDiv w:val="1"/>
      <w:marLeft w:val="0"/>
      <w:marRight w:val="0"/>
      <w:marTop w:val="0"/>
      <w:marBottom w:val="0"/>
      <w:divBdr>
        <w:top w:val="none" w:sz="0" w:space="0" w:color="auto"/>
        <w:left w:val="none" w:sz="0" w:space="0" w:color="auto"/>
        <w:bottom w:val="none" w:sz="0" w:space="0" w:color="auto"/>
        <w:right w:val="none" w:sz="0" w:space="0" w:color="auto"/>
      </w:divBdr>
    </w:div>
    <w:div w:id="1381130154">
      <w:bodyDiv w:val="1"/>
      <w:marLeft w:val="0"/>
      <w:marRight w:val="0"/>
      <w:marTop w:val="0"/>
      <w:marBottom w:val="0"/>
      <w:divBdr>
        <w:top w:val="none" w:sz="0" w:space="0" w:color="auto"/>
        <w:left w:val="none" w:sz="0" w:space="0" w:color="auto"/>
        <w:bottom w:val="none" w:sz="0" w:space="0" w:color="auto"/>
        <w:right w:val="none" w:sz="0" w:space="0" w:color="auto"/>
      </w:divBdr>
      <w:divsChild>
        <w:div w:id="805273367">
          <w:marLeft w:val="806"/>
          <w:marRight w:val="0"/>
          <w:marTop w:val="96"/>
          <w:marBottom w:val="0"/>
          <w:divBdr>
            <w:top w:val="none" w:sz="0" w:space="0" w:color="auto"/>
            <w:left w:val="none" w:sz="0" w:space="0" w:color="auto"/>
            <w:bottom w:val="none" w:sz="0" w:space="0" w:color="auto"/>
            <w:right w:val="none" w:sz="0" w:space="0" w:color="auto"/>
          </w:divBdr>
        </w:div>
        <w:div w:id="1182623160">
          <w:marLeft w:val="806"/>
          <w:marRight w:val="0"/>
          <w:marTop w:val="96"/>
          <w:marBottom w:val="0"/>
          <w:divBdr>
            <w:top w:val="none" w:sz="0" w:space="0" w:color="auto"/>
            <w:left w:val="none" w:sz="0" w:space="0" w:color="auto"/>
            <w:bottom w:val="none" w:sz="0" w:space="0" w:color="auto"/>
            <w:right w:val="none" w:sz="0" w:space="0" w:color="auto"/>
          </w:divBdr>
        </w:div>
        <w:div w:id="1388527131">
          <w:marLeft w:val="806"/>
          <w:marRight w:val="0"/>
          <w:marTop w:val="96"/>
          <w:marBottom w:val="0"/>
          <w:divBdr>
            <w:top w:val="none" w:sz="0" w:space="0" w:color="auto"/>
            <w:left w:val="none" w:sz="0" w:space="0" w:color="auto"/>
            <w:bottom w:val="none" w:sz="0" w:space="0" w:color="auto"/>
            <w:right w:val="none" w:sz="0" w:space="0" w:color="auto"/>
          </w:divBdr>
        </w:div>
        <w:div w:id="1553425661">
          <w:marLeft w:val="806"/>
          <w:marRight w:val="0"/>
          <w:marTop w:val="96"/>
          <w:marBottom w:val="0"/>
          <w:divBdr>
            <w:top w:val="none" w:sz="0" w:space="0" w:color="auto"/>
            <w:left w:val="none" w:sz="0" w:space="0" w:color="auto"/>
            <w:bottom w:val="none" w:sz="0" w:space="0" w:color="auto"/>
            <w:right w:val="none" w:sz="0" w:space="0" w:color="auto"/>
          </w:divBdr>
        </w:div>
        <w:div w:id="1776631201">
          <w:marLeft w:val="806"/>
          <w:marRight w:val="0"/>
          <w:marTop w:val="96"/>
          <w:marBottom w:val="0"/>
          <w:divBdr>
            <w:top w:val="none" w:sz="0" w:space="0" w:color="auto"/>
            <w:left w:val="none" w:sz="0" w:space="0" w:color="auto"/>
            <w:bottom w:val="none" w:sz="0" w:space="0" w:color="auto"/>
            <w:right w:val="none" w:sz="0" w:space="0" w:color="auto"/>
          </w:divBdr>
        </w:div>
        <w:div w:id="1802534623">
          <w:marLeft w:val="806"/>
          <w:marRight w:val="0"/>
          <w:marTop w:val="96"/>
          <w:marBottom w:val="0"/>
          <w:divBdr>
            <w:top w:val="none" w:sz="0" w:space="0" w:color="auto"/>
            <w:left w:val="none" w:sz="0" w:space="0" w:color="auto"/>
            <w:bottom w:val="none" w:sz="0" w:space="0" w:color="auto"/>
            <w:right w:val="none" w:sz="0" w:space="0" w:color="auto"/>
          </w:divBdr>
        </w:div>
      </w:divsChild>
    </w:div>
    <w:div w:id="1411076131">
      <w:bodyDiv w:val="1"/>
      <w:marLeft w:val="0"/>
      <w:marRight w:val="0"/>
      <w:marTop w:val="0"/>
      <w:marBottom w:val="0"/>
      <w:divBdr>
        <w:top w:val="none" w:sz="0" w:space="0" w:color="auto"/>
        <w:left w:val="none" w:sz="0" w:space="0" w:color="auto"/>
        <w:bottom w:val="none" w:sz="0" w:space="0" w:color="auto"/>
        <w:right w:val="none" w:sz="0" w:space="0" w:color="auto"/>
      </w:divBdr>
    </w:div>
    <w:div w:id="1422097443">
      <w:bodyDiv w:val="1"/>
      <w:marLeft w:val="0"/>
      <w:marRight w:val="0"/>
      <w:marTop w:val="0"/>
      <w:marBottom w:val="0"/>
      <w:divBdr>
        <w:top w:val="none" w:sz="0" w:space="0" w:color="auto"/>
        <w:left w:val="none" w:sz="0" w:space="0" w:color="auto"/>
        <w:bottom w:val="none" w:sz="0" w:space="0" w:color="auto"/>
        <w:right w:val="none" w:sz="0" w:space="0" w:color="auto"/>
      </w:divBdr>
    </w:div>
    <w:div w:id="1433629329">
      <w:bodyDiv w:val="1"/>
      <w:marLeft w:val="0"/>
      <w:marRight w:val="0"/>
      <w:marTop w:val="0"/>
      <w:marBottom w:val="0"/>
      <w:divBdr>
        <w:top w:val="none" w:sz="0" w:space="0" w:color="auto"/>
        <w:left w:val="none" w:sz="0" w:space="0" w:color="auto"/>
        <w:bottom w:val="none" w:sz="0" w:space="0" w:color="auto"/>
        <w:right w:val="none" w:sz="0" w:space="0" w:color="auto"/>
      </w:divBdr>
    </w:div>
    <w:div w:id="1443377022">
      <w:bodyDiv w:val="1"/>
      <w:marLeft w:val="0"/>
      <w:marRight w:val="0"/>
      <w:marTop w:val="0"/>
      <w:marBottom w:val="0"/>
      <w:divBdr>
        <w:top w:val="none" w:sz="0" w:space="0" w:color="auto"/>
        <w:left w:val="none" w:sz="0" w:space="0" w:color="auto"/>
        <w:bottom w:val="none" w:sz="0" w:space="0" w:color="auto"/>
        <w:right w:val="none" w:sz="0" w:space="0" w:color="auto"/>
      </w:divBdr>
    </w:div>
    <w:div w:id="1447193930">
      <w:bodyDiv w:val="1"/>
      <w:marLeft w:val="0"/>
      <w:marRight w:val="0"/>
      <w:marTop w:val="0"/>
      <w:marBottom w:val="0"/>
      <w:divBdr>
        <w:top w:val="none" w:sz="0" w:space="0" w:color="auto"/>
        <w:left w:val="none" w:sz="0" w:space="0" w:color="auto"/>
        <w:bottom w:val="none" w:sz="0" w:space="0" w:color="auto"/>
        <w:right w:val="none" w:sz="0" w:space="0" w:color="auto"/>
      </w:divBdr>
    </w:div>
    <w:div w:id="1469085491">
      <w:bodyDiv w:val="1"/>
      <w:marLeft w:val="0"/>
      <w:marRight w:val="0"/>
      <w:marTop w:val="0"/>
      <w:marBottom w:val="0"/>
      <w:divBdr>
        <w:top w:val="none" w:sz="0" w:space="0" w:color="auto"/>
        <w:left w:val="none" w:sz="0" w:space="0" w:color="auto"/>
        <w:bottom w:val="none" w:sz="0" w:space="0" w:color="auto"/>
        <w:right w:val="none" w:sz="0" w:space="0" w:color="auto"/>
      </w:divBdr>
    </w:div>
    <w:div w:id="1490095938">
      <w:bodyDiv w:val="1"/>
      <w:marLeft w:val="0"/>
      <w:marRight w:val="0"/>
      <w:marTop w:val="0"/>
      <w:marBottom w:val="0"/>
      <w:divBdr>
        <w:top w:val="none" w:sz="0" w:space="0" w:color="auto"/>
        <w:left w:val="none" w:sz="0" w:space="0" w:color="auto"/>
        <w:bottom w:val="none" w:sz="0" w:space="0" w:color="auto"/>
        <w:right w:val="none" w:sz="0" w:space="0" w:color="auto"/>
      </w:divBdr>
    </w:div>
    <w:div w:id="1529638126">
      <w:bodyDiv w:val="1"/>
      <w:marLeft w:val="0"/>
      <w:marRight w:val="0"/>
      <w:marTop w:val="0"/>
      <w:marBottom w:val="0"/>
      <w:divBdr>
        <w:top w:val="none" w:sz="0" w:space="0" w:color="auto"/>
        <w:left w:val="none" w:sz="0" w:space="0" w:color="auto"/>
        <w:bottom w:val="none" w:sz="0" w:space="0" w:color="auto"/>
        <w:right w:val="none" w:sz="0" w:space="0" w:color="auto"/>
      </w:divBdr>
    </w:div>
    <w:div w:id="1621762529">
      <w:bodyDiv w:val="1"/>
      <w:marLeft w:val="0"/>
      <w:marRight w:val="0"/>
      <w:marTop w:val="0"/>
      <w:marBottom w:val="0"/>
      <w:divBdr>
        <w:top w:val="none" w:sz="0" w:space="0" w:color="auto"/>
        <w:left w:val="none" w:sz="0" w:space="0" w:color="auto"/>
        <w:bottom w:val="none" w:sz="0" w:space="0" w:color="auto"/>
        <w:right w:val="none" w:sz="0" w:space="0" w:color="auto"/>
      </w:divBdr>
    </w:div>
    <w:div w:id="1626888482">
      <w:bodyDiv w:val="1"/>
      <w:marLeft w:val="0"/>
      <w:marRight w:val="0"/>
      <w:marTop w:val="0"/>
      <w:marBottom w:val="0"/>
      <w:divBdr>
        <w:top w:val="none" w:sz="0" w:space="0" w:color="auto"/>
        <w:left w:val="none" w:sz="0" w:space="0" w:color="auto"/>
        <w:bottom w:val="none" w:sz="0" w:space="0" w:color="auto"/>
        <w:right w:val="none" w:sz="0" w:space="0" w:color="auto"/>
      </w:divBdr>
    </w:div>
    <w:div w:id="1648363108">
      <w:bodyDiv w:val="1"/>
      <w:marLeft w:val="0"/>
      <w:marRight w:val="0"/>
      <w:marTop w:val="0"/>
      <w:marBottom w:val="0"/>
      <w:divBdr>
        <w:top w:val="none" w:sz="0" w:space="0" w:color="auto"/>
        <w:left w:val="none" w:sz="0" w:space="0" w:color="auto"/>
        <w:bottom w:val="none" w:sz="0" w:space="0" w:color="auto"/>
        <w:right w:val="none" w:sz="0" w:space="0" w:color="auto"/>
      </w:divBdr>
    </w:div>
    <w:div w:id="1668482513">
      <w:bodyDiv w:val="1"/>
      <w:marLeft w:val="0"/>
      <w:marRight w:val="0"/>
      <w:marTop w:val="0"/>
      <w:marBottom w:val="0"/>
      <w:divBdr>
        <w:top w:val="none" w:sz="0" w:space="0" w:color="auto"/>
        <w:left w:val="none" w:sz="0" w:space="0" w:color="auto"/>
        <w:bottom w:val="none" w:sz="0" w:space="0" w:color="auto"/>
        <w:right w:val="none" w:sz="0" w:space="0" w:color="auto"/>
      </w:divBdr>
    </w:div>
    <w:div w:id="1727949934">
      <w:bodyDiv w:val="1"/>
      <w:marLeft w:val="0"/>
      <w:marRight w:val="0"/>
      <w:marTop w:val="0"/>
      <w:marBottom w:val="0"/>
      <w:divBdr>
        <w:top w:val="none" w:sz="0" w:space="0" w:color="auto"/>
        <w:left w:val="none" w:sz="0" w:space="0" w:color="auto"/>
        <w:bottom w:val="none" w:sz="0" w:space="0" w:color="auto"/>
        <w:right w:val="none" w:sz="0" w:space="0" w:color="auto"/>
      </w:divBdr>
    </w:div>
    <w:div w:id="1739522898">
      <w:bodyDiv w:val="1"/>
      <w:marLeft w:val="0"/>
      <w:marRight w:val="0"/>
      <w:marTop w:val="0"/>
      <w:marBottom w:val="0"/>
      <w:divBdr>
        <w:top w:val="none" w:sz="0" w:space="0" w:color="auto"/>
        <w:left w:val="none" w:sz="0" w:space="0" w:color="auto"/>
        <w:bottom w:val="none" w:sz="0" w:space="0" w:color="auto"/>
        <w:right w:val="none" w:sz="0" w:space="0" w:color="auto"/>
      </w:divBdr>
    </w:div>
    <w:div w:id="1772966432">
      <w:bodyDiv w:val="1"/>
      <w:marLeft w:val="0"/>
      <w:marRight w:val="0"/>
      <w:marTop w:val="0"/>
      <w:marBottom w:val="0"/>
      <w:divBdr>
        <w:top w:val="none" w:sz="0" w:space="0" w:color="auto"/>
        <w:left w:val="none" w:sz="0" w:space="0" w:color="auto"/>
        <w:bottom w:val="none" w:sz="0" w:space="0" w:color="auto"/>
        <w:right w:val="none" w:sz="0" w:space="0" w:color="auto"/>
      </w:divBdr>
    </w:div>
    <w:div w:id="1781335699">
      <w:bodyDiv w:val="1"/>
      <w:marLeft w:val="0"/>
      <w:marRight w:val="0"/>
      <w:marTop w:val="0"/>
      <w:marBottom w:val="0"/>
      <w:divBdr>
        <w:top w:val="none" w:sz="0" w:space="0" w:color="auto"/>
        <w:left w:val="none" w:sz="0" w:space="0" w:color="auto"/>
        <w:bottom w:val="none" w:sz="0" w:space="0" w:color="auto"/>
        <w:right w:val="none" w:sz="0" w:space="0" w:color="auto"/>
      </w:divBdr>
    </w:div>
    <w:div w:id="1812210987">
      <w:bodyDiv w:val="1"/>
      <w:marLeft w:val="0"/>
      <w:marRight w:val="0"/>
      <w:marTop w:val="0"/>
      <w:marBottom w:val="0"/>
      <w:divBdr>
        <w:top w:val="none" w:sz="0" w:space="0" w:color="auto"/>
        <w:left w:val="none" w:sz="0" w:space="0" w:color="auto"/>
        <w:bottom w:val="none" w:sz="0" w:space="0" w:color="auto"/>
        <w:right w:val="none" w:sz="0" w:space="0" w:color="auto"/>
      </w:divBdr>
    </w:div>
    <w:div w:id="1823085145">
      <w:bodyDiv w:val="1"/>
      <w:marLeft w:val="0"/>
      <w:marRight w:val="0"/>
      <w:marTop w:val="0"/>
      <w:marBottom w:val="0"/>
      <w:divBdr>
        <w:top w:val="none" w:sz="0" w:space="0" w:color="auto"/>
        <w:left w:val="none" w:sz="0" w:space="0" w:color="auto"/>
        <w:bottom w:val="none" w:sz="0" w:space="0" w:color="auto"/>
        <w:right w:val="none" w:sz="0" w:space="0" w:color="auto"/>
      </w:divBdr>
    </w:div>
    <w:div w:id="1828747973">
      <w:bodyDiv w:val="1"/>
      <w:marLeft w:val="0"/>
      <w:marRight w:val="0"/>
      <w:marTop w:val="0"/>
      <w:marBottom w:val="0"/>
      <w:divBdr>
        <w:top w:val="none" w:sz="0" w:space="0" w:color="auto"/>
        <w:left w:val="none" w:sz="0" w:space="0" w:color="auto"/>
        <w:bottom w:val="none" w:sz="0" w:space="0" w:color="auto"/>
        <w:right w:val="none" w:sz="0" w:space="0" w:color="auto"/>
      </w:divBdr>
      <w:divsChild>
        <w:div w:id="1428230902">
          <w:marLeft w:val="547"/>
          <w:marRight w:val="0"/>
          <w:marTop w:val="96"/>
          <w:marBottom w:val="0"/>
          <w:divBdr>
            <w:top w:val="none" w:sz="0" w:space="0" w:color="auto"/>
            <w:left w:val="none" w:sz="0" w:space="0" w:color="auto"/>
            <w:bottom w:val="none" w:sz="0" w:space="0" w:color="auto"/>
            <w:right w:val="none" w:sz="0" w:space="0" w:color="auto"/>
          </w:divBdr>
        </w:div>
      </w:divsChild>
    </w:div>
    <w:div w:id="1854421286">
      <w:bodyDiv w:val="1"/>
      <w:marLeft w:val="0"/>
      <w:marRight w:val="0"/>
      <w:marTop w:val="0"/>
      <w:marBottom w:val="0"/>
      <w:divBdr>
        <w:top w:val="none" w:sz="0" w:space="0" w:color="auto"/>
        <w:left w:val="none" w:sz="0" w:space="0" w:color="auto"/>
        <w:bottom w:val="none" w:sz="0" w:space="0" w:color="auto"/>
        <w:right w:val="none" w:sz="0" w:space="0" w:color="auto"/>
      </w:divBdr>
    </w:div>
    <w:div w:id="1857693958">
      <w:bodyDiv w:val="1"/>
      <w:marLeft w:val="0"/>
      <w:marRight w:val="0"/>
      <w:marTop w:val="0"/>
      <w:marBottom w:val="0"/>
      <w:divBdr>
        <w:top w:val="none" w:sz="0" w:space="0" w:color="auto"/>
        <w:left w:val="none" w:sz="0" w:space="0" w:color="auto"/>
        <w:bottom w:val="none" w:sz="0" w:space="0" w:color="auto"/>
        <w:right w:val="none" w:sz="0" w:space="0" w:color="auto"/>
      </w:divBdr>
    </w:div>
    <w:div w:id="1924217170">
      <w:bodyDiv w:val="1"/>
      <w:marLeft w:val="0"/>
      <w:marRight w:val="0"/>
      <w:marTop w:val="0"/>
      <w:marBottom w:val="0"/>
      <w:divBdr>
        <w:top w:val="none" w:sz="0" w:space="0" w:color="auto"/>
        <w:left w:val="none" w:sz="0" w:space="0" w:color="auto"/>
        <w:bottom w:val="none" w:sz="0" w:space="0" w:color="auto"/>
        <w:right w:val="none" w:sz="0" w:space="0" w:color="auto"/>
      </w:divBdr>
    </w:div>
    <w:div w:id="1983341237">
      <w:bodyDiv w:val="1"/>
      <w:marLeft w:val="0"/>
      <w:marRight w:val="0"/>
      <w:marTop w:val="0"/>
      <w:marBottom w:val="0"/>
      <w:divBdr>
        <w:top w:val="none" w:sz="0" w:space="0" w:color="auto"/>
        <w:left w:val="none" w:sz="0" w:space="0" w:color="auto"/>
        <w:bottom w:val="none" w:sz="0" w:space="0" w:color="auto"/>
        <w:right w:val="none" w:sz="0" w:space="0" w:color="auto"/>
      </w:divBdr>
    </w:div>
    <w:div w:id="2024479185">
      <w:bodyDiv w:val="1"/>
      <w:marLeft w:val="0"/>
      <w:marRight w:val="0"/>
      <w:marTop w:val="0"/>
      <w:marBottom w:val="0"/>
      <w:divBdr>
        <w:top w:val="none" w:sz="0" w:space="0" w:color="auto"/>
        <w:left w:val="none" w:sz="0" w:space="0" w:color="auto"/>
        <w:bottom w:val="none" w:sz="0" w:space="0" w:color="auto"/>
        <w:right w:val="none" w:sz="0" w:space="0" w:color="auto"/>
      </w:divBdr>
    </w:div>
    <w:div w:id="2048676269">
      <w:bodyDiv w:val="1"/>
      <w:marLeft w:val="0"/>
      <w:marRight w:val="0"/>
      <w:marTop w:val="0"/>
      <w:marBottom w:val="0"/>
      <w:divBdr>
        <w:top w:val="none" w:sz="0" w:space="0" w:color="auto"/>
        <w:left w:val="none" w:sz="0" w:space="0" w:color="auto"/>
        <w:bottom w:val="none" w:sz="0" w:space="0" w:color="auto"/>
        <w:right w:val="none" w:sz="0" w:space="0" w:color="auto"/>
      </w:divBdr>
      <w:divsChild>
        <w:div w:id="1387726323">
          <w:marLeft w:val="547"/>
          <w:marRight w:val="0"/>
          <w:marTop w:val="106"/>
          <w:marBottom w:val="0"/>
          <w:divBdr>
            <w:top w:val="none" w:sz="0" w:space="0" w:color="auto"/>
            <w:left w:val="none" w:sz="0" w:space="0" w:color="auto"/>
            <w:bottom w:val="none" w:sz="0" w:space="0" w:color="auto"/>
            <w:right w:val="none" w:sz="0" w:space="0" w:color="auto"/>
          </w:divBdr>
        </w:div>
        <w:div w:id="1181310967">
          <w:marLeft w:val="547"/>
          <w:marRight w:val="0"/>
          <w:marTop w:val="106"/>
          <w:marBottom w:val="0"/>
          <w:divBdr>
            <w:top w:val="none" w:sz="0" w:space="0" w:color="auto"/>
            <w:left w:val="none" w:sz="0" w:space="0" w:color="auto"/>
            <w:bottom w:val="none" w:sz="0" w:space="0" w:color="auto"/>
            <w:right w:val="none" w:sz="0" w:space="0" w:color="auto"/>
          </w:divBdr>
        </w:div>
        <w:div w:id="543831957">
          <w:marLeft w:val="547"/>
          <w:marRight w:val="0"/>
          <w:marTop w:val="106"/>
          <w:marBottom w:val="0"/>
          <w:divBdr>
            <w:top w:val="none" w:sz="0" w:space="0" w:color="auto"/>
            <w:left w:val="none" w:sz="0" w:space="0" w:color="auto"/>
            <w:bottom w:val="none" w:sz="0" w:space="0" w:color="auto"/>
            <w:right w:val="none" w:sz="0" w:space="0" w:color="auto"/>
          </w:divBdr>
        </w:div>
      </w:divsChild>
    </w:div>
    <w:div w:id="2076320041">
      <w:bodyDiv w:val="1"/>
      <w:marLeft w:val="0"/>
      <w:marRight w:val="0"/>
      <w:marTop w:val="0"/>
      <w:marBottom w:val="0"/>
      <w:divBdr>
        <w:top w:val="none" w:sz="0" w:space="0" w:color="auto"/>
        <w:left w:val="none" w:sz="0" w:space="0" w:color="auto"/>
        <w:bottom w:val="none" w:sz="0" w:space="0" w:color="auto"/>
        <w:right w:val="none" w:sz="0" w:space="0" w:color="auto"/>
      </w:divBdr>
    </w:div>
    <w:div w:id="2113160242">
      <w:bodyDiv w:val="1"/>
      <w:marLeft w:val="0"/>
      <w:marRight w:val="0"/>
      <w:marTop w:val="0"/>
      <w:marBottom w:val="0"/>
      <w:divBdr>
        <w:top w:val="none" w:sz="0" w:space="0" w:color="auto"/>
        <w:left w:val="none" w:sz="0" w:space="0" w:color="auto"/>
        <w:bottom w:val="none" w:sz="0" w:space="0" w:color="auto"/>
        <w:right w:val="none" w:sz="0" w:space="0" w:color="auto"/>
      </w:divBdr>
    </w:div>
    <w:div w:id="2142382988">
      <w:bodyDiv w:val="1"/>
      <w:marLeft w:val="0"/>
      <w:marRight w:val="0"/>
      <w:marTop w:val="0"/>
      <w:marBottom w:val="0"/>
      <w:divBdr>
        <w:top w:val="none" w:sz="0" w:space="0" w:color="auto"/>
        <w:left w:val="none" w:sz="0" w:space="0" w:color="auto"/>
        <w:bottom w:val="none" w:sz="0" w:space="0" w:color="auto"/>
        <w:right w:val="none" w:sz="0" w:space="0" w:color="auto"/>
      </w:divBdr>
      <w:divsChild>
        <w:div w:id="368798548">
          <w:marLeft w:val="547"/>
          <w:marRight w:val="0"/>
          <w:marTop w:val="115"/>
          <w:marBottom w:val="0"/>
          <w:divBdr>
            <w:top w:val="none" w:sz="0" w:space="0" w:color="auto"/>
            <w:left w:val="none" w:sz="0" w:space="0" w:color="auto"/>
            <w:bottom w:val="none" w:sz="0" w:space="0" w:color="auto"/>
            <w:right w:val="none" w:sz="0" w:space="0" w:color="auto"/>
          </w:divBdr>
        </w:div>
        <w:div w:id="350031850">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chart" Target="charts/chart25.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1.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17.xlsx"/><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18.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H:\flash\inf%2030%20apr\1204313\Premjers_progoz&#275;t&#257;s%20algas%20l&#299;dz%202016.xlsx" TargetMode="External"/><Relationship Id="rId1" Type="http://schemas.openxmlformats.org/officeDocument/2006/relationships/themeOverride" Target="../theme/themeOverride15.xm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19.xlsx"/></Relationships>
</file>

<file path=word/charts/_rels/chart22.xml.rels><?xml version="1.0" encoding="UTF-8" standalone="yes"?>
<Relationships xmlns="http://schemas.openxmlformats.org/package/2006/relationships"><Relationship Id="rId2" Type="http://schemas.openxmlformats.org/officeDocument/2006/relationships/oleObject" Target="file:///J:\flash\inf%2030%20apr\EK%20MK%20algas.xlsx" TargetMode="External"/><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7.xml"/></Relationships>
</file>

<file path=word/charts/_rels/chart24.xml.rels><?xml version="1.0" encoding="UTF-8" standalone="yes"?>
<Relationships xmlns="http://schemas.openxmlformats.org/package/2006/relationships"><Relationship Id="rId2" Type="http://schemas.openxmlformats.org/officeDocument/2006/relationships/oleObject" Target="file:///H:\flash\inf%2030%20apr\1204313\Skalu_saspiesana_27.03.xlsx" TargetMode="External"/><Relationship Id="rId1" Type="http://schemas.openxmlformats.org/officeDocument/2006/relationships/themeOverride" Target="../theme/themeOverride18.xml"/></Relationships>
</file>

<file path=word/charts/_rels/chart25.xml.rels><?xml version="1.0" encoding="UTF-8" standalone="yes"?>
<Relationships xmlns="http://schemas.openxmlformats.org/package/2006/relationships"><Relationship Id="rId2" Type="http://schemas.openxmlformats.org/officeDocument/2006/relationships/oleObject" Target="file:///H:\flash\inf%2030%20apr\1204313\zi&#326;ojum&#257;%20grafiki\Skalu_saspiesana%2010_30.xlsx" TargetMode="External"/><Relationship Id="rId1" Type="http://schemas.openxmlformats.org/officeDocument/2006/relationships/themeOverride" Target="../theme/themeOverride19.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J:\flash\inf%2030%20apr\280313\Nodarbin&#257;to%20sk_algas%202008-2011%20g18.09.1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566001494282546"/>
          <c:y val="0.22362030484820866"/>
          <c:w val="0.42902943210691641"/>
          <c:h val="0.657845065170236"/>
        </c:manualLayout>
      </c:layout>
      <c:pieChart>
        <c:varyColors val="1"/>
        <c:ser>
          <c:idx val="0"/>
          <c:order val="0"/>
          <c:dPt>
            <c:idx val="0"/>
            <c:bubble3D val="0"/>
            <c:explosion val="3"/>
            <c:spPr>
              <a:solidFill>
                <a:srgbClr val="FFC000"/>
              </a:solidFill>
            </c:spPr>
          </c:dPt>
          <c:dPt>
            <c:idx val="1"/>
            <c:bubble3D val="0"/>
            <c:explosion val="2"/>
          </c:dPt>
          <c:dPt>
            <c:idx val="2"/>
            <c:bubble3D val="0"/>
            <c:explosion val="4"/>
          </c:dPt>
          <c:dPt>
            <c:idx val="3"/>
            <c:bubble3D val="0"/>
            <c:explosion val="3"/>
          </c:dPt>
          <c:dLbls>
            <c:dLbl>
              <c:idx val="0"/>
              <c:layout>
                <c:manualLayout>
                  <c:x val="4.7053441236512138E-2"/>
                  <c:y val="-5.5207726825710131E-2"/>
                </c:manualLayout>
              </c:layout>
              <c:tx>
                <c:rich>
                  <a:bodyPr wrap="square" lIns="38100" tIns="19050" rIns="38100" bIns="19050" anchor="ctr">
                    <a:spAutoFit/>
                  </a:bodyPr>
                  <a:lstStyle/>
                  <a:p>
                    <a:pPr>
                      <a:defRPr/>
                    </a:pPr>
                    <a:r>
                      <a:rPr lang="en-US"/>
                      <a:t>Valsts budžeta iestādes </a:t>
                    </a:r>
                  </a:p>
                  <a:p>
                    <a:pPr>
                      <a:defRPr/>
                    </a:pPr>
                    <a:r>
                      <a:rPr lang="en-US"/>
                      <a:t> 57 741; 24%</a:t>
                    </a:r>
                  </a:p>
                </c:rich>
              </c:tx>
              <c:spPr>
                <a:noFill/>
                <a:ln w="25391">
                  <a:noFill/>
                </a:ln>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0.20069935853943038"/>
                  <c:y val="-0.11248010849200807"/>
                </c:manualLayout>
              </c:layout>
              <c:tx>
                <c:rich>
                  <a:bodyPr/>
                  <a:lstStyle/>
                  <a:p>
                    <a:pPr algn="ctr">
                      <a:defRPr/>
                    </a:pPr>
                    <a:r>
                      <a:rPr lang="en-US"/>
                      <a:t>Pašvaldības  </a:t>
                    </a:r>
                  </a:p>
                  <a:p>
                    <a:pPr algn="ctr">
                      <a:defRPr/>
                    </a:pPr>
                    <a:r>
                      <a:rPr lang="en-US"/>
                      <a:t>110 815; 46%</a:t>
                    </a:r>
                  </a:p>
                </c:rich>
              </c:tx>
              <c:spPr/>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3.9100138524351159E-2"/>
                  <c:y val="0.10442729398279309"/>
                </c:manualLayout>
              </c:layout>
              <c:tx>
                <c:rich>
                  <a:bodyPr wrap="square" lIns="38100" tIns="19050" rIns="38100" bIns="19050" anchor="ctr">
                    <a:spAutoFit/>
                  </a:bodyPr>
                  <a:lstStyle/>
                  <a:p>
                    <a:pPr>
                      <a:defRPr/>
                    </a:pPr>
                    <a:r>
                      <a:rPr lang="en-US"/>
                      <a:t>Valsts                 kapitāl-sabiedrības               41 389;  17% </a:t>
                    </a:r>
                  </a:p>
                </c:rich>
              </c:tx>
              <c:spPr>
                <a:noFill/>
                <a:ln w="25391">
                  <a:noFill/>
                </a:ln>
              </c:spPr>
              <c:dLblPos val="bestFit"/>
              <c:showLegendKey val="0"/>
              <c:showVal val="0"/>
              <c:showCatName val="0"/>
              <c:showSerName val="0"/>
              <c:showPercent val="0"/>
              <c:showBubbleSize val="0"/>
              <c:extLst>
                <c:ext xmlns:c15="http://schemas.microsoft.com/office/drawing/2012/chart" uri="{CE6537A1-D6FC-4f65-9D91-7224C49458BB}"/>
              </c:extLst>
            </c:dLbl>
            <c:dLbl>
              <c:idx val="3"/>
              <c:layout>
                <c:manualLayout>
                  <c:x val="-0.16529636920384957"/>
                  <c:y val="3.4061367329083908E-2"/>
                </c:manualLayout>
              </c:layout>
              <c:tx>
                <c:rich>
                  <a:bodyPr wrap="square" lIns="38100" tIns="19050" rIns="38100" bIns="19050" anchor="ctr">
                    <a:spAutoFit/>
                  </a:bodyPr>
                  <a:lstStyle/>
                  <a:p>
                    <a:pPr>
                      <a:defRPr/>
                    </a:pPr>
                    <a:r>
                      <a:rPr lang="en-US"/>
                      <a:t>Pašvaldību kapitāl-sabiedrības             32 905; 13%</a:t>
                    </a:r>
                  </a:p>
                </c:rich>
              </c:tx>
              <c:spPr>
                <a:noFill/>
                <a:ln w="25391">
                  <a:noFill/>
                </a:ln>
              </c:spPr>
              <c:dLblPos val="bestFit"/>
              <c:showLegendKey val="0"/>
              <c:showVal val="0"/>
              <c:showCatName val="0"/>
              <c:showSerName val="0"/>
              <c:showPercent val="0"/>
              <c:showBubbleSize val="0"/>
              <c:extLst>
                <c:ext xmlns:c15="http://schemas.microsoft.com/office/drawing/2012/chart" uri="{CE6537A1-D6FC-4f65-9D91-7224C49458BB}"/>
              </c:extLst>
            </c:dLbl>
            <c:spPr>
              <a:noFill/>
              <a:ln w="25391">
                <a:noFill/>
              </a:ln>
            </c:spPr>
            <c:showLegendKey val="0"/>
            <c:showVal val="0"/>
            <c:showCatName val="1"/>
            <c:showSerName val="0"/>
            <c:showPercent val="0"/>
            <c:showBubbleSize val="0"/>
            <c:showLeaderLines val="1"/>
            <c:extLst>
              <c:ext xmlns:c15="http://schemas.microsoft.com/office/drawing/2012/chart" uri="{CE6537A1-D6FC-4f65-9D91-7224C49458BB}"/>
            </c:extLst>
          </c:dLbls>
          <c:cat>
            <c:strRef>
              <c:f>'C:\Documents and Settings\td-osina\Local Settings\Temporary Internet Files\Content.Outlook\R2QRRBXP\[Grafiks.xlsx]Sheet2'!$C$5:$C$8</c:f>
              <c:strCache>
                <c:ptCount val="4"/>
                <c:pt idx="0">
                  <c:v>Valsts budžeta iestādēs</c:v>
                </c:pt>
                <c:pt idx="1">
                  <c:v>Pašvaldībās</c:v>
                </c:pt>
                <c:pt idx="2">
                  <c:v>Valsts kapitālsabiedrībās </c:v>
                </c:pt>
                <c:pt idx="3">
                  <c:v>Pašvaldību kapitālsabiedrībās</c:v>
                </c:pt>
              </c:strCache>
            </c:strRef>
          </c:cat>
          <c:val>
            <c:numRef>
              <c:f>'C:\Documents and Settings\td-osina\Local Settings\Temporary Internet Files\Content.Outlook\R2QRRBXP\[Grafiks.xlsx]Sheet2'!$D$5:$D$8</c:f>
              <c:numCache>
                <c:formatCode>General</c:formatCode>
                <c:ptCount val="4"/>
                <c:pt idx="0">
                  <c:v>57725</c:v>
                </c:pt>
                <c:pt idx="1">
                  <c:v>110815</c:v>
                </c:pt>
                <c:pt idx="2">
                  <c:v>41389</c:v>
                </c:pt>
                <c:pt idx="3">
                  <c:v>32905</c:v>
                </c:pt>
              </c:numCache>
            </c:numRef>
          </c:val>
        </c:ser>
        <c:dLbls>
          <c:showLegendKey val="0"/>
          <c:showVal val="0"/>
          <c:showCatName val="0"/>
          <c:showSerName val="0"/>
          <c:showPercent val="0"/>
          <c:showBubbleSize val="0"/>
          <c:showLeaderLines val="1"/>
        </c:dLbls>
        <c:firstSliceAng val="0"/>
      </c:pieChart>
      <c:spPr>
        <a:noFill/>
        <a:ln w="25391">
          <a:noFill/>
        </a:ln>
      </c:spPr>
    </c:plotArea>
    <c:plotVisOnly val="1"/>
    <c:dispBlanksAs val="zero"/>
    <c:showDLblsOverMax val="0"/>
  </c:chart>
  <c:txPr>
    <a:bodyPr/>
    <a:lstStyle/>
    <a:p>
      <a:pPr>
        <a:defRPr sz="1200">
          <a:latin typeface="Times New Roman" pitchFamily="18" charset="0"/>
          <a:cs typeface="Times New Roman" pitchFamily="18" charset="0"/>
        </a:defRPr>
      </a:pPr>
      <a:endParaRPr lang="lv-LV"/>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422138686964792E-2"/>
          <c:y val="2.0554299714778932E-2"/>
          <c:w val="0.93292952938622231"/>
          <c:h val="0.87164676335179936"/>
        </c:manualLayout>
      </c:layout>
      <c:barChart>
        <c:barDir val="col"/>
        <c:grouping val="percentStacked"/>
        <c:varyColors val="0"/>
        <c:ser>
          <c:idx val="0"/>
          <c:order val="0"/>
          <c:tx>
            <c:strRef>
              <c:f>Dati!$Y$1</c:f>
              <c:strCache>
                <c:ptCount val="1"/>
                <c:pt idx="0">
                  <c:v>4</c:v>
                </c:pt>
              </c:strCache>
            </c:strRef>
          </c:tx>
          <c:invertIfNegative val="0"/>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Dati!$X$2:$X$16</c:f>
              <c:strCache>
                <c:ptCount val="15"/>
                <c:pt idx="0">
                  <c:v>Valsts kanc.</c:v>
                </c:pt>
                <c:pt idx="1">
                  <c:v>PKC</c:v>
                </c:pt>
                <c:pt idx="2">
                  <c:v>AiM</c:v>
                </c:pt>
                <c:pt idx="3">
                  <c:v>ĀM</c:v>
                </c:pt>
                <c:pt idx="4">
                  <c:v>EM</c:v>
                </c:pt>
                <c:pt idx="5">
                  <c:v>FM</c:v>
                </c:pt>
                <c:pt idx="6">
                  <c:v>IeM</c:v>
                </c:pt>
                <c:pt idx="7">
                  <c:v>IZM</c:v>
                </c:pt>
                <c:pt idx="8">
                  <c:v>ZM</c:v>
                </c:pt>
                <c:pt idx="9">
                  <c:v>SM</c:v>
                </c:pt>
                <c:pt idx="10">
                  <c:v>LM</c:v>
                </c:pt>
                <c:pt idx="11">
                  <c:v>TM</c:v>
                </c:pt>
                <c:pt idx="12">
                  <c:v>VARAM</c:v>
                </c:pt>
                <c:pt idx="13">
                  <c:v>KM</c:v>
                </c:pt>
                <c:pt idx="14">
                  <c:v>VM</c:v>
                </c:pt>
              </c:strCache>
            </c:strRef>
          </c:cat>
          <c:val>
            <c:numRef>
              <c:f>Dati!$Y$2:$Y$16</c:f>
              <c:numCache>
                <c:formatCode>General</c:formatCode>
                <c:ptCount val="15"/>
                <c:pt idx="0" formatCode="0%">
                  <c:v>6.3063063063063057E-2</c:v>
                </c:pt>
              </c:numCache>
            </c:numRef>
          </c:val>
        </c:ser>
        <c:ser>
          <c:idx val="1"/>
          <c:order val="1"/>
          <c:tx>
            <c:strRef>
              <c:f>Dati!$Z$1</c:f>
              <c:strCache>
                <c:ptCount val="1"/>
                <c:pt idx="0">
                  <c:v>5</c:v>
                </c:pt>
              </c:strCache>
            </c:strRef>
          </c:tx>
          <c:invertIfNegative val="0"/>
          <c:dLbls>
            <c:dLbl>
              <c:idx val="12"/>
              <c:delete val="1"/>
              <c:extLst>
                <c:ext xmlns:c15="http://schemas.microsoft.com/office/drawing/2012/chart" uri="{CE6537A1-D6FC-4f65-9D91-7224C49458BB}"/>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Dati!$X$2:$X$16</c:f>
              <c:strCache>
                <c:ptCount val="15"/>
                <c:pt idx="0">
                  <c:v>Valsts kanc.</c:v>
                </c:pt>
                <c:pt idx="1">
                  <c:v>PKC</c:v>
                </c:pt>
                <c:pt idx="2">
                  <c:v>AiM</c:v>
                </c:pt>
                <c:pt idx="3">
                  <c:v>ĀM</c:v>
                </c:pt>
                <c:pt idx="4">
                  <c:v>EM</c:v>
                </c:pt>
                <c:pt idx="5">
                  <c:v>FM</c:v>
                </c:pt>
                <c:pt idx="6">
                  <c:v>IeM</c:v>
                </c:pt>
                <c:pt idx="7">
                  <c:v>IZM</c:v>
                </c:pt>
                <c:pt idx="8">
                  <c:v>ZM</c:v>
                </c:pt>
                <c:pt idx="9">
                  <c:v>SM</c:v>
                </c:pt>
                <c:pt idx="10">
                  <c:v>LM</c:v>
                </c:pt>
                <c:pt idx="11">
                  <c:v>TM</c:v>
                </c:pt>
                <c:pt idx="12">
                  <c:v>VARAM</c:v>
                </c:pt>
                <c:pt idx="13">
                  <c:v>KM</c:v>
                </c:pt>
                <c:pt idx="14">
                  <c:v>VM</c:v>
                </c:pt>
              </c:strCache>
            </c:strRef>
          </c:cat>
          <c:val>
            <c:numRef>
              <c:f>Dati!$Z$2:$Z$16</c:f>
              <c:numCache>
                <c:formatCode>General</c:formatCode>
                <c:ptCount val="15"/>
                <c:pt idx="11" formatCode="0%">
                  <c:v>4.4052863436123352E-3</c:v>
                </c:pt>
                <c:pt idx="13" formatCode="0%">
                  <c:v>1.9230769230769232E-2</c:v>
                </c:pt>
              </c:numCache>
            </c:numRef>
          </c:val>
        </c:ser>
        <c:ser>
          <c:idx val="2"/>
          <c:order val="2"/>
          <c:tx>
            <c:strRef>
              <c:f>Dati!$AA$1</c:f>
              <c:strCache>
                <c:ptCount val="1"/>
                <c:pt idx="0">
                  <c:v>6</c:v>
                </c:pt>
              </c:strCache>
            </c:strRef>
          </c:tx>
          <c:invertIfNegative val="0"/>
          <c:dLbls>
            <c:dLbl>
              <c:idx val="10"/>
              <c:delete val="1"/>
              <c:extLst>
                <c:ext xmlns:c15="http://schemas.microsoft.com/office/drawing/2012/chart" uri="{CE6537A1-D6FC-4f65-9D91-7224C49458BB}"/>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Dati!$X$2:$X$16</c:f>
              <c:strCache>
                <c:ptCount val="15"/>
                <c:pt idx="0">
                  <c:v>Valsts kanc.</c:v>
                </c:pt>
                <c:pt idx="1">
                  <c:v>PKC</c:v>
                </c:pt>
                <c:pt idx="2">
                  <c:v>AiM</c:v>
                </c:pt>
                <c:pt idx="3">
                  <c:v>ĀM</c:v>
                </c:pt>
                <c:pt idx="4">
                  <c:v>EM</c:v>
                </c:pt>
                <c:pt idx="5">
                  <c:v>FM</c:v>
                </c:pt>
                <c:pt idx="6">
                  <c:v>IeM</c:v>
                </c:pt>
                <c:pt idx="7">
                  <c:v>IZM</c:v>
                </c:pt>
                <c:pt idx="8">
                  <c:v>ZM</c:v>
                </c:pt>
                <c:pt idx="9">
                  <c:v>SM</c:v>
                </c:pt>
                <c:pt idx="10">
                  <c:v>LM</c:v>
                </c:pt>
                <c:pt idx="11">
                  <c:v>TM</c:v>
                </c:pt>
                <c:pt idx="12">
                  <c:v>VARAM</c:v>
                </c:pt>
                <c:pt idx="13">
                  <c:v>KM</c:v>
                </c:pt>
                <c:pt idx="14">
                  <c:v>VM</c:v>
                </c:pt>
              </c:strCache>
            </c:strRef>
          </c:cat>
          <c:val>
            <c:numRef>
              <c:f>Dati!$AA$2:$AA$16</c:f>
              <c:numCache>
                <c:formatCode>General</c:formatCode>
                <c:ptCount val="15"/>
                <c:pt idx="0" formatCode="0%">
                  <c:v>2.7027027027027029E-2</c:v>
                </c:pt>
                <c:pt idx="3" formatCode="0%">
                  <c:v>4.5009784735812131E-2</c:v>
                </c:pt>
                <c:pt idx="7" formatCode="0%">
                  <c:v>1.6574585635359115E-2</c:v>
                </c:pt>
                <c:pt idx="8" formatCode="0%">
                  <c:v>1.3100436681222707E-2</c:v>
                </c:pt>
                <c:pt idx="12" formatCode="0%">
                  <c:v>3.8167938931297708E-3</c:v>
                </c:pt>
              </c:numCache>
            </c:numRef>
          </c:val>
        </c:ser>
        <c:ser>
          <c:idx val="3"/>
          <c:order val="3"/>
          <c:tx>
            <c:strRef>
              <c:f>Dati!$AB$1</c:f>
              <c:strCache>
                <c:ptCount val="1"/>
                <c:pt idx="0">
                  <c:v>7</c:v>
                </c:pt>
              </c:strCache>
            </c:strRef>
          </c:tx>
          <c:invertIfNegative val="0"/>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Dati!$X$2:$X$16</c:f>
              <c:strCache>
                <c:ptCount val="15"/>
                <c:pt idx="0">
                  <c:v>Valsts kanc.</c:v>
                </c:pt>
                <c:pt idx="1">
                  <c:v>PKC</c:v>
                </c:pt>
                <c:pt idx="2">
                  <c:v>AiM</c:v>
                </c:pt>
                <c:pt idx="3">
                  <c:v>ĀM</c:v>
                </c:pt>
                <c:pt idx="4">
                  <c:v>EM</c:v>
                </c:pt>
                <c:pt idx="5">
                  <c:v>FM</c:v>
                </c:pt>
                <c:pt idx="6">
                  <c:v>IeM</c:v>
                </c:pt>
                <c:pt idx="7">
                  <c:v>IZM</c:v>
                </c:pt>
                <c:pt idx="8">
                  <c:v>ZM</c:v>
                </c:pt>
                <c:pt idx="9">
                  <c:v>SM</c:v>
                </c:pt>
                <c:pt idx="10">
                  <c:v>LM</c:v>
                </c:pt>
                <c:pt idx="11">
                  <c:v>TM</c:v>
                </c:pt>
                <c:pt idx="12">
                  <c:v>VARAM</c:v>
                </c:pt>
                <c:pt idx="13">
                  <c:v>KM</c:v>
                </c:pt>
                <c:pt idx="14">
                  <c:v>VM</c:v>
                </c:pt>
              </c:strCache>
            </c:strRef>
          </c:cat>
          <c:val>
            <c:numRef>
              <c:f>Dati!$AB$2:$AB$16</c:f>
              <c:numCache>
                <c:formatCode>General</c:formatCode>
                <c:ptCount val="15"/>
                <c:pt idx="0" formatCode="0%">
                  <c:v>4.5045045045045043E-2</c:v>
                </c:pt>
                <c:pt idx="2" formatCode="0%">
                  <c:v>2.2727272727272728E-2</c:v>
                </c:pt>
                <c:pt idx="3" formatCode="0%">
                  <c:v>1.9569471624266144E-3</c:v>
                </c:pt>
                <c:pt idx="4" formatCode="0%">
                  <c:v>2.7322404371584699E-2</c:v>
                </c:pt>
                <c:pt idx="6" formatCode="0%">
                  <c:v>6.8702290076335881E-2</c:v>
                </c:pt>
                <c:pt idx="7" formatCode="0%">
                  <c:v>5.5248618784530384E-2</c:v>
                </c:pt>
                <c:pt idx="8" formatCode="0%">
                  <c:v>2.6200873362445413E-2</c:v>
                </c:pt>
                <c:pt idx="9" formatCode="0%">
                  <c:v>2.1582733812949641E-2</c:v>
                </c:pt>
                <c:pt idx="10" formatCode="0%">
                  <c:v>1.2158054711246201E-2</c:v>
                </c:pt>
                <c:pt idx="11" formatCode="0%">
                  <c:v>8.3700440528634359E-2</c:v>
                </c:pt>
                <c:pt idx="12" formatCode="0%">
                  <c:v>2.6717557251908396E-2</c:v>
                </c:pt>
                <c:pt idx="13" formatCode="0%">
                  <c:v>4.807692307692308E-2</c:v>
                </c:pt>
                <c:pt idx="14" formatCode="0%">
                  <c:v>4.0816326530612242E-2</c:v>
                </c:pt>
              </c:numCache>
            </c:numRef>
          </c:val>
        </c:ser>
        <c:ser>
          <c:idx val="4"/>
          <c:order val="4"/>
          <c:tx>
            <c:strRef>
              <c:f>Dati!$AC$1</c:f>
              <c:strCache>
                <c:ptCount val="1"/>
                <c:pt idx="0">
                  <c:v>8</c:v>
                </c:pt>
              </c:strCache>
            </c:strRef>
          </c:tx>
          <c:spPr>
            <a:solidFill>
              <a:schemeClr val="accent2">
                <a:lumMod val="60000"/>
                <a:lumOff val="40000"/>
              </a:schemeClr>
            </a:solidFill>
          </c:spPr>
          <c:invertIfNegative val="0"/>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Dati!$X$2:$X$16</c:f>
              <c:strCache>
                <c:ptCount val="15"/>
                <c:pt idx="0">
                  <c:v>Valsts kanc.</c:v>
                </c:pt>
                <c:pt idx="1">
                  <c:v>PKC</c:v>
                </c:pt>
                <c:pt idx="2">
                  <c:v>AiM</c:v>
                </c:pt>
                <c:pt idx="3">
                  <c:v>ĀM</c:v>
                </c:pt>
                <c:pt idx="4">
                  <c:v>EM</c:v>
                </c:pt>
                <c:pt idx="5">
                  <c:v>FM</c:v>
                </c:pt>
                <c:pt idx="6">
                  <c:v>IeM</c:v>
                </c:pt>
                <c:pt idx="7">
                  <c:v>IZM</c:v>
                </c:pt>
                <c:pt idx="8">
                  <c:v>ZM</c:v>
                </c:pt>
                <c:pt idx="9">
                  <c:v>SM</c:v>
                </c:pt>
                <c:pt idx="10">
                  <c:v>LM</c:v>
                </c:pt>
                <c:pt idx="11">
                  <c:v>TM</c:v>
                </c:pt>
                <c:pt idx="12">
                  <c:v>VARAM</c:v>
                </c:pt>
                <c:pt idx="13">
                  <c:v>KM</c:v>
                </c:pt>
                <c:pt idx="14">
                  <c:v>VM</c:v>
                </c:pt>
              </c:strCache>
            </c:strRef>
          </c:cat>
          <c:val>
            <c:numRef>
              <c:f>Dati!$AC$2:$AC$16</c:f>
              <c:numCache>
                <c:formatCode>General</c:formatCode>
                <c:ptCount val="15"/>
                <c:pt idx="0" formatCode="0%">
                  <c:v>0.13513513513513514</c:v>
                </c:pt>
                <c:pt idx="2" formatCode="0%">
                  <c:v>7.3863636363636367E-2</c:v>
                </c:pt>
                <c:pt idx="3" formatCode="0%">
                  <c:v>2.9354207436399216E-2</c:v>
                </c:pt>
                <c:pt idx="4" formatCode="0%">
                  <c:v>2.185792349726776E-2</c:v>
                </c:pt>
                <c:pt idx="5" formatCode="0%">
                  <c:v>4.4155844155844157E-2</c:v>
                </c:pt>
                <c:pt idx="6" formatCode="0%">
                  <c:v>5.3435114503816793E-2</c:v>
                </c:pt>
                <c:pt idx="7" formatCode="0%">
                  <c:v>3.3149171270718231E-2</c:v>
                </c:pt>
                <c:pt idx="8" formatCode="0%">
                  <c:v>3.9301310043668124E-2</c:v>
                </c:pt>
                <c:pt idx="9" formatCode="0%">
                  <c:v>3.5971223021582732E-2</c:v>
                </c:pt>
                <c:pt idx="10" formatCode="0%">
                  <c:v>4.8632218844984802E-2</c:v>
                </c:pt>
                <c:pt idx="11" formatCode="0%">
                  <c:v>5.2863436123348019E-2</c:v>
                </c:pt>
                <c:pt idx="12" formatCode="0%">
                  <c:v>3.8167938931297708E-3</c:v>
                </c:pt>
                <c:pt idx="13" formatCode="0%">
                  <c:v>9.6153846153846159E-2</c:v>
                </c:pt>
                <c:pt idx="14" formatCode="0%">
                  <c:v>2.0408163265306121E-2</c:v>
                </c:pt>
              </c:numCache>
            </c:numRef>
          </c:val>
        </c:ser>
        <c:ser>
          <c:idx val="5"/>
          <c:order val="5"/>
          <c:tx>
            <c:strRef>
              <c:f>Dati!$AD$1</c:f>
              <c:strCache>
                <c:ptCount val="1"/>
                <c:pt idx="0">
                  <c:v>9</c:v>
                </c:pt>
              </c:strCache>
            </c:strRef>
          </c:tx>
          <c:spPr>
            <a:solidFill>
              <a:srgbClr val="FFC000"/>
            </a:solidFill>
          </c:spPr>
          <c:invertIfNegative val="0"/>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Dati!$X$2:$X$16</c:f>
              <c:strCache>
                <c:ptCount val="15"/>
                <c:pt idx="0">
                  <c:v>Valsts kanc.</c:v>
                </c:pt>
                <c:pt idx="1">
                  <c:v>PKC</c:v>
                </c:pt>
                <c:pt idx="2">
                  <c:v>AiM</c:v>
                </c:pt>
                <c:pt idx="3">
                  <c:v>ĀM</c:v>
                </c:pt>
                <c:pt idx="4">
                  <c:v>EM</c:v>
                </c:pt>
                <c:pt idx="5">
                  <c:v>FM</c:v>
                </c:pt>
                <c:pt idx="6">
                  <c:v>IeM</c:v>
                </c:pt>
                <c:pt idx="7">
                  <c:v>IZM</c:v>
                </c:pt>
                <c:pt idx="8">
                  <c:v>ZM</c:v>
                </c:pt>
                <c:pt idx="9">
                  <c:v>SM</c:v>
                </c:pt>
                <c:pt idx="10">
                  <c:v>LM</c:v>
                </c:pt>
                <c:pt idx="11">
                  <c:v>TM</c:v>
                </c:pt>
                <c:pt idx="12">
                  <c:v>VARAM</c:v>
                </c:pt>
                <c:pt idx="13">
                  <c:v>KM</c:v>
                </c:pt>
                <c:pt idx="14">
                  <c:v>VM</c:v>
                </c:pt>
              </c:strCache>
            </c:strRef>
          </c:cat>
          <c:val>
            <c:numRef>
              <c:f>Dati!$AD$2:$AD$16</c:f>
              <c:numCache>
                <c:formatCode>General</c:formatCode>
                <c:ptCount val="15"/>
                <c:pt idx="0" formatCode="0%">
                  <c:v>0.12612612612612611</c:v>
                </c:pt>
                <c:pt idx="2" formatCode="0%">
                  <c:v>0.4375</c:v>
                </c:pt>
                <c:pt idx="3" formatCode="0%">
                  <c:v>0.3131115459882583</c:v>
                </c:pt>
                <c:pt idx="4" formatCode="0%">
                  <c:v>0.31693989071038253</c:v>
                </c:pt>
                <c:pt idx="5" formatCode="0%">
                  <c:v>4.4155844155844157E-2</c:v>
                </c:pt>
                <c:pt idx="6" formatCode="0%">
                  <c:v>0.26717557251908397</c:v>
                </c:pt>
                <c:pt idx="7" formatCode="0%">
                  <c:v>0.39779005524861877</c:v>
                </c:pt>
                <c:pt idx="8" formatCode="0%">
                  <c:v>0.36681222707423583</c:v>
                </c:pt>
                <c:pt idx="9" formatCode="0%">
                  <c:v>0.30935251798561153</c:v>
                </c:pt>
                <c:pt idx="10" formatCode="0%">
                  <c:v>0.40425531914893614</c:v>
                </c:pt>
                <c:pt idx="11" formatCode="0%">
                  <c:v>8.3700440528634359E-2</c:v>
                </c:pt>
                <c:pt idx="12" formatCode="0%">
                  <c:v>0.12977099236641221</c:v>
                </c:pt>
                <c:pt idx="13" formatCode="0%">
                  <c:v>0.27884615384615385</c:v>
                </c:pt>
                <c:pt idx="14" formatCode="0%">
                  <c:v>0.26530612244897961</c:v>
                </c:pt>
              </c:numCache>
            </c:numRef>
          </c:val>
        </c:ser>
        <c:ser>
          <c:idx val="6"/>
          <c:order val="6"/>
          <c:tx>
            <c:strRef>
              <c:f>Dati!$AE$1</c:f>
              <c:strCache>
                <c:ptCount val="1"/>
                <c:pt idx="0">
                  <c:v>10</c:v>
                </c:pt>
              </c:strCache>
            </c:strRef>
          </c:tx>
          <c:spPr>
            <a:solidFill>
              <a:srgbClr val="00B0F0"/>
            </a:solidFill>
          </c:spPr>
          <c:invertIfNegative val="0"/>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Dati!$X$2:$X$16</c:f>
              <c:strCache>
                <c:ptCount val="15"/>
                <c:pt idx="0">
                  <c:v>Valsts kanc.</c:v>
                </c:pt>
                <c:pt idx="1">
                  <c:v>PKC</c:v>
                </c:pt>
                <c:pt idx="2">
                  <c:v>AiM</c:v>
                </c:pt>
                <c:pt idx="3">
                  <c:v>ĀM</c:v>
                </c:pt>
                <c:pt idx="4">
                  <c:v>EM</c:v>
                </c:pt>
                <c:pt idx="5">
                  <c:v>FM</c:v>
                </c:pt>
                <c:pt idx="6">
                  <c:v>IeM</c:v>
                </c:pt>
                <c:pt idx="7">
                  <c:v>IZM</c:v>
                </c:pt>
                <c:pt idx="8">
                  <c:v>ZM</c:v>
                </c:pt>
                <c:pt idx="9">
                  <c:v>SM</c:v>
                </c:pt>
                <c:pt idx="10">
                  <c:v>LM</c:v>
                </c:pt>
                <c:pt idx="11">
                  <c:v>TM</c:v>
                </c:pt>
                <c:pt idx="12">
                  <c:v>VARAM</c:v>
                </c:pt>
                <c:pt idx="13">
                  <c:v>KM</c:v>
                </c:pt>
                <c:pt idx="14">
                  <c:v>VM</c:v>
                </c:pt>
              </c:strCache>
            </c:strRef>
          </c:cat>
          <c:val>
            <c:numRef>
              <c:f>Dati!$AE$2:$AE$16</c:f>
              <c:numCache>
                <c:formatCode>General</c:formatCode>
                <c:ptCount val="15"/>
                <c:pt idx="0" formatCode="0%">
                  <c:v>0.16216216216216217</c:v>
                </c:pt>
                <c:pt idx="2" formatCode="0%">
                  <c:v>7.3863636363636367E-2</c:v>
                </c:pt>
                <c:pt idx="3" formatCode="0%">
                  <c:v>0.17221135029354206</c:v>
                </c:pt>
                <c:pt idx="4" formatCode="0%">
                  <c:v>6.0109289617486336E-2</c:v>
                </c:pt>
                <c:pt idx="5" formatCode="0%">
                  <c:v>0.35324675324675325</c:v>
                </c:pt>
                <c:pt idx="6" formatCode="0%">
                  <c:v>0.17557251908396945</c:v>
                </c:pt>
                <c:pt idx="7" formatCode="0%">
                  <c:v>0.19337016574585636</c:v>
                </c:pt>
                <c:pt idx="8" formatCode="0%">
                  <c:v>0.17467248908296942</c:v>
                </c:pt>
                <c:pt idx="9" formatCode="0%">
                  <c:v>0.18705035971223022</c:v>
                </c:pt>
                <c:pt idx="10" formatCode="0%">
                  <c:v>0.10334346504559271</c:v>
                </c:pt>
                <c:pt idx="11" formatCode="0%">
                  <c:v>0.16299559471365638</c:v>
                </c:pt>
                <c:pt idx="12" formatCode="0%">
                  <c:v>0.13358778625954199</c:v>
                </c:pt>
                <c:pt idx="13" formatCode="0%">
                  <c:v>0.25</c:v>
                </c:pt>
                <c:pt idx="14" formatCode="0%">
                  <c:v>9.1836734693877556E-2</c:v>
                </c:pt>
              </c:numCache>
            </c:numRef>
          </c:val>
        </c:ser>
        <c:ser>
          <c:idx val="7"/>
          <c:order val="7"/>
          <c:tx>
            <c:strRef>
              <c:f>Dati!$AF$1</c:f>
              <c:strCache>
                <c:ptCount val="1"/>
                <c:pt idx="0">
                  <c:v>11</c:v>
                </c:pt>
              </c:strCache>
            </c:strRef>
          </c:tx>
          <c:invertIfNegative val="0"/>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Dati!$X$2:$X$16</c:f>
              <c:strCache>
                <c:ptCount val="15"/>
                <c:pt idx="0">
                  <c:v>Valsts kanc.</c:v>
                </c:pt>
                <c:pt idx="1">
                  <c:v>PKC</c:v>
                </c:pt>
                <c:pt idx="2">
                  <c:v>AiM</c:v>
                </c:pt>
                <c:pt idx="3">
                  <c:v>ĀM</c:v>
                </c:pt>
                <c:pt idx="4">
                  <c:v>EM</c:v>
                </c:pt>
                <c:pt idx="5">
                  <c:v>FM</c:v>
                </c:pt>
                <c:pt idx="6">
                  <c:v>IeM</c:v>
                </c:pt>
                <c:pt idx="7">
                  <c:v>IZM</c:v>
                </c:pt>
                <c:pt idx="8">
                  <c:v>ZM</c:v>
                </c:pt>
                <c:pt idx="9">
                  <c:v>SM</c:v>
                </c:pt>
                <c:pt idx="10">
                  <c:v>LM</c:v>
                </c:pt>
                <c:pt idx="11">
                  <c:v>TM</c:v>
                </c:pt>
                <c:pt idx="12">
                  <c:v>VARAM</c:v>
                </c:pt>
                <c:pt idx="13">
                  <c:v>KM</c:v>
                </c:pt>
                <c:pt idx="14">
                  <c:v>VM</c:v>
                </c:pt>
              </c:strCache>
            </c:strRef>
          </c:cat>
          <c:val>
            <c:numRef>
              <c:f>Dati!$AF$2:$AF$16</c:f>
              <c:numCache>
                <c:formatCode>0%</c:formatCode>
                <c:ptCount val="15"/>
                <c:pt idx="0">
                  <c:v>0.13513513513513514</c:v>
                </c:pt>
                <c:pt idx="1">
                  <c:v>0.46666666666666667</c:v>
                </c:pt>
                <c:pt idx="2">
                  <c:v>0.13068181818181818</c:v>
                </c:pt>
                <c:pt idx="3">
                  <c:v>0.13307240704500978</c:v>
                </c:pt>
                <c:pt idx="4">
                  <c:v>0.19672131147540983</c:v>
                </c:pt>
                <c:pt idx="5">
                  <c:v>9.0909090909090912E-2</c:v>
                </c:pt>
                <c:pt idx="6">
                  <c:v>0.24427480916030533</c:v>
                </c:pt>
                <c:pt idx="7">
                  <c:v>0.13812154696132597</c:v>
                </c:pt>
                <c:pt idx="8">
                  <c:v>0.16157205240174671</c:v>
                </c:pt>
                <c:pt idx="9">
                  <c:v>0.15107913669064749</c:v>
                </c:pt>
                <c:pt idx="10">
                  <c:v>0.1702127659574468</c:v>
                </c:pt>
                <c:pt idx="11">
                  <c:v>0.38766519823788548</c:v>
                </c:pt>
                <c:pt idx="12">
                  <c:v>0.29007633587786258</c:v>
                </c:pt>
                <c:pt idx="13">
                  <c:v>8.6538461538461536E-2</c:v>
                </c:pt>
                <c:pt idx="14">
                  <c:v>0.22448979591836735</c:v>
                </c:pt>
              </c:numCache>
            </c:numRef>
          </c:val>
        </c:ser>
        <c:ser>
          <c:idx val="8"/>
          <c:order val="8"/>
          <c:tx>
            <c:strRef>
              <c:f>Dati!$AG$1</c:f>
              <c:strCache>
                <c:ptCount val="1"/>
                <c:pt idx="0">
                  <c:v>12</c:v>
                </c:pt>
              </c:strCache>
            </c:strRef>
          </c:tx>
          <c:invertIfNegative val="0"/>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Dati!$X$2:$X$16</c:f>
              <c:strCache>
                <c:ptCount val="15"/>
                <c:pt idx="0">
                  <c:v>Valsts kanc.</c:v>
                </c:pt>
                <c:pt idx="1">
                  <c:v>PKC</c:v>
                </c:pt>
                <c:pt idx="2">
                  <c:v>AiM</c:v>
                </c:pt>
                <c:pt idx="3">
                  <c:v>ĀM</c:v>
                </c:pt>
                <c:pt idx="4">
                  <c:v>EM</c:v>
                </c:pt>
                <c:pt idx="5">
                  <c:v>FM</c:v>
                </c:pt>
                <c:pt idx="6">
                  <c:v>IeM</c:v>
                </c:pt>
                <c:pt idx="7">
                  <c:v>IZM</c:v>
                </c:pt>
                <c:pt idx="8">
                  <c:v>ZM</c:v>
                </c:pt>
                <c:pt idx="9">
                  <c:v>SM</c:v>
                </c:pt>
                <c:pt idx="10">
                  <c:v>LM</c:v>
                </c:pt>
                <c:pt idx="11">
                  <c:v>TM</c:v>
                </c:pt>
                <c:pt idx="12">
                  <c:v>VARAM</c:v>
                </c:pt>
                <c:pt idx="13">
                  <c:v>KM</c:v>
                </c:pt>
                <c:pt idx="14">
                  <c:v>VM</c:v>
                </c:pt>
              </c:strCache>
            </c:strRef>
          </c:cat>
          <c:val>
            <c:numRef>
              <c:f>Dati!$AG$2:$AG$16</c:f>
              <c:numCache>
                <c:formatCode>0%</c:formatCode>
                <c:ptCount val="15"/>
                <c:pt idx="0">
                  <c:v>6.3063063063063057E-2</c:v>
                </c:pt>
                <c:pt idx="1">
                  <c:v>0.13333333333333333</c:v>
                </c:pt>
                <c:pt idx="2">
                  <c:v>0.125</c:v>
                </c:pt>
                <c:pt idx="3">
                  <c:v>5.6751467710371817E-2</c:v>
                </c:pt>
                <c:pt idx="4">
                  <c:v>0.20765027322404372</c:v>
                </c:pt>
                <c:pt idx="5">
                  <c:v>0.24675324675324675</c:v>
                </c:pt>
                <c:pt idx="6">
                  <c:v>6.1068702290076333E-2</c:v>
                </c:pt>
                <c:pt idx="7">
                  <c:v>9.9447513812154692E-2</c:v>
                </c:pt>
                <c:pt idx="8">
                  <c:v>0.1091703056768559</c:v>
                </c:pt>
                <c:pt idx="9">
                  <c:v>0.10071942446043165</c:v>
                </c:pt>
                <c:pt idx="10">
                  <c:v>0.11550151975683891</c:v>
                </c:pt>
                <c:pt idx="11">
                  <c:v>0.1013215859030837</c:v>
                </c:pt>
                <c:pt idx="12">
                  <c:v>0.25190839694656486</c:v>
                </c:pt>
                <c:pt idx="13">
                  <c:v>8.6538461538461536E-2</c:v>
                </c:pt>
                <c:pt idx="14">
                  <c:v>0.19387755102040816</c:v>
                </c:pt>
              </c:numCache>
            </c:numRef>
          </c:val>
        </c:ser>
        <c:ser>
          <c:idx val="9"/>
          <c:order val="9"/>
          <c:tx>
            <c:strRef>
              <c:f>Dati!$AH$1</c:f>
              <c:strCache>
                <c:ptCount val="1"/>
                <c:pt idx="0">
                  <c:v>13</c:v>
                </c:pt>
              </c:strCache>
            </c:strRef>
          </c:tx>
          <c:invertIfNegative val="0"/>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Dati!$X$2:$X$16</c:f>
              <c:strCache>
                <c:ptCount val="15"/>
                <c:pt idx="0">
                  <c:v>Valsts kanc.</c:v>
                </c:pt>
                <c:pt idx="1">
                  <c:v>PKC</c:v>
                </c:pt>
                <c:pt idx="2">
                  <c:v>AiM</c:v>
                </c:pt>
                <c:pt idx="3">
                  <c:v>ĀM</c:v>
                </c:pt>
                <c:pt idx="4">
                  <c:v>EM</c:v>
                </c:pt>
                <c:pt idx="5">
                  <c:v>FM</c:v>
                </c:pt>
                <c:pt idx="6">
                  <c:v>IeM</c:v>
                </c:pt>
                <c:pt idx="7">
                  <c:v>IZM</c:v>
                </c:pt>
                <c:pt idx="8">
                  <c:v>ZM</c:v>
                </c:pt>
                <c:pt idx="9">
                  <c:v>SM</c:v>
                </c:pt>
                <c:pt idx="10">
                  <c:v>LM</c:v>
                </c:pt>
                <c:pt idx="11">
                  <c:v>TM</c:v>
                </c:pt>
                <c:pt idx="12">
                  <c:v>VARAM</c:v>
                </c:pt>
                <c:pt idx="13">
                  <c:v>KM</c:v>
                </c:pt>
                <c:pt idx="14">
                  <c:v>VM</c:v>
                </c:pt>
              </c:strCache>
            </c:strRef>
          </c:cat>
          <c:val>
            <c:numRef>
              <c:f>Dati!$AH$2:$AH$16</c:f>
              <c:numCache>
                <c:formatCode>0%</c:formatCode>
                <c:ptCount val="15"/>
                <c:pt idx="0">
                  <c:v>7.2072072072072071E-2</c:v>
                </c:pt>
                <c:pt idx="1">
                  <c:v>6.6666666666666666E-2</c:v>
                </c:pt>
                <c:pt idx="2">
                  <c:v>7.9545454545454544E-2</c:v>
                </c:pt>
                <c:pt idx="3">
                  <c:v>9.9804305283757333E-2</c:v>
                </c:pt>
                <c:pt idx="4">
                  <c:v>9.8360655737704916E-2</c:v>
                </c:pt>
                <c:pt idx="5">
                  <c:v>0.14025974025974025</c:v>
                </c:pt>
                <c:pt idx="6">
                  <c:v>9.1603053435114504E-2</c:v>
                </c:pt>
                <c:pt idx="7">
                  <c:v>3.3149171270718231E-2</c:v>
                </c:pt>
                <c:pt idx="8">
                  <c:v>6.9868995633187769E-2</c:v>
                </c:pt>
                <c:pt idx="9">
                  <c:v>0.11510791366906475</c:v>
                </c:pt>
                <c:pt idx="10">
                  <c:v>9.7264437689969604E-2</c:v>
                </c:pt>
                <c:pt idx="11">
                  <c:v>7.4889867841409691E-2</c:v>
                </c:pt>
                <c:pt idx="12">
                  <c:v>8.3969465648854963E-2</c:v>
                </c:pt>
                <c:pt idx="13">
                  <c:v>6.7307692307692304E-2</c:v>
                </c:pt>
                <c:pt idx="14">
                  <c:v>0.12244897959183673</c:v>
                </c:pt>
              </c:numCache>
            </c:numRef>
          </c:val>
        </c:ser>
        <c:ser>
          <c:idx val="10"/>
          <c:order val="10"/>
          <c:tx>
            <c:strRef>
              <c:f>Dati!$AI$1</c:f>
              <c:strCache>
                <c:ptCount val="1"/>
                <c:pt idx="0">
                  <c:v>13a</c:v>
                </c:pt>
              </c:strCache>
            </c:strRef>
          </c:tx>
          <c:invertIfNegative val="0"/>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Dati!$X$2:$X$16</c:f>
              <c:strCache>
                <c:ptCount val="15"/>
                <c:pt idx="0">
                  <c:v>Valsts kanc.</c:v>
                </c:pt>
                <c:pt idx="1">
                  <c:v>PKC</c:v>
                </c:pt>
                <c:pt idx="2">
                  <c:v>AiM</c:v>
                </c:pt>
                <c:pt idx="3">
                  <c:v>ĀM</c:v>
                </c:pt>
                <c:pt idx="4">
                  <c:v>EM</c:v>
                </c:pt>
                <c:pt idx="5">
                  <c:v>FM</c:v>
                </c:pt>
                <c:pt idx="6">
                  <c:v>IeM</c:v>
                </c:pt>
                <c:pt idx="7">
                  <c:v>IZM</c:v>
                </c:pt>
                <c:pt idx="8">
                  <c:v>ZM</c:v>
                </c:pt>
                <c:pt idx="9">
                  <c:v>SM</c:v>
                </c:pt>
                <c:pt idx="10">
                  <c:v>LM</c:v>
                </c:pt>
                <c:pt idx="11">
                  <c:v>TM</c:v>
                </c:pt>
                <c:pt idx="12">
                  <c:v>VARAM</c:v>
                </c:pt>
                <c:pt idx="13">
                  <c:v>KM</c:v>
                </c:pt>
                <c:pt idx="14">
                  <c:v>VM</c:v>
                </c:pt>
              </c:strCache>
            </c:strRef>
          </c:cat>
          <c:val>
            <c:numRef>
              <c:f>Dati!$AI$2:$AI$16</c:f>
              <c:numCache>
                <c:formatCode>General</c:formatCode>
                <c:ptCount val="15"/>
                <c:pt idx="3" formatCode="0%">
                  <c:v>3.5225048923679059E-2</c:v>
                </c:pt>
                <c:pt idx="4" formatCode="0%">
                  <c:v>2.185792349726776E-2</c:v>
                </c:pt>
                <c:pt idx="5" formatCode="0%">
                  <c:v>1.2987012987012988E-2</c:v>
                </c:pt>
                <c:pt idx="6" formatCode="0%">
                  <c:v>1.5267175572519083E-2</c:v>
                </c:pt>
                <c:pt idx="9" formatCode="0%">
                  <c:v>1.4388489208633094E-2</c:v>
                </c:pt>
                <c:pt idx="12" formatCode="0%">
                  <c:v>1.1450381679389313E-2</c:v>
                </c:pt>
              </c:numCache>
            </c:numRef>
          </c:val>
        </c:ser>
        <c:ser>
          <c:idx val="11"/>
          <c:order val="11"/>
          <c:tx>
            <c:strRef>
              <c:f>Dati!$AJ$1</c:f>
              <c:strCache>
                <c:ptCount val="1"/>
                <c:pt idx="0">
                  <c:v>14</c:v>
                </c:pt>
              </c:strCache>
            </c:strRef>
          </c:tx>
          <c:invertIfNegative val="0"/>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Dati!$X$2:$X$16</c:f>
              <c:strCache>
                <c:ptCount val="15"/>
                <c:pt idx="0">
                  <c:v>Valsts kanc.</c:v>
                </c:pt>
                <c:pt idx="1">
                  <c:v>PKC</c:v>
                </c:pt>
                <c:pt idx="2">
                  <c:v>AiM</c:v>
                </c:pt>
                <c:pt idx="3">
                  <c:v>ĀM</c:v>
                </c:pt>
                <c:pt idx="4">
                  <c:v>EM</c:v>
                </c:pt>
                <c:pt idx="5">
                  <c:v>FM</c:v>
                </c:pt>
                <c:pt idx="6">
                  <c:v>IeM</c:v>
                </c:pt>
                <c:pt idx="7">
                  <c:v>IZM</c:v>
                </c:pt>
                <c:pt idx="8">
                  <c:v>ZM</c:v>
                </c:pt>
                <c:pt idx="9">
                  <c:v>SM</c:v>
                </c:pt>
                <c:pt idx="10">
                  <c:v>LM</c:v>
                </c:pt>
                <c:pt idx="11">
                  <c:v>TM</c:v>
                </c:pt>
                <c:pt idx="12">
                  <c:v>VARAM</c:v>
                </c:pt>
                <c:pt idx="13">
                  <c:v>KM</c:v>
                </c:pt>
                <c:pt idx="14">
                  <c:v>VM</c:v>
                </c:pt>
              </c:strCache>
            </c:strRef>
          </c:cat>
          <c:val>
            <c:numRef>
              <c:f>Dati!$AJ$2:$AJ$16</c:f>
              <c:numCache>
                <c:formatCode>0%</c:formatCode>
                <c:ptCount val="15"/>
                <c:pt idx="0">
                  <c:v>9.90990990990991E-2</c:v>
                </c:pt>
                <c:pt idx="1">
                  <c:v>0.26666666666666666</c:v>
                </c:pt>
                <c:pt idx="2">
                  <c:v>5.113636363636364E-2</c:v>
                </c:pt>
                <c:pt idx="3">
                  <c:v>8.8062622309197647E-2</c:v>
                </c:pt>
                <c:pt idx="4">
                  <c:v>4.3715846994535519E-2</c:v>
                </c:pt>
                <c:pt idx="5">
                  <c:v>5.4545454545454543E-2</c:v>
                </c:pt>
                <c:pt idx="6">
                  <c:v>1.5267175572519083E-2</c:v>
                </c:pt>
                <c:pt idx="7">
                  <c:v>2.7624309392265192E-2</c:v>
                </c:pt>
                <c:pt idx="8">
                  <c:v>2.1834061135371178E-2</c:v>
                </c:pt>
                <c:pt idx="9">
                  <c:v>5.7553956834532377E-2</c:v>
                </c:pt>
                <c:pt idx="10">
                  <c:v>3.64741641337386E-2</c:v>
                </c:pt>
                <c:pt idx="11">
                  <c:v>3.9647577092511016E-2</c:v>
                </c:pt>
                <c:pt idx="12">
                  <c:v>5.7251908396946563E-2</c:v>
                </c:pt>
                <c:pt idx="13">
                  <c:v>5.7692307692307696E-2</c:v>
                </c:pt>
                <c:pt idx="14">
                  <c:v>3.0612244897959183E-2</c:v>
                </c:pt>
              </c:numCache>
            </c:numRef>
          </c:val>
        </c:ser>
        <c:ser>
          <c:idx val="12"/>
          <c:order val="12"/>
          <c:tx>
            <c:strRef>
              <c:f>Dati!$AK$1</c:f>
              <c:strCache>
                <c:ptCount val="1"/>
                <c:pt idx="0">
                  <c:v>14a</c:v>
                </c:pt>
              </c:strCache>
            </c:strRef>
          </c:tx>
          <c:invertIfNegative val="0"/>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Dati!$X$2:$X$16</c:f>
              <c:strCache>
                <c:ptCount val="15"/>
                <c:pt idx="0">
                  <c:v>Valsts kanc.</c:v>
                </c:pt>
                <c:pt idx="1">
                  <c:v>PKC</c:v>
                </c:pt>
                <c:pt idx="2">
                  <c:v>AiM</c:v>
                </c:pt>
                <c:pt idx="3">
                  <c:v>ĀM</c:v>
                </c:pt>
                <c:pt idx="4">
                  <c:v>EM</c:v>
                </c:pt>
                <c:pt idx="5">
                  <c:v>FM</c:v>
                </c:pt>
                <c:pt idx="6">
                  <c:v>IeM</c:v>
                </c:pt>
                <c:pt idx="7">
                  <c:v>IZM</c:v>
                </c:pt>
                <c:pt idx="8">
                  <c:v>ZM</c:v>
                </c:pt>
                <c:pt idx="9">
                  <c:v>SM</c:v>
                </c:pt>
                <c:pt idx="10">
                  <c:v>LM</c:v>
                </c:pt>
                <c:pt idx="11">
                  <c:v>TM</c:v>
                </c:pt>
                <c:pt idx="12">
                  <c:v>VARAM</c:v>
                </c:pt>
                <c:pt idx="13">
                  <c:v>KM</c:v>
                </c:pt>
                <c:pt idx="14">
                  <c:v>VM</c:v>
                </c:pt>
              </c:strCache>
            </c:strRef>
          </c:cat>
          <c:val>
            <c:numRef>
              <c:f>Dati!$AK$2:$AK$16</c:f>
              <c:numCache>
                <c:formatCode>General</c:formatCode>
                <c:ptCount val="15"/>
                <c:pt idx="3" formatCode="0%">
                  <c:v>2.3483365949119372E-2</c:v>
                </c:pt>
              </c:numCache>
            </c:numRef>
          </c:val>
        </c:ser>
        <c:ser>
          <c:idx val="13"/>
          <c:order val="13"/>
          <c:tx>
            <c:strRef>
              <c:f>Dati!$AL$1</c:f>
              <c:strCache>
                <c:ptCount val="1"/>
                <c:pt idx="0">
                  <c:v>15</c:v>
                </c:pt>
              </c:strCache>
            </c:strRef>
          </c:tx>
          <c:invertIfNegative val="0"/>
          <c:dLbls>
            <c:dLbl>
              <c:idx val="10"/>
              <c:delete val="1"/>
              <c:extLst>
                <c:ext xmlns:c15="http://schemas.microsoft.com/office/drawing/2012/chart" uri="{CE6537A1-D6FC-4f65-9D91-7224C49458BB}"/>
              </c:extLst>
            </c:dLbl>
            <c:dLbl>
              <c:idx val="12"/>
              <c:delete val="1"/>
              <c:extLst>
                <c:ext xmlns:c15="http://schemas.microsoft.com/office/drawing/2012/chart" uri="{CE6537A1-D6FC-4f65-9D91-7224C49458BB}"/>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Dati!$X$2:$X$16</c:f>
              <c:strCache>
                <c:ptCount val="15"/>
                <c:pt idx="0">
                  <c:v>Valsts kanc.</c:v>
                </c:pt>
                <c:pt idx="1">
                  <c:v>PKC</c:v>
                </c:pt>
                <c:pt idx="2">
                  <c:v>AiM</c:v>
                </c:pt>
                <c:pt idx="3">
                  <c:v>ĀM</c:v>
                </c:pt>
                <c:pt idx="4">
                  <c:v>EM</c:v>
                </c:pt>
                <c:pt idx="5">
                  <c:v>FM</c:v>
                </c:pt>
                <c:pt idx="6">
                  <c:v>IeM</c:v>
                </c:pt>
                <c:pt idx="7">
                  <c:v>IZM</c:v>
                </c:pt>
                <c:pt idx="8">
                  <c:v>ZM</c:v>
                </c:pt>
                <c:pt idx="9">
                  <c:v>SM</c:v>
                </c:pt>
                <c:pt idx="10">
                  <c:v>LM</c:v>
                </c:pt>
                <c:pt idx="11">
                  <c:v>TM</c:v>
                </c:pt>
                <c:pt idx="12">
                  <c:v>VARAM</c:v>
                </c:pt>
                <c:pt idx="13">
                  <c:v>KM</c:v>
                </c:pt>
                <c:pt idx="14">
                  <c:v>VM</c:v>
                </c:pt>
              </c:strCache>
            </c:strRef>
          </c:cat>
          <c:val>
            <c:numRef>
              <c:f>Dati!$AL$2:$AL$16</c:f>
              <c:numCache>
                <c:formatCode>General</c:formatCode>
                <c:ptCount val="15"/>
                <c:pt idx="0" formatCode="0%">
                  <c:v>2.7027027027027029E-2</c:v>
                </c:pt>
                <c:pt idx="5" formatCode="0%">
                  <c:v>1.038961038961039E-2</c:v>
                </c:pt>
                <c:pt idx="8" formatCode="0%">
                  <c:v>1.3100436681222707E-2</c:v>
                </c:pt>
                <c:pt idx="10" formatCode="0%">
                  <c:v>6.0790273556231003E-3</c:v>
                </c:pt>
                <c:pt idx="11" formatCode="0%">
                  <c:v>4.4052863436123352E-3</c:v>
                </c:pt>
                <c:pt idx="12" formatCode="0%">
                  <c:v>3.8167938931297708E-3</c:v>
                </c:pt>
              </c:numCache>
            </c:numRef>
          </c:val>
        </c:ser>
        <c:ser>
          <c:idx val="14"/>
          <c:order val="14"/>
          <c:tx>
            <c:strRef>
              <c:f>Dati!$AM$1</c:f>
              <c:strCache>
                <c:ptCount val="1"/>
                <c:pt idx="0">
                  <c:v>16</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Dati!$X$2:$X$16</c:f>
              <c:strCache>
                <c:ptCount val="15"/>
                <c:pt idx="0">
                  <c:v>Valsts kanc.</c:v>
                </c:pt>
                <c:pt idx="1">
                  <c:v>PKC</c:v>
                </c:pt>
                <c:pt idx="2">
                  <c:v>AiM</c:v>
                </c:pt>
                <c:pt idx="3">
                  <c:v>ĀM</c:v>
                </c:pt>
                <c:pt idx="4">
                  <c:v>EM</c:v>
                </c:pt>
                <c:pt idx="5">
                  <c:v>FM</c:v>
                </c:pt>
                <c:pt idx="6">
                  <c:v>IeM</c:v>
                </c:pt>
                <c:pt idx="7">
                  <c:v>IZM</c:v>
                </c:pt>
                <c:pt idx="8">
                  <c:v>ZM</c:v>
                </c:pt>
                <c:pt idx="9">
                  <c:v>SM</c:v>
                </c:pt>
                <c:pt idx="10">
                  <c:v>LM</c:v>
                </c:pt>
                <c:pt idx="11">
                  <c:v>TM</c:v>
                </c:pt>
                <c:pt idx="12">
                  <c:v>VARAM</c:v>
                </c:pt>
                <c:pt idx="13">
                  <c:v>KM</c:v>
                </c:pt>
                <c:pt idx="14">
                  <c:v>VM</c:v>
                </c:pt>
              </c:strCache>
            </c:strRef>
          </c:cat>
          <c:val>
            <c:numRef>
              <c:f>Dati!$AM$2:$AM$16</c:f>
              <c:numCache>
                <c:formatCode>0%</c:formatCode>
                <c:ptCount val="15"/>
                <c:pt idx="0">
                  <c:v>4.5045045045045043E-2</c:v>
                </c:pt>
                <c:pt idx="1">
                  <c:v>6.6666666666666666E-2</c:v>
                </c:pt>
                <c:pt idx="2">
                  <c:v>5.681818181818182E-3</c:v>
                </c:pt>
                <c:pt idx="3">
                  <c:v>1.9569471624266144E-3</c:v>
                </c:pt>
                <c:pt idx="4">
                  <c:v>5.4644808743169399E-3</c:v>
                </c:pt>
                <c:pt idx="5">
                  <c:v>2.5974025974025974E-3</c:v>
                </c:pt>
                <c:pt idx="6">
                  <c:v>7.6335877862595417E-3</c:v>
                </c:pt>
                <c:pt idx="7">
                  <c:v>5.5248618784530384E-3</c:v>
                </c:pt>
                <c:pt idx="8">
                  <c:v>4.3668122270742356E-3</c:v>
                </c:pt>
                <c:pt idx="9">
                  <c:v>7.1942446043165471E-3</c:v>
                </c:pt>
                <c:pt idx="10">
                  <c:v>6.0790273556231003E-3</c:v>
                </c:pt>
                <c:pt idx="11">
                  <c:v>4.4052863436123352E-3</c:v>
                </c:pt>
                <c:pt idx="12">
                  <c:v>3.8167938931297708E-3</c:v>
                </c:pt>
                <c:pt idx="13">
                  <c:v>9.6153846153846159E-3</c:v>
                </c:pt>
                <c:pt idx="14">
                  <c:v>1.020408163265306E-2</c:v>
                </c:pt>
              </c:numCache>
            </c:numRef>
          </c:val>
        </c:ser>
        <c:ser>
          <c:idx val="15"/>
          <c:order val="15"/>
          <c:tx>
            <c:strRef>
              <c:f>Dati!$AN$1</c:f>
              <c:strCache>
                <c:ptCount val="1"/>
                <c:pt idx="0">
                  <c:v>M</c:v>
                </c:pt>
              </c:strCache>
            </c:strRef>
          </c:tx>
          <c:invertIfNegative val="0"/>
          <c:cat>
            <c:strRef>
              <c:f>Dati!$X$2:$X$16</c:f>
              <c:strCache>
                <c:ptCount val="15"/>
                <c:pt idx="0">
                  <c:v>Valsts kanc.</c:v>
                </c:pt>
                <c:pt idx="1">
                  <c:v>PKC</c:v>
                </c:pt>
                <c:pt idx="2">
                  <c:v>AiM</c:v>
                </c:pt>
                <c:pt idx="3">
                  <c:v>ĀM</c:v>
                </c:pt>
                <c:pt idx="4">
                  <c:v>EM</c:v>
                </c:pt>
                <c:pt idx="5">
                  <c:v>FM</c:v>
                </c:pt>
                <c:pt idx="6">
                  <c:v>IeM</c:v>
                </c:pt>
                <c:pt idx="7">
                  <c:v>IZM</c:v>
                </c:pt>
                <c:pt idx="8">
                  <c:v>ZM</c:v>
                </c:pt>
                <c:pt idx="9">
                  <c:v>SM</c:v>
                </c:pt>
                <c:pt idx="10">
                  <c:v>LM</c:v>
                </c:pt>
                <c:pt idx="11">
                  <c:v>TM</c:v>
                </c:pt>
                <c:pt idx="12">
                  <c:v>VARAM</c:v>
                </c:pt>
                <c:pt idx="13">
                  <c:v>KM</c:v>
                </c:pt>
                <c:pt idx="14">
                  <c:v>VM</c:v>
                </c:pt>
              </c:strCache>
            </c:strRef>
          </c:cat>
          <c:val>
            <c:numRef>
              <c:f>Dati!$AN$2:$AN$16</c:f>
              <c:numCache>
                <c:formatCode>General</c:formatCode>
                <c:ptCount val="15"/>
              </c:numCache>
            </c:numRef>
          </c:val>
        </c:ser>
        <c:dLbls>
          <c:showLegendKey val="0"/>
          <c:showVal val="0"/>
          <c:showCatName val="0"/>
          <c:showSerName val="0"/>
          <c:showPercent val="0"/>
          <c:showBubbleSize val="0"/>
        </c:dLbls>
        <c:gapWidth val="150"/>
        <c:overlap val="100"/>
        <c:axId val="372893376"/>
        <c:axId val="372893768"/>
      </c:barChart>
      <c:catAx>
        <c:axId val="372893376"/>
        <c:scaling>
          <c:orientation val="minMax"/>
        </c:scaling>
        <c:delete val="0"/>
        <c:axPos val="b"/>
        <c:numFmt formatCode="General" sourceLinked="0"/>
        <c:majorTickMark val="out"/>
        <c:minorTickMark val="none"/>
        <c:tickLblPos val="nextTo"/>
        <c:crossAx val="372893768"/>
        <c:crosses val="autoZero"/>
        <c:auto val="1"/>
        <c:lblAlgn val="ctr"/>
        <c:lblOffset val="100"/>
        <c:noMultiLvlLbl val="0"/>
      </c:catAx>
      <c:valAx>
        <c:axId val="372893768"/>
        <c:scaling>
          <c:orientation val="minMax"/>
        </c:scaling>
        <c:delete val="0"/>
        <c:axPos val="l"/>
        <c:majorGridlines/>
        <c:numFmt formatCode="0%" sourceLinked="1"/>
        <c:majorTickMark val="out"/>
        <c:minorTickMark val="none"/>
        <c:tickLblPos val="nextTo"/>
        <c:crossAx val="372893376"/>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lv-LV"/>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666763876737631E-2"/>
          <c:y val="2.3224933745583039E-2"/>
          <c:w val="0.8969761592300961"/>
          <c:h val="0.5779646728051101"/>
        </c:manualLayout>
      </c:layout>
      <c:barChart>
        <c:barDir val="col"/>
        <c:grouping val="clustered"/>
        <c:varyColors val="0"/>
        <c:ser>
          <c:idx val="0"/>
          <c:order val="0"/>
          <c:tx>
            <c:strRef>
              <c:f>'izejas dati'!$J$1</c:f>
              <c:strCache>
                <c:ptCount val="1"/>
                <c:pt idx="0">
                  <c:v>Vidējā  mēnešalga</c:v>
                </c:pt>
              </c:strCache>
            </c:strRef>
          </c:tx>
          <c:spPr>
            <a:solidFill>
              <a:srgbClr val="7030A0"/>
            </a:solidFill>
          </c:spPr>
          <c:invertIfNegative val="0"/>
          <c:dLbls>
            <c:spPr>
              <a:noFill/>
              <a:ln>
                <a:noFill/>
              </a:ln>
              <a:effectLst>
                <a:outerShdw sx="1000" sy="1000" algn="ctr" rotWithShape="0">
                  <a:prstClr val="black"/>
                </a:outerShdw>
              </a:effectLst>
            </c:spPr>
            <c:txPr>
              <a:bodyPr rot="-5400000" vert="horz"/>
              <a:lstStyle/>
              <a:p>
                <a:pPr>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'izejas dati'!$I$2:$I$16</c:f>
              <c:strCache>
                <c:ptCount val="15"/>
                <c:pt idx="0">
                  <c:v>Valsts kanceleja</c:v>
                </c:pt>
                <c:pt idx="1">
                  <c:v>Pārresoru koordinācijas centrs</c:v>
                </c:pt>
                <c:pt idx="2">
                  <c:v>Aizsardzības ministrija</c:v>
                </c:pt>
                <c:pt idx="3">
                  <c:v>Ārlietu ministrija</c:v>
                </c:pt>
                <c:pt idx="4">
                  <c:v>Ekonomikas ministrija</c:v>
                </c:pt>
                <c:pt idx="5">
                  <c:v>Finanšu ministrija</c:v>
                </c:pt>
                <c:pt idx="6">
                  <c:v>Iekšlietu ministrija</c:v>
                </c:pt>
                <c:pt idx="7">
                  <c:v> Izglītības un zinātnes ministrija</c:v>
                </c:pt>
                <c:pt idx="8">
                  <c:v>Zemkopības ministrija </c:v>
                </c:pt>
                <c:pt idx="9">
                  <c:v> Satiksmes ministrija</c:v>
                </c:pt>
                <c:pt idx="10">
                  <c:v>Labklājības ministrijas </c:v>
                </c:pt>
                <c:pt idx="11">
                  <c:v>Tieslietu ministrija </c:v>
                </c:pt>
                <c:pt idx="12">
                  <c:v>VARAM</c:v>
                </c:pt>
                <c:pt idx="13">
                  <c:v>Kultūras ministrija </c:v>
                </c:pt>
                <c:pt idx="14">
                  <c:v>Veselības ministrija </c:v>
                </c:pt>
              </c:strCache>
            </c:strRef>
          </c:cat>
          <c:val>
            <c:numRef>
              <c:f>'izejas dati'!$J$2:$J$16</c:f>
              <c:numCache>
                <c:formatCode>#,##0</c:formatCode>
                <c:ptCount val="15"/>
                <c:pt idx="0">
                  <c:v>857.80813537581105</c:v>
                </c:pt>
                <c:pt idx="1">
                  <c:v>1178.9944093117037</c:v>
                </c:pt>
                <c:pt idx="2">
                  <c:v>775.24539486025139</c:v>
                </c:pt>
                <c:pt idx="3">
                  <c:v>730.44534165471214</c:v>
                </c:pt>
                <c:pt idx="4">
                  <c:v>818.37715905065534</c:v>
                </c:pt>
                <c:pt idx="5">
                  <c:v>865.51269449908114</c:v>
                </c:pt>
                <c:pt idx="6">
                  <c:v>802.15955264805564</c:v>
                </c:pt>
                <c:pt idx="7">
                  <c:v>757.95517949661235</c:v>
                </c:pt>
                <c:pt idx="8">
                  <c:v>860.94576484358311</c:v>
                </c:pt>
                <c:pt idx="9">
                  <c:v>825.77639118044101</c:v>
                </c:pt>
                <c:pt idx="10">
                  <c:v>868.81663624324426</c:v>
                </c:pt>
                <c:pt idx="11">
                  <c:v>816.19394881762219</c:v>
                </c:pt>
                <c:pt idx="12">
                  <c:v>823.24995932975435</c:v>
                </c:pt>
                <c:pt idx="13">
                  <c:v>722</c:v>
                </c:pt>
                <c:pt idx="14">
                  <c:v>819.37927632284493</c:v>
                </c:pt>
              </c:numCache>
            </c:numRef>
          </c:val>
        </c:ser>
        <c:ser>
          <c:idx val="2"/>
          <c:order val="2"/>
          <c:tx>
            <c:strRef>
              <c:f>'izejas dati'!$L$1</c:f>
              <c:strCache>
                <c:ptCount val="1"/>
                <c:pt idx="0">
                  <c:v>Vidējā darba samaksa </c:v>
                </c:pt>
              </c:strCache>
            </c:strRef>
          </c:tx>
          <c:spPr>
            <a:solidFill>
              <a:srgbClr val="FFC000"/>
            </a:solidFill>
          </c:spPr>
          <c:invertIfNegative val="0"/>
          <c:dLbls>
            <c:spPr>
              <a:ln>
                <a:noFill/>
              </a:ln>
              <a:effectLst>
                <a:innerShdw blurRad="63500" dist="50800" dir="16200000">
                  <a:prstClr val="black">
                    <a:alpha val="50000"/>
                  </a:prstClr>
                </a:innerShdw>
              </a:effectLst>
            </c:spPr>
            <c:txPr>
              <a:bodyPr rot="-5400000" vert="horz"/>
              <a:lstStyle/>
              <a:p>
                <a:pPr>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'izejas dati'!$I$2:$I$16</c:f>
              <c:strCache>
                <c:ptCount val="15"/>
                <c:pt idx="0">
                  <c:v>Valsts kanceleja</c:v>
                </c:pt>
                <c:pt idx="1">
                  <c:v>Pārresoru koordinācijas centrs</c:v>
                </c:pt>
                <c:pt idx="2">
                  <c:v>Aizsardzības ministrija</c:v>
                </c:pt>
                <c:pt idx="3">
                  <c:v>Ārlietu ministrija</c:v>
                </c:pt>
                <c:pt idx="4">
                  <c:v>Ekonomikas ministrija</c:v>
                </c:pt>
                <c:pt idx="5">
                  <c:v>Finanšu ministrija</c:v>
                </c:pt>
                <c:pt idx="6">
                  <c:v>Iekšlietu ministrija</c:v>
                </c:pt>
                <c:pt idx="7">
                  <c:v> Izglītības un zinātnes ministrija</c:v>
                </c:pt>
                <c:pt idx="8">
                  <c:v>Zemkopības ministrija </c:v>
                </c:pt>
                <c:pt idx="9">
                  <c:v> Satiksmes ministrija</c:v>
                </c:pt>
                <c:pt idx="10">
                  <c:v>Labklājības ministrijas </c:v>
                </c:pt>
                <c:pt idx="11">
                  <c:v>Tieslietu ministrija </c:v>
                </c:pt>
                <c:pt idx="12">
                  <c:v>VARAM</c:v>
                </c:pt>
                <c:pt idx="13">
                  <c:v>Kultūras ministrija </c:v>
                </c:pt>
                <c:pt idx="14">
                  <c:v>Veselības ministrija </c:v>
                </c:pt>
              </c:strCache>
            </c:strRef>
          </c:cat>
          <c:val>
            <c:numRef>
              <c:f>'izejas dati'!$L$2:$L$16</c:f>
              <c:numCache>
                <c:formatCode>#,##0</c:formatCode>
                <c:ptCount val="15"/>
                <c:pt idx="0">
                  <c:v>928.1234366905943</c:v>
                </c:pt>
                <c:pt idx="1">
                  <c:v>1239.7045183759508</c:v>
                </c:pt>
                <c:pt idx="2">
                  <c:v>830.13243293941093</c:v>
                </c:pt>
                <c:pt idx="3">
                  <c:v>859.48784082898294</c:v>
                </c:pt>
                <c:pt idx="4">
                  <c:v>842.07903648600779</c:v>
                </c:pt>
                <c:pt idx="5">
                  <c:v>929.67285554662897</c:v>
                </c:pt>
                <c:pt idx="6">
                  <c:v>851</c:v>
                </c:pt>
                <c:pt idx="7">
                  <c:v>780.13102792850793</c:v>
                </c:pt>
                <c:pt idx="8">
                  <c:v>879.63219386849369</c:v>
                </c:pt>
                <c:pt idx="9">
                  <c:v>869.90578471076458</c:v>
                </c:pt>
                <c:pt idx="10">
                  <c:v>893.4976913991195</c:v>
                </c:pt>
                <c:pt idx="11">
                  <c:v>840.52317460317454</c:v>
                </c:pt>
                <c:pt idx="12">
                  <c:v>838.68944200422982</c:v>
                </c:pt>
                <c:pt idx="13">
                  <c:v>738</c:v>
                </c:pt>
                <c:pt idx="14">
                  <c:v>860.91917437030361</c:v>
                </c:pt>
              </c:numCache>
            </c:numRef>
          </c:val>
        </c:ser>
        <c:dLbls>
          <c:showLegendKey val="0"/>
          <c:showVal val="0"/>
          <c:showCatName val="0"/>
          <c:showSerName val="0"/>
          <c:showPercent val="0"/>
          <c:showBubbleSize val="0"/>
        </c:dLbls>
        <c:gapWidth val="80"/>
        <c:axId val="372894552"/>
        <c:axId val="372894944"/>
      </c:barChart>
      <c:lineChart>
        <c:grouping val="standard"/>
        <c:varyColors val="0"/>
        <c:ser>
          <c:idx val="1"/>
          <c:order val="1"/>
          <c:tx>
            <c:strRef>
              <c:f>'izejas dati'!$K$1</c:f>
              <c:strCache>
                <c:ptCount val="1"/>
                <c:pt idx="0">
                  <c:v>Vidējā mēnešalga ministrijās</c:v>
                </c:pt>
              </c:strCache>
            </c:strRef>
          </c:tx>
          <c:spPr>
            <a:ln>
              <a:solidFill>
                <a:srgbClr val="7030A0"/>
              </a:solidFill>
            </a:ln>
          </c:spPr>
          <c:marker>
            <c:symbol val="none"/>
          </c:marker>
          <c:dLbls>
            <c:dLbl>
              <c:idx val="13"/>
              <c:layout>
                <c:manualLayout>
                  <c:x val="-0.38699268494215994"/>
                  <c:y val="-0.17175714358521338"/>
                </c:manualLayout>
              </c:layout>
              <c:tx>
                <c:rich>
                  <a:bodyPr/>
                  <a:lstStyle/>
                  <a:p>
                    <a:pPr>
                      <a:defRPr/>
                    </a:pPr>
                    <a:r>
                      <a:rPr lang="en-US"/>
                      <a:t>Vidējā mēnešalga </a:t>
                    </a:r>
                  </a:p>
                  <a:p>
                    <a:pPr>
                      <a:defRPr/>
                    </a:pPr>
                    <a:r>
                      <a:rPr lang="en-US"/>
                      <a:t>ministrijās - 804 LVL</a:t>
                    </a:r>
                  </a:p>
                </c:rich>
              </c:tx>
              <c:spPr>
                <a:solidFill>
                  <a:schemeClr val="bg1">
                    <a:lumMod val="95000"/>
                  </a:schemeClr>
                </a:solidFill>
                <a:ln w="6350">
                  <a:solidFill>
                    <a:srgbClr val="7030A0"/>
                  </a:solidFill>
                </a:ln>
              </c:spPr>
              <c:showLegendKey val="0"/>
              <c:showVal val="1"/>
              <c:showCatName val="0"/>
              <c:showSerName val="0"/>
              <c:showPercent val="0"/>
              <c:showBubbleSize val="0"/>
              <c:extLst>
                <c:ext xmlns:c15="http://schemas.microsoft.com/office/drawing/2012/chart" uri="{CE6537A1-D6FC-4f65-9D91-7224C49458BB}"/>
              </c:extLst>
            </c:dLbl>
            <c:spPr>
              <a:solidFill>
                <a:schemeClr val="bg1">
                  <a:lumMod val="95000"/>
                </a:schemeClr>
              </a:solidFill>
              <a:ln>
                <a:solidFill>
                  <a:srgbClr val="7030A0"/>
                </a:solidFill>
              </a:ln>
            </c:spPr>
            <c:showLegendKey val="0"/>
            <c:showVal val="0"/>
            <c:showCatName val="0"/>
            <c:showSerName val="0"/>
            <c:showPercent val="0"/>
            <c:showBubbleSize val="0"/>
            <c:extLst>
              <c:ext xmlns:c15="http://schemas.microsoft.com/office/drawing/2012/chart" uri="{CE6537A1-D6FC-4f65-9D91-7224C49458BB}">
                <c15:showLeaderLines val="0"/>
              </c:ext>
            </c:extLst>
          </c:dLbls>
          <c:cat>
            <c:strRef>
              <c:f>'izejas dati'!$I$2:$I$16</c:f>
              <c:strCache>
                <c:ptCount val="15"/>
                <c:pt idx="0">
                  <c:v>Valsts kanceleja</c:v>
                </c:pt>
                <c:pt idx="1">
                  <c:v>Pārresoru koordinācijas centrs</c:v>
                </c:pt>
                <c:pt idx="2">
                  <c:v>Aizsardzības ministrija</c:v>
                </c:pt>
                <c:pt idx="3">
                  <c:v>Ārlietu ministrija</c:v>
                </c:pt>
                <c:pt idx="4">
                  <c:v>Ekonomikas ministrija</c:v>
                </c:pt>
                <c:pt idx="5">
                  <c:v>Finanšu ministrija</c:v>
                </c:pt>
                <c:pt idx="6">
                  <c:v>Iekšlietu ministrija</c:v>
                </c:pt>
                <c:pt idx="7">
                  <c:v> Izglītības un zinātnes ministrija</c:v>
                </c:pt>
                <c:pt idx="8">
                  <c:v>Zemkopības ministrija </c:v>
                </c:pt>
                <c:pt idx="9">
                  <c:v> Satiksmes ministrija</c:v>
                </c:pt>
                <c:pt idx="10">
                  <c:v>Labklājības ministrijas </c:v>
                </c:pt>
                <c:pt idx="11">
                  <c:v>Tieslietu ministrija </c:v>
                </c:pt>
                <c:pt idx="12">
                  <c:v>VARAM</c:v>
                </c:pt>
                <c:pt idx="13">
                  <c:v>Kultūras ministrija </c:v>
                </c:pt>
                <c:pt idx="14">
                  <c:v>Veselības ministrija </c:v>
                </c:pt>
              </c:strCache>
            </c:strRef>
          </c:cat>
          <c:val>
            <c:numRef>
              <c:f>'izejas dati'!$K$2:$K$16</c:f>
              <c:numCache>
                <c:formatCode>#,##0</c:formatCode>
                <c:ptCount val="15"/>
                <c:pt idx="0">
                  <c:v>804</c:v>
                </c:pt>
                <c:pt idx="1">
                  <c:v>804</c:v>
                </c:pt>
                <c:pt idx="2">
                  <c:v>804</c:v>
                </c:pt>
                <c:pt idx="3">
                  <c:v>804</c:v>
                </c:pt>
                <c:pt idx="4">
                  <c:v>804</c:v>
                </c:pt>
                <c:pt idx="5">
                  <c:v>804</c:v>
                </c:pt>
                <c:pt idx="6">
                  <c:v>804</c:v>
                </c:pt>
                <c:pt idx="7">
                  <c:v>804</c:v>
                </c:pt>
                <c:pt idx="8">
                  <c:v>804</c:v>
                </c:pt>
                <c:pt idx="9">
                  <c:v>804</c:v>
                </c:pt>
                <c:pt idx="10">
                  <c:v>804</c:v>
                </c:pt>
                <c:pt idx="11">
                  <c:v>804</c:v>
                </c:pt>
                <c:pt idx="12">
                  <c:v>804</c:v>
                </c:pt>
                <c:pt idx="13">
                  <c:v>804</c:v>
                </c:pt>
                <c:pt idx="14">
                  <c:v>804</c:v>
                </c:pt>
              </c:numCache>
            </c:numRef>
          </c:val>
          <c:smooth val="0"/>
        </c:ser>
        <c:ser>
          <c:idx val="3"/>
          <c:order val="3"/>
          <c:tx>
            <c:strRef>
              <c:f>'izejas dati'!$M$1</c:f>
              <c:strCache>
                <c:ptCount val="1"/>
                <c:pt idx="0">
                  <c:v>Vidējā darba samaksa ministrijās</c:v>
                </c:pt>
              </c:strCache>
            </c:strRef>
          </c:tx>
          <c:spPr>
            <a:ln>
              <a:solidFill>
                <a:srgbClr val="FFC000"/>
              </a:solidFill>
            </a:ln>
          </c:spPr>
          <c:marker>
            <c:symbol val="none"/>
          </c:marker>
          <c:dLbls>
            <c:dLbl>
              <c:idx val="13"/>
              <c:layout>
                <c:manualLayout>
                  <c:x val="-3.0297098279381745E-2"/>
                  <c:y val="-0.13804001596901333"/>
                </c:manualLayout>
              </c:layout>
              <c:tx>
                <c:rich>
                  <a:bodyPr/>
                  <a:lstStyle/>
                  <a:p>
                    <a:pPr>
                      <a:defRPr/>
                    </a:pPr>
                    <a:r>
                      <a:rPr lang="en-US"/>
                      <a:t>Vidējā darba samaksa </a:t>
                    </a:r>
                  </a:p>
                  <a:p>
                    <a:pPr>
                      <a:defRPr/>
                    </a:pPr>
                    <a:r>
                      <a:rPr lang="en-US"/>
                      <a:t>ministrijās -  858 LVL</a:t>
                    </a:r>
                  </a:p>
                </c:rich>
              </c:tx>
              <c:spPr>
                <a:solidFill>
                  <a:sysClr val="window" lastClr="FFFFFF">
                    <a:lumMod val="95000"/>
                    <a:alpha val="85000"/>
                  </a:sysClr>
                </a:solidFill>
                <a:ln w="6350">
                  <a:solidFill>
                    <a:schemeClr val="accent6">
                      <a:lumMod val="75000"/>
                    </a:schemeClr>
                  </a:solidFill>
                </a:ln>
              </c:spPr>
              <c:dLblPos val="r"/>
              <c:showLegendKey val="0"/>
              <c:showVal val="1"/>
              <c:showCatName val="0"/>
              <c:showSerName val="0"/>
              <c:showPercent val="0"/>
              <c:showBubbleSize val="0"/>
              <c:extLst>
                <c:ext xmlns:c15="http://schemas.microsoft.com/office/drawing/2012/chart" uri="{CE6537A1-D6FC-4f65-9D91-7224C49458BB}"/>
              </c:extLst>
            </c:dLbl>
            <c:spPr>
              <a:solidFill>
                <a:sysClr val="window" lastClr="FFFFFF">
                  <a:lumMod val="95000"/>
                </a:sysClr>
              </a:solidFill>
              <a:ln>
                <a:solidFill>
                  <a:schemeClr val="accent6">
                    <a:lumMod val="75000"/>
                  </a:schemeClr>
                </a:solidFill>
              </a:ln>
            </c:spPr>
            <c:dLblPos val="t"/>
            <c:showLegendKey val="0"/>
            <c:showVal val="0"/>
            <c:showCatName val="0"/>
            <c:showSerName val="0"/>
            <c:showPercent val="0"/>
            <c:showBubbleSize val="0"/>
            <c:extLst>
              <c:ext xmlns:c15="http://schemas.microsoft.com/office/drawing/2012/chart" uri="{CE6537A1-D6FC-4f65-9D91-7224C49458BB}">
                <c15:showLeaderLines val="0"/>
              </c:ext>
            </c:extLst>
          </c:dLbls>
          <c:cat>
            <c:strRef>
              <c:f>'izejas dati'!$I$2:$I$16</c:f>
              <c:strCache>
                <c:ptCount val="15"/>
                <c:pt idx="0">
                  <c:v>Valsts kanceleja</c:v>
                </c:pt>
                <c:pt idx="1">
                  <c:v>Pārresoru koordinācijas centrs</c:v>
                </c:pt>
                <c:pt idx="2">
                  <c:v>Aizsardzības ministrija</c:v>
                </c:pt>
                <c:pt idx="3">
                  <c:v>Ārlietu ministrija</c:v>
                </c:pt>
                <c:pt idx="4">
                  <c:v>Ekonomikas ministrija</c:v>
                </c:pt>
                <c:pt idx="5">
                  <c:v>Finanšu ministrija</c:v>
                </c:pt>
                <c:pt idx="6">
                  <c:v>Iekšlietu ministrija</c:v>
                </c:pt>
                <c:pt idx="7">
                  <c:v> Izglītības un zinātnes ministrija</c:v>
                </c:pt>
                <c:pt idx="8">
                  <c:v>Zemkopības ministrija </c:v>
                </c:pt>
                <c:pt idx="9">
                  <c:v> Satiksmes ministrija</c:v>
                </c:pt>
                <c:pt idx="10">
                  <c:v>Labklājības ministrijas </c:v>
                </c:pt>
                <c:pt idx="11">
                  <c:v>Tieslietu ministrija </c:v>
                </c:pt>
                <c:pt idx="12">
                  <c:v>VARAM</c:v>
                </c:pt>
                <c:pt idx="13">
                  <c:v>Kultūras ministrija </c:v>
                </c:pt>
                <c:pt idx="14">
                  <c:v>Veselības ministrija </c:v>
                </c:pt>
              </c:strCache>
            </c:strRef>
          </c:cat>
          <c:val>
            <c:numRef>
              <c:f>'izejas dati'!$M$2:$M$16</c:f>
              <c:numCache>
                <c:formatCode>#,##0</c:formatCode>
                <c:ptCount val="15"/>
                <c:pt idx="0">
                  <c:v>858</c:v>
                </c:pt>
                <c:pt idx="1">
                  <c:v>858</c:v>
                </c:pt>
                <c:pt idx="2">
                  <c:v>858</c:v>
                </c:pt>
                <c:pt idx="3">
                  <c:v>858</c:v>
                </c:pt>
                <c:pt idx="4">
                  <c:v>858</c:v>
                </c:pt>
                <c:pt idx="5">
                  <c:v>858</c:v>
                </c:pt>
                <c:pt idx="6">
                  <c:v>858</c:v>
                </c:pt>
                <c:pt idx="7">
                  <c:v>858</c:v>
                </c:pt>
                <c:pt idx="8">
                  <c:v>858</c:v>
                </c:pt>
                <c:pt idx="9">
                  <c:v>858</c:v>
                </c:pt>
                <c:pt idx="10">
                  <c:v>858</c:v>
                </c:pt>
                <c:pt idx="11">
                  <c:v>858</c:v>
                </c:pt>
                <c:pt idx="12">
                  <c:v>858</c:v>
                </c:pt>
                <c:pt idx="13">
                  <c:v>858</c:v>
                </c:pt>
                <c:pt idx="14">
                  <c:v>858</c:v>
                </c:pt>
              </c:numCache>
            </c:numRef>
          </c:val>
          <c:smooth val="0"/>
        </c:ser>
        <c:dLbls>
          <c:showLegendKey val="0"/>
          <c:showVal val="0"/>
          <c:showCatName val="0"/>
          <c:showSerName val="0"/>
          <c:showPercent val="0"/>
          <c:showBubbleSize val="0"/>
        </c:dLbls>
        <c:marker val="1"/>
        <c:smooth val="0"/>
        <c:axId val="372894552"/>
        <c:axId val="372894944"/>
      </c:lineChart>
      <c:catAx>
        <c:axId val="372894552"/>
        <c:scaling>
          <c:orientation val="minMax"/>
        </c:scaling>
        <c:delete val="0"/>
        <c:axPos val="b"/>
        <c:numFmt formatCode="General" sourceLinked="1"/>
        <c:majorTickMark val="out"/>
        <c:minorTickMark val="none"/>
        <c:tickLblPos val="nextTo"/>
        <c:crossAx val="372894944"/>
        <c:crosses val="autoZero"/>
        <c:auto val="1"/>
        <c:lblAlgn val="ctr"/>
        <c:lblOffset val="100"/>
        <c:noMultiLvlLbl val="0"/>
      </c:catAx>
      <c:valAx>
        <c:axId val="372894944"/>
        <c:scaling>
          <c:orientation val="minMax"/>
        </c:scaling>
        <c:delete val="0"/>
        <c:axPos val="l"/>
        <c:majorGridlines>
          <c:spPr>
            <a:ln>
              <a:solidFill>
                <a:schemeClr val="bg1">
                  <a:lumMod val="85000"/>
                </a:schemeClr>
              </a:solidFill>
              <a:prstDash val="sysDot"/>
            </a:ln>
          </c:spPr>
        </c:majorGridlines>
        <c:numFmt formatCode="#,##0" sourceLinked="1"/>
        <c:majorTickMark val="out"/>
        <c:minorTickMark val="none"/>
        <c:tickLblPos val="nextTo"/>
        <c:crossAx val="372894552"/>
        <c:crosses val="autoZero"/>
        <c:crossBetween val="between"/>
      </c:valAx>
    </c:plotArea>
    <c:legend>
      <c:legendPos val="b"/>
      <c:legendEntry>
        <c:idx val="2"/>
        <c:delete val="1"/>
      </c:legendEntry>
      <c:legendEntry>
        <c:idx val="3"/>
        <c:delete val="1"/>
      </c:legendEntry>
      <c:overlay val="0"/>
    </c:legend>
    <c:plotVisOnly val="1"/>
    <c:dispBlanksAs val="gap"/>
    <c:showDLblsOverMax val="0"/>
  </c:chart>
  <c:txPr>
    <a:bodyPr/>
    <a:lstStyle/>
    <a:p>
      <a:pPr>
        <a:defRPr sz="1200">
          <a:latin typeface="Times New Roman" pitchFamily="18" charset="0"/>
          <a:cs typeface="Times New Roman" pitchFamily="18" charset="0"/>
        </a:defRPr>
      </a:pPr>
      <a:endParaRPr lang="lv-LV"/>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858668708078835E-2"/>
          <c:y val="5.6530760880020882E-2"/>
          <c:w val="0.61031727034120742"/>
          <c:h val="0.80239188687801644"/>
        </c:manualLayout>
      </c:layout>
      <c:scatterChart>
        <c:scatterStyle val="lineMarker"/>
        <c:varyColors val="0"/>
        <c:ser>
          <c:idx val="0"/>
          <c:order val="0"/>
          <c:tx>
            <c:strRef>
              <c:f>Sheet1!$B$1</c:f>
              <c:strCache>
                <c:ptCount val="1"/>
                <c:pt idx="0">
                  <c:v>Ministru prezidenta mēnešalga</c:v>
                </c:pt>
              </c:strCache>
            </c:strRef>
          </c:tx>
          <c:spPr>
            <a:ln w="34898">
              <a:solidFill>
                <a:srgbClr val="C00000"/>
              </a:solidFill>
            </a:ln>
          </c:spPr>
          <c:marker>
            <c:symbol val="none"/>
          </c:marker>
          <c:xVal>
            <c:numRef>
              <c:f>Sheet1!$A$2:$A$214</c:f>
              <c:numCache>
                <c:formatCode>General</c:formatCode>
                <c:ptCount val="213"/>
                <c:pt idx="0">
                  <c:v>1.0999999999999988</c:v>
                </c:pt>
                <c:pt idx="1">
                  <c:v>1.0999999999999988</c:v>
                </c:pt>
                <c:pt idx="2">
                  <c:v>1.1999999999999984</c:v>
                </c:pt>
                <c:pt idx="3">
                  <c:v>1.3000000000000007</c:v>
                </c:pt>
                <c:pt idx="4">
                  <c:v>1.4000000000000004</c:v>
                </c:pt>
                <c:pt idx="5">
                  <c:v>1.5</c:v>
                </c:pt>
                <c:pt idx="6">
                  <c:v>1.5999999999999988</c:v>
                </c:pt>
                <c:pt idx="7">
                  <c:v>1.5999999999999988</c:v>
                </c:pt>
                <c:pt idx="8">
                  <c:v>1.5</c:v>
                </c:pt>
                <c:pt idx="9">
                  <c:v>1.4000000000000004</c:v>
                </c:pt>
                <c:pt idx="10">
                  <c:v>1.3000000000000007</c:v>
                </c:pt>
                <c:pt idx="11">
                  <c:v>1.1999999999999984</c:v>
                </c:pt>
                <c:pt idx="12">
                  <c:v>1.0999999999999988</c:v>
                </c:pt>
                <c:pt idx="14">
                  <c:v>2.0999999999999988</c:v>
                </c:pt>
                <c:pt idx="15">
                  <c:v>2.0999999999999988</c:v>
                </c:pt>
                <c:pt idx="16">
                  <c:v>2.1999999999999993</c:v>
                </c:pt>
                <c:pt idx="17">
                  <c:v>2.3000000000000007</c:v>
                </c:pt>
                <c:pt idx="18">
                  <c:v>2.4000000000000004</c:v>
                </c:pt>
                <c:pt idx="19">
                  <c:v>2.5</c:v>
                </c:pt>
                <c:pt idx="20">
                  <c:v>2.5999999999999988</c:v>
                </c:pt>
                <c:pt idx="21">
                  <c:v>2.5999999999999988</c:v>
                </c:pt>
                <c:pt idx="22">
                  <c:v>2.5</c:v>
                </c:pt>
                <c:pt idx="23">
                  <c:v>2.4000000000000004</c:v>
                </c:pt>
                <c:pt idx="24">
                  <c:v>2.3000000000000007</c:v>
                </c:pt>
                <c:pt idx="25">
                  <c:v>2.1999999999999993</c:v>
                </c:pt>
                <c:pt idx="26">
                  <c:v>2.0999999999999988</c:v>
                </c:pt>
                <c:pt idx="28">
                  <c:v>3.0999999999999988</c:v>
                </c:pt>
                <c:pt idx="29">
                  <c:v>3.0999999999999988</c:v>
                </c:pt>
                <c:pt idx="30">
                  <c:v>3.1999999999999993</c:v>
                </c:pt>
                <c:pt idx="31">
                  <c:v>3.3000000000000007</c:v>
                </c:pt>
                <c:pt idx="32">
                  <c:v>3.4000000000000004</c:v>
                </c:pt>
                <c:pt idx="33">
                  <c:v>3.5</c:v>
                </c:pt>
                <c:pt idx="34">
                  <c:v>3.5999999999999988</c:v>
                </c:pt>
                <c:pt idx="35">
                  <c:v>3.5999999999999988</c:v>
                </c:pt>
                <c:pt idx="36">
                  <c:v>3.5</c:v>
                </c:pt>
                <c:pt idx="37">
                  <c:v>3.4000000000000004</c:v>
                </c:pt>
                <c:pt idx="38">
                  <c:v>3.3000000000000007</c:v>
                </c:pt>
                <c:pt idx="39">
                  <c:v>3.1999999999999993</c:v>
                </c:pt>
                <c:pt idx="40">
                  <c:v>3.0999999999999988</c:v>
                </c:pt>
                <c:pt idx="42">
                  <c:v>4.0999999999999996</c:v>
                </c:pt>
                <c:pt idx="43">
                  <c:v>4.0999999999999996</c:v>
                </c:pt>
                <c:pt idx="44">
                  <c:v>4.1999999999999975</c:v>
                </c:pt>
                <c:pt idx="45">
                  <c:v>4.3000000000000007</c:v>
                </c:pt>
                <c:pt idx="46">
                  <c:v>4.4000000000000004</c:v>
                </c:pt>
                <c:pt idx="47">
                  <c:v>4.5</c:v>
                </c:pt>
                <c:pt idx="48">
                  <c:v>4.5999999999999996</c:v>
                </c:pt>
                <c:pt idx="49">
                  <c:v>4.5999999999999996</c:v>
                </c:pt>
                <c:pt idx="50">
                  <c:v>4.5</c:v>
                </c:pt>
                <c:pt idx="51">
                  <c:v>4.4000000000000004</c:v>
                </c:pt>
                <c:pt idx="52">
                  <c:v>4.3000000000000007</c:v>
                </c:pt>
                <c:pt idx="53">
                  <c:v>4.1999999999999975</c:v>
                </c:pt>
                <c:pt idx="54">
                  <c:v>4.0999999999999996</c:v>
                </c:pt>
                <c:pt idx="56">
                  <c:v>5.0999999999999996</c:v>
                </c:pt>
                <c:pt idx="57">
                  <c:v>5.0999999999999996</c:v>
                </c:pt>
                <c:pt idx="58">
                  <c:v>5.1999999999999975</c:v>
                </c:pt>
                <c:pt idx="59">
                  <c:v>5.3000000000000007</c:v>
                </c:pt>
                <c:pt idx="60">
                  <c:v>5.4</c:v>
                </c:pt>
                <c:pt idx="61">
                  <c:v>5.5</c:v>
                </c:pt>
                <c:pt idx="62">
                  <c:v>5.6</c:v>
                </c:pt>
                <c:pt idx="63">
                  <c:v>5.6</c:v>
                </c:pt>
                <c:pt idx="64">
                  <c:v>5.5</c:v>
                </c:pt>
                <c:pt idx="65">
                  <c:v>5.4</c:v>
                </c:pt>
                <c:pt idx="66">
                  <c:v>5.3000000000000007</c:v>
                </c:pt>
                <c:pt idx="67">
                  <c:v>5.1999999999999975</c:v>
                </c:pt>
                <c:pt idx="68">
                  <c:v>5.0999999999999996</c:v>
                </c:pt>
                <c:pt idx="70">
                  <c:v>6.1</c:v>
                </c:pt>
                <c:pt idx="71">
                  <c:v>6.1</c:v>
                </c:pt>
                <c:pt idx="72">
                  <c:v>6.1999999999999975</c:v>
                </c:pt>
                <c:pt idx="73">
                  <c:v>6.3000000000000007</c:v>
                </c:pt>
                <c:pt idx="74">
                  <c:v>6.4</c:v>
                </c:pt>
                <c:pt idx="75">
                  <c:v>6.5</c:v>
                </c:pt>
                <c:pt idx="76">
                  <c:v>6.6</c:v>
                </c:pt>
                <c:pt idx="77">
                  <c:v>6.6</c:v>
                </c:pt>
                <c:pt idx="78">
                  <c:v>6.5</c:v>
                </c:pt>
                <c:pt idx="79">
                  <c:v>6.4</c:v>
                </c:pt>
                <c:pt idx="80">
                  <c:v>6.3000000000000007</c:v>
                </c:pt>
                <c:pt idx="81">
                  <c:v>6.1999999999999975</c:v>
                </c:pt>
                <c:pt idx="82">
                  <c:v>6.1</c:v>
                </c:pt>
                <c:pt idx="84">
                  <c:v>7.1</c:v>
                </c:pt>
                <c:pt idx="85">
                  <c:v>7.1</c:v>
                </c:pt>
                <c:pt idx="86">
                  <c:v>7.1999999999999975</c:v>
                </c:pt>
                <c:pt idx="87">
                  <c:v>7.3000000000000007</c:v>
                </c:pt>
                <c:pt idx="88">
                  <c:v>7.4</c:v>
                </c:pt>
                <c:pt idx="89">
                  <c:v>7.5</c:v>
                </c:pt>
                <c:pt idx="90">
                  <c:v>7.6</c:v>
                </c:pt>
                <c:pt idx="91">
                  <c:v>7.6</c:v>
                </c:pt>
                <c:pt idx="92">
                  <c:v>7.5</c:v>
                </c:pt>
                <c:pt idx="93">
                  <c:v>7.4</c:v>
                </c:pt>
                <c:pt idx="94">
                  <c:v>7.3000000000000007</c:v>
                </c:pt>
                <c:pt idx="95">
                  <c:v>7.1999999999999975</c:v>
                </c:pt>
                <c:pt idx="96">
                  <c:v>7.1</c:v>
                </c:pt>
                <c:pt idx="98">
                  <c:v>8.1</c:v>
                </c:pt>
                <c:pt idx="99">
                  <c:v>8.1</c:v>
                </c:pt>
                <c:pt idx="100">
                  <c:v>8.2000000000000011</c:v>
                </c:pt>
                <c:pt idx="101">
                  <c:v>8.3000000000000007</c:v>
                </c:pt>
                <c:pt idx="102">
                  <c:v>8.4</c:v>
                </c:pt>
                <c:pt idx="103">
                  <c:v>8.5</c:v>
                </c:pt>
                <c:pt idx="104">
                  <c:v>8.6</c:v>
                </c:pt>
                <c:pt idx="105">
                  <c:v>8.6</c:v>
                </c:pt>
                <c:pt idx="106">
                  <c:v>8.5</c:v>
                </c:pt>
                <c:pt idx="107">
                  <c:v>8.4</c:v>
                </c:pt>
                <c:pt idx="108">
                  <c:v>8.3000000000000007</c:v>
                </c:pt>
                <c:pt idx="109">
                  <c:v>8.2000000000000011</c:v>
                </c:pt>
                <c:pt idx="110">
                  <c:v>8.1</c:v>
                </c:pt>
                <c:pt idx="112">
                  <c:v>9.1</c:v>
                </c:pt>
                <c:pt idx="113">
                  <c:v>9.1</c:v>
                </c:pt>
                <c:pt idx="114">
                  <c:v>9.2000000000000011</c:v>
                </c:pt>
                <c:pt idx="115">
                  <c:v>9.3000000000000007</c:v>
                </c:pt>
                <c:pt idx="116">
                  <c:v>9.4</c:v>
                </c:pt>
                <c:pt idx="117">
                  <c:v>9.5</c:v>
                </c:pt>
                <c:pt idx="118">
                  <c:v>9.6</c:v>
                </c:pt>
                <c:pt idx="119" formatCode="#,##0.0">
                  <c:v>9.6</c:v>
                </c:pt>
                <c:pt idx="120" formatCode="#,##0.0">
                  <c:v>9.5</c:v>
                </c:pt>
                <c:pt idx="121" formatCode="#,##0.0">
                  <c:v>9.4</c:v>
                </c:pt>
                <c:pt idx="122" formatCode="#,##0.0">
                  <c:v>9.3000000000000007</c:v>
                </c:pt>
                <c:pt idx="123" formatCode="#,##0.0">
                  <c:v>9.2000000000000011</c:v>
                </c:pt>
                <c:pt idx="124">
                  <c:v>9.1</c:v>
                </c:pt>
                <c:pt idx="126">
                  <c:v>10.1</c:v>
                </c:pt>
                <c:pt idx="127">
                  <c:v>10.1</c:v>
                </c:pt>
                <c:pt idx="128">
                  <c:v>10.200000000000001</c:v>
                </c:pt>
                <c:pt idx="129">
                  <c:v>10.3</c:v>
                </c:pt>
                <c:pt idx="130">
                  <c:v>10.4</c:v>
                </c:pt>
                <c:pt idx="131">
                  <c:v>10.5</c:v>
                </c:pt>
                <c:pt idx="132">
                  <c:v>10.6</c:v>
                </c:pt>
                <c:pt idx="133">
                  <c:v>10.6</c:v>
                </c:pt>
                <c:pt idx="134">
                  <c:v>10.5</c:v>
                </c:pt>
                <c:pt idx="135">
                  <c:v>10.4</c:v>
                </c:pt>
                <c:pt idx="136">
                  <c:v>10.3</c:v>
                </c:pt>
                <c:pt idx="137">
                  <c:v>10.200000000000001</c:v>
                </c:pt>
                <c:pt idx="138">
                  <c:v>10.1</c:v>
                </c:pt>
                <c:pt idx="140">
                  <c:v>11.1</c:v>
                </c:pt>
                <c:pt idx="141">
                  <c:v>11.1</c:v>
                </c:pt>
                <c:pt idx="142">
                  <c:v>11.2</c:v>
                </c:pt>
                <c:pt idx="143">
                  <c:v>11.3</c:v>
                </c:pt>
                <c:pt idx="144">
                  <c:v>11.4</c:v>
                </c:pt>
                <c:pt idx="145">
                  <c:v>11.5</c:v>
                </c:pt>
                <c:pt idx="146">
                  <c:v>11.6</c:v>
                </c:pt>
                <c:pt idx="147">
                  <c:v>11.6</c:v>
                </c:pt>
                <c:pt idx="148">
                  <c:v>11.5</c:v>
                </c:pt>
                <c:pt idx="149">
                  <c:v>11.4</c:v>
                </c:pt>
                <c:pt idx="150">
                  <c:v>11.3</c:v>
                </c:pt>
                <c:pt idx="151">
                  <c:v>11.2</c:v>
                </c:pt>
                <c:pt idx="152">
                  <c:v>11.1</c:v>
                </c:pt>
                <c:pt idx="154">
                  <c:v>12.1</c:v>
                </c:pt>
                <c:pt idx="155">
                  <c:v>12.1</c:v>
                </c:pt>
                <c:pt idx="156">
                  <c:v>12.2</c:v>
                </c:pt>
                <c:pt idx="157">
                  <c:v>12.3</c:v>
                </c:pt>
                <c:pt idx="158">
                  <c:v>12.4</c:v>
                </c:pt>
                <c:pt idx="159">
                  <c:v>12.5</c:v>
                </c:pt>
                <c:pt idx="160">
                  <c:v>12.6</c:v>
                </c:pt>
                <c:pt idx="161">
                  <c:v>12.6</c:v>
                </c:pt>
                <c:pt idx="162">
                  <c:v>12.5</c:v>
                </c:pt>
                <c:pt idx="163">
                  <c:v>12.4</c:v>
                </c:pt>
                <c:pt idx="164">
                  <c:v>12.3</c:v>
                </c:pt>
                <c:pt idx="165">
                  <c:v>12.2</c:v>
                </c:pt>
                <c:pt idx="166">
                  <c:v>12.1</c:v>
                </c:pt>
                <c:pt idx="168">
                  <c:v>13.1</c:v>
                </c:pt>
                <c:pt idx="169">
                  <c:v>13.1</c:v>
                </c:pt>
                <c:pt idx="170">
                  <c:v>13.2</c:v>
                </c:pt>
                <c:pt idx="171">
                  <c:v>13.3</c:v>
                </c:pt>
                <c:pt idx="172">
                  <c:v>13.4</c:v>
                </c:pt>
                <c:pt idx="173">
                  <c:v>13.5</c:v>
                </c:pt>
                <c:pt idx="174">
                  <c:v>13.6</c:v>
                </c:pt>
                <c:pt idx="175">
                  <c:v>13.6</c:v>
                </c:pt>
                <c:pt idx="176">
                  <c:v>13.5</c:v>
                </c:pt>
                <c:pt idx="177">
                  <c:v>13.4</c:v>
                </c:pt>
                <c:pt idx="178">
                  <c:v>13.3</c:v>
                </c:pt>
                <c:pt idx="179">
                  <c:v>13.2</c:v>
                </c:pt>
                <c:pt idx="180">
                  <c:v>13.1</c:v>
                </c:pt>
                <c:pt idx="182">
                  <c:v>14.3</c:v>
                </c:pt>
                <c:pt idx="183">
                  <c:v>14.3</c:v>
                </c:pt>
                <c:pt idx="184">
                  <c:v>14.4</c:v>
                </c:pt>
                <c:pt idx="185">
                  <c:v>14.5</c:v>
                </c:pt>
                <c:pt idx="186">
                  <c:v>14.6</c:v>
                </c:pt>
                <c:pt idx="187">
                  <c:v>14.6</c:v>
                </c:pt>
                <c:pt idx="188">
                  <c:v>14.5</c:v>
                </c:pt>
                <c:pt idx="189">
                  <c:v>14.4</c:v>
                </c:pt>
                <c:pt idx="190">
                  <c:v>14.3</c:v>
                </c:pt>
                <c:pt idx="192">
                  <c:v>15.3</c:v>
                </c:pt>
                <c:pt idx="193">
                  <c:v>15.3</c:v>
                </c:pt>
                <c:pt idx="194">
                  <c:v>15.4</c:v>
                </c:pt>
                <c:pt idx="195">
                  <c:v>15.5</c:v>
                </c:pt>
                <c:pt idx="196">
                  <c:v>15.6</c:v>
                </c:pt>
                <c:pt idx="197">
                  <c:v>15.6</c:v>
                </c:pt>
                <c:pt idx="198">
                  <c:v>15.5</c:v>
                </c:pt>
                <c:pt idx="199">
                  <c:v>15.4</c:v>
                </c:pt>
                <c:pt idx="200">
                  <c:v>15.3</c:v>
                </c:pt>
                <c:pt idx="202">
                  <c:v>16.5</c:v>
                </c:pt>
                <c:pt idx="203">
                  <c:v>16.5</c:v>
                </c:pt>
                <c:pt idx="204">
                  <c:v>16.600000000000001</c:v>
                </c:pt>
                <c:pt idx="205">
                  <c:v>16.600000000000001</c:v>
                </c:pt>
                <c:pt idx="206">
                  <c:v>16.5</c:v>
                </c:pt>
                <c:pt idx="208">
                  <c:v>1</c:v>
                </c:pt>
                <c:pt idx="209">
                  <c:v>17</c:v>
                </c:pt>
                <c:pt idx="211">
                  <c:v>1</c:v>
                </c:pt>
                <c:pt idx="212">
                  <c:v>17</c:v>
                </c:pt>
              </c:numCache>
            </c:numRef>
          </c:xVal>
          <c:yVal>
            <c:numRef>
              <c:f>Sheet1!$B$2:$B$214</c:f>
              <c:numCache>
                <c:formatCode>General</c:formatCode>
                <c:ptCount val="213"/>
                <c:pt idx="208">
                  <c:v>1920</c:v>
                </c:pt>
                <c:pt idx="209">
                  <c:v>1920</c:v>
                </c:pt>
              </c:numCache>
            </c:numRef>
          </c:yVal>
          <c:smooth val="0"/>
        </c:ser>
        <c:ser>
          <c:idx val="1"/>
          <c:order val="1"/>
          <c:tx>
            <c:strRef>
              <c:f>Sheet1!$C$1</c:f>
              <c:strCache>
                <c:ptCount val="1"/>
                <c:pt idx="0">
                  <c:v>Ministru mēnešalgas</c:v>
                </c:pt>
              </c:strCache>
            </c:strRef>
          </c:tx>
          <c:spPr>
            <a:ln w="34898">
              <a:solidFill>
                <a:srgbClr val="C00000"/>
              </a:solidFill>
              <a:prstDash val="sysDash"/>
            </a:ln>
          </c:spPr>
          <c:marker>
            <c:symbol val="none"/>
          </c:marker>
          <c:xVal>
            <c:numRef>
              <c:f>Sheet1!$A$2:$A$214</c:f>
              <c:numCache>
                <c:formatCode>General</c:formatCode>
                <c:ptCount val="213"/>
                <c:pt idx="0">
                  <c:v>1.0999999999999988</c:v>
                </c:pt>
                <c:pt idx="1">
                  <c:v>1.0999999999999988</c:v>
                </c:pt>
                <c:pt idx="2">
                  <c:v>1.1999999999999984</c:v>
                </c:pt>
                <c:pt idx="3">
                  <c:v>1.3000000000000007</c:v>
                </c:pt>
                <c:pt idx="4">
                  <c:v>1.4000000000000004</c:v>
                </c:pt>
                <c:pt idx="5">
                  <c:v>1.5</c:v>
                </c:pt>
                <c:pt idx="6">
                  <c:v>1.5999999999999988</c:v>
                </c:pt>
                <c:pt idx="7">
                  <c:v>1.5999999999999988</c:v>
                </c:pt>
                <c:pt idx="8">
                  <c:v>1.5</c:v>
                </c:pt>
                <c:pt idx="9">
                  <c:v>1.4000000000000004</c:v>
                </c:pt>
                <c:pt idx="10">
                  <c:v>1.3000000000000007</c:v>
                </c:pt>
                <c:pt idx="11">
                  <c:v>1.1999999999999984</c:v>
                </c:pt>
                <c:pt idx="12">
                  <c:v>1.0999999999999988</c:v>
                </c:pt>
                <c:pt idx="14">
                  <c:v>2.0999999999999988</c:v>
                </c:pt>
                <c:pt idx="15">
                  <c:v>2.0999999999999988</c:v>
                </c:pt>
                <c:pt idx="16">
                  <c:v>2.1999999999999993</c:v>
                </c:pt>
                <c:pt idx="17">
                  <c:v>2.3000000000000007</c:v>
                </c:pt>
                <c:pt idx="18">
                  <c:v>2.4000000000000004</c:v>
                </c:pt>
                <c:pt idx="19">
                  <c:v>2.5</c:v>
                </c:pt>
                <c:pt idx="20">
                  <c:v>2.5999999999999988</c:v>
                </c:pt>
                <c:pt idx="21">
                  <c:v>2.5999999999999988</c:v>
                </c:pt>
                <c:pt idx="22">
                  <c:v>2.5</c:v>
                </c:pt>
                <c:pt idx="23">
                  <c:v>2.4000000000000004</c:v>
                </c:pt>
                <c:pt idx="24">
                  <c:v>2.3000000000000007</c:v>
                </c:pt>
                <c:pt idx="25">
                  <c:v>2.1999999999999993</c:v>
                </c:pt>
                <c:pt idx="26">
                  <c:v>2.0999999999999988</c:v>
                </c:pt>
                <c:pt idx="28">
                  <c:v>3.0999999999999988</c:v>
                </c:pt>
                <c:pt idx="29">
                  <c:v>3.0999999999999988</c:v>
                </c:pt>
                <c:pt idx="30">
                  <c:v>3.1999999999999993</c:v>
                </c:pt>
                <c:pt idx="31">
                  <c:v>3.3000000000000007</c:v>
                </c:pt>
                <c:pt idx="32">
                  <c:v>3.4000000000000004</c:v>
                </c:pt>
                <c:pt idx="33">
                  <c:v>3.5</c:v>
                </c:pt>
                <c:pt idx="34">
                  <c:v>3.5999999999999988</c:v>
                </c:pt>
                <c:pt idx="35">
                  <c:v>3.5999999999999988</c:v>
                </c:pt>
                <c:pt idx="36">
                  <c:v>3.5</c:v>
                </c:pt>
                <c:pt idx="37">
                  <c:v>3.4000000000000004</c:v>
                </c:pt>
                <c:pt idx="38">
                  <c:v>3.3000000000000007</c:v>
                </c:pt>
                <c:pt idx="39">
                  <c:v>3.1999999999999993</c:v>
                </c:pt>
                <c:pt idx="40">
                  <c:v>3.0999999999999988</c:v>
                </c:pt>
                <c:pt idx="42">
                  <c:v>4.0999999999999996</c:v>
                </c:pt>
                <c:pt idx="43">
                  <c:v>4.0999999999999996</c:v>
                </c:pt>
                <c:pt idx="44">
                  <c:v>4.1999999999999975</c:v>
                </c:pt>
                <c:pt idx="45">
                  <c:v>4.3000000000000007</c:v>
                </c:pt>
                <c:pt idx="46">
                  <c:v>4.4000000000000004</c:v>
                </c:pt>
                <c:pt idx="47">
                  <c:v>4.5</c:v>
                </c:pt>
                <c:pt idx="48">
                  <c:v>4.5999999999999996</c:v>
                </c:pt>
                <c:pt idx="49">
                  <c:v>4.5999999999999996</c:v>
                </c:pt>
                <c:pt idx="50">
                  <c:v>4.5</c:v>
                </c:pt>
                <c:pt idx="51">
                  <c:v>4.4000000000000004</c:v>
                </c:pt>
                <c:pt idx="52">
                  <c:v>4.3000000000000007</c:v>
                </c:pt>
                <c:pt idx="53">
                  <c:v>4.1999999999999975</c:v>
                </c:pt>
                <c:pt idx="54">
                  <c:v>4.0999999999999996</c:v>
                </c:pt>
                <c:pt idx="56">
                  <c:v>5.0999999999999996</c:v>
                </c:pt>
                <c:pt idx="57">
                  <c:v>5.0999999999999996</c:v>
                </c:pt>
                <c:pt idx="58">
                  <c:v>5.1999999999999975</c:v>
                </c:pt>
                <c:pt idx="59">
                  <c:v>5.3000000000000007</c:v>
                </c:pt>
                <c:pt idx="60">
                  <c:v>5.4</c:v>
                </c:pt>
                <c:pt idx="61">
                  <c:v>5.5</c:v>
                </c:pt>
                <c:pt idx="62">
                  <c:v>5.6</c:v>
                </c:pt>
                <c:pt idx="63">
                  <c:v>5.6</c:v>
                </c:pt>
                <c:pt idx="64">
                  <c:v>5.5</c:v>
                </c:pt>
                <c:pt idx="65">
                  <c:v>5.4</c:v>
                </c:pt>
                <c:pt idx="66">
                  <c:v>5.3000000000000007</c:v>
                </c:pt>
                <c:pt idx="67">
                  <c:v>5.1999999999999975</c:v>
                </c:pt>
                <c:pt idx="68">
                  <c:v>5.0999999999999996</c:v>
                </c:pt>
                <c:pt idx="70">
                  <c:v>6.1</c:v>
                </c:pt>
                <c:pt idx="71">
                  <c:v>6.1</c:v>
                </c:pt>
                <c:pt idx="72">
                  <c:v>6.1999999999999975</c:v>
                </c:pt>
                <c:pt idx="73">
                  <c:v>6.3000000000000007</c:v>
                </c:pt>
                <c:pt idx="74">
                  <c:v>6.4</c:v>
                </c:pt>
                <c:pt idx="75">
                  <c:v>6.5</c:v>
                </c:pt>
                <c:pt idx="76">
                  <c:v>6.6</c:v>
                </c:pt>
                <c:pt idx="77">
                  <c:v>6.6</c:v>
                </c:pt>
                <c:pt idx="78">
                  <c:v>6.5</c:v>
                </c:pt>
                <c:pt idx="79">
                  <c:v>6.4</c:v>
                </c:pt>
                <c:pt idx="80">
                  <c:v>6.3000000000000007</c:v>
                </c:pt>
                <c:pt idx="81">
                  <c:v>6.1999999999999975</c:v>
                </c:pt>
                <c:pt idx="82">
                  <c:v>6.1</c:v>
                </c:pt>
                <c:pt idx="84">
                  <c:v>7.1</c:v>
                </c:pt>
                <c:pt idx="85">
                  <c:v>7.1</c:v>
                </c:pt>
                <c:pt idx="86">
                  <c:v>7.1999999999999975</c:v>
                </c:pt>
                <c:pt idx="87">
                  <c:v>7.3000000000000007</c:v>
                </c:pt>
                <c:pt idx="88">
                  <c:v>7.4</c:v>
                </c:pt>
                <c:pt idx="89">
                  <c:v>7.5</c:v>
                </c:pt>
                <c:pt idx="90">
                  <c:v>7.6</c:v>
                </c:pt>
                <c:pt idx="91">
                  <c:v>7.6</c:v>
                </c:pt>
                <c:pt idx="92">
                  <c:v>7.5</c:v>
                </c:pt>
                <c:pt idx="93">
                  <c:v>7.4</c:v>
                </c:pt>
                <c:pt idx="94">
                  <c:v>7.3000000000000007</c:v>
                </c:pt>
                <c:pt idx="95">
                  <c:v>7.1999999999999975</c:v>
                </c:pt>
                <c:pt idx="96">
                  <c:v>7.1</c:v>
                </c:pt>
                <c:pt idx="98">
                  <c:v>8.1</c:v>
                </c:pt>
                <c:pt idx="99">
                  <c:v>8.1</c:v>
                </c:pt>
                <c:pt idx="100">
                  <c:v>8.2000000000000011</c:v>
                </c:pt>
                <c:pt idx="101">
                  <c:v>8.3000000000000007</c:v>
                </c:pt>
                <c:pt idx="102">
                  <c:v>8.4</c:v>
                </c:pt>
                <c:pt idx="103">
                  <c:v>8.5</c:v>
                </c:pt>
                <c:pt idx="104">
                  <c:v>8.6</c:v>
                </c:pt>
                <c:pt idx="105">
                  <c:v>8.6</c:v>
                </c:pt>
                <c:pt idx="106">
                  <c:v>8.5</c:v>
                </c:pt>
                <c:pt idx="107">
                  <c:v>8.4</c:v>
                </c:pt>
                <c:pt idx="108">
                  <c:v>8.3000000000000007</c:v>
                </c:pt>
                <c:pt idx="109">
                  <c:v>8.2000000000000011</c:v>
                </c:pt>
                <c:pt idx="110">
                  <c:v>8.1</c:v>
                </c:pt>
                <c:pt idx="112">
                  <c:v>9.1</c:v>
                </c:pt>
                <c:pt idx="113">
                  <c:v>9.1</c:v>
                </c:pt>
                <c:pt idx="114">
                  <c:v>9.2000000000000011</c:v>
                </c:pt>
                <c:pt idx="115">
                  <c:v>9.3000000000000007</c:v>
                </c:pt>
                <c:pt idx="116">
                  <c:v>9.4</c:v>
                </c:pt>
                <c:pt idx="117">
                  <c:v>9.5</c:v>
                </c:pt>
                <c:pt idx="118">
                  <c:v>9.6</c:v>
                </c:pt>
                <c:pt idx="119" formatCode="#,##0.0">
                  <c:v>9.6</c:v>
                </c:pt>
                <c:pt idx="120" formatCode="#,##0.0">
                  <c:v>9.5</c:v>
                </c:pt>
                <c:pt idx="121" formatCode="#,##0.0">
                  <c:v>9.4</c:v>
                </c:pt>
                <c:pt idx="122" formatCode="#,##0.0">
                  <c:v>9.3000000000000007</c:v>
                </c:pt>
                <c:pt idx="123" formatCode="#,##0.0">
                  <c:v>9.2000000000000011</c:v>
                </c:pt>
                <c:pt idx="124">
                  <c:v>9.1</c:v>
                </c:pt>
                <c:pt idx="126">
                  <c:v>10.1</c:v>
                </c:pt>
                <c:pt idx="127">
                  <c:v>10.1</c:v>
                </c:pt>
                <c:pt idx="128">
                  <c:v>10.200000000000001</c:v>
                </c:pt>
                <c:pt idx="129">
                  <c:v>10.3</c:v>
                </c:pt>
                <c:pt idx="130">
                  <c:v>10.4</c:v>
                </c:pt>
                <c:pt idx="131">
                  <c:v>10.5</c:v>
                </c:pt>
                <c:pt idx="132">
                  <c:v>10.6</c:v>
                </c:pt>
                <c:pt idx="133">
                  <c:v>10.6</c:v>
                </c:pt>
                <c:pt idx="134">
                  <c:v>10.5</c:v>
                </c:pt>
                <c:pt idx="135">
                  <c:v>10.4</c:v>
                </c:pt>
                <c:pt idx="136">
                  <c:v>10.3</c:v>
                </c:pt>
                <c:pt idx="137">
                  <c:v>10.200000000000001</c:v>
                </c:pt>
                <c:pt idx="138">
                  <c:v>10.1</c:v>
                </c:pt>
                <c:pt idx="140">
                  <c:v>11.1</c:v>
                </c:pt>
                <c:pt idx="141">
                  <c:v>11.1</c:v>
                </c:pt>
                <c:pt idx="142">
                  <c:v>11.2</c:v>
                </c:pt>
                <c:pt idx="143">
                  <c:v>11.3</c:v>
                </c:pt>
                <c:pt idx="144">
                  <c:v>11.4</c:v>
                </c:pt>
                <c:pt idx="145">
                  <c:v>11.5</c:v>
                </c:pt>
                <c:pt idx="146">
                  <c:v>11.6</c:v>
                </c:pt>
                <c:pt idx="147">
                  <c:v>11.6</c:v>
                </c:pt>
                <c:pt idx="148">
                  <c:v>11.5</c:v>
                </c:pt>
                <c:pt idx="149">
                  <c:v>11.4</c:v>
                </c:pt>
                <c:pt idx="150">
                  <c:v>11.3</c:v>
                </c:pt>
                <c:pt idx="151">
                  <c:v>11.2</c:v>
                </c:pt>
                <c:pt idx="152">
                  <c:v>11.1</c:v>
                </c:pt>
                <c:pt idx="154">
                  <c:v>12.1</c:v>
                </c:pt>
                <c:pt idx="155">
                  <c:v>12.1</c:v>
                </c:pt>
                <c:pt idx="156">
                  <c:v>12.2</c:v>
                </c:pt>
                <c:pt idx="157">
                  <c:v>12.3</c:v>
                </c:pt>
                <c:pt idx="158">
                  <c:v>12.4</c:v>
                </c:pt>
                <c:pt idx="159">
                  <c:v>12.5</c:v>
                </c:pt>
                <c:pt idx="160">
                  <c:v>12.6</c:v>
                </c:pt>
                <c:pt idx="161">
                  <c:v>12.6</c:v>
                </c:pt>
                <c:pt idx="162">
                  <c:v>12.5</c:v>
                </c:pt>
                <c:pt idx="163">
                  <c:v>12.4</c:v>
                </c:pt>
                <c:pt idx="164">
                  <c:v>12.3</c:v>
                </c:pt>
                <c:pt idx="165">
                  <c:v>12.2</c:v>
                </c:pt>
                <c:pt idx="166">
                  <c:v>12.1</c:v>
                </c:pt>
                <c:pt idx="168">
                  <c:v>13.1</c:v>
                </c:pt>
                <c:pt idx="169">
                  <c:v>13.1</c:v>
                </c:pt>
                <c:pt idx="170">
                  <c:v>13.2</c:v>
                </c:pt>
                <c:pt idx="171">
                  <c:v>13.3</c:v>
                </c:pt>
                <c:pt idx="172">
                  <c:v>13.4</c:v>
                </c:pt>
                <c:pt idx="173">
                  <c:v>13.5</c:v>
                </c:pt>
                <c:pt idx="174">
                  <c:v>13.6</c:v>
                </c:pt>
                <c:pt idx="175">
                  <c:v>13.6</c:v>
                </c:pt>
                <c:pt idx="176">
                  <c:v>13.5</c:v>
                </c:pt>
                <c:pt idx="177">
                  <c:v>13.4</c:v>
                </c:pt>
                <c:pt idx="178">
                  <c:v>13.3</c:v>
                </c:pt>
                <c:pt idx="179">
                  <c:v>13.2</c:v>
                </c:pt>
                <c:pt idx="180">
                  <c:v>13.1</c:v>
                </c:pt>
                <c:pt idx="182">
                  <c:v>14.3</c:v>
                </c:pt>
                <c:pt idx="183">
                  <c:v>14.3</c:v>
                </c:pt>
                <c:pt idx="184">
                  <c:v>14.4</c:v>
                </c:pt>
                <c:pt idx="185">
                  <c:v>14.5</c:v>
                </c:pt>
                <c:pt idx="186">
                  <c:v>14.6</c:v>
                </c:pt>
                <c:pt idx="187">
                  <c:v>14.6</c:v>
                </c:pt>
                <c:pt idx="188">
                  <c:v>14.5</c:v>
                </c:pt>
                <c:pt idx="189">
                  <c:v>14.4</c:v>
                </c:pt>
                <c:pt idx="190">
                  <c:v>14.3</c:v>
                </c:pt>
                <c:pt idx="192">
                  <c:v>15.3</c:v>
                </c:pt>
                <c:pt idx="193">
                  <c:v>15.3</c:v>
                </c:pt>
                <c:pt idx="194">
                  <c:v>15.4</c:v>
                </c:pt>
                <c:pt idx="195">
                  <c:v>15.5</c:v>
                </c:pt>
                <c:pt idx="196">
                  <c:v>15.6</c:v>
                </c:pt>
                <c:pt idx="197">
                  <c:v>15.6</c:v>
                </c:pt>
                <c:pt idx="198">
                  <c:v>15.5</c:v>
                </c:pt>
                <c:pt idx="199">
                  <c:v>15.4</c:v>
                </c:pt>
                <c:pt idx="200">
                  <c:v>15.3</c:v>
                </c:pt>
                <c:pt idx="202">
                  <c:v>16.5</c:v>
                </c:pt>
                <c:pt idx="203">
                  <c:v>16.5</c:v>
                </c:pt>
                <c:pt idx="204">
                  <c:v>16.600000000000001</c:v>
                </c:pt>
                <c:pt idx="205">
                  <c:v>16.600000000000001</c:v>
                </c:pt>
                <c:pt idx="206">
                  <c:v>16.5</c:v>
                </c:pt>
                <c:pt idx="208">
                  <c:v>1</c:v>
                </c:pt>
                <c:pt idx="209">
                  <c:v>17</c:v>
                </c:pt>
                <c:pt idx="211">
                  <c:v>1</c:v>
                </c:pt>
                <c:pt idx="212">
                  <c:v>17</c:v>
                </c:pt>
              </c:numCache>
            </c:numRef>
          </c:xVal>
          <c:yVal>
            <c:numRef>
              <c:f>Sheet1!$C$2:$C$214</c:f>
              <c:numCache>
                <c:formatCode>General</c:formatCode>
                <c:ptCount val="213"/>
                <c:pt idx="211">
                  <c:v>1729</c:v>
                </c:pt>
                <c:pt idx="212">
                  <c:v>1729</c:v>
                </c:pt>
              </c:numCache>
            </c:numRef>
          </c:yVal>
          <c:smooth val="0"/>
        </c:ser>
        <c:ser>
          <c:idx val="2"/>
          <c:order val="2"/>
          <c:tx>
            <c:strRef>
              <c:f>Sheet1!$D$1</c:f>
              <c:strCache>
                <c:ptCount val="1"/>
                <c:pt idx="0">
                  <c:v>Ar likumu noteiktie mēnešalgu maksimumi</c:v>
                </c:pt>
              </c:strCache>
            </c:strRef>
          </c:tx>
          <c:spPr>
            <a:ln w="38071">
              <a:noFill/>
            </a:ln>
          </c:spPr>
          <c:marker>
            <c:symbol val="circle"/>
            <c:size val="4"/>
            <c:spPr>
              <a:solidFill>
                <a:srgbClr val="C00000"/>
              </a:solidFill>
            </c:spPr>
          </c:marker>
          <c:xVal>
            <c:numRef>
              <c:f>Sheet1!$A$2:$A$214</c:f>
              <c:numCache>
                <c:formatCode>General</c:formatCode>
                <c:ptCount val="213"/>
                <c:pt idx="0">
                  <c:v>1.0999999999999988</c:v>
                </c:pt>
                <c:pt idx="1">
                  <c:v>1.0999999999999988</c:v>
                </c:pt>
                <c:pt idx="2">
                  <c:v>1.1999999999999984</c:v>
                </c:pt>
                <c:pt idx="3">
                  <c:v>1.3000000000000007</c:v>
                </c:pt>
                <c:pt idx="4">
                  <c:v>1.4000000000000004</c:v>
                </c:pt>
                <c:pt idx="5">
                  <c:v>1.5</c:v>
                </c:pt>
                <c:pt idx="6">
                  <c:v>1.5999999999999988</c:v>
                </c:pt>
                <c:pt idx="7">
                  <c:v>1.5999999999999988</c:v>
                </c:pt>
                <c:pt idx="8">
                  <c:v>1.5</c:v>
                </c:pt>
                <c:pt idx="9">
                  <c:v>1.4000000000000004</c:v>
                </c:pt>
                <c:pt idx="10">
                  <c:v>1.3000000000000007</c:v>
                </c:pt>
                <c:pt idx="11">
                  <c:v>1.1999999999999984</c:v>
                </c:pt>
                <c:pt idx="12">
                  <c:v>1.0999999999999988</c:v>
                </c:pt>
                <c:pt idx="14">
                  <c:v>2.0999999999999988</c:v>
                </c:pt>
                <c:pt idx="15">
                  <c:v>2.0999999999999988</c:v>
                </c:pt>
                <c:pt idx="16">
                  <c:v>2.1999999999999993</c:v>
                </c:pt>
                <c:pt idx="17">
                  <c:v>2.3000000000000007</c:v>
                </c:pt>
                <c:pt idx="18">
                  <c:v>2.4000000000000004</c:v>
                </c:pt>
                <c:pt idx="19">
                  <c:v>2.5</c:v>
                </c:pt>
                <c:pt idx="20">
                  <c:v>2.5999999999999988</c:v>
                </c:pt>
                <c:pt idx="21">
                  <c:v>2.5999999999999988</c:v>
                </c:pt>
                <c:pt idx="22">
                  <c:v>2.5</c:v>
                </c:pt>
                <c:pt idx="23">
                  <c:v>2.4000000000000004</c:v>
                </c:pt>
                <c:pt idx="24">
                  <c:v>2.3000000000000007</c:v>
                </c:pt>
                <c:pt idx="25">
                  <c:v>2.1999999999999993</c:v>
                </c:pt>
                <c:pt idx="26">
                  <c:v>2.0999999999999988</c:v>
                </c:pt>
                <c:pt idx="28">
                  <c:v>3.0999999999999988</c:v>
                </c:pt>
                <c:pt idx="29">
                  <c:v>3.0999999999999988</c:v>
                </c:pt>
                <c:pt idx="30">
                  <c:v>3.1999999999999993</c:v>
                </c:pt>
                <c:pt idx="31">
                  <c:v>3.3000000000000007</c:v>
                </c:pt>
                <c:pt idx="32">
                  <c:v>3.4000000000000004</c:v>
                </c:pt>
                <c:pt idx="33">
                  <c:v>3.5</c:v>
                </c:pt>
                <c:pt idx="34">
                  <c:v>3.5999999999999988</c:v>
                </c:pt>
                <c:pt idx="35">
                  <c:v>3.5999999999999988</c:v>
                </c:pt>
                <c:pt idx="36">
                  <c:v>3.5</c:v>
                </c:pt>
                <c:pt idx="37">
                  <c:v>3.4000000000000004</c:v>
                </c:pt>
                <c:pt idx="38">
                  <c:v>3.3000000000000007</c:v>
                </c:pt>
                <c:pt idx="39">
                  <c:v>3.1999999999999993</c:v>
                </c:pt>
                <c:pt idx="40">
                  <c:v>3.0999999999999988</c:v>
                </c:pt>
                <c:pt idx="42">
                  <c:v>4.0999999999999996</c:v>
                </c:pt>
                <c:pt idx="43">
                  <c:v>4.0999999999999996</c:v>
                </c:pt>
                <c:pt idx="44">
                  <c:v>4.1999999999999975</c:v>
                </c:pt>
                <c:pt idx="45">
                  <c:v>4.3000000000000007</c:v>
                </c:pt>
                <c:pt idx="46">
                  <c:v>4.4000000000000004</c:v>
                </c:pt>
                <c:pt idx="47">
                  <c:v>4.5</c:v>
                </c:pt>
                <c:pt idx="48">
                  <c:v>4.5999999999999996</c:v>
                </c:pt>
                <c:pt idx="49">
                  <c:v>4.5999999999999996</c:v>
                </c:pt>
                <c:pt idx="50">
                  <c:v>4.5</c:v>
                </c:pt>
                <c:pt idx="51">
                  <c:v>4.4000000000000004</c:v>
                </c:pt>
                <c:pt idx="52">
                  <c:v>4.3000000000000007</c:v>
                </c:pt>
                <c:pt idx="53">
                  <c:v>4.1999999999999975</c:v>
                </c:pt>
                <c:pt idx="54">
                  <c:v>4.0999999999999996</c:v>
                </c:pt>
                <c:pt idx="56">
                  <c:v>5.0999999999999996</c:v>
                </c:pt>
                <c:pt idx="57">
                  <c:v>5.0999999999999996</c:v>
                </c:pt>
                <c:pt idx="58">
                  <c:v>5.1999999999999975</c:v>
                </c:pt>
                <c:pt idx="59">
                  <c:v>5.3000000000000007</c:v>
                </c:pt>
                <c:pt idx="60">
                  <c:v>5.4</c:v>
                </c:pt>
                <c:pt idx="61">
                  <c:v>5.5</c:v>
                </c:pt>
                <c:pt idx="62">
                  <c:v>5.6</c:v>
                </c:pt>
                <c:pt idx="63">
                  <c:v>5.6</c:v>
                </c:pt>
                <c:pt idx="64">
                  <c:v>5.5</c:v>
                </c:pt>
                <c:pt idx="65">
                  <c:v>5.4</c:v>
                </c:pt>
                <c:pt idx="66">
                  <c:v>5.3000000000000007</c:v>
                </c:pt>
                <c:pt idx="67">
                  <c:v>5.1999999999999975</c:v>
                </c:pt>
                <c:pt idx="68">
                  <c:v>5.0999999999999996</c:v>
                </c:pt>
                <c:pt idx="70">
                  <c:v>6.1</c:v>
                </c:pt>
                <c:pt idx="71">
                  <c:v>6.1</c:v>
                </c:pt>
                <c:pt idx="72">
                  <c:v>6.1999999999999975</c:v>
                </c:pt>
                <c:pt idx="73">
                  <c:v>6.3000000000000007</c:v>
                </c:pt>
                <c:pt idx="74">
                  <c:v>6.4</c:v>
                </c:pt>
                <c:pt idx="75">
                  <c:v>6.5</c:v>
                </c:pt>
                <c:pt idx="76">
                  <c:v>6.6</c:v>
                </c:pt>
                <c:pt idx="77">
                  <c:v>6.6</c:v>
                </c:pt>
                <c:pt idx="78">
                  <c:v>6.5</c:v>
                </c:pt>
                <c:pt idx="79">
                  <c:v>6.4</c:v>
                </c:pt>
                <c:pt idx="80">
                  <c:v>6.3000000000000007</c:v>
                </c:pt>
                <c:pt idx="81">
                  <c:v>6.1999999999999975</c:v>
                </c:pt>
                <c:pt idx="82">
                  <c:v>6.1</c:v>
                </c:pt>
                <c:pt idx="84">
                  <c:v>7.1</c:v>
                </c:pt>
                <c:pt idx="85">
                  <c:v>7.1</c:v>
                </c:pt>
                <c:pt idx="86">
                  <c:v>7.1999999999999975</c:v>
                </c:pt>
                <c:pt idx="87">
                  <c:v>7.3000000000000007</c:v>
                </c:pt>
                <c:pt idx="88">
                  <c:v>7.4</c:v>
                </c:pt>
                <c:pt idx="89">
                  <c:v>7.5</c:v>
                </c:pt>
                <c:pt idx="90">
                  <c:v>7.6</c:v>
                </c:pt>
                <c:pt idx="91">
                  <c:v>7.6</c:v>
                </c:pt>
                <c:pt idx="92">
                  <c:v>7.5</c:v>
                </c:pt>
                <c:pt idx="93">
                  <c:v>7.4</c:v>
                </c:pt>
                <c:pt idx="94">
                  <c:v>7.3000000000000007</c:v>
                </c:pt>
                <c:pt idx="95">
                  <c:v>7.1999999999999975</c:v>
                </c:pt>
                <c:pt idx="96">
                  <c:v>7.1</c:v>
                </c:pt>
                <c:pt idx="98">
                  <c:v>8.1</c:v>
                </c:pt>
                <c:pt idx="99">
                  <c:v>8.1</c:v>
                </c:pt>
                <c:pt idx="100">
                  <c:v>8.2000000000000011</c:v>
                </c:pt>
                <c:pt idx="101">
                  <c:v>8.3000000000000007</c:v>
                </c:pt>
                <c:pt idx="102">
                  <c:v>8.4</c:v>
                </c:pt>
                <c:pt idx="103">
                  <c:v>8.5</c:v>
                </c:pt>
                <c:pt idx="104">
                  <c:v>8.6</c:v>
                </c:pt>
                <c:pt idx="105">
                  <c:v>8.6</c:v>
                </c:pt>
                <c:pt idx="106">
                  <c:v>8.5</c:v>
                </c:pt>
                <c:pt idx="107">
                  <c:v>8.4</c:v>
                </c:pt>
                <c:pt idx="108">
                  <c:v>8.3000000000000007</c:v>
                </c:pt>
                <c:pt idx="109">
                  <c:v>8.2000000000000011</c:v>
                </c:pt>
                <c:pt idx="110">
                  <c:v>8.1</c:v>
                </c:pt>
                <c:pt idx="112">
                  <c:v>9.1</c:v>
                </c:pt>
                <c:pt idx="113">
                  <c:v>9.1</c:v>
                </c:pt>
                <c:pt idx="114">
                  <c:v>9.2000000000000011</c:v>
                </c:pt>
                <c:pt idx="115">
                  <c:v>9.3000000000000007</c:v>
                </c:pt>
                <c:pt idx="116">
                  <c:v>9.4</c:v>
                </c:pt>
                <c:pt idx="117">
                  <c:v>9.5</c:v>
                </c:pt>
                <c:pt idx="118">
                  <c:v>9.6</c:v>
                </c:pt>
                <c:pt idx="119" formatCode="#,##0.0">
                  <c:v>9.6</c:v>
                </c:pt>
                <c:pt idx="120" formatCode="#,##0.0">
                  <c:v>9.5</c:v>
                </c:pt>
                <c:pt idx="121" formatCode="#,##0.0">
                  <c:v>9.4</c:v>
                </c:pt>
                <c:pt idx="122" formatCode="#,##0.0">
                  <c:v>9.3000000000000007</c:v>
                </c:pt>
                <c:pt idx="123" formatCode="#,##0.0">
                  <c:v>9.2000000000000011</c:v>
                </c:pt>
                <c:pt idx="124">
                  <c:v>9.1</c:v>
                </c:pt>
                <c:pt idx="126">
                  <c:v>10.1</c:v>
                </c:pt>
                <c:pt idx="127">
                  <c:v>10.1</c:v>
                </c:pt>
                <c:pt idx="128">
                  <c:v>10.200000000000001</c:v>
                </c:pt>
                <c:pt idx="129">
                  <c:v>10.3</c:v>
                </c:pt>
                <c:pt idx="130">
                  <c:v>10.4</c:v>
                </c:pt>
                <c:pt idx="131">
                  <c:v>10.5</c:v>
                </c:pt>
                <c:pt idx="132">
                  <c:v>10.6</c:v>
                </c:pt>
                <c:pt idx="133">
                  <c:v>10.6</c:v>
                </c:pt>
                <c:pt idx="134">
                  <c:v>10.5</c:v>
                </c:pt>
                <c:pt idx="135">
                  <c:v>10.4</c:v>
                </c:pt>
                <c:pt idx="136">
                  <c:v>10.3</c:v>
                </c:pt>
                <c:pt idx="137">
                  <c:v>10.200000000000001</c:v>
                </c:pt>
                <c:pt idx="138">
                  <c:v>10.1</c:v>
                </c:pt>
                <c:pt idx="140">
                  <c:v>11.1</c:v>
                </c:pt>
                <c:pt idx="141">
                  <c:v>11.1</c:v>
                </c:pt>
                <c:pt idx="142">
                  <c:v>11.2</c:v>
                </c:pt>
                <c:pt idx="143">
                  <c:v>11.3</c:v>
                </c:pt>
                <c:pt idx="144">
                  <c:v>11.4</c:v>
                </c:pt>
                <c:pt idx="145">
                  <c:v>11.5</c:v>
                </c:pt>
                <c:pt idx="146">
                  <c:v>11.6</c:v>
                </c:pt>
                <c:pt idx="147">
                  <c:v>11.6</c:v>
                </c:pt>
                <c:pt idx="148">
                  <c:v>11.5</c:v>
                </c:pt>
                <c:pt idx="149">
                  <c:v>11.4</c:v>
                </c:pt>
                <c:pt idx="150">
                  <c:v>11.3</c:v>
                </c:pt>
                <c:pt idx="151">
                  <c:v>11.2</c:v>
                </c:pt>
                <c:pt idx="152">
                  <c:v>11.1</c:v>
                </c:pt>
                <c:pt idx="154">
                  <c:v>12.1</c:v>
                </c:pt>
                <c:pt idx="155">
                  <c:v>12.1</c:v>
                </c:pt>
                <c:pt idx="156">
                  <c:v>12.2</c:v>
                </c:pt>
                <c:pt idx="157">
                  <c:v>12.3</c:v>
                </c:pt>
                <c:pt idx="158">
                  <c:v>12.4</c:v>
                </c:pt>
                <c:pt idx="159">
                  <c:v>12.5</c:v>
                </c:pt>
                <c:pt idx="160">
                  <c:v>12.6</c:v>
                </c:pt>
                <c:pt idx="161">
                  <c:v>12.6</c:v>
                </c:pt>
                <c:pt idx="162">
                  <c:v>12.5</c:v>
                </c:pt>
                <c:pt idx="163">
                  <c:v>12.4</c:v>
                </c:pt>
                <c:pt idx="164">
                  <c:v>12.3</c:v>
                </c:pt>
                <c:pt idx="165">
                  <c:v>12.2</c:v>
                </c:pt>
                <c:pt idx="166">
                  <c:v>12.1</c:v>
                </c:pt>
                <c:pt idx="168">
                  <c:v>13.1</c:v>
                </c:pt>
                <c:pt idx="169">
                  <c:v>13.1</c:v>
                </c:pt>
                <c:pt idx="170">
                  <c:v>13.2</c:v>
                </c:pt>
                <c:pt idx="171">
                  <c:v>13.3</c:v>
                </c:pt>
                <c:pt idx="172">
                  <c:v>13.4</c:v>
                </c:pt>
                <c:pt idx="173">
                  <c:v>13.5</c:v>
                </c:pt>
                <c:pt idx="174">
                  <c:v>13.6</c:v>
                </c:pt>
                <c:pt idx="175">
                  <c:v>13.6</c:v>
                </c:pt>
                <c:pt idx="176">
                  <c:v>13.5</c:v>
                </c:pt>
                <c:pt idx="177">
                  <c:v>13.4</c:v>
                </c:pt>
                <c:pt idx="178">
                  <c:v>13.3</c:v>
                </c:pt>
                <c:pt idx="179">
                  <c:v>13.2</c:v>
                </c:pt>
                <c:pt idx="180">
                  <c:v>13.1</c:v>
                </c:pt>
                <c:pt idx="182">
                  <c:v>14.3</c:v>
                </c:pt>
                <c:pt idx="183">
                  <c:v>14.3</c:v>
                </c:pt>
                <c:pt idx="184">
                  <c:v>14.4</c:v>
                </c:pt>
                <c:pt idx="185">
                  <c:v>14.5</c:v>
                </c:pt>
                <c:pt idx="186">
                  <c:v>14.6</c:v>
                </c:pt>
                <c:pt idx="187">
                  <c:v>14.6</c:v>
                </c:pt>
                <c:pt idx="188">
                  <c:v>14.5</c:v>
                </c:pt>
                <c:pt idx="189">
                  <c:v>14.4</c:v>
                </c:pt>
                <c:pt idx="190">
                  <c:v>14.3</c:v>
                </c:pt>
                <c:pt idx="192">
                  <c:v>15.3</c:v>
                </c:pt>
                <c:pt idx="193">
                  <c:v>15.3</c:v>
                </c:pt>
                <c:pt idx="194">
                  <c:v>15.4</c:v>
                </c:pt>
                <c:pt idx="195">
                  <c:v>15.5</c:v>
                </c:pt>
                <c:pt idx="196">
                  <c:v>15.6</c:v>
                </c:pt>
                <c:pt idx="197">
                  <c:v>15.6</c:v>
                </c:pt>
                <c:pt idx="198">
                  <c:v>15.5</c:v>
                </c:pt>
                <c:pt idx="199">
                  <c:v>15.4</c:v>
                </c:pt>
                <c:pt idx="200">
                  <c:v>15.3</c:v>
                </c:pt>
                <c:pt idx="202">
                  <c:v>16.5</c:v>
                </c:pt>
                <c:pt idx="203">
                  <c:v>16.5</c:v>
                </c:pt>
                <c:pt idx="204">
                  <c:v>16.600000000000001</c:v>
                </c:pt>
                <c:pt idx="205">
                  <c:v>16.600000000000001</c:v>
                </c:pt>
                <c:pt idx="206">
                  <c:v>16.5</c:v>
                </c:pt>
                <c:pt idx="208">
                  <c:v>1</c:v>
                </c:pt>
                <c:pt idx="209">
                  <c:v>17</c:v>
                </c:pt>
                <c:pt idx="211">
                  <c:v>1</c:v>
                </c:pt>
                <c:pt idx="212">
                  <c:v>17</c:v>
                </c:pt>
              </c:numCache>
            </c:numRef>
          </c:xVal>
          <c:yVal>
            <c:numRef>
              <c:f>Sheet1!$D$2:$D$214</c:f>
              <c:numCache>
                <c:formatCode>General</c:formatCode>
                <c:ptCount val="213"/>
                <c:pt idx="6">
                  <c:v>224</c:v>
                </c:pt>
                <c:pt idx="20">
                  <c:v>270</c:v>
                </c:pt>
                <c:pt idx="34">
                  <c:v>302</c:v>
                </c:pt>
                <c:pt idx="48">
                  <c:v>358</c:v>
                </c:pt>
                <c:pt idx="62">
                  <c:v>403</c:v>
                </c:pt>
                <c:pt idx="76">
                  <c:v>467</c:v>
                </c:pt>
                <c:pt idx="90">
                  <c:v>527</c:v>
                </c:pt>
                <c:pt idx="104">
                  <c:v>614</c:v>
                </c:pt>
                <c:pt idx="118">
                  <c:v>698</c:v>
                </c:pt>
                <c:pt idx="132">
                  <c:v>825</c:v>
                </c:pt>
                <c:pt idx="146">
                  <c:v>971</c:v>
                </c:pt>
                <c:pt idx="160">
                  <c:v>1157</c:v>
                </c:pt>
                <c:pt idx="174">
                  <c:v>1347</c:v>
                </c:pt>
                <c:pt idx="186">
                  <c:v>1591</c:v>
                </c:pt>
                <c:pt idx="196">
                  <c:v>1653</c:v>
                </c:pt>
                <c:pt idx="204">
                  <c:v>1715</c:v>
                </c:pt>
                <c:pt idx="208">
                  <c:v>1920</c:v>
                </c:pt>
                <c:pt idx="209">
                  <c:v>1920</c:v>
                </c:pt>
                <c:pt idx="211">
                  <c:v>1729</c:v>
                </c:pt>
                <c:pt idx="212">
                  <c:v>1729</c:v>
                </c:pt>
              </c:numCache>
            </c:numRef>
          </c:yVal>
          <c:smooth val="0"/>
        </c:ser>
        <c:ser>
          <c:idx val="3"/>
          <c:order val="3"/>
          <c:tx>
            <c:strRef>
              <c:f>Sheet1!$E$1</c:f>
              <c:strCache>
                <c:ptCount val="1"/>
                <c:pt idx="0">
                  <c:v>Ministrijas</c:v>
                </c:pt>
              </c:strCache>
            </c:strRef>
          </c:tx>
          <c:spPr>
            <a:ln w="38071">
              <a:solidFill>
                <a:srgbClr val="B50B84"/>
              </a:solidFill>
              <a:prstDash val="sysDash"/>
            </a:ln>
          </c:spPr>
          <c:marker>
            <c:symbol val="none"/>
          </c:marker>
          <c:xVal>
            <c:numRef>
              <c:f>Sheet1!$A$2:$A$214</c:f>
              <c:numCache>
                <c:formatCode>General</c:formatCode>
                <c:ptCount val="213"/>
                <c:pt idx="0">
                  <c:v>1.0999999999999988</c:v>
                </c:pt>
                <c:pt idx="1">
                  <c:v>1.0999999999999988</c:v>
                </c:pt>
                <c:pt idx="2">
                  <c:v>1.1999999999999984</c:v>
                </c:pt>
                <c:pt idx="3">
                  <c:v>1.3000000000000007</c:v>
                </c:pt>
                <c:pt idx="4">
                  <c:v>1.4000000000000004</c:v>
                </c:pt>
                <c:pt idx="5">
                  <c:v>1.5</c:v>
                </c:pt>
                <c:pt idx="6">
                  <c:v>1.5999999999999988</c:v>
                </c:pt>
                <c:pt idx="7">
                  <c:v>1.5999999999999988</c:v>
                </c:pt>
                <c:pt idx="8">
                  <c:v>1.5</c:v>
                </c:pt>
                <c:pt idx="9">
                  <c:v>1.4000000000000004</c:v>
                </c:pt>
                <c:pt idx="10">
                  <c:v>1.3000000000000007</c:v>
                </c:pt>
                <c:pt idx="11">
                  <c:v>1.1999999999999984</c:v>
                </c:pt>
                <c:pt idx="12">
                  <c:v>1.0999999999999988</c:v>
                </c:pt>
                <c:pt idx="14">
                  <c:v>2.0999999999999988</c:v>
                </c:pt>
                <c:pt idx="15">
                  <c:v>2.0999999999999988</c:v>
                </c:pt>
                <c:pt idx="16">
                  <c:v>2.1999999999999993</c:v>
                </c:pt>
                <c:pt idx="17">
                  <c:v>2.3000000000000007</c:v>
                </c:pt>
                <c:pt idx="18">
                  <c:v>2.4000000000000004</c:v>
                </c:pt>
                <c:pt idx="19">
                  <c:v>2.5</c:v>
                </c:pt>
                <c:pt idx="20">
                  <c:v>2.5999999999999988</c:v>
                </c:pt>
                <c:pt idx="21">
                  <c:v>2.5999999999999988</c:v>
                </c:pt>
                <c:pt idx="22">
                  <c:v>2.5</c:v>
                </c:pt>
                <c:pt idx="23">
                  <c:v>2.4000000000000004</c:v>
                </c:pt>
                <c:pt idx="24">
                  <c:v>2.3000000000000007</c:v>
                </c:pt>
                <c:pt idx="25">
                  <c:v>2.1999999999999993</c:v>
                </c:pt>
                <c:pt idx="26">
                  <c:v>2.0999999999999988</c:v>
                </c:pt>
                <c:pt idx="28">
                  <c:v>3.0999999999999988</c:v>
                </c:pt>
                <c:pt idx="29">
                  <c:v>3.0999999999999988</c:v>
                </c:pt>
                <c:pt idx="30">
                  <c:v>3.1999999999999993</c:v>
                </c:pt>
                <c:pt idx="31">
                  <c:v>3.3000000000000007</c:v>
                </c:pt>
                <c:pt idx="32">
                  <c:v>3.4000000000000004</c:v>
                </c:pt>
                <c:pt idx="33">
                  <c:v>3.5</c:v>
                </c:pt>
                <c:pt idx="34">
                  <c:v>3.5999999999999988</c:v>
                </c:pt>
                <c:pt idx="35">
                  <c:v>3.5999999999999988</c:v>
                </c:pt>
                <c:pt idx="36">
                  <c:v>3.5</c:v>
                </c:pt>
                <c:pt idx="37">
                  <c:v>3.4000000000000004</c:v>
                </c:pt>
                <c:pt idx="38">
                  <c:v>3.3000000000000007</c:v>
                </c:pt>
                <c:pt idx="39">
                  <c:v>3.1999999999999993</c:v>
                </c:pt>
                <c:pt idx="40">
                  <c:v>3.0999999999999988</c:v>
                </c:pt>
                <c:pt idx="42">
                  <c:v>4.0999999999999996</c:v>
                </c:pt>
                <c:pt idx="43">
                  <c:v>4.0999999999999996</c:v>
                </c:pt>
                <c:pt idx="44">
                  <c:v>4.1999999999999975</c:v>
                </c:pt>
                <c:pt idx="45">
                  <c:v>4.3000000000000007</c:v>
                </c:pt>
                <c:pt idx="46">
                  <c:v>4.4000000000000004</c:v>
                </c:pt>
                <c:pt idx="47">
                  <c:v>4.5</c:v>
                </c:pt>
                <c:pt idx="48">
                  <c:v>4.5999999999999996</c:v>
                </c:pt>
                <c:pt idx="49">
                  <c:v>4.5999999999999996</c:v>
                </c:pt>
                <c:pt idx="50">
                  <c:v>4.5</c:v>
                </c:pt>
                <c:pt idx="51">
                  <c:v>4.4000000000000004</c:v>
                </c:pt>
                <c:pt idx="52">
                  <c:v>4.3000000000000007</c:v>
                </c:pt>
                <c:pt idx="53">
                  <c:v>4.1999999999999975</c:v>
                </c:pt>
                <c:pt idx="54">
                  <c:v>4.0999999999999996</c:v>
                </c:pt>
                <c:pt idx="56">
                  <c:v>5.0999999999999996</c:v>
                </c:pt>
                <c:pt idx="57">
                  <c:v>5.0999999999999996</c:v>
                </c:pt>
                <c:pt idx="58">
                  <c:v>5.1999999999999975</c:v>
                </c:pt>
                <c:pt idx="59">
                  <c:v>5.3000000000000007</c:v>
                </c:pt>
                <c:pt idx="60">
                  <c:v>5.4</c:v>
                </c:pt>
                <c:pt idx="61">
                  <c:v>5.5</c:v>
                </c:pt>
                <c:pt idx="62">
                  <c:v>5.6</c:v>
                </c:pt>
                <c:pt idx="63">
                  <c:v>5.6</c:v>
                </c:pt>
                <c:pt idx="64">
                  <c:v>5.5</c:v>
                </c:pt>
                <c:pt idx="65">
                  <c:v>5.4</c:v>
                </c:pt>
                <c:pt idx="66">
                  <c:v>5.3000000000000007</c:v>
                </c:pt>
                <c:pt idx="67">
                  <c:v>5.1999999999999975</c:v>
                </c:pt>
                <c:pt idx="68">
                  <c:v>5.0999999999999996</c:v>
                </c:pt>
                <c:pt idx="70">
                  <c:v>6.1</c:v>
                </c:pt>
                <c:pt idx="71">
                  <c:v>6.1</c:v>
                </c:pt>
                <c:pt idx="72">
                  <c:v>6.1999999999999975</c:v>
                </c:pt>
                <c:pt idx="73">
                  <c:v>6.3000000000000007</c:v>
                </c:pt>
                <c:pt idx="74">
                  <c:v>6.4</c:v>
                </c:pt>
                <c:pt idx="75">
                  <c:v>6.5</c:v>
                </c:pt>
                <c:pt idx="76">
                  <c:v>6.6</c:v>
                </c:pt>
                <c:pt idx="77">
                  <c:v>6.6</c:v>
                </c:pt>
                <c:pt idx="78">
                  <c:v>6.5</c:v>
                </c:pt>
                <c:pt idx="79">
                  <c:v>6.4</c:v>
                </c:pt>
                <c:pt idx="80">
                  <c:v>6.3000000000000007</c:v>
                </c:pt>
                <c:pt idx="81">
                  <c:v>6.1999999999999975</c:v>
                </c:pt>
                <c:pt idx="82">
                  <c:v>6.1</c:v>
                </c:pt>
                <c:pt idx="84">
                  <c:v>7.1</c:v>
                </c:pt>
                <c:pt idx="85">
                  <c:v>7.1</c:v>
                </c:pt>
                <c:pt idx="86">
                  <c:v>7.1999999999999975</c:v>
                </c:pt>
                <c:pt idx="87">
                  <c:v>7.3000000000000007</c:v>
                </c:pt>
                <c:pt idx="88">
                  <c:v>7.4</c:v>
                </c:pt>
                <c:pt idx="89">
                  <c:v>7.5</c:v>
                </c:pt>
                <c:pt idx="90">
                  <c:v>7.6</c:v>
                </c:pt>
                <c:pt idx="91">
                  <c:v>7.6</c:v>
                </c:pt>
                <c:pt idx="92">
                  <c:v>7.5</c:v>
                </c:pt>
                <c:pt idx="93">
                  <c:v>7.4</c:v>
                </c:pt>
                <c:pt idx="94">
                  <c:v>7.3000000000000007</c:v>
                </c:pt>
                <c:pt idx="95">
                  <c:v>7.1999999999999975</c:v>
                </c:pt>
                <c:pt idx="96">
                  <c:v>7.1</c:v>
                </c:pt>
                <c:pt idx="98">
                  <c:v>8.1</c:v>
                </c:pt>
                <c:pt idx="99">
                  <c:v>8.1</c:v>
                </c:pt>
                <c:pt idx="100">
                  <c:v>8.2000000000000011</c:v>
                </c:pt>
                <c:pt idx="101">
                  <c:v>8.3000000000000007</c:v>
                </c:pt>
                <c:pt idx="102">
                  <c:v>8.4</c:v>
                </c:pt>
                <c:pt idx="103">
                  <c:v>8.5</c:v>
                </c:pt>
                <c:pt idx="104">
                  <c:v>8.6</c:v>
                </c:pt>
                <c:pt idx="105">
                  <c:v>8.6</c:v>
                </c:pt>
                <c:pt idx="106">
                  <c:v>8.5</c:v>
                </c:pt>
                <c:pt idx="107">
                  <c:v>8.4</c:v>
                </c:pt>
                <c:pt idx="108">
                  <c:v>8.3000000000000007</c:v>
                </c:pt>
                <c:pt idx="109">
                  <c:v>8.2000000000000011</c:v>
                </c:pt>
                <c:pt idx="110">
                  <c:v>8.1</c:v>
                </c:pt>
                <c:pt idx="112">
                  <c:v>9.1</c:v>
                </c:pt>
                <c:pt idx="113">
                  <c:v>9.1</c:v>
                </c:pt>
                <c:pt idx="114">
                  <c:v>9.2000000000000011</c:v>
                </c:pt>
                <c:pt idx="115">
                  <c:v>9.3000000000000007</c:v>
                </c:pt>
                <c:pt idx="116">
                  <c:v>9.4</c:v>
                </c:pt>
                <c:pt idx="117">
                  <c:v>9.5</c:v>
                </c:pt>
                <c:pt idx="118">
                  <c:v>9.6</c:v>
                </c:pt>
                <c:pt idx="119" formatCode="#,##0.0">
                  <c:v>9.6</c:v>
                </c:pt>
                <c:pt idx="120" formatCode="#,##0.0">
                  <c:v>9.5</c:v>
                </c:pt>
                <c:pt idx="121" formatCode="#,##0.0">
                  <c:v>9.4</c:v>
                </c:pt>
                <c:pt idx="122" formatCode="#,##0.0">
                  <c:v>9.3000000000000007</c:v>
                </c:pt>
                <c:pt idx="123" formatCode="#,##0.0">
                  <c:v>9.2000000000000011</c:v>
                </c:pt>
                <c:pt idx="124">
                  <c:v>9.1</c:v>
                </c:pt>
                <c:pt idx="126">
                  <c:v>10.1</c:v>
                </c:pt>
                <c:pt idx="127">
                  <c:v>10.1</c:v>
                </c:pt>
                <c:pt idx="128">
                  <c:v>10.200000000000001</c:v>
                </c:pt>
                <c:pt idx="129">
                  <c:v>10.3</c:v>
                </c:pt>
                <c:pt idx="130">
                  <c:v>10.4</c:v>
                </c:pt>
                <c:pt idx="131">
                  <c:v>10.5</c:v>
                </c:pt>
                <c:pt idx="132">
                  <c:v>10.6</c:v>
                </c:pt>
                <c:pt idx="133">
                  <c:v>10.6</c:v>
                </c:pt>
                <c:pt idx="134">
                  <c:v>10.5</c:v>
                </c:pt>
                <c:pt idx="135">
                  <c:v>10.4</c:v>
                </c:pt>
                <c:pt idx="136">
                  <c:v>10.3</c:v>
                </c:pt>
                <c:pt idx="137">
                  <c:v>10.200000000000001</c:v>
                </c:pt>
                <c:pt idx="138">
                  <c:v>10.1</c:v>
                </c:pt>
                <c:pt idx="140">
                  <c:v>11.1</c:v>
                </c:pt>
                <c:pt idx="141">
                  <c:v>11.1</c:v>
                </c:pt>
                <c:pt idx="142">
                  <c:v>11.2</c:v>
                </c:pt>
                <c:pt idx="143">
                  <c:v>11.3</c:v>
                </c:pt>
                <c:pt idx="144">
                  <c:v>11.4</c:v>
                </c:pt>
                <c:pt idx="145">
                  <c:v>11.5</c:v>
                </c:pt>
                <c:pt idx="146">
                  <c:v>11.6</c:v>
                </c:pt>
                <c:pt idx="147">
                  <c:v>11.6</c:v>
                </c:pt>
                <c:pt idx="148">
                  <c:v>11.5</c:v>
                </c:pt>
                <c:pt idx="149">
                  <c:v>11.4</c:v>
                </c:pt>
                <c:pt idx="150">
                  <c:v>11.3</c:v>
                </c:pt>
                <c:pt idx="151">
                  <c:v>11.2</c:v>
                </c:pt>
                <c:pt idx="152">
                  <c:v>11.1</c:v>
                </c:pt>
                <c:pt idx="154">
                  <c:v>12.1</c:v>
                </c:pt>
                <c:pt idx="155">
                  <c:v>12.1</c:v>
                </c:pt>
                <c:pt idx="156">
                  <c:v>12.2</c:v>
                </c:pt>
                <c:pt idx="157">
                  <c:v>12.3</c:v>
                </c:pt>
                <c:pt idx="158">
                  <c:v>12.4</c:v>
                </c:pt>
                <c:pt idx="159">
                  <c:v>12.5</c:v>
                </c:pt>
                <c:pt idx="160">
                  <c:v>12.6</c:v>
                </c:pt>
                <c:pt idx="161">
                  <c:v>12.6</c:v>
                </c:pt>
                <c:pt idx="162">
                  <c:v>12.5</c:v>
                </c:pt>
                <c:pt idx="163">
                  <c:v>12.4</c:v>
                </c:pt>
                <c:pt idx="164">
                  <c:v>12.3</c:v>
                </c:pt>
                <c:pt idx="165">
                  <c:v>12.2</c:v>
                </c:pt>
                <c:pt idx="166">
                  <c:v>12.1</c:v>
                </c:pt>
                <c:pt idx="168">
                  <c:v>13.1</c:v>
                </c:pt>
                <c:pt idx="169">
                  <c:v>13.1</c:v>
                </c:pt>
                <c:pt idx="170">
                  <c:v>13.2</c:v>
                </c:pt>
                <c:pt idx="171">
                  <c:v>13.3</c:v>
                </c:pt>
                <c:pt idx="172">
                  <c:v>13.4</c:v>
                </c:pt>
                <c:pt idx="173">
                  <c:v>13.5</c:v>
                </c:pt>
                <c:pt idx="174">
                  <c:v>13.6</c:v>
                </c:pt>
                <c:pt idx="175">
                  <c:v>13.6</c:v>
                </c:pt>
                <c:pt idx="176">
                  <c:v>13.5</c:v>
                </c:pt>
                <c:pt idx="177">
                  <c:v>13.4</c:v>
                </c:pt>
                <c:pt idx="178">
                  <c:v>13.3</c:v>
                </c:pt>
                <c:pt idx="179">
                  <c:v>13.2</c:v>
                </c:pt>
                <c:pt idx="180">
                  <c:v>13.1</c:v>
                </c:pt>
                <c:pt idx="182">
                  <c:v>14.3</c:v>
                </c:pt>
                <c:pt idx="183">
                  <c:v>14.3</c:v>
                </c:pt>
                <c:pt idx="184">
                  <c:v>14.4</c:v>
                </c:pt>
                <c:pt idx="185">
                  <c:v>14.5</c:v>
                </c:pt>
                <c:pt idx="186">
                  <c:v>14.6</c:v>
                </c:pt>
                <c:pt idx="187">
                  <c:v>14.6</c:v>
                </c:pt>
                <c:pt idx="188">
                  <c:v>14.5</c:v>
                </c:pt>
                <c:pt idx="189">
                  <c:v>14.4</c:v>
                </c:pt>
                <c:pt idx="190">
                  <c:v>14.3</c:v>
                </c:pt>
                <c:pt idx="192">
                  <c:v>15.3</c:v>
                </c:pt>
                <c:pt idx="193">
                  <c:v>15.3</c:v>
                </c:pt>
                <c:pt idx="194">
                  <c:v>15.4</c:v>
                </c:pt>
                <c:pt idx="195">
                  <c:v>15.5</c:v>
                </c:pt>
                <c:pt idx="196">
                  <c:v>15.6</c:v>
                </c:pt>
                <c:pt idx="197">
                  <c:v>15.6</c:v>
                </c:pt>
                <c:pt idx="198">
                  <c:v>15.5</c:v>
                </c:pt>
                <c:pt idx="199">
                  <c:v>15.4</c:v>
                </c:pt>
                <c:pt idx="200">
                  <c:v>15.3</c:v>
                </c:pt>
                <c:pt idx="202">
                  <c:v>16.5</c:v>
                </c:pt>
                <c:pt idx="203">
                  <c:v>16.5</c:v>
                </c:pt>
                <c:pt idx="204">
                  <c:v>16.600000000000001</c:v>
                </c:pt>
                <c:pt idx="205">
                  <c:v>16.600000000000001</c:v>
                </c:pt>
                <c:pt idx="206">
                  <c:v>16.5</c:v>
                </c:pt>
                <c:pt idx="208">
                  <c:v>1</c:v>
                </c:pt>
                <c:pt idx="209">
                  <c:v>17</c:v>
                </c:pt>
                <c:pt idx="211">
                  <c:v>1</c:v>
                </c:pt>
                <c:pt idx="212">
                  <c:v>17</c:v>
                </c:pt>
              </c:numCache>
            </c:numRef>
          </c:xVal>
          <c:yVal>
            <c:numRef>
              <c:f>Sheet1!$E$2:$E$214</c:f>
              <c:numCache>
                <c:formatCode>General</c:formatCode>
                <c:ptCount val="213"/>
                <c:pt idx="0">
                  <c:v>200</c:v>
                </c:pt>
                <c:pt idx="1">
                  <c:v>200</c:v>
                </c:pt>
                <c:pt idx="2">
                  <c:v>210</c:v>
                </c:pt>
                <c:pt idx="3">
                  <c:v>212</c:v>
                </c:pt>
                <c:pt idx="4">
                  <c:v>215</c:v>
                </c:pt>
                <c:pt idx="5">
                  <c:v>219</c:v>
                </c:pt>
                <c:pt idx="6">
                  <c:v>224</c:v>
                </c:pt>
                <c:pt idx="7">
                  <c:v>213</c:v>
                </c:pt>
                <c:pt idx="8">
                  <c:v>209</c:v>
                </c:pt>
                <c:pt idx="9">
                  <c:v>206</c:v>
                </c:pt>
                <c:pt idx="10">
                  <c:v>204</c:v>
                </c:pt>
                <c:pt idx="11">
                  <c:v>202</c:v>
                </c:pt>
                <c:pt idx="12">
                  <c:v>200</c:v>
                </c:pt>
                <c:pt idx="14">
                  <c:v>204</c:v>
                </c:pt>
                <c:pt idx="15">
                  <c:v>207</c:v>
                </c:pt>
                <c:pt idx="16">
                  <c:v>218</c:v>
                </c:pt>
                <c:pt idx="17">
                  <c:v>229</c:v>
                </c:pt>
                <c:pt idx="18">
                  <c:v>241</c:v>
                </c:pt>
                <c:pt idx="19">
                  <c:v>256</c:v>
                </c:pt>
                <c:pt idx="20">
                  <c:v>270</c:v>
                </c:pt>
                <c:pt idx="21">
                  <c:v>235</c:v>
                </c:pt>
                <c:pt idx="22">
                  <c:v>228</c:v>
                </c:pt>
                <c:pt idx="23">
                  <c:v>221</c:v>
                </c:pt>
                <c:pt idx="24">
                  <c:v>215</c:v>
                </c:pt>
                <c:pt idx="25">
                  <c:v>209</c:v>
                </c:pt>
                <c:pt idx="26">
                  <c:v>204</c:v>
                </c:pt>
                <c:pt idx="28">
                  <c:v>207</c:v>
                </c:pt>
                <c:pt idx="29">
                  <c:v>229</c:v>
                </c:pt>
                <c:pt idx="30">
                  <c:v>244</c:v>
                </c:pt>
                <c:pt idx="31">
                  <c:v>259</c:v>
                </c:pt>
                <c:pt idx="32">
                  <c:v>274</c:v>
                </c:pt>
                <c:pt idx="33">
                  <c:v>288</c:v>
                </c:pt>
                <c:pt idx="34">
                  <c:v>302</c:v>
                </c:pt>
                <c:pt idx="35">
                  <c:v>256</c:v>
                </c:pt>
                <c:pt idx="36">
                  <c:v>245</c:v>
                </c:pt>
                <c:pt idx="37">
                  <c:v>235</c:v>
                </c:pt>
                <c:pt idx="38">
                  <c:v>225</c:v>
                </c:pt>
                <c:pt idx="39">
                  <c:v>216</c:v>
                </c:pt>
                <c:pt idx="40">
                  <c:v>207</c:v>
                </c:pt>
                <c:pt idx="42">
                  <c:v>224</c:v>
                </c:pt>
                <c:pt idx="43">
                  <c:v>252</c:v>
                </c:pt>
                <c:pt idx="44">
                  <c:v>271</c:v>
                </c:pt>
                <c:pt idx="45">
                  <c:v>291</c:v>
                </c:pt>
                <c:pt idx="46">
                  <c:v>312</c:v>
                </c:pt>
                <c:pt idx="47">
                  <c:v>334</c:v>
                </c:pt>
                <c:pt idx="48">
                  <c:v>358</c:v>
                </c:pt>
                <c:pt idx="49">
                  <c:v>279</c:v>
                </c:pt>
                <c:pt idx="50">
                  <c:v>266</c:v>
                </c:pt>
                <c:pt idx="51">
                  <c:v>254</c:v>
                </c:pt>
                <c:pt idx="52">
                  <c:v>242</c:v>
                </c:pt>
                <c:pt idx="53">
                  <c:v>233</c:v>
                </c:pt>
                <c:pt idx="54">
                  <c:v>224</c:v>
                </c:pt>
                <c:pt idx="56">
                  <c:v>239</c:v>
                </c:pt>
                <c:pt idx="57">
                  <c:v>285</c:v>
                </c:pt>
                <c:pt idx="58">
                  <c:v>306</c:v>
                </c:pt>
                <c:pt idx="59">
                  <c:v>329</c:v>
                </c:pt>
                <c:pt idx="60">
                  <c:v>353</c:v>
                </c:pt>
                <c:pt idx="61">
                  <c:v>378</c:v>
                </c:pt>
                <c:pt idx="62">
                  <c:v>403</c:v>
                </c:pt>
                <c:pt idx="63">
                  <c:v>323</c:v>
                </c:pt>
                <c:pt idx="64">
                  <c:v>302</c:v>
                </c:pt>
                <c:pt idx="65">
                  <c:v>282</c:v>
                </c:pt>
                <c:pt idx="66">
                  <c:v>264</c:v>
                </c:pt>
                <c:pt idx="67">
                  <c:v>249</c:v>
                </c:pt>
                <c:pt idx="68">
                  <c:v>239</c:v>
                </c:pt>
                <c:pt idx="70">
                  <c:v>265</c:v>
                </c:pt>
                <c:pt idx="71">
                  <c:v>330</c:v>
                </c:pt>
                <c:pt idx="72">
                  <c:v>355</c:v>
                </c:pt>
                <c:pt idx="73">
                  <c:v>382</c:v>
                </c:pt>
                <c:pt idx="74">
                  <c:v>409</c:v>
                </c:pt>
                <c:pt idx="75">
                  <c:v>438</c:v>
                </c:pt>
                <c:pt idx="76">
                  <c:v>467</c:v>
                </c:pt>
                <c:pt idx="77">
                  <c:v>374</c:v>
                </c:pt>
                <c:pt idx="78">
                  <c:v>350</c:v>
                </c:pt>
                <c:pt idx="79">
                  <c:v>327</c:v>
                </c:pt>
                <c:pt idx="80">
                  <c:v>305</c:v>
                </c:pt>
                <c:pt idx="81">
                  <c:v>284</c:v>
                </c:pt>
                <c:pt idx="82">
                  <c:v>265</c:v>
                </c:pt>
                <c:pt idx="84">
                  <c:v>298</c:v>
                </c:pt>
                <c:pt idx="85">
                  <c:v>372</c:v>
                </c:pt>
                <c:pt idx="86">
                  <c:v>401</c:v>
                </c:pt>
                <c:pt idx="87">
                  <c:v>431</c:v>
                </c:pt>
                <c:pt idx="88">
                  <c:v>461</c:v>
                </c:pt>
                <c:pt idx="89">
                  <c:v>494</c:v>
                </c:pt>
                <c:pt idx="90">
                  <c:v>527</c:v>
                </c:pt>
                <c:pt idx="91">
                  <c:v>400</c:v>
                </c:pt>
                <c:pt idx="92">
                  <c:v>385</c:v>
                </c:pt>
                <c:pt idx="93">
                  <c:v>369</c:v>
                </c:pt>
                <c:pt idx="94">
                  <c:v>345</c:v>
                </c:pt>
                <c:pt idx="95">
                  <c:v>321</c:v>
                </c:pt>
                <c:pt idx="96">
                  <c:v>298</c:v>
                </c:pt>
                <c:pt idx="98">
                  <c:v>347</c:v>
                </c:pt>
                <c:pt idx="99">
                  <c:v>433</c:v>
                </c:pt>
                <c:pt idx="100">
                  <c:v>466</c:v>
                </c:pt>
                <c:pt idx="101">
                  <c:v>502</c:v>
                </c:pt>
                <c:pt idx="102">
                  <c:v>538</c:v>
                </c:pt>
                <c:pt idx="103">
                  <c:v>575</c:v>
                </c:pt>
                <c:pt idx="104">
                  <c:v>614</c:v>
                </c:pt>
                <c:pt idx="105">
                  <c:v>480</c:v>
                </c:pt>
                <c:pt idx="106">
                  <c:v>455</c:v>
                </c:pt>
                <c:pt idx="107">
                  <c:v>430</c:v>
                </c:pt>
                <c:pt idx="108">
                  <c:v>401</c:v>
                </c:pt>
                <c:pt idx="109">
                  <c:v>373</c:v>
                </c:pt>
                <c:pt idx="110">
                  <c:v>347</c:v>
                </c:pt>
                <c:pt idx="112">
                  <c:v>394</c:v>
                </c:pt>
                <c:pt idx="113">
                  <c:v>493</c:v>
                </c:pt>
                <c:pt idx="114">
                  <c:v>531</c:v>
                </c:pt>
                <c:pt idx="115">
                  <c:v>571</c:v>
                </c:pt>
                <c:pt idx="116">
                  <c:v>611</c:v>
                </c:pt>
                <c:pt idx="117">
                  <c:v>655</c:v>
                </c:pt>
                <c:pt idx="118">
                  <c:v>698</c:v>
                </c:pt>
                <c:pt idx="119">
                  <c:v>528</c:v>
                </c:pt>
                <c:pt idx="120">
                  <c:v>502</c:v>
                </c:pt>
                <c:pt idx="121">
                  <c:v>475</c:v>
                </c:pt>
                <c:pt idx="122">
                  <c:v>448</c:v>
                </c:pt>
                <c:pt idx="123">
                  <c:v>421</c:v>
                </c:pt>
                <c:pt idx="124">
                  <c:v>394</c:v>
                </c:pt>
                <c:pt idx="126">
                  <c:v>467</c:v>
                </c:pt>
                <c:pt idx="127">
                  <c:v>583</c:v>
                </c:pt>
                <c:pt idx="128">
                  <c:v>628</c:v>
                </c:pt>
                <c:pt idx="129">
                  <c:v>675</c:v>
                </c:pt>
                <c:pt idx="130">
                  <c:v>722</c:v>
                </c:pt>
                <c:pt idx="131">
                  <c:v>772</c:v>
                </c:pt>
                <c:pt idx="132">
                  <c:v>825</c:v>
                </c:pt>
                <c:pt idx="133">
                  <c:v>630</c:v>
                </c:pt>
                <c:pt idx="134">
                  <c:v>568</c:v>
                </c:pt>
                <c:pt idx="135">
                  <c:v>540</c:v>
                </c:pt>
                <c:pt idx="136">
                  <c:v>516</c:v>
                </c:pt>
                <c:pt idx="137">
                  <c:v>502</c:v>
                </c:pt>
                <c:pt idx="138">
                  <c:v>467</c:v>
                </c:pt>
                <c:pt idx="140">
                  <c:v>515</c:v>
                </c:pt>
                <c:pt idx="141">
                  <c:v>686</c:v>
                </c:pt>
                <c:pt idx="142">
                  <c:v>739</c:v>
                </c:pt>
                <c:pt idx="143">
                  <c:v>793</c:v>
                </c:pt>
                <c:pt idx="144">
                  <c:v>849</c:v>
                </c:pt>
                <c:pt idx="145">
                  <c:v>910</c:v>
                </c:pt>
                <c:pt idx="146">
                  <c:v>971</c:v>
                </c:pt>
                <c:pt idx="147">
                  <c:v>672</c:v>
                </c:pt>
                <c:pt idx="148">
                  <c:v>624</c:v>
                </c:pt>
                <c:pt idx="149">
                  <c:v>576</c:v>
                </c:pt>
                <c:pt idx="150">
                  <c:v>538</c:v>
                </c:pt>
                <c:pt idx="151">
                  <c:v>526</c:v>
                </c:pt>
                <c:pt idx="152">
                  <c:v>515</c:v>
                </c:pt>
                <c:pt idx="154">
                  <c:v>654</c:v>
                </c:pt>
                <c:pt idx="155">
                  <c:v>817</c:v>
                </c:pt>
                <c:pt idx="156">
                  <c:v>880</c:v>
                </c:pt>
                <c:pt idx="157">
                  <c:v>945</c:v>
                </c:pt>
                <c:pt idx="158">
                  <c:v>1013</c:v>
                </c:pt>
                <c:pt idx="159">
                  <c:v>1083</c:v>
                </c:pt>
                <c:pt idx="160">
                  <c:v>1157</c:v>
                </c:pt>
                <c:pt idx="161">
                  <c:v>778</c:v>
                </c:pt>
                <c:pt idx="162">
                  <c:v>730</c:v>
                </c:pt>
                <c:pt idx="163">
                  <c:v>719</c:v>
                </c:pt>
                <c:pt idx="164">
                  <c:v>706</c:v>
                </c:pt>
                <c:pt idx="165">
                  <c:v>685</c:v>
                </c:pt>
                <c:pt idx="166">
                  <c:v>654</c:v>
                </c:pt>
                <c:pt idx="168">
                  <c:v>762</c:v>
                </c:pt>
                <c:pt idx="169">
                  <c:v>952</c:v>
                </c:pt>
                <c:pt idx="170">
                  <c:v>1024</c:v>
                </c:pt>
                <c:pt idx="171">
                  <c:v>1100</c:v>
                </c:pt>
                <c:pt idx="172">
                  <c:v>1179</c:v>
                </c:pt>
                <c:pt idx="173">
                  <c:v>1261</c:v>
                </c:pt>
                <c:pt idx="174">
                  <c:v>1347</c:v>
                </c:pt>
                <c:pt idx="175">
                  <c:v>976</c:v>
                </c:pt>
                <c:pt idx="176">
                  <c:v>931</c:v>
                </c:pt>
                <c:pt idx="177">
                  <c:v>900</c:v>
                </c:pt>
                <c:pt idx="178">
                  <c:v>880</c:v>
                </c:pt>
                <c:pt idx="179">
                  <c:v>819</c:v>
                </c:pt>
                <c:pt idx="180">
                  <c:v>762</c:v>
                </c:pt>
                <c:pt idx="182">
                  <c:v>1040</c:v>
                </c:pt>
                <c:pt idx="183">
                  <c:v>1301</c:v>
                </c:pt>
                <c:pt idx="184">
                  <c:v>1393</c:v>
                </c:pt>
                <c:pt idx="185">
                  <c:v>1491</c:v>
                </c:pt>
                <c:pt idx="186">
                  <c:v>1591</c:v>
                </c:pt>
                <c:pt idx="187">
                  <c:v>1159</c:v>
                </c:pt>
                <c:pt idx="188">
                  <c:v>1118</c:v>
                </c:pt>
                <c:pt idx="189">
                  <c:v>1082</c:v>
                </c:pt>
                <c:pt idx="190">
                  <c:v>1040</c:v>
                </c:pt>
                <c:pt idx="192">
                  <c:v>1257</c:v>
                </c:pt>
                <c:pt idx="193">
                  <c:v>1479</c:v>
                </c:pt>
                <c:pt idx="194">
                  <c:v>1536</c:v>
                </c:pt>
                <c:pt idx="195">
                  <c:v>1594</c:v>
                </c:pt>
                <c:pt idx="196">
                  <c:v>1653</c:v>
                </c:pt>
                <c:pt idx="197">
                  <c:v>1405</c:v>
                </c:pt>
                <c:pt idx="198">
                  <c:v>1355</c:v>
                </c:pt>
                <c:pt idx="199">
                  <c:v>1306</c:v>
                </c:pt>
                <c:pt idx="200">
                  <c:v>1257</c:v>
                </c:pt>
                <c:pt idx="202">
                  <c:v>1419</c:v>
                </c:pt>
                <c:pt idx="203">
                  <c:v>1669</c:v>
                </c:pt>
                <c:pt idx="204">
                  <c:v>1715</c:v>
                </c:pt>
                <c:pt idx="205">
                  <c:v>1458</c:v>
                </c:pt>
                <c:pt idx="206">
                  <c:v>1419</c:v>
                </c:pt>
              </c:numCache>
            </c:numRef>
          </c:yVal>
          <c:smooth val="0"/>
        </c:ser>
        <c:ser>
          <c:idx val="4"/>
          <c:order val="4"/>
          <c:tx>
            <c:strRef>
              <c:f>Sheet1!$F$1</c:f>
              <c:strCache>
                <c:ptCount val="1"/>
                <c:pt idx="0">
                  <c:v>Ministriju padotībā esošās iestādes</c:v>
                </c:pt>
              </c:strCache>
            </c:strRef>
          </c:tx>
          <c:spPr>
            <a:ln w="22208">
              <a:solidFill>
                <a:srgbClr val="0070C0"/>
              </a:solidFill>
            </a:ln>
          </c:spPr>
          <c:marker>
            <c:symbol val="none"/>
          </c:marker>
          <c:xVal>
            <c:numRef>
              <c:f>Sheet1!$A$2:$A$214</c:f>
              <c:numCache>
                <c:formatCode>General</c:formatCode>
                <c:ptCount val="213"/>
                <c:pt idx="0">
                  <c:v>1.0999999999999988</c:v>
                </c:pt>
                <c:pt idx="1">
                  <c:v>1.0999999999999988</c:v>
                </c:pt>
                <c:pt idx="2">
                  <c:v>1.1999999999999984</c:v>
                </c:pt>
                <c:pt idx="3">
                  <c:v>1.3000000000000007</c:v>
                </c:pt>
                <c:pt idx="4">
                  <c:v>1.4000000000000004</c:v>
                </c:pt>
                <c:pt idx="5">
                  <c:v>1.5</c:v>
                </c:pt>
                <c:pt idx="6">
                  <c:v>1.5999999999999988</c:v>
                </c:pt>
                <c:pt idx="7">
                  <c:v>1.5999999999999988</c:v>
                </c:pt>
                <c:pt idx="8">
                  <c:v>1.5</c:v>
                </c:pt>
                <c:pt idx="9">
                  <c:v>1.4000000000000004</c:v>
                </c:pt>
                <c:pt idx="10">
                  <c:v>1.3000000000000007</c:v>
                </c:pt>
                <c:pt idx="11">
                  <c:v>1.1999999999999984</c:v>
                </c:pt>
                <c:pt idx="12">
                  <c:v>1.0999999999999988</c:v>
                </c:pt>
                <c:pt idx="14">
                  <c:v>2.0999999999999988</c:v>
                </c:pt>
                <c:pt idx="15">
                  <c:v>2.0999999999999988</c:v>
                </c:pt>
                <c:pt idx="16">
                  <c:v>2.1999999999999993</c:v>
                </c:pt>
                <c:pt idx="17">
                  <c:v>2.3000000000000007</c:v>
                </c:pt>
                <c:pt idx="18">
                  <c:v>2.4000000000000004</c:v>
                </c:pt>
                <c:pt idx="19">
                  <c:v>2.5</c:v>
                </c:pt>
                <c:pt idx="20">
                  <c:v>2.5999999999999988</c:v>
                </c:pt>
                <c:pt idx="21">
                  <c:v>2.5999999999999988</c:v>
                </c:pt>
                <c:pt idx="22">
                  <c:v>2.5</c:v>
                </c:pt>
                <c:pt idx="23">
                  <c:v>2.4000000000000004</c:v>
                </c:pt>
                <c:pt idx="24">
                  <c:v>2.3000000000000007</c:v>
                </c:pt>
                <c:pt idx="25">
                  <c:v>2.1999999999999993</c:v>
                </c:pt>
                <c:pt idx="26">
                  <c:v>2.0999999999999988</c:v>
                </c:pt>
                <c:pt idx="28">
                  <c:v>3.0999999999999988</c:v>
                </c:pt>
                <c:pt idx="29">
                  <c:v>3.0999999999999988</c:v>
                </c:pt>
                <c:pt idx="30">
                  <c:v>3.1999999999999993</c:v>
                </c:pt>
                <c:pt idx="31">
                  <c:v>3.3000000000000007</c:v>
                </c:pt>
                <c:pt idx="32">
                  <c:v>3.4000000000000004</c:v>
                </c:pt>
                <c:pt idx="33">
                  <c:v>3.5</c:v>
                </c:pt>
                <c:pt idx="34">
                  <c:v>3.5999999999999988</c:v>
                </c:pt>
                <c:pt idx="35">
                  <c:v>3.5999999999999988</c:v>
                </c:pt>
                <c:pt idx="36">
                  <c:v>3.5</c:v>
                </c:pt>
                <c:pt idx="37">
                  <c:v>3.4000000000000004</c:v>
                </c:pt>
                <c:pt idx="38">
                  <c:v>3.3000000000000007</c:v>
                </c:pt>
                <c:pt idx="39">
                  <c:v>3.1999999999999993</c:v>
                </c:pt>
                <c:pt idx="40">
                  <c:v>3.0999999999999988</c:v>
                </c:pt>
                <c:pt idx="42">
                  <c:v>4.0999999999999996</c:v>
                </c:pt>
                <c:pt idx="43">
                  <c:v>4.0999999999999996</c:v>
                </c:pt>
                <c:pt idx="44">
                  <c:v>4.1999999999999975</c:v>
                </c:pt>
                <c:pt idx="45">
                  <c:v>4.3000000000000007</c:v>
                </c:pt>
                <c:pt idx="46">
                  <c:v>4.4000000000000004</c:v>
                </c:pt>
                <c:pt idx="47">
                  <c:v>4.5</c:v>
                </c:pt>
                <c:pt idx="48">
                  <c:v>4.5999999999999996</c:v>
                </c:pt>
                <c:pt idx="49">
                  <c:v>4.5999999999999996</c:v>
                </c:pt>
                <c:pt idx="50">
                  <c:v>4.5</c:v>
                </c:pt>
                <c:pt idx="51">
                  <c:v>4.4000000000000004</c:v>
                </c:pt>
                <c:pt idx="52">
                  <c:v>4.3000000000000007</c:v>
                </c:pt>
                <c:pt idx="53">
                  <c:v>4.1999999999999975</c:v>
                </c:pt>
                <c:pt idx="54">
                  <c:v>4.0999999999999996</c:v>
                </c:pt>
                <c:pt idx="56">
                  <c:v>5.0999999999999996</c:v>
                </c:pt>
                <c:pt idx="57">
                  <c:v>5.0999999999999996</c:v>
                </c:pt>
                <c:pt idx="58">
                  <c:v>5.1999999999999975</c:v>
                </c:pt>
                <c:pt idx="59">
                  <c:v>5.3000000000000007</c:v>
                </c:pt>
                <c:pt idx="60">
                  <c:v>5.4</c:v>
                </c:pt>
                <c:pt idx="61">
                  <c:v>5.5</c:v>
                </c:pt>
                <c:pt idx="62">
                  <c:v>5.6</c:v>
                </c:pt>
                <c:pt idx="63">
                  <c:v>5.6</c:v>
                </c:pt>
                <c:pt idx="64">
                  <c:v>5.5</c:v>
                </c:pt>
                <c:pt idx="65">
                  <c:v>5.4</c:v>
                </c:pt>
                <c:pt idx="66">
                  <c:v>5.3000000000000007</c:v>
                </c:pt>
                <c:pt idx="67">
                  <c:v>5.1999999999999975</c:v>
                </c:pt>
                <c:pt idx="68">
                  <c:v>5.0999999999999996</c:v>
                </c:pt>
                <c:pt idx="70">
                  <c:v>6.1</c:v>
                </c:pt>
                <c:pt idx="71">
                  <c:v>6.1</c:v>
                </c:pt>
                <c:pt idx="72">
                  <c:v>6.1999999999999975</c:v>
                </c:pt>
                <c:pt idx="73">
                  <c:v>6.3000000000000007</c:v>
                </c:pt>
                <c:pt idx="74">
                  <c:v>6.4</c:v>
                </c:pt>
                <c:pt idx="75">
                  <c:v>6.5</c:v>
                </c:pt>
                <c:pt idx="76">
                  <c:v>6.6</c:v>
                </c:pt>
                <c:pt idx="77">
                  <c:v>6.6</c:v>
                </c:pt>
                <c:pt idx="78">
                  <c:v>6.5</c:v>
                </c:pt>
                <c:pt idx="79">
                  <c:v>6.4</c:v>
                </c:pt>
                <c:pt idx="80">
                  <c:v>6.3000000000000007</c:v>
                </c:pt>
                <c:pt idx="81">
                  <c:v>6.1999999999999975</c:v>
                </c:pt>
                <c:pt idx="82">
                  <c:v>6.1</c:v>
                </c:pt>
                <c:pt idx="84">
                  <c:v>7.1</c:v>
                </c:pt>
                <c:pt idx="85">
                  <c:v>7.1</c:v>
                </c:pt>
                <c:pt idx="86">
                  <c:v>7.1999999999999975</c:v>
                </c:pt>
                <c:pt idx="87">
                  <c:v>7.3000000000000007</c:v>
                </c:pt>
                <c:pt idx="88">
                  <c:v>7.4</c:v>
                </c:pt>
                <c:pt idx="89">
                  <c:v>7.5</c:v>
                </c:pt>
                <c:pt idx="90">
                  <c:v>7.6</c:v>
                </c:pt>
                <c:pt idx="91">
                  <c:v>7.6</c:v>
                </c:pt>
                <c:pt idx="92">
                  <c:v>7.5</c:v>
                </c:pt>
                <c:pt idx="93">
                  <c:v>7.4</c:v>
                </c:pt>
                <c:pt idx="94">
                  <c:v>7.3000000000000007</c:v>
                </c:pt>
                <c:pt idx="95">
                  <c:v>7.1999999999999975</c:v>
                </c:pt>
                <c:pt idx="96">
                  <c:v>7.1</c:v>
                </c:pt>
                <c:pt idx="98">
                  <c:v>8.1</c:v>
                </c:pt>
                <c:pt idx="99">
                  <c:v>8.1</c:v>
                </c:pt>
                <c:pt idx="100">
                  <c:v>8.2000000000000011</c:v>
                </c:pt>
                <c:pt idx="101">
                  <c:v>8.3000000000000007</c:v>
                </c:pt>
                <c:pt idx="102">
                  <c:v>8.4</c:v>
                </c:pt>
                <c:pt idx="103">
                  <c:v>8.5</c:v>
                </c:pt>
                <c:pt idx="104">
                  <c:v>8.6</c:v>
                </c:pt>
                <c:pt idx="105">
                  <c:v>8.6</c:v>
                </c:pt>
                <c:pt idx="106">
                  <c:v>8.5</c:v>
                </c:pt>
                <c:pt idx="107">
                  <c:v>8.4</c:v>
                </c:pt>
                <c:pt idx="108">
                  <c:v>8.3000000000000007</c:v>
                </c:pt>
                <c:pt idx="109">
                  <c:v>8.2000000000000011</c:v>
                </c:pt>
                <c:pt idx="110">
                  <c:v>8.1</c:v>
                </c:pt>
                <c:pt idx="112">
                  <c:v>9.1</c:v>
                </c:pt>
                <c:pt idx="113">
                  <c:v>9.1</c:v>
                </c:pt>
                <c:pt idx="114">
                  <c:v>9.2000000000000011</c:v>
                </c:pt>
                <c:pt idx="115">
                  <c:v>9.3000000000000007</c:v>
                </c:pt>
                <c:pt idx="116">
                  <c:v>9.4</c:v>
                </c:pt>
                <c:pt idx="117">
                  <c:v>9.5</c:v>
                </c:pt>
                <c:pt idx="118">
                  <c:v>9.6</c:v>
                </c:pt>
                <c:pt idx="119" formatCode="#,##0.0">
                  <c:v>9.6</c:v>
                </c:pt>
                <c:pt idx="120" formatCode="#,##0.0">
                  <c:v>9.5</c:v>
                </c:pt>
                <c:pt idx="121" formatCode="#,##0.0">
                  <c:v>9.4</c:v>
                </c:pt>
                <c:pt idx="122" formatCode="#,##0.0">
                  <c:v>9.3000000000000007</c:v>
                </c:pt>
                <c:pt idx="123" formatCode="#,##0.0">
                  <c:v>9.2000000000000011</c:v>
                </c:pt>
                <c:pt idx="124">
                  <c:v>9.1</c:v>
                </c:pt>
                <c:pt idx="126">
                  <c:v>10.1</c:v>
                </c:pt>
                <c:pt idx="127">
                  <c:v>10.1</c:v>
                </c:pt>
                <c:pt idx="128">
                  <c:v>10.200000000000001</c:v>
                </c:pt>
                <c:pt idx="129">
                  <c:v>10.3</c:v>
                </c:pt>
                <c:pt idx="130">
                  <c:v>10.4</c:v>
                </c:pt>
                <c:pt idx="131">
                  <c:v>10.5</c:v>
                </c:pt>
                <c:pt idx="132">
                  <c:v>10.6</c:v>
                </c:pt>
                <c:pt idx="133">
                  <c:v>10.6</c:v>
                </c:pt>
                <c:pt idx="134">
                  <c:v>10.5</c:v>
                </c:pt>
                <c:pt idx="135">
                  <c:v>10.4</c:v>
                </c:pt>
                <c:pt idx="136">
                  <c:v>10.3</c:v>
                </c:pt>
                <c:pt idx="137">
                  <c:v>10.200000000000001</c:v>
                </c:pt>
                <c:pt idx="138">
                  <c:v>10.1</c:v>
                </c:pt>
                <c:pt idx="140">
                  <c:v>11.1</c:v>
                </c:pt>
                <c:pt idx="141">
                  <c:v>11.1</c:v>
                </c:pt>
                <c:pt idx="142">
                  <c:v>11.2</c:v>
                </c:pt>
                <c:pt idx="143">
                  <c:v>11.3</c:v>
                </c:pt>
                <c:pt idx="144">
                  <c:v>11.4</c:v>
                </c:pt>
                <c:pt idx="145">
                  <c:v>11.5</c:v>
                </c:pt>
                <c:pt idx="146">
                  <c:v>11.6</c:v>
                </c:pt>
                <c:pt idx="147">
                  <c:v>11.6</c:v>
                </c:pt>
                <c:pt idx="148">
                  <c:v>11.5</c:v>
                </c:pt>
                <c:pt idx="149">
                  <c:v>11.4</c:v>
                </c:pt>
                <c:pt idx="150">
                  <c:v>11.3</c:v>
                </c:pt>
                <c:pt idx="151">
                  <c:v>11.2</c:v>
                </c:pt>
                <c:pt idx="152">
                  <c:v>11.1</c:v>
                </c:pt>
                <c:pt idx="154">
                  <c:v>12.1</c:v>
                </c:pt>
                <c:pt idx="155">
                  <c:v>12.1</c:v>
                </c:pt>
                <c:pt idx="156">
                  <c:v>12.2</c:v>
                </c:pt>
                <c:pt idx="157">
                  <c:v>12.3</c:v>
                </c:pt>
                <c:pt idx="158">
                  <c:v>12.4</c:v>
                </c:pt>
                <c:pt idx="159">
                  <c:v>12.5</c:v>
                </c:pt>
                <c:pt idx="160">
                  <c:v>12.6</c:v>
                </c:pt>
                <c:pt idx="161">
                  <c:v>12.6</c:v>
                </c:pt>
                <c:pt idx="162">
                  <c:v>12.5</c:v>
                </c:pt>
                <c:pt idx="163">
                  <c:v>12.4</c:v>
                </c:pt>
                <c:pt idx="164">
                  <c:v>12.3</c:v>
                </c:pt>
                <c:pt idx="165">
                  <c:v>12.2</c:v>
                </c:pt>
                <c:pt idx="166">
                  <c:v>12.1</c:v>
                </c:pt>
                <c:pt idx="168">
                  <c:v>13.1</c:v>
                </c:pt>
                <c:pt idx="169">
                  <c:v>13.1</c:v>
                </c:pt>
                <c:pt idx="170">
                  <c:v>13.2</c:v>
                </c:pt>
                <c:pt idx="171">
                  <c:v>13.3</c:v>
                </c:pt>
                <c:pt idx="172">
                  <c:v>13.4</c:v>
                </c:pt>
                <c:pt idx="173">
                  <c:v>13.5</c:v>
                </c:pt>
                <c:pt idx="174">
                  <c:v>13.6</c:v>
                </c:pt>
                <c:pt idx="175">
                  <c:v>13.6</c:v>
                </c:pt>
                <c:pt idx="176">
                  <c:v>13.5</c:v>
                </c:pt>
                <c:pt idx="177">
                  <c:v>13.4</c:v>
                </c:pt>
                <c:pt idx="178">
                  <c:v>13.3</c:v>
                </c:pt>
                <c:pt idx="179">
                  <c:v>13.2</c:v>
                </c:pt>
                <c:pt idx="180">
                  <c:v>13.1</c:v>
                </c:pt>
                <c:pt idx="182">
                  <c:v>14.3</c:v>
                </c:pt>
                <c:pt idx="183">
                  <c:v>14.3</c:v>
                </c:pt>
                <c:pt idx="184">
                  <c:v>14.4</c:v>
                </c:pt>
                <c:pt idx="185">
                  <c:v>14.5</c:v>
                </c:pt>
                <c:pt idx="186">
                  <c:v>14.6</c:v>
                </c:pt>
                <c:pt idx="187">
                  <c:v>14.6</c:v>
                </c:pt>
                <c:pt idx="188">
                  <c:v>14.5</c:v>
                </c:pt>
                <c:pt idx="189">
                  <c:v>14.4</c:v>
                </c:pt>
                <c:pt idx="190">
                  <c:v>14.3</c:v>
                </c:pt>
                <c:pt idx="192">
                  <c:v>15.3</c:v>
                </c:pt>
                <c:pt idx="193">
                  <c:v>15.3</c:v>
                </c:pt>
                <c:pt idx="194">
                  <c:v>15.4</c:v>
                </c:pt>
                <c:pt idx="195">
                  <c:v>15.5</c:v>
                </c:pt>
                <c:pt idx="196">
                  <c:v>15.6</c:v>
                </c:pt>
                <c:pt idx="197">
                  <c:v>15.6</c:v>
                </c:pt>
                <c:pt idx="198">
                  <c:v>15.5</c:v>
                </c:pt>
                <c:pt idx="199">
                  <c:v>15.4</c:v>
                </c:pt>
                <c:pt idx="200">
                  <c:v>15.3</c:v>
                </c:pt>
                <c:pt idx="202">
                  <c:v>16.5</c:v>
                </c:pt>
                <c:pt idx="203">
                  <c:v>16.5</c:v>
                </c:pt>
                <c:pt idx="204">
                  <c:v>16.600000000000001</c:v>
                </c:pt>
                <c:pt idx="205">
                  <c:v>16.600000000000001</c:v>
                </c:pt>
                <c:pt idx="206">
                  <c:v>16.5</c:v>
                </c:pt>
                <c:pt idx="208">
                  <c:v>1</c:v>
                </c:pt>
                <c:pt idx="209">
                  <c:v>17</c:v>
                </c:pt>
                <c:pt idx="211">
                  <c:v>1</c:v>
                </c:pt>
                <c:pt idx="212">
                  <c:v>17</c:v>
                </c:pt>
              </c:numCache>
            </c:numRef>
          </c:xVal>
          <c:yVal>
            <c:numRef>
              <c:f>Sheet1!$F$2:$F$214</c:f>
              <c:numCache>
                <c:formatCode>General</c:formatCode>
                <c:ptCount val="213"/>
                <c:pt idx="0">
                  <c:v>200</c:v>
                </c:pt>
                <c:pt idx="1">
                  <c:v>200</c:v>
                </c:pt>
                <c:pt idx="2">
                  <c:v>210</c:v>
                </c:pt>
                <c:pt idx="3">
                  <c:v>212</c:v>
                </c:pt>
                <c:pt idx="4">
                  <c:v>215</c:v>
                </c:pt>
                <c:pt idx="5">
                  <c:v>219</c:v>
                </c:pt>
                <c:pt idx="6">
                  <c:v>224</c:v>
                </c:pt>
                <c:pt idx="7">
                  <c:v>213</c:v>
                </c:pt>
                <c:pt idx="8">
                  <c:v>209</c:v>
                </c:pt>
                <c:pt idx="9">
                  <c:v>206</c:v>
                </c:pt>
                <c:pt idx="10">
                  <c:v>204</c:v>
                </c:pt>
                <c:pt idx="11">
                  <c:v>202</c:v>
                </c:pt>
                <c:pt idx="12">
                  <c:v>200</c:v>
                </c:pt>
                <c:pt idx="14">
                  <c:v>202</c:v>
                </c:pt>
                <c:pt idx="15">
                  <c:v>207</c:v>
                </c:pt>
                <c:pt idx="16">
                  <c:v>218</c:v>
                </c:pt>
                <c:pt idx="17">
                  <c:v>229</c:v>
                </c:pt>
                <c:pt idx="18">
                  <c:v>241</c:v>
                </c:pt>
                <c:pt idx="19">
                  <c:v>256</c:v>
                </c:pt>
                <c:pt idx="20">
                  <c:v>270</c:v>
                </c:pt>
                <c:pt idx="21">
                  <c:v>218</c:v>
                </c:pt>
                <c:pt idx="22">
                  <c:v>214</c:v>
                </c:pt>
                <c:pt idx="23">
                  <c:v>210</c:v>
                </c:pt>
                <c:pt idx="24">
                  <c:v>207</c:v>
                </c:pt>
                <c:pt idx="25">
                  <c:v>204</c:v>
                </c:pt>
                <c:pt idx="26">
                  <c:v>202</c:v>
                </c:pt>
                <c:pt idx="28">
                  <c:v>204</c:v>
                </c:pt>
                <c:pt idx="29">
                  <c:v>229</c:v>
                </c:pt>
                <c:pt idx="30">
                  <c:v>244</c:v>
                </c:pt>
                <c:pt idx="31">
                  <c:v>259</c:v>
                </c:pt>
                <c:pt idx="32">
                  <c:v>274</c:v>
                </c:pt>
                <c:pt idx="33">
                  <c:v>288</c:v>
                </c:pt>
                <c:pt idx="34">
                  <c:v>302</c:v>
                </c:pt>
                <c:pt idx="35">
                  <c:v>221</c:v>
                </c:pt>
                <c:pt idx="36">
                  <c:v>217</c:v>
                </c:pt>
                <c:pt idx="37">
                  <c:v>213</c:v>
                </c:pt>
                <c:pt idx="38">
                  <c:v>209</c:v>
                </c:pt>
                <c:pt idx="39">
                  <c:v>206</c:v>
                </c:pt>
                <c:pt idx="40">
                  <c:v>204</c:v>
                </c:pt>
                <c:pt idx="42">
                  <c:v>206</c:v>
                </c:pt>
                <c:pt idx="43">
                  <c:v>252</c:v>
                </c:pt>
                <c:pt idx="44">
                  <c:v>271</c:v>
                </c:pt>
                <c:pt idx="45">
                  <c:v>291</c:v>
                </c:pt>
                <c:pt idx="46">
                  <c:v>312</c:v>
                </c:pt>
                <c:pt idx="47">
                  <c:v>334</c:v>
                </c:pt>
                <c:pt idx="48">
                  <c:v>358</c:v>
                </c:pt>
                <c:pt idx="49">
                  <c:v>225</c:v>
                </c:pt>
                <c:pt idx="50">
                  <c:v>220</c:v>
                </c:pt>
                <c:pt idx="51">
                  <c:v>216</c:v>
                </c:pt>
                <c:pt idx="52">
                  <c:v>212</c:v>
                </c:pt>
                <c:pt idx="53">
                  <c:v>209</c:v>
                </c:pt>
                <c:pt idx="54">
                  <c:v>206</c:v>
                </c:pt>
                <c:pt idx="56">
                  <c:v>208</c:v>
                </c:pt>
                <c:pt idx="57">
                  <c:v>285</c:v>
                </c:pt>
                <c:pt idx="58">
                  <c:v>306</c:v>
                </c:pt>
                <c:pt idx="59">
                  <c:v>329</c:v>
                </c:pt>
                <c:pt idx="60">
                  <c:v>353</c:v>
                </c:pt>
                <c:pt idx="61">
                  <c:v>378</c:v>
                </c:pt>
                <c:pt idx="62">
                  <c:v>403</c:v>
                </c:pt>
                <c:pt idx="63">
                  <c:v>229</c:v>
                </c:pt>
                <c:pt idx="64">
                  <c:v>224</c:v>
                </c:pt>
                <c:pt idx="65">
                  <c:v>219</c:v>
                </c:pt>
                <c:pt idx="66">
                  <c:v>215</c:v>
                </c:pt>
                <c:pt idx="67">
                  <c:v>211</c:v>
                </c:pt>
                <c:pt idx="68">
                  <c:v>208</c:v>
                </c:pt>
                <c:pt idx="70">
                  <c:v>210</c:v>
                </c:pt>
                <c:pt idx="71">
                  <c:v>330</c:v>
                </c:pt>
                <c:pt idx="72">
                  <c:v>355</c:v>
                </c:pt>
                <c:pt idx="73">
                  <c:v>382</c:v>
                </c:pt>
                <c:pt idx="74">
                  <c:v>409</c:v>
                </c:pt>
                <c:pt idx="75">
                  <c:v>438</c:v>
                </c:pt>
                <c:pt idx="76">
                  <c:v>467</c:v>
                </c:pt>
                <c:pt idx="77">
                  <c:v>231</c:v>
                </c:pt>
                <c:pt idx="78">
                  <c:v>226</c:v>
                </c:pt>
                <c:pt idx="79">
                  <c:v>221</c:v>
                </c:pt>
                <c:pt idx="80">
                  <c:v>217</c:v>
                </c:pt>
                <c:pt idx="81">
                  <c:v>213</c:v>
                </c:pt>
                <c:pt idx="82">
                  <c:v>210</c:v>
                </c:pt>
                <c:pt idx="84">
                  <c:v>213</c:v>
                </c:pt>
                <c:pt idx="85">
                  <c:v>372</c:v>
                </c:pt>
                <c:pt idx="86">
                  <c:v>401</c:v>
                </c:pt>
                <c:pt idx="87">
                  <c:v>431</c:v>
                </c:pt>
                <c:pt idx="88">
                  <c:v>461</c:v>
                </c:pt>
                <c:pt idx="89">
                  <c:v>494</c:v>
                </c:pt>
                <c:pt idx="90">
                  <c:v>527</c:v>
                </c:pt>
                <c:pt idx="91">
                  <c:v>237</c:v>
                </c:pt>
                <c:pt idx="92">
                  <c:v>230</c:v>
                </c:pt>
                <c:pt idx="93">
                  <c:v>224</c:v>
                </c:pt>
                <c:pt idx="94">
                  <c:v>220</c:v>
                </c:pt>
                <c:pt idx="95">
                  <c:v>216</c:v>
                </c:pt>
                <c:pt idx="96">
                  <c:v>213</c:v>
                </c:pt>
                <c:pt idx="98">
                  <c:v>217</c:v>
                </c:pt>
                <c:pt idx="99">
                  <c:v>433</c:v>
                </c:pt>
                <c:pt idx="100">
                  <c:v>466</c:v>
                </c:pt>
                <c:pt idx="101">
                  <c:v>502</c:v>
                </c:pt>
                <c:pt idx="102">
                  <c:v>538</c:v>
                </c:pt>
                <c:pt idx="103">
                  <c:v>575</c:v>
                </c:pt>
                <c:pt idx="104">
                  <c:v>614</c:v>
                </c:pt>
                <c:pt idx="105">
                  <c:v>249</c:v>
                </c:pt>
                <c:pt idx="106">
                  <c:v>238</c:v>
                </c:pt>
                <c:pt idx="107">
                  <c:v>230</c:v>
                </c:pt>
                <c:pt idx="108">
                  <c:v>225</c:v>
                </c:pt>
                <c:pt idx="109">
                  <c:v>221</c:v>
                </c:pt>
                <c:pt idx="110">
                  <c:v>217</c:v>
                </c:pt>
                <c:pt idx="112">
                  <c:v>221</c:v>
                </c:pt>
                <c:pt idx="113">
                  <c:v>493</c:v>
                </c:pt>
                <c:pt idx="114">
                  <c:v>531</c:v>
                </c:pt>
                <c:pt idx="115">
                  <c:v>571</c:v>
                </c:pt>
                <c:pt idx="116">
                  <c:v>611</c:v>
                </c:pt>
                <c:pt idx="117">
                  <c:v>655</c:v>
                </c:pt>
                <c:pt idx="118">
                  <c:v>698</c:v>
                </c:pt>
                <c:pt idx="119">
                  <c:v>262</c:v>
                </c:pt>
                <c:pt idx="120">
                  <c:v>251</c:v>
                </c:pt>
                <c:pt idx="121">
                  <c:v>240</c:v>
                </c:pt>
                <c:pt idx="122">
                  <c:v>232</c:v>
                </c:pt>
                <c:pt idx="123">
                  <c:v>226</c:v>
                </c:pt>
                <c:pt idx="124">
                  <c:v>221</c:v>
                </c:pt>
                <c:pt idx="126">
                  <c:v>228</c:v>
                </c:pt>
                <c:pt idx="127">
                  <c:v>583</c:v>
                </c:pt>
                <c:pt idx="128">
                  <c:v>628</c:v>
                </c:pt>
                <c:pt idx="129">
                  <c:v>675</c:v>
                </c:pt>
                <c:pt idx="130">
                  <c:v>722</c:v>
                </c:pt>
                <c:pt idx="131">
                  <c:v>772</c:v>
                </c:pt>
                <c:pt idx="132">
                  <c:v>825</c:v>
                </c:pt>
                <c:pt idx="133">
                  <c:v>303</c:v>
                </c:pt>
                <c:pt idx="134">
                  <c:v>276</c:v>
                </c:pt>
                <c:pt idx="135">
                  <c:v>253</c:v>
                </c:pt>
                <c:pt idx="136">
                  <c:v>242</c:v>
                </c:pt>
                <c:pt idx="137">
                  <c:v>234</c:v>
                </c:pt>
                <c:pt idx="138">
                  <c:v>228</c:v>
                </c:pt>
                <c:pt idx="140">
                  <c:v>238</c:v>
                </c:pt>
                <c:pt idx="141">
                  <c:v>686</c:v>
                </c:pt>
                <c:pt idx="142">
                  <c:v>739</c:v>
                </c:pt>
                <c:pt idx="143">
                  <c:v>793</c:v>
                </c:pt>
                <c:pt idx="144">
                  <c:v>849</c:v>
                </c:pt>
                <c:pt idx="145">
                  <c:v>910</c:v>
                </c:pt>
                <c:pt idx="146">
                  <c:v>971</c:v>
                </c:pt>
                <c:pt idx="147">
                  <c:v>355</c:v>
                </c:pt>
                <c:pt idx="148">
                  <c:v>327</c:v>
                </c:pt>
                <c:pt idx="149">
                  <c:v>297</c:v>
                </c:pt>
                <c:pt idx="150">
                  <c:v>271</c:v>
                </c:pt>
                <c:pt idx="151">
                  <c:v>247</c:v>
                </c:pt>
                <c:pt idx="152">
                  <c:v>238</c:v>
                </c:pt>
                <c:pt idx="154">
                  <c:v>281</c:v>
                </c:pt>
                <c:pt idx="155">
                  <c:v>817</c:v>
                </c:pt>
                <c:pt idx="156">
                  <c:v>880</c:v>
                </c:pt>
                <c:pt idx="157">
                  <c:v>945</c:v>
                </c:pt>
                <c:pt idx="158">
                  <c:v>1013</c:v>
                </c:pt>
                <c:pt idx="159">
                  <c:v>1083</c:v>
                </c:pt>
                <c:pt idx="160">
                  <c:v>1157</c:v>
                </c:pt>
                <c:pt idx="161">
                  <c:v>406</c:v>
                </c:pt>
                <c:pt idx="162">
                  <c:v>377</c:v>
                </c:pt>
                <c:pt idx="163">
                  <c:v>348</c:v>
                </c:pt>
                <c:pt idx="164">
                  <c:v>313</c:v>
                </c:pt>
                <c:pt idx="165">
                  <c:v>289</c:v>
                </c:pt>
                <c:pt idx="166">
                  <c:v>281</c:v>
                </c:pt>
                <c:pt idx="168">
                  <c:v>335</c:v>
                </c:pt>
                <c:pt idx="169">
                  <c:v>952</c:v>
                </c:pt>
                <c:pt idx="170">
                  <c:v>1024</c:v>
                </c:pt>
                <c:pt idx="171">
                  <c:v>1100</c:v>
                </c:pt>
                <c:pt idx="172">
                  <c:v>1179</c:v>
                </c:pt>
                <c:pt idx="173">
                  <c:v>1261</c:v>
                </c:pt>
                <c:pt idx="174">
                  <c:v>1347</c:v>
                </c:pt>
                <c:pt idx="175">
                  <c:v>484</c:v>
                </c:pt>
                <c:pt idx="176">
                  <c:v>440</c:v>
                </c:pt>
                <c:pt idx="177">
                  <c:v>411</c:v>
                </c:pt>
                <c:pt idx="178">
                  <c:v>370</c:v>
                </c:pt>
                <c:pt idx="179">
                  <c:v>345</c:v>
                </c:pt>
                <c:pt idx="180">
                  <c:v>335</c:v>
                </c:pt>
                <c:pt idx="182">
                  <c:v>507</c:v>
                </c:pt>
                <c:pt idx="183">
                  <c:v>1301</c:v>
                </c:pt>
                <c:pt idx="184">
                  <c:v>1393</c:v>
                </c:pt>
                <c:pt idx="185">
                  <c:v>1491</c:v>
                </c:pt>
                <c:pt idx="186">
                  <c:v>1591</c:v>
                </c:pt>
                <c:pt idx="187">
                  <c:v>575</c:v>
                </c:pt>
                <c:pt idx="188">
                  <c:v>548</c:v>
                </c:pt>
                <c:pt idx="189">
                  <c:v>527</c:v>
                </c:pt>
                <c:pt idx="190">
                  <c:v>507</c:v>
                </c:pt>
                <c:pt idx="192">
                  <c:v>657</c:v>
                </c:pt>
                <c:pt idx="193">
                  <c:v>1479</c:v>
                </c:pt>
                <c:pt idx="194">
                  <c:v>1536</c:v>
                </c:pt>
                <c:pt idx="195">
                  <c:v>1594</c:v>
                </c:pt>
                <c:pt idx="196">
                  <c:v>1653</c:v>
                </c:pt>
                <c:pt idx="197">
                  <c:v>738</c:v>
                </c:pt>
                <c:pt idx="198">
                  <c:v>710</c:v>
                </c:pt>
                <c:pt idx="199">
                  <c:v>683</c:v>
                </c:pt>
                <c:pt idx="200">
                  <c:v>657</c:v>
                </c:pt>
                <c:pt idx="202">
                  <c:v>877</c:v>
                </c:pt>
                <c:pt idx="203">
                  <c:v>1669</c:v>
                </c:pt>
                <c:pt idx="204">
                  <c:v>1715</c:v>
                </c:pt>
                <c:pt idx="205">
                  <c:v>912</c:v>
                </c:pt>
                <c:pt idx="206">
                  <c:v>877</c:v>
                </c:pt>
              </c:numCache>
            </c:numRef>
          </c:yVal>
          <c:smooth val="0"/>
        </c:ser>
        <c:dLbls>
          <c:showLegendKey val="0"/>
          <c:showVal val="0"/>
          <c:showCatName val="0"/>
          <c:showSerName val="0"/>
          <c:showPercent val="0"/>
          <c:showBubbleSize val="0"/>
        </c:dLbls>
        <c:axId val="370569848"/>
        <c:axId val="370556128"/>
      </c:scatterChart>
      <c:valAx>
        <c:axId val="370569848"/>
        <c:scaling>
          <c:orientation val="minMax"/>
          <c:max val="16.899999999999999"/>
          <c:min val="1"/>
        </c:scaling>
        <c:delete val="0"/>
        <c:axPos val="b"/>
        <c:title>
          <c:tx>
            <c:rich>
              <a:bodyPr/>
              <a:lstStyle/>
              <a:p>
                <a:pPr>
                  <a:defRPr sz="1199" b="1" i="0" u="none" strike="noStrike" baseline="0">
                    <a:solidFill>
                      <a:srgbClr val="000000"/>
                    </a:solidFill>
                    <a:latin typeface="Times New Roman"/>
                    <a:ea typeface="Times New Roman"/>
                    <a:cs typeface="Times New Roman"/>
                  </a:defRPr>
                </a:pPr>
                <a:r>
                  <a:rPr lang="lv-LV"/>
                  <a:t>Mēnešalgu grupa</a:t>
                </a:r>
              </a:p>
            </c:rich>
          </c:tx>
          <c:overlay val="0"/>
        </c:title>
        <c:numFmt formatCode="General" sourceLinked="1"/>
        <c:majorTickMark val="out"/>
        <c:minorTickMark val="none"/>
        <c:tickLblPos val="nextTo"/>
        <c:txPr>
          <a:bodyPr rot="0" vert="horz"/>
          <a:lstStyle/>
          <a:p>
            <a:pPr>
              <a:defRPr sz="1199" b="0" i="0" u="none" strike="noStrike" baseline="0">
                <a:solidFill>
                  <a:srgbClr val="000000"/>
                </a:solidFill>
                <a:latin typeface="Times New Roman"/>
                <a:ea typeface="Times New Roman"/>
                <a:cs typeface="Times New Roman"/>
              </a:defRPr>
            </a:pPr>
            <a:endParaRPr lang="lv-LV"/>
          </a:p>
        </c:txPr>
        <c:crossAx val="370556128"/>
        <c:crosses val="autoZero"/>
        <c:crossBetween val="midCat"/>
        <c:majorUnit val="1"/>
      </c:valAx>
      <c:valAx>
        <c:axId val="370556128"/>
        <c:scaling>
          <c:orientation val="minMax"/>
          <c:max val="2000"/>
        </c:scaling>
        <c:delete val="0"/>
        <c:axPos val="l"/>
        <c:numFmt formatCode="General" sourceLinked="1"/>
        <c:majorTickMark val="out"/>
        <c:minorTickMark val="none"/>
        <c:tickLblPos val="nextTo"/>
        <c:txPr>
          <a:bodyPr/>
          <a:lstStyle/>
          <a:p>
            <a:pPr>
              <a:defRPr lang="lv-LV" sz="1199"/>
            </a:pPr>
            <a:endParaRPr lang="lv-LV"/>
          </a:p>
        </c:txPr>
        <c:crossAx val="370569848"/>
        <c:crosses val="autoZero"/>
        <c:crossBetween val="midCat"/>
      </c:valAx>
    </c:plotArea>
    <c:legend>
      <c:legendPos val="r"/>
      <c:layout>
        <c:manualLayout>
          <c:xMode val="edge"/>
          <c:yMode val="edge"/>
          <c:x val="0.70883198011463522"/>
          <c:y val="5.6422572178477688E-2"/>
          <c:w val="0.28903475850565408"/>
          <c:h val="0.75786220472440968"/>
        </c:manualLayout>
      </c:layout>
      <c:overlay val="1"/>
      <c:txPr>
        <a:bodyPr/>
        <a:lstStyle/>
        <a:p>
          <a:pPr>
            <a:defRPr lang="lv-LV" sz="1199"/>
          </a:pPr>
          <a:endParaRPr lang="lv-LV"/>
        </a:p>
      </c:txPr>
    </c:legend>
    <c:plotVisOnly val="1"/>
    <c:dispBlanksAs val="gap"/>
    <c:showDLblsOverMax val="0"/>
  </c:chart>
  <c:txPr>
    <a:bodyPr/>
    <a:lstStyle/>
    <a:p>
      <a:pPr>
        <a:defRPr sz="1799">
          <a:latin typeface="Times New Roman" pitchFamily="18" charset="0"/>
          <a:cs typeface="Times New Roman" pitchFamily="18" charset="0"/>
        </a:defRPr>
      </a:pPr>
      <a:endParaRPr lang="lv-LV"/>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Sheet1!$B$1</c:f>
              <c:strCache>
                <c:ptCount val="1"/>
                <c:pt idx="0">
                  <c:v>veca</c:v>
                </c:pt>
              </c:strCache>
            </c:strRef>
          </c:tx>
          <c:marker>
            <c:symbol val="none"/>
          </c:marker>
          <c:xVal>
            <c:numRef>
              <c:f>Sheet1!$A$2:$A$609</c:f>
              <c:numCache>
                <c:formatCode>General</c:formatCode>
                <c:ptCount val="608"/>
                <c:pt idx="0">
                  <c:v>1.1000000000000001</c:v>
                </c:pt>
                <c:pt idx="1">
                  <c:v>1.1000000000000001</c:v>
                </c:pt>
                <c:pt idx="2">
                  <c:v>1.2</c:v>
                </c:pt>
                <c:pt idx="3">
                  <c:v>1.3</c:v>
                </c:pt>
                <c:pt idx="4">
                  <c:v>1.4</c:v>
                </c:pt>
                <c:pt idx="5">
                  <c:v>1.5</c:v>
                </c:pt>
                <c:pt idx="6">
                  <c:v>1.6</c:v>
                </c:pt>
                <c:pt idx="7">
                  <c:v>1.6</c:v>
                </c:pt>
                <c:pt idx="8">
                  <c:v>1.5</c:v>
                </c:pt>
                <c:pt idx="9">
                  <c:v>1.4</c:v>
                </c:pt>
                <c:pt idx="10">
                  <c:v>1.3</c:v>
                </c:pt>
                <c:pt idx="11">
                  <c:v>1.2</c:v>
                </c:pt>
                <c:pt idx="12">
                  <c:v>1.1000000000000001</c:v>
                </c:pt>
                <c:pt idx="14">
                  <c:v>2.1</c:v>
                </c:pt>
                <c:pt idx="15">
                  <c:v>2.1</c:v>
                </c:pt>
                <c:pt idx="16">
                  <c:v>2.2000000000000002</c:v>
                </c:pt>
                <c:pt idx="17">
                  <c:v>2.2999999999999998</c:v>
                </c:pt>
                <c:pt idx="18">
                  <c:v>2.4</c:v>
                </c:pt>
                <c:pt idx="19">
                  <c:v>2.5</c:v>
                </c:pt>
                <c:pt idx="20">
                  <c:v>2.6</c:v>
                </c:pt>
                <c:pt idx="21">
                  <c:v>2.6</c:v>
                </c:pt>
                <c:pt idx="22">
                  <c:v>2.5</c:v>
                </c:pt>
                <c:pt idx="23">
                  <c:v>2.4</c:v>
                </c:pt>
                <c:pt idx="24">
                  <c:v>2.2999999999999998</c:v>
                </c:pt>
                <c:pt idx="25">
                  <c:v>2.2000000000000002</c:v>
                </c:pt>
                <c:pt idx="26">
                  <c:v>2.1</c:v>
                </c:pt>
                <c:pt idx="28">
                  <c:v>3.1</c:v>
                </c:pt>
                <c:pt idx="29">
                  <c:v>3.1</c:v>
                </c:pt>
                <c:pt idx="30">
                  <c:v>3.2</c:v>
                </c:pt>
                <c:pt idx="31">
                  <c:v>3.3</c:v>
                </c:pt>
                <c:pt idx="32">
                  <c:v>3.4</c:v>
                </c:pt>
                <c:pt idx="33">
                  <c:v>3.5</c:v>
                </c:pt>
                <c:pt idx="34">
                  <c:v>3.6</c:v>
                </c:pt>
                <c:pt idx="35">
                  <c:v>3.6</c:v>
                </c:pt>
                <c:pt idx="36">
                  <c:v>3.5</c:v>
                </c:pt>
                <c:pt idx="37">
                  <c:v>3.4</c:v>
                </c:pt>
                <c:pt idx="38">
                  <c:v>3.3</c:v>
                </c:pt>
                <c:pt idx="39">
                  <c:v>3.2</c:v>
                </c:pt>
                <c:pt idx="40">
                  <c:v>3.1</c:v>
                </c:pt>
                <c:pt idx="42">
                  <c:v>4.0999999999999996</c:v>
                </c:pt>
                <c:pt idx="43">
                  <c:v>4.0999999999999996</c:v>
                </c:pt>
                <c:pt idx="44">
                  <c:v>4.2</c:v>
                </c:pt>
                <c:pt idx="45">
                  <c:v>4.3</c:v>
                </c:pt>
                <c:pt idx="46">
                  <c:v>4.4000000000000004</c:v>
                </c:pt>
                <c:pt idx="47">
                  <c:v>4.5</c:v>
                </c:pt>
                <c:pt idx="48">
                  <c:v>4.5999999999999996</c:v>
                </c:pt>
                <c:pt idx="49">
                  <c:v>4.5999999999999996</c:v>
                </c:pt>
                <c:pt idx="50">
                  <c:v>4.5</c:v>
                </c:pt>
                <c:pt idx="51">
                  <c:v>4.4000000000000004</c:v>
                </c:pt>
                <c:pt idx="52">
                  <c:v>4.3</c:v>
                </c:pt>
                <c:pt idx="53">
                  <c:v>4.2</c:v>
                </c:pt>
                <c:pt idx="54">
                  <c:v>4.0999999999999996</c:v>
                </c:pt>
                <c:pt idx="56">
                  <c:v>5.0999999999999996</c:v>
                </c:pt>
                <c:pt idx="57">
                  <c:v>5.0999999999999996</c:v>
                </c:pt>
                <c:pt idx="58">
                  <c:v>5.2</c:v>
                </c:pt>
                <c:pt idx="59">
                  <c:v>5.3</c:v>
                </c:pt>
                <c:pt idx="60">
                  <c:v>5.4</c:v>
                </c:pt>
                <c:pt idx="61">
                  <c:v>5.5</c:v>
                </c:pt>
                <c:pt idx="62">
                  <c:v>5.6</c:v>
                </c:pt>
                <c:pt idx="63">
                  <c:v>5.6</c:v>
                </c:pt>
                <c:pt idx="64">
                  <c:v>5.5</c:v>
                </c:pt>
                <c:pt idx="65">
                  <c:v>5.4</c:v>
                </c:pt>
                <c:pt idx="66">
                  <c:v>5.3</c:v>
                </c:pt>
                <c:pt idx="67">
                  <c:v>5.2</c:v>
                </c:pt>
                <c:pt idx="68">
                  <c:v>5.0999999999999996</c:v>
                </c:pt>
                <c:pt idx="70">
                  <c:v>6.1</c:v>
                </c:pt>
                <c:pt idx="71">
                  <c:v>6.1</c:v>
                </c:pt>
                <c:pt idx="72">
                  <c:v>6.2</c:v>
                </c:pt>
                <c:pt idx="73">
                  <c:v>6.3</c:v>
                </c:pt>
                <c:pt idx="74">
                  <c:v>6.4</c:v>
                </c:pt>
                <c:pt idx="75">
                  <c:v>6.5</c:v>
                </c:pt>
                <c:pt idx="76">
                  <c:v>6.6</c:v>
                </c:pt>
                <c:pt idx="77">
                  <c:v>6.6</c:v>
                </c:pt>
                <c:pt idx="78">
                  <c:v>6.5</c:v>
                </c:pt>
                <c:pt idx="79">
                  <c:v>6.4</c:v>
                </c:pt>
                <c:pt idx="80">
                  <c:v>6.3</c:v>
                </c:pt>
                <c:pt idx="81">
                  <c:v>6.2</c:v>
                </c:pt>
                <c:pt idx="82">
                  <c:v>6.1</c:v>
                </c:pt>
                <c:pt idx="84">
                  <c:v>7.1</c:v>
                </c:pt>
                <c:pt idx="85">
                  <c:v>7.1</c:v>
                </c:pt>
                <c:pt idx="86">
                  <c:v>7.2</c:v>
                </c:pt>
                <c:pt idx="87">
                  <c:v>7.3</c:v>
                </c:pt>
                <c:pt idx="88">
                  <c:v>7.4</c:v>
                </c:pt>
                <c:pt idx="89">
                  <c:v>7.5</c:v>
                </c:pt>
                <c:pt idx="90">
                  <c:v>7.6</c:v>
                </c:pt>
                <c:pt idx="91">
                  <c:v>7.6</c:v>
                </c:pt>
                <c:pt idx="92">
                  <c:v>7.5</c:v>
                </c:pt>
                <c:pt idx="93">
                  <c:v>7.4</c:v>
                </c:pt>
                <c:pt idx="94">
                  <c:v>7.3</c:v>
                </c:pt>
                <c:pt idx="95">
                  <c:v>7.2</c:v>
                </c:pt>
                <c:pt idx="96">
                  <c:v>7.1</c:v>
                </c:pt>
                <c:pt idx="98">
                  <c:v>8.1</c:v>
                </c:pt>
                <c:pt idx="99">
                  <c:v>8.1</c:v>
                </c:pt>
                <c:pt idx="100">
                  <c:v>8.2000000000000011</c:v>
                </c:pt>
                <c:pt idx="101">
                  <c:v>8.3000000000000007</c:v>
                </c:pt>
                <c:pt idx="102">
                  <c:v>8.4</c:v>
                </c:pt>
                <c:pt idx="103">
                  <c:v>8.5</c:v>
                </c:pt>
                <c:pt idx="104">
                  <c:v>8.6</c:v>
                </c:pt>
                <c:pt idx="105">
                  <c:v>8.6</c:v>
                </c:pt>
                <c:pt idx="106">
                  <c:v>8.5</c:v>
                </c:pt>
                <c:pt idx="107">
                  <c:v>8.4</c:v>
                </c:pt>
                <c:pt idx="108">
                  <c:v>8.3000000000000007</c:v>
                </c:pt>
                <c:pt idx="109">
                  <c:v>8.2000000000000011</c:v>
                </c:pt>
                <c:pt idx="110">
                  <c:v>8.1</c:v>
                </c:pt>
                <c:pt idx="112">
                  <c:v>9.1</c:v>
                </c:pt>
                <c:pt idx="113">
                  <c:v>9.1</c:v>
                </c:pt>
                <c:pt idx="114">
                  <c:v>9.2000000000000011</c:v>
                </c:pt>
                <c:pt idx="115">
                  <c:v>9.3000000000000007</c:v>
                </c:pt>
                <c:pt idx="116">
                  <c:v>9.4</c:v>
                </c:pt>
                <c:pt idx="117">
                  <c:v>9.5</c:v>
                </c:pt>
                <c:pt idx="118">
                  <c:v>9.6</c:v>
                </c:pt>
                <c:pt idx="119">
                  <c:v>9.6</c:v>
                </c:pt>
                <c:pt idx="120">
                  <c:v>9.5</c:v>
                </c:pt>
                <c:pt idx="121">
                  <c:v>9.4</c:v>
                </c:pt>
                <c:pt idx="122">
                  <c:v>9.3000000000000007</c:v>
                </c:pt>
                <c:pt idx="123">
                  <c:v>9.2000000000000011</c:v>
                </c:pt>
                <c:pt idx="124">
                  <c:v>9.1</c:v>
                </c:pt>
                <c:pt idx="126">
                  <c:v>10.1</c:v>
                </c:pt>
                <c:pt idx="127">
                  <c:v>10.1</c:v>
                </c:pt>
                <c:pt idx="128">
                  <c:v>10.200000000000001</c:v>
                </c:pt>
                <c:pt idx="129">
                  <c:v>10.3</c:v>
                </c:pt>
                <c:pt idx="130">
                  <c:v>10.4</c:v>
                </c:pt>
                <c:pt idx="131">
                  <c:v>10.5</c:v>
                </c:pt>
                <c:pt idx="132">
                  <c:v>10.6</c:v>
                </c:pt>
                <c:pt idx="133">
                  <c:v>10.6</c:v>
                </c:pt>
                <c:pt idx="134">
                  <c:v>10.5</c:v>
                </c:pt>
                <c:pt idx="135">
                  <c:v>10.4</c:v>
                </c:pt>
                <c:pt idx="136">
                  <c:v>10.3</c:v>
                </c:pt>
                <c:pt idx="137">
                  <c:v>10.200000000000001</c:v>
                </c:pt>
                <c:pt idx="138">
                  <c:v>10.1</c:v>
                </c:pt>
                <c:pt idx="140">
                  <c:v>11.1</c:v>
                </c:pt>
                <c:pt idx="141">
                  <c:v>11.1</c:v>
                </c:pt>
                <c:pt idx="142">
                  <c:v>11.2</c:v>
                </c:pt>
                <c:pt idx="143">
                  <c:v>11.3</c:v>
                </c:pt>
                <c:pt idx="144">
                  <c:v>11.4</c:v>
                </c:pt>
                <c:pt idx="145">
                  <c:v>11.5</c:v>
                </c:pt>
                <c:pt idx="146">
                  <c:v>11.6</c:v>
                </c:pt>
                <c:pt idx="147">
                  <c:v>11.6</c:v>
                </c:pt>
                <c:pt idx="148">
                  <c:v>11.5</c:v>
                </c:pt>
                <c:pt idx="149">
                  <c:v>11.4</c:v>
                </c:pt>
                <c:pt idx="150">
                  <c:v>11.3</c:v>
                </c:pt>
                <c:pt idx="151">
                  <c:v>11.2</c:v>
                </c:pt>
                <c:pt idx="152">
                  <c:v>11.1</c:v>
                </c:pt>
                <c:pt idx="154">
                  <c:v>12.1</c:v>
                </c:pt>
                <c:pt idx="155">
                  <c:v>12.1</c:v>
                </c:pt>
                <c:pt idx="156">
                  <c:v>12.2</c:v>
                </c:pt>
                <c:pt idx="157">
                  <c:v>12.3</c:v>
                </c:pt>
                <c:pt idx="158">
                  <c:v>12.4</c:v>
                </c:pt>
                <c:pt idx="159">
                  <c:v>12.5</c:v>
                </c:pt>
                <c:pt idx="160">
                  <c:v>12.6</c:v>
                </c:pt>
                <c:pt idx="161">
                  <c:v>12.6</c:v>
                </c:pt>
                <c:pt idx="162">
                  <c:v>12.5</c:v>
                </c:pt>
                <c:pt idx="163">
                  <c:v>12.4</c:v>
                </c:pt>
                <c:pt idx="164">
                  <c:v>12.3</c:v>
                </c:pt>
                <c:pt idx="165">
                  <c:v>12.2</c:v>
                </c:pt>
                <c:pt idx="166">
                  <c:v>12.1</c:v>
                </c:pt>
                <c:pt idx="168">
                  <c:v>13.1</c:v>
                </c:pt>
                <c:pt idx="169">
                  <c:v>13.1</c:v>
                </c:pt>
                <c:pt idx="170">
                  <c:v>13.2</c:v>
                </c:pt>
                <c:pt idx="171">
                  <c:v>13.3</c:v>
                </c:pt>
                <c:pt idx="172">
                  <c:v>13.4</c:v>
                </c:pt>
                <c:pt idx="173">
                  <c:v>13.5</c:v>
                </c:pt>
                <c:pt idx="174">
                  <c:v>13.6</c:v>
                </c:pt>
                <c:pt idx="175">
                  <c:v>13.6</c:v>
                </c:pt>
                <c:pt idx="176">
                  <c:v>13.5</c:v>
                </c:pt>
                <c:pt idx="177">
                  <c:v>13.4</c:v>
                </c:pt>
                <c:pt idx="178">
                  <c:v>13.3</c:v>
                </c:pt>
                <c:pt idx="179">
                  <c:v>13.2</c:v>
                </c:pt>
                <c:pt idx="180">
                  <c:v>13.1</c:v>
                </c:pt>
                <c:pt idx="182">
                  <c:v>14.1</c:v>
                </c:pt>
                <c:pt idx="183">
                  <c:v>14.1</c:v>
                </c:pt>
                <c:pt idx="184">
                  <c:v>14.3</c:v>
                </c:pt>
                <c:pt idx="185">
                  <c:v>14.3</c:v>
                </c:pt>
                <c:pt idx="186">
                  <c:v>14.4</c:v>
                </c:pt>
                <c:pt idx="187">
                  <c:v>14.5</c:v>
                </c:pt>
                <c:pt idx="188">
                  <c:v>14.6</c:v>
                </c:pt>
                <c:pt idx="189">
                  <c:v>14.6</c:v>
                </c:pt>
                <c:pt idx="190">
                  <c:v>14.5</c:v>
                </c:pt>
                <c:pt idx="191">
                  <c:v>14.4</c:v>
                </c:pt>
                <c:pt idx="192">
                  <c:v>14.3</c:v>
                </c:pt>
                <c:pt idx="193">
                  <c:v>14.2</c:v>
                </c:pt>
                <c:pt idx="194">
                  <c:v>14.1</c:v>
                </c:pt>
                <c:pt idx="196">
                  <c:v>15.1</c:v>
                </c:pt>
                <c:pt idx="197">
                  <c:v>15.1</c:v>
                </c:pt>
                <c:pt idx="198">
                  <c:v>15.3</c:v>
                </c:pt>
                <c:pt idx="199">
                  <c:v>15.3</c:v>
                </c:pt>
                <c:pt idx="200">
                  <c:v>15.4</c:v>
                </c:pt>
                <c:pt idx="201">
                  <c:v>15.5</c:v>
                </c:pt>
                <c:pt idx="202">
                  <c:v>15.6</c:v>
                </c:pt>
                <c:pt idx="203">
                  <c:v>15.6</c:v>
                </c:pt>
                <c:pt idx="204">
                  <c:v>15.5</c:v>
                </c:pt>
                <c:pt idx="205">
                  <c:v>15.4</c:v>
                </c:pt>
                <c:pt idx="206">
                  <c:v>15.3</c:v>
                </c:pt>
                <c:pt idx="207">
                  <c:v>15.2</c:v>
                </c:pt>
                <c:pt idx="208">
                  <c:v>15.1</c:v>
                </c:pt>
                <c:pt idx="210">
                  <c:v>16.100000000000001</c:v>
                </c:pt>
                <c:pt idx="211">
                  <c:v>16.100000000000001</c:v>
                </c:pt>
                <c:pt idx="212">
                  <c:v>16.2</c:v>
                </c:pt>
                <c:pt idx="213">
                  <c:v>16.3</c:v>
                </c:pt>
                <c:pt idx="214">
                  <c:v>16.5</c:v>
                </c:pt>
                <c:pt idx="215">
                  <c:v>16.5</c:v>
                </c:pt>
                <c:pt idx="216">
                  <c:v>16.600000000000001</c:v>
                </c:pt>
                <c:pt idx="217">
                  <c:v>16.600000000000001</c:v>
                </c:pt>
                <c:pt idx="218">
                  <c:v>16.5</c:v>
                </c:pt>
                <c:pt idx="219">
                  <c:v>16.399999999999999</c:v>
                </c:pt>
                <c:pt idx="220">
                  <c:v>16.3</c:v>
                </c:pt>
                <c:pt idx="221">
                  <c:v>16.2</c:v>
                </c:pt>
                <c:pt idx="222">
                  <c:v>16.100000000000001</c:v>
                </c:pt>
                <c:pt idx="225">
                  <c:v>8.1</c:v>
                </c:pt>
                <c:pt idx="226">
                  <c:v>10.5</c:v>
                </c:pt>
                <c:pt idx="227">
                  <c:v>10.200000000000001</c:v>
                </c:pt>
                <c:pt idx="228">
                  <c:v>10.3</c:v>
                </c:pt>
                <c:pt idx="229">
                  <c:v>13.6</c:v>
                </c:pt>
                <c:pt idx="230">
                  <c:v>12.6</c:v>
                </c:pt>
                <c:pt idx="231">
                  <c:v>10.6</c:v>
                </c:pt>
                <c:pt idx="232">
                  <c:v>10.6</c:v>
                </c:pt>
                <c:pt idx="233">
                  <c:v>13.6</c:v>
                </c:pt>
                <c:pt idx="234">
                  <c:v>12.5</c:v>
                </c:pt>
                <c:pt idx="235">
                  <c:v>10.6</c:v>
                </c:pt>
                <c:pt idx="236">
                  <c:v>10.4</c:v>
                </c:pt>
                <c:pt idx="237">
                  <c:v>10.5</c:v>
                </c:pt>
                <c:pt idx="238">
                  <c:v>10.3</c:v>
                </c:pt>
                <c:pt idx="239">
                  <c:v>13.6</c:v>
                </c:pt>
                <c:pt idx="240">
                  <c:v>10.1</c:v>
                </c:pt>
                <c:pt idx="241">
                  <c:v>10.4</c:v>
                </c:pt>
                <c:pt idx="242">
                  <c:v>12.4</c:v>
                </c:pt>
                <c:pt idx="243">
                  <c:v>14.6</c:v>
                </c:pt>
                <c:pt idx="244">
                  <c:v>10.6</c:v>
                </c:pt>
                <c:pt idx="245">
                  <c:v>10.5</c:v>
                </c:pt>
                <c:pt idx="246">
                  <c:v>12.5</c:v>
                </c:pt>
                <c:pt idx="247">
                  <c:v>10.3</c:v>
                </c:pt>
                <c:pt idx="248">
                  <c:v>13.6</c:v>
                </c:pt>
                <c:pt idx="249">
                  <c:v>12.5</c:v>
                </c:pt>
                <c:pt idx="250">
                  <c:v>10.4</c:v>
                </c:pt>
                <c:pt idx="251">
                  <c:v>10.3</c:v>
                </c:pt>
                <c:pt idx="252">
                  <c:v>14.6</c:v>
                </c:pt>
                <c:pt idx="253">
                  <c:v>13.5</c:v>
                </c:pt>
                <c:pt idx="254">
                  <c:v>12.4</c:v>
                </c:pt>
                <c:pt idx="255">
                  <c:v>10.3</c:v>
                </c:pt>
                <c:pt idx="256">
                  <c:v>10.5</c:v>
                </c:pt>
                <c:pt idx="257">
                  <c:v>10.5</c:v>
                </c:pt>
                <c:pt idx="258">
                  <c:v>9.5</c:v>
                </c:pt>
                <c:pt idx="259">
                  <c:v>12.3</c:v>
                </c:pt>
                <c:pt idx="260">
                  <c:v>10.3</c:v>
                </c:pt>
                <c:pt idx="261">
                  <c:v>10.4</c:v>
                </c:pt>
                <c:pt idx="262">
                  <c:v>13.6</c:v>
                </c:pt>
                <c:pt idx="263">
                  <c:v>10.1</c:v>
                </c:pt>
                <c:pt idx="264">
                  <c:v>10.4</c:v>
                </c:pt>
                <c:pt idx="265">
                  <c:v>10.4</c:v>
                </c:pt>
                <c:pt idx="266">
                  <c:v>13.6</c:v>
                </c:pt>
                <c:pt idx="267">
                  <c:v>13.6</c:v>
                </c:pt>
                <c:pt idx="268">
                  <c:v>13.6</c:v>
                </c:pt>
                <c:pt idx="269">
                  <c:v>10.4</c:v>
                </c:pt>
                <c:pt idx="270">
                  <c:v>13.5</c:v>
                </c:pt>
                <c:pt idx="271">
                  <c:v>10.3</c:v>
                </c:pt>
                <c:pt idx="272">
                  <c:v>15.6</c:v>
                </c:pt>
                <c:pt idx="273">
                  <c:v>15.6</c:v>
                </c:pt>
                <c:pt idx="274">
                  <c:v>15.6</c:v>
                </c:pt>
                <c:pt idx="275">
                  <c:v>16.600000000000001</c:v>
                </c:pt>
                <c:pt idx="276">
                  <c:v>14.6</c:v>
                </c:pt>
                <c:pt idx="277">
                  <c:v>8.6</c:v>
                </c:pt>
                <c:pt idx="278">
                  <c:v>10.3</c:v>
                </c:pt>
                <c:pt idx="279">
                  <c:v>13.6</c:v>
                </c:pt>
                <c:pt idx="280">
                  <c:v>12.3</c:v>
                </c:pt>
                <c:pt idx="281">
                  <c:v>10.3</c:v>
                </c:pt>
                <c:pt idx="282">
                  <c:v>10.1</c:v>
                </c:pt>
                <c:pt idx="283">
                  <c:v>13.6</c:v>
                </c:pt>
                <c:pt idx="284">
                  <c:v>12.6</c:v>
                </c:pt>
                <c:pt idx="285">
                  <c:v>13.4</c:v>
                </c:pt>
                <c:pt idx="286">
                  <c:v>10.4</c:v>
                </c:pt>
                <c:pt idx="287">
                  <c:v>10.6</c:v>
                </c:pt>
                <c:pt idx="288">
                  <c:v>10.6</c:v>
                </c:pt>
                <c:pt idx="289">
                  <c:v>13.6</c:v>
                </c:pt>
                <c:pt idx="290">
                  <c:v>12.6</c:v>
                </c:pt>
                <c:pt idx="291">
                  <c:v>11.3</c:v>
                </c:pt>
                <c:pt idx="292">
                  <c:v>11.5</c:v>
                </c:pt>
                <c:pt idx="293">
                  <c:v>9.6</c:v>
                </c:pt>
                <c:pt idx="294">
                  <c:v>12.5</c:v>
                </c:pt>
                <c:pt idx="295">
                  <c:v>11.5</c:v>
                </c:pt>
                <c:pt idx="296">
                  <c:v>11.5</c:v>
                </c:pt>
                <c:pt idx="297">
                  <c:v>11.4</c:v>
                </c:pt>
                <c:pt idx="298">
                  <c:v>11.5</c:v>
                </c:pt>
                <c:pt idx="299">
                  <c:v>11.6</c:v>
                </c:pt>
                <c:pt idx="300">
                  <c:v>11.3</c:v>
                </c:pt>
                <c:pt idx="301">
                  <c:v>12.6</c:v>
                </c:pt>
                <c:pt idx="302">
                  <c:v>11.6</c:v>
                </c:pt>
                <c:pt idx="303">
                  <c:v>11.5</c:v>
                </c:pt>
                <c:pt idx="304">
                  <c:v>11.5</c:v>
                </c:pt>
                <c:pt idx="305">
                  <c:v>9.2000000000000011</c:v>
                </c:pt>
                <c:pt idx="306">
                  <c:v>10.5</c:v>
                </c:pt>
                <c:pt idx="307">
                  <c:v>12.6</c:v>
                </c:pt>
                <c:pt idx="308">
                  <c:v>9.4</c:v>
                </c:pt>
                <c:pt idx="309">
                  <c:v>13.6</c:v>
                </c:pt>
                <c:pt idx="310">
                  <c:v>13.6</c:v>
                </c:pt>
                <c:pt idx="311">
                  <c:v>9.6</c:v>
                </c:pt>
                <c:pt idx="312">
                  <c:v>9.6</c:v>
                </c:pt>
                <c:pt idx="313">
                  <c:v>9.5</c:v>
                </c:pt>
                <c:pt idx="314">
                  <c:v>14.6</c:v>
                </c:pt>
                <c:pt idx="315">
                  <c:v>13.6</c:v>
                </c:pt>
                <c:pt idx="316">
                  <c:v>13.6</c:v>
                </c:pt>
                <c:pt idx="317">
                  <c:v>12.6</c:v>
                </c:pt>
                <c:pt idx="318">
                  <c:v>12.3</c:v>
                </c:pt>
                <c:pt idx="319">
                  <c:v>12.3</c:v>
                </c:pt>
                <c:pt idx="320">
                  <c:v>10.1</c:v>
                </c:pt>
                <c:pt idx="321">
                  <c:v>10.3</c:v>
                </c:pt>
                <c:pt idx="322">
                  <c:v>13.6</c:v>
                </c:pt>
                <c:pt idx="323">
                  <c:v>10.4</c:v>
                </c:pt>
                <c:pt idx="324">
                  <c:v>12.3</c:v>
                </c:pt>
                <c:pt idx="325">
                  <c:v>10.1</c:v>
                </c:pt>
                <c:pt idx="326">
                  <c:v>10.200000000000001</c:v>
                </c:pt>
                <c:pt idx="327">
                  <c:v>13.6</c:v>
                </c:pt>
                <c:pt idx="328">
                  <c:v>12.6</c:v>
                </c:pt>
                <c:pt idx="329">
                  <c:v>10.5</c:v>
                </c:pt>
                <c:pt idx="330">
                  <c:v>14.6</c:v>
                </c:pt>
                <c:pt idx="331">
                  <c:v>13.6</c:v>
                </c:pt>
                <c:pt idx="332">
                  <c:v>13.5</c:v>
                </c:pt>
                <c:pt idx="333">
                  <c:v>9.5</c:v>
                </c:pt>
                <c:pt idx="334">
                  <c:v>10.6</c:v>
                </c:pt>
                <c:pt idx="335">
                  <c:v>10.6</c:v>
                </c:pt>
                <c:pt idx="336">
                  <c:v>10.6</c:v>
                </c:pt>
                <c:pt idx="337">
                  <c:v>13.6</c:v>
                </c:pt>
                <c:pt idx="338">
                  <c:v>11.3</c:v>
                </c:pt>
                <c:pt idx="339">
                  <c:v>10.5</c:v>
                </c:pt>
                <c:pt idx="340">
                  <c:v>11.6</c:v>
                </c:pt>
                <c:pt idx="341">
                  <c:v>10.5</c:v>
                </c:pt>
                <c:pt idx="342">
                  <c:v>13.6</c:v>
                </c:pt>
                <c:pt idx="343">
                  <c:v>12.5</c:v>
                </c:pt>
                <c:pt idx="344">
                  <c:v>14.6</c:v>
                </c:pt>
                <c:pt idx="345">
                  <c:v>12.6</c:v>
                </c:pt>
                <c:pt idx="346">
                  <c:v>10.200000000000001</c:v>
                </c:pt>
                <c:pt idx="347">
                  <c:v>10.5</c:v>
                </c:pt>
                <c:pt idx="348">
                  <c:v>10.3</c:v>
                </c:pt>
                <c:pt idx="349">
                  <c:v>9.5</c:v>
                </c:pt>
                <c:pt idx="350">
                  <c:v>10.6</c:v>
                </c:pt>
                <c:pt idx="351">
                  <c:v>10.6</c:v>
                </c:pt>
                <c:pt idx="352">
                  <c:v>8.6</c:v>
                </c:pt>
                <c:pt idx="353">
                  <c:v>11.4</c:v>
                </c:pt>
                <c:pt idx="354">
                  <c:v>10.6</c:v>
                </c:pt>
                <c:pt idx="355">
                  <c:v>8.6</c:v>
                </c:pt>
                <c:pt idx="356">
                  <c:v>8.6</c:v>
                </c:pt>
                <c:pt idx="357">
                  <c:v>8.6</c:v>
                </c:pt>
                <c:pt idx="358">
                  <c:v>8.6</c:v>
                </c:pt>
                <c:pt idx="359">
                  <c:v>8.5</c:v>
                </c:pt>
                <c:pt idx="360">
                  <c:v>8.5</c:v>
                </c:pt>
                <c:pt idx="361">
                  <c:v>9.6</c:v>
                </c:pt>
                <c:pt idx="362">
                  <c:v>14.6</c:v>
                </c:pt>
                <c:pt idx="363">
                  <c:v>13.6</c:v>
                </c:pt>
                <c:pt idx="364">
                  <c:v>10.1</c:v>
                </c:pt>
                <c:pt idx="365">
                  <c:v>10.5</c:v>
                </c:pt>
                <c:pt idx="366">
                  <c:v>12.6</c:v>
                </c:pt>
                <c:pt idx="367">
                  <c:v>12.3</c:v>
                </c:pt>
                <c:pt idx="368">
                  <c:v>14.5</c:v>
                </c:pt>
                <c:pt idx="369">
                  <c:v>13.6</c:v>
                </c:pt>
                <c:pt idx="370">
                  <c:v>12.5</c:v>
                </c:pt>
                <c:pt idx="371">
                  <c:v>10.5</c:v>
                </c:pt>
                <c:pt idx="372">
                  <c:v>10.6</c:v>
                </c:pt>
                <c:pt idx="373">
                  <c:v>10.5</c:v>
                </c:pt>
                <c:pt idx="374">
                  <c:v>10.6</c:v>
                </c:pt>
                <c:pt idx="375">
                  <c:v>13.6</c:v>
                </c:pt>
                <c:pt idx="376">
                  <c:v>12.6</c:v>
                </c:pt>
                <c:pt idx="377">
                  <c:v>10.5</c:v>
                </c:pt>
                <c:pt idx="378">
                  <c:v>10.6</c:v>
                </c:pt>
                <c:pt idx="379">
                  <c:v>10.4</c:v>
                </c:pt>
                <c:pt idx="380">
                  <c:v>10.3</c:v>
                </c:pt>
                <c:pt idx="381">
                  <c:v>12.5</c:v>
                </c:pt>
                <c:pt idx="382">
                  <c:v>12.6</c:v>
                </c:pt>
                <c:pt idx="383">
                  <c:v>8.6</c:v>
                </c:pt>
                <c:pt idx="384">
                  <c:v>14.6</c:v>
                </c:pt>
                <c:pt idx="385">
                  <c:v>12.5</c:v>
                </c:pt>
                <c:pt idx="386">
                  <c:v>11.5</c:v>
                </c:pt>
                <c:pt idx="387">
                  <c:v>11.6</c:v>
                </c:pt>
                <c:pt idx="388">
                  <c:v>11.5</c:v>
                </c:pt>
                <c:pt idx="389">
                  <c:v>10.5</c:v>
                </c:pt>
                <c:pt idx="390">
                  <c:v>10.5</c:v>
                </c:pt>
                <c:pt idx="391">
                  <c:v>14.6</c:v>
                </c:pt>
                <c:pt idx="392">
                  <c:v>13.6</c:v>
                </c:pt>
                <c:pt idx="393">
                  <c:v>10.3</c:v>
                </c:pt>
                <c:pt idx="394">
                  <c:v>14.6</c:v>
                </c:pt>
                <c:pt idx="395">
                  <c:v>13.6</c:v>
                </c:pt>
                <c:pt idx="396">
                  <c:v>13.6</c:v>
                </c:pt>
                <c:pt idx="397">
                  <c:v>13.5</c:v>
                </c:pt>
                <c:pt idx="398">
                  <c:v>12.5</c:v>
                </c:pt>
                <c:pt idx="399">
                  <c:v>10.4</c:v>
                </c:pt>
                <c:pt idx="400">
                  <c:v>13.6</c:v>
                </c:pt>
                <c:pt idx="401">
                  <c:v>10.200000000000001</c:v>
                </c:pt>
                <c:pt idx="402">
                  <c:v>13.5</c:v>
                </c:pt>
                <c:pt idx="403">
                  <c:v>12.6</c:v>
                </c:pt>
                <c:pt idx="404">
                  <c:v>10.200000000000001</c:v>
                </c:pt>
                <c:pt idx="405">
                  <c:v>10.200000000000001</c:v>
                </c:pt>
                <c:pt idx="406">
                  <c:v>13.5</c:v>
                </c:pt>
                <c:pt idx="407">
                  <c:v>12.5</c:v>
                </c:pt>
                <c:pt idx="408">
                  <c:v>14.6</c:v>
                </c:pt>
                <c:pt idx="409">
                  <c:v>13.6</c:v>
                </c:pt>
                <c:pt idx="410">
                  <c:v>10.3</c:v>
                </c:pt>
                <c:pt idx="411">
                  <c:v>13.5</c:v>
                </c:pt>
                <c:pt idx="412">
                  <c:v>12.6</c:v>
                </c:pt>
                <c:pt idx="413">
                  <c:v>10.4</c:v>
                </c:pt>
                <c:pt idx="414">
                  <c:v>10.3</c:v>
                </c:pt>
                <c:pt idx="415">
                  <c:v>10.5</c:v>
                </c:pt>
                <c:pt idx="416">
                  <c:v>10.6</c:v>
                </c:pt>
                <c:pt idx="417">
                  <c:v>10.6</c:v>
                </c:pt>
                <c:pt idx="418">
                  <c:v>13.6</c:v>
                </c:pt>
                <c:pt idx="419">
                  <c:v>12.6</c:v>
                </c:pt>
                <c:pt idx="420">
                  <c:v>10.6</c:v>
                </c:pt>
                <c:pt idx="421">
                  <c:v>10.6</c:v>
                </c:pt>
                <c:pt idx="422">
                  <c:v>12.6</c:v>
                </c:pt>
                <c:pt idx="423">
                  <c:v>10.6</c:v>
                </c:pt>
                <c:pt idx="424">
                  <c:v>10.6</c:v>
                </c:pt>
                <c:pt idx="425">
                  <c:v>10.3</c:v>
                </c:pt>
                <c:pt idx="426">
                  <c:v>13.6</c:v>
                </c:pt>
                <c:pt idx="427">
                  <c:v>12.6</c:v>
                </c:pt>
                <c:pt idx="428">
                  <c:v>10.4</c:v>
                </c:pt>
                <c:pt idx="429">
                  <c:v>10.200000000000001</c:v>
                </c:pt>
                <c:pt idx="430">
                  <c:v>12.3</c:v>
                </c:pt>
                <c:pt idx="431">
                  <c:v>13.5</c:v>
                </c:pt>
                <c:pt idx="432">
                  <c:v>10.1</c:v>
                </c:pt>
                <c:pt idx="433">
                  <c:v>13.5</c:v>
                </c:pt>
                <c:pt idx="434">
                  <c:v>10.4</c:v>
                </c:pt>
                <c:pt idx="435">
                  <c:v>10.5</c:v>
                </c:pt>
                <c:pt idx="436">
                  <c:v>8.6</c:v>
                </c:pt>
                <c:pt idx="437">
                  <c:v>13.5</c:v>
                </c:pt>
                <c:pt idx="438">
                  <c:v>13.5</c:v>
                </c:pt>
                <c:pt idx="439">
                  <c:v>13.4</c:v>
                </c:pt>
                <c:pt idx="440">
                  <c:v>12.5</c:v>
                </c:pt>
                <c:pt idx="441">
                  <c:v>12.3</c:v>
                </c:pt>
                <c:pt idx="442">
                  <c:v>12.2</c:v>
                </c:pt>
                <c:pt idx="443">
                  <c:v>13.6</c:v>
                </c:pt>
                <c:pt idx="444">
                  <c:v>12.6</c:v>
                </c:pt>
                <c:pt idx="445">
                  <c:v>12.5</c:v>
                </c:pt>
                <c:pt idx="446">
                  <c:v>12.3</c:v>
                </c:pt>
                <c:pt idx="447">
                  <c:v>10.5</c:v>
                </c:pt>
                <c:pt idx="448">
                  <c:v>10.6</c:v>
                </c:pt>
                <c:pt idx="449">
                  <c:v>12.6</c:v>
                </c:pt>
                <c:pt idx="450">
                  <c:v>13.6</c:v>
                </c:pt>
                <c:pt idx="451">
                  <c:v>12.6</c:v>
                </c:pt>
                <c:pt idx="452">
                  <c:v>12.6</c:v>
                </c:pt>
                <c:pt idx="453">
                  <c:v>10.5</c:v>
                </c:pt>
                <c:pt idx="454">
                  <c:v>10.4</c:v>
                </c:pt>
                <c:pt idx="455">
                  <c:v>14.6</c:v>
                </c:pt>
                <c:pt idx="456">
                  <c:v>10.5</c:v>
                </c:pt>
                <c:pt idx="457">
                  <c:v>10.6</c:v>
                </c:pt>
                <c:pt idx="458">
                  <c:v>10.6</c:v>
                </c:pt>
                <c:pt idx="459">
                  <c:v>10.5</c:v>
                </c:pt>
                <c:pt idx="460">
                  <c:v>10.5</c:v>
                </c:pt>
                <c:pt idx="461">
                  <c:v>12.5</c:v>
                </c:pt>
                <c:pt idx="462">
                  <c:v>10.5</c:v>
                </c:pt>
                <c:pt idx="463">
                  <c:v>10.5</c:v>
                </c:pt>
                <c:pt idx="464">
                  <c:v>14.6</c:v>
                </c:pt>
                <c:pt idx="465">
                  <c:v>13.6</c:v>
                </c:pt>
                <c:pt idx="466">
                  <c:v>12.5</c:v>
                </c:pt>
                <c:pt idx="467">
                  <c:v>12.6</c:v>
                </c:pt>
                <c:pt idx="468">
                  <c:v>12.6</c:v>
                </c:pt>
                <c:pt idx="469">
                  <c:v>12.6</c:v>
                </c:pt>
                <c:pt idx="470">
                  <c:v>12.4</c:v>
                </c:pt>
                <c:pt idx="471">
                  <c:v>12.3</c:v>
                </c:pt>
                <c:pt idx="472">
                  <c:v>10.5</c:v>
                </c:pt>
                <c:pt idx="473">
                  <c:v>11.5</c:v>
                </c:pt>
                <c:pt idx="474">
                  <c:v>12.6</c:v>
                </c:pt>
                <c:pt idx="475">
                  <c:v>12.6</c:v>
                </c:pt>
                <c:pt idx="476">
                  <c:v>12.6</c:v>
                </c:pt>
                <c:pt idx="477">
                  <c:v>12.6</c:v>
                </c:pt>
                <c:pt idx="478">
                  <c:v>11.5</c:v>
                </c:pt>
                <c:pt idx="479">
                  <c:v>11.4</c:v>
                </c:pt>
                <c:pt idx="480">
                  <c:v>11.5</c:v>
                </c:pt>
                <c:pt idx="481">
                  <c:v>11.6</c:v>
                </c:pt>
                <c:pt idx="482">
                  <c:v>11.6</c:v>
                </c:pt>
                <c:pt idx="483">
                  <c:v>11.4</c:v>
                </c:pt>
                <c:pt idx="484">
                  <c:v>11.5</c:v>
                </c:pt>
                <c:pt idx="485">
                  <c:v>11.5</c:v>
                </c:pt>
                <c:pt idx="486">
                  <c:v>11.5</c:v>
                </c:pt>
                <c:pt idx="487">
                  <c:v>11.4</c:v>
                </c:pt>
                <c:pt idx="488">
                  <c:v>12.6</c:v>
                </c:pt>
                <c:pt idx="489">
                  <c:v>10.1</c:v>
                </c:pt>
                <c:pt idx="490">
                  <c:v>10.5</c:v>
                </c:pt>
                <c:pt idx="491">
                  <c:v>10.5</c:v>
                </c:pt>
                <c:pt idx="492">
                  <c:v>10.5</c:v>
                </c:pt>
                <c:pt idx="493">
                  <c:v>10.1</c:v>
                </c:pt>
                <c:pt idx="494">
                  <c:v>10.3</c:v>
                </c:pt>
                <c:pt idx="495">
                  <c:v>12.2</c:v>
                </c:pt>
                <c:pt idx="496">
                  <c:v>12.3</c:v>
                </c:pt>
                <c:pt idx="497">
                  <c:v>12.5</c:v>
                </c:pt>
                <c:pt idx="498">
                  <c:v>12.5</c:v>
                </c:pt>
                <c:pt idx="499">
                  <c:v>12.4</c:v>
                </c:pt>
                <c:pt idx="500">
                  <c:v>12.2</c:v>
                </c:pt>
                <c:pt idx="501">
                  <c:v>12.6</c:v>
                </c:pt>
                <c:pt idx="502">
                  <c:v>12.4</c:v>
                </c:pt>
                <c:pt idx="503">
                  <c:v>10.3</c:v>
                </c:pt>
                <c:pt idx="504">
                  <c:v>10.5</c:v>
                </c:pt>
                <c:pt idx="505">
                  <c:v>12.4</c:v>
                </c:pt>
                <c:pt idx="506">
                  <c:v>12.6</c:v>
                </c:pt>
                <c:pt idx="507">
                  <c:v>13.4</c:v>
                </c:pt>
                <c:pt idx="508">
                  <c:v>14.6</c:v>
                </c:pt>
                <c:pt idx="509">
                  <c:v>14.6</c:v>
                </c:pt>
                <c:pt idx="510">
                  <c:v>12.5</c:v>
                </c:pt>
                <c:pt idx="511">
                  <c:v>12.2</c:v>
                </c:pt>
                <c:pt idx="512">
                  <c:v>10.1</c:v>
                </c:pt>
                <c:pt idx="513">
                  <c:v>12.1</c:v>
                </c:pt>
                <c:pt idx="514">
                  <c:v>12.5</c:v>
                </c:pt>
                <c:pt idx="515">
                  <c:v>10.200000000000001</c:v>
                </c:pt>
                <c:pt idx="516">
                  <c:v>12.6</c:v>
                </c:pt>
                <c:pt idx="517">
                  <c:v>9.6</c:v>
                </c:pt>
                <c:pt idx="518">
                  <c:v>10.3</c:v>
                </c:pt>
                <c:pt idx="519">
                  <c:v>13.2</c:v>
                </c:pt>
                <c:pt idx="520">
                  <c:v>12.1</c:v>
                </c:pt>
                <c:pt idx="521">
                  <c:v>15.3</c:v>
                </c:pt>
                <c:pt idx="522">
                  <c:v>10.6</c:v>
                </c:pt>
                <c:pt idx="523">
                  <c:v>10.6</c:v>
                </c:pt>
                <c:pt idx="524">
                  <c:v>13.6</c:v>
                </c:pt>
                <c:pt idx="525">
                  <c:v>13.5</c:v>
                </c:pt>
                <c:pt idx="526">
                  <c:v>12.4</c:v>
                </c:pt>
                <c:pt idx="527">
                  <c:v>12.6</c:v>
                </c:pt>
                <c:pt idx="528">
                  <c:v>13.5</c:v>
                </c:pt>
                <c:pt idx="529">
                  <c:v>13.6</c:v>
                </c:pt>
                <c:pt idx="530">
                  <c:v>12.5</c:v>
                </c:pt>
                <c:pt idx="531">
                  <c:v>12.4</c:v>
                </c:pt>
                <c:pt idx="532">
                  <c:v>12.4</c:v>
                </c:pt>
                <c:pt idx="533">
                  <c:v>14.6</c:v>
                </c:pt>
                <c:pt idx="534">
                  <c:v>14.6</c:v>
                </c:pt>
                <c:pt idx="535">
                  <c:v>14.6</c:v>
                </c:pt>
                <c:pt idx="536">
                  <c:v>14.6</c:v>
                </c:pt>
                <c:pt idx="537">
                  <c:v>12.6</c:v>
                </c:pt>
                <c:pt idx="538">
                  <c:v>12.5</c:v>
                </c:pt>
                <c:pt idx="539">
                  <c:v>13.6</c:v>
                </c:pt>
                <c:pt idx="540">
                  <c:v>12.6</c:v>
                </c:pt>
                <c:pt idx="541">
                  <c:v>10.6</c:v>
                </c:pt>
                <c:pt idx="542">
                  <c:v>10.6</c:v>
                </c:pt>
                <c:pt idx="543">
                  <c:v>12.6</c:v>
                </c:pt>
                <c:pt idx="544">
                  <c:v>10.4</c:v>
                </c:pt>
                <c:pt idx="545">
                  <c:v>13.6</c:v>
                </c:pt>
                <c:pt idx="546">
                  <c:v>12.6</c:v>
                </c:pt>
                <c:pt idx="547">
                  <c:v>10.6</c:v>
                </c:pt>
                <c:pt idx="548">
                  <c:v>10.5</c:v>
                </c:pt>
                <c:pt idx="549">
                  <c:v>10.6</c:v>
                </c:pt>
                <c:pt idx="550">
                  <c:v>10.5</c:v>
                </c:pt>
                <c:pt idx="551">
                  <c:v>10.6</c:v>
                </c:pt>
                <c:pt idx="552">
                  <c:v>13.6</c:v>
                </c:pt>
                <c:pt idx="553">
                  <c:v>12.6</c:v>
                </c:pt>
                <c:pt idx="554">
                  <c:v>12.6</c:v>
                </c:pt>
                <c:pt idx="555">
                  <c:v>11.6</c:v>
                </c:pt>
                <c:pt idx="556">
                  <c:v>9.6</c:v>
                </c:pt>
                <c:pt idx="557">
                  <c:v>9.4</c:v>
                </c:pt>
                <c:pt idx="558">
                  <c:v>10.1</c:v>
                </c:pt>
                <c:pt idx="559">
                  <c:v>10.6</c:v>
                </c:pt>
                <c:pt idx="560">
                  <c:v>10.5</c:v>
                </c:pt>
                <c:pt idx="561">
                  <c:v>10.5</c:v>
                </c:pt>
                <c:pt idx="562">
                  <c:v>12.1</c:v>
                </c:pt>
                <c:pt idx="563">
                  <c:v>12.3</c:v>
                </c:pt>
                <c:pt idx="564">
                  <c:v>12.6</c:v>
                </c:pt>
                <c:pt idx="565">
                  <c:v>13.5</c:v>
                </c:pt>
                <c:pt idx="566">
                  <c:v>13.6</c:v>
                </c:pt>
                <c:pt idx="567">
                  <c:v>10.1</c:v>
                </c:pt>
                <c:pt idx="568">
                  <c:v>14.6</c:v>
                </c:pt>
                <c:pt idx="569">
                  <c:v>9.5</c:v>
                </c:pt>
                <c:pt idx="570">
                  <c:v>10.3</c:v>
                </c:pt>
                <c:pt idx="571">
                  <c:v>13.5</c:v>
                </c:pt>
                <c:pt idx="572">
                  <c:v>12.5</c:v>
                </c:pt>
                <c:pt idx="573">
                  <c:v>11.5</c:v>
                </c:pt>
                <c:pt idx="574">
                  <c:v>11.5</c:v>
                </c:pt>
                <c:pt idx="575">
                  <c:v>11.3</c:v>
                </c:pt>
                <c:pt idx="576">
                  <c:v>11.1</c:v>
                </c:pt>
                <c:pt idx="577">
                  <c:v>11.6</c:v>
                </c:pt>
                <c:pt idx="578">
                  <c:v>10.6</c:v>
                </c:pt>
                <c:pt idx="579">
                  <c:v>10.5</c:v>
                </c:pt>
                <c:pt idx="580">
                  <c:v>10.5</c:v>
                </c:pt>
                <c:pt idx="581">
                  <c:v>10.4</c:v>
                </c:pt>
                <c:pt idx="582">
                  <c:v>12.6</c:v>
                </c:pt>
                <c:pt idx="583">
                  <c:v>10.3</c:v>
                </c:pt>
                <c:pt idx="584">
                  <c:v>10.3</c:v>
                </c:pt>
                <c:pt idx="585">
                  <c:v>12.4</c:v>
                </c:pt>
                <c:pt idx="586">
                  <c:v>12.4</c:v>
                </c:pt>
                <c:pt idx="587">
                  <c:v>10.3</c:v>
                </c:pt>
                <c:pt idx="588">
                  <c:v>10.200000000000001</c:v>
                </c:pt>
                <c:pt idx="589">
                  <c:v>10.4</c:v>
                </c:pt>
                <c:pt idx="590">
                  <c:v>9.1</c:v>
                </c:pt>
                <c:pt idx="591">
                  <c:v>13.6</c:v>
                </c:pt>
                <c:pt idx="592">
                  <c:v>12.2</c:v>
                </c:pt>
                <c:pt idx="593">
                  <c:v>10.5</c:v>
                </c:pt>
                <c:pt idx="594">
                  <c:v>10.6</c:v>
                </c:pt>
                <c:pt idx="595">
                  <c:v>12.5</c:v>
                </c:pt>
                <c:pt idx="596">
                  <c:v>12.4</c:v>
                </c:pt>
                <c:pt idx="597">
                  <c:v>9.3000000000000007</c:v>
                </c:pt>
                <c:pt idx="598">
                  <c:v>8.5</c:v>
                </c:pt>
                <c:pt idx="599">
                  <c:v>8.6</c:v>
                </c:pt>
                <c:pt idx="600">
                  <c:v>8.4</c:v>
                </c:pt>
                <c:pt idx="601">
                  <c:v>8.2000000000000011</c:v>
                </c:pt>
                <c:pt idx="602">
                  <c:v>8.5</c:v>
                </c:pt>
                <c:pt idx="603">
                  <c:v>8.6</c:v>
                </c:pt>
                <c:pt idx="604">
                  <c:v>11.5</c:v>
                </c:pt>
                <c:pt idx="605">
                  <c:v>10.5</c:v>
                </c:pt>
                <c:pt idx="606">
                  <c:v>10.6</c:v>
                </c:pt>
                <c:pt idx="607">
                  <c:v>12.3</c:v>
                </c:pt>
              </c:numCache>
            </c:numRef>
          </c:xVal>
          <c:yVal>
            <c:numRef>
              <c:f>Sheet1!$B$2:$B$609</c:f>
              <c:numCache>
                <c:formatCode>General</c:formatCode>
                <c:ptCount val="608"/>
                <c:pt idx="0">
                  <c:v>200</c:v>
                </c:pt>
                <c:pt idx="1">
                  <c:v>200</c:v>
                </c:pt>
                <c:pt idx="2">
                  <c:v>210</c:v>
                </c:pt>
                <c:pt idx="3">
                  <c:v>212</c:v>
                </c:pt>
                <c:pt idx="4">
                  <c:v>215</c:v>
                </c:pt>
                <c:pt idx="5">
                  <c:v>219</c:v>
                </c:pt>
                <c:pt idx="6">
                  <c:v>224</c:v>
                </c:pt>
                <c:pt idx="7">
                  <c:v>213</c:v>
                </c:pt>
                <c:pt idx="8">
                  <c:v>209</c:v>
                </c:pt>
                <c:pt idx="9">
                  <c:v>206</c:v>
                </c:pt>
                <c:pt idx="10">
                  <c:v>204</c:v>
                </c:pt>
                <c:pt idx="11">
                  <c:v>202</c:v>
                </c:pt>
                <c:pt idx="12">
                  <c:v>200</c:v>
                </c:pt>
                <c:pt idx="14">
                  <c:v>204</c:v>
                </c:pt>
                <c:pt idx="15">
                  <c:v>207</c:v>
                </c:pt>
                <c:pt idx="16">
                  <c:v>218</c:v>
                </c:pt>
                <c:pt idx="17">
                  <c:v>229</c:v>
                </c:pt>
                <c:pt idx="18">
                  <c:v>241</c:v>
                </c:pt>
                <c:pt idx="19">
                  <c:v>256</c:v>
                </c:pt>
                <c:pt idx="20">
                  <c:v>270</c:v>
                </c:pt>
                <c:pt idx="21">
                  <c:v>235</c:v>
                </c:pt>
                <c:pt idx="22">
                  <c:v>228</c:v>
                </c:pt>
                <c:pt idx="23">
                  <c:v>221</c:v>
                </c:pt>
                <c:pt idx="24">
                  <c:v>215</c:v>
                </c:pt>
                <c:pt idx="25">
                  <c:v>209</c:v>
                </c:pt>
                <c:pt idx="26">
                  <c:v>204</c:v>
                </c:pt>
                <c:pt idx="28">
                  <c:v>207</c:v>
                </c:pt>
                <c:pt idx="29">
                  <c:v>229</c:v>
                </c:pt>
                <c:pt idx="30">
                  <c:v>244</c:v>
                </c:pt>
                <c:pt idx="31">
                  <c:v>259</c:v>
                </c:pt>
                <c:pt idx="32">
                  <c:v>274</c:v>
                </c:pt>
                <c:pt idx="33">
                  <c:v>288</c:v>
                </c:pt>
                <c:pt idx="34">
                  <c:v>302</c:v>
                </c:pt>
                <c:pt idx="35">
                  <c:v>256</c:v>
                </c:pt>
                <c:pt idx="36">
                  <c:v>245</c:v>
                </c:pt>
                <c:pt idx="37">
                  <c:v>235</c:v>
                </c:pt>
                <c:pt idx="38">
                  <c:v>225</c:v>
                </c:pt>
                <c:pt idx="39">
                  <c:v>216</c:v>
                </c:pt>
                <c:pt idx="40">
                  <c:v>207</c:v>
                </c:pt>
                <c:pt idx="42">
                  <c:v>224</c:v>
                </c:pt>
                <c:pt idx="43">
                  <c:v>252</c:v>
                </c:pt>
                <c:pt idx="44">
                  <c:v>271</c:v>
                </c:pt>
                <c:pt idx="45">
                  <c:v>291</c:v>
                </c:pt>
                <c:pt idx="46">
                  <c:v>312</c:v>
                </c:pt>
                <c:pt idx="47">
                  <c:v>334</c:v>
                </c:pt>
                <c:pt idx="48">
                  <c:v>358</c:v>
                </c:pt>
                <c:pt idx="49">
                  <c:v>279</c:v>
                </c:pt>
                <c:pt idx="50">
                  <c:v>266</c:v>
                </c:pt>
                <c:pt idx="51">
                  <c:v>254</c:v>
                </c:pt>
                <c:pt idx="52">
                  <c:v>242</c:v>
                </c:pt>
                <c:pt idx="53">
                  <c:v>233</c:v>
                </c:pt>
                <c:pt idx="54">
                  <c:v>224</c:v>
                </c:pt>
                <c:pt idx="56">
                  <c:v>239</c:v>
                </c:pt>
                <c:pt idx="57">
                  <c:v>285</c:v>
                </c:pt>
                <c:pt idx="58">
                  <c:v>306</c:v>
                </c:pt>
                <c:pt idx="59">
                  <c:v>329</c:v>
                </c:pt>
                <c:pt idx="60">
                  <c:v>353</c:v>
                </c:pt>
                <c:pt idx="61">
                  <c:v>378</c:v>
                </c:pt>
                <c:pt idx="62">
                  <c:v>403</c:v>
                </c:pt>
                <c:pt idx="63">
                  <c:v>323</c:v>
                </c:pt>
                <c:pt idx="64">
                  <c:v>302</c:v>
                </c:pt>
                <c:pt idx="65">
                  <c:v>282</c:v>
                </c:pt>
                <c:pt idx="66">
                  <c:v>264</c:v>
                </c:pt>
                <c:pt idx="67">
                  <c:v>249</c:v>
                </c:pt>
                <c:pt idx="68">
                  <c:v>239</c:v>
                </c:pt>
                <c:pt idx="70">
                  <c:v>265</c:v>
                </c:pt>
                <c:pt idx="71">
                  <c:v>330</c:v>
                </c:pt>
                <c:pt idx="72">
                  <c:v>355</c:v>
                </c:pt>
                <c:pt idx="73">
                  <c:v>382</c:v>
                </c:pt>
                <c:pt idx="74">
                  <c:v>409</c:v>
                </c:pt>
                <c:pt idx="75">
                  <c:v>438</c:v>
                </c:pt>
                <c:pt idx="76">
                  <c:v>467</c:v>
                </c:pt>
                <c:pt idx="77">
                  <c:v>374</c:v>
                </c:pt>
                <c:pt idx="78">
                  <c:v>350</c:v>
                </c:pt>
                <c:pt idx="79">
                  <c:v>327</c:v>
                </c:pt>
                <c:pt idx="80">
                  <c:v>305</c:v>
                </c:pt>
                <c:pt idx="81">
                  <c:v>284</c:v>
                </c:pt>
                <c:pt idx="82">
                  <c:v>265</c:v>
                </c:pt>
                <c:pt idx="84">
                  <c:v>298</c:v>
                </c:pt>
                <c:pt idx="85">
                  <c:v>372</c:v>
                </c:pt>
                <c:pt idx="86">
                  <c:v>401</c:v>
                </c:pt>
                <c:pt idx="87">
                  <c:v>431</c:v>
                </c:pt>
                <c:pt idx="88">
                  <c:v>461</c:v>
                </c:pt>
                <c:pt idx="89">
                  <c:v>494</c:v>
                </c:pt>
                <c:pt idx="90">
                  <c:v>527</c:v>
                </c:pt>
                <c:pt idx="91">
                  <c:v>400</c:v>
                </c:pt>
                <c:pt idx="92">
                  <c:v>385</c:v>
                </c:pt>
                <c:pt idx="93">
                  <c:v>369</c:v>
                </c:pt>
                <c:pt idx="94">
                  <c:v>345</c:v>
                </c:pt>
                <c:pt idx="95">
                  <c:v>321</c:v>
                </c:pt>
                <c:pt idx="96">
                  <c:v>298</c:v>
                </c:pt>
                <c:pt idx="98">
                  <c:v>347</c:v>
                </c:pt>
                <c:pt idx="99">
                  <c:v>433</c:v>
                </c:pt>
                <c:pt idx="100">
                  <c:v>466</c:v>
                </c:pt>
                <c:pt idx="101">
                  <c:v>502</c:v>
                </c:pt>
                <c:pt idx="102">
                  <c:v>538</c:v>
                </c:pt>
                <c:pt idx="103">
                  <c:v>575</c:v>
                </c:pt>
                <c:pt idx="104">
                  <c:v>614</c:v>
                </c:pt>
                <c:pt idx="105">
                  <c:v>480</c:v>
                </c:pt>
                <c:pt idx="106">
                  <c:v>455</c:v>
                </c:pt>
                <c:pt idx="107">
                  <c:v>430</c:v>
                </c:pt>
                <c:pt idx="108">
                  <c:v>401</c:v>
                </c:pt>
                <c:pt idx="109">
                  <c:v>373</c:v>
                </c:pt>
                <c:pt idx="110">
                  <c:v>347</c:v>
                </c:pt>
                <c:pt idx="112">
                  <c:v>394</c:v>
                </c:pt>
                <c:pt idx="113">
                  <c:v>493</c:v>
                </c:pt>
                <c:pt idx="114">
                  <c:v>531</c:v>
                </c:pt>
                <c:pt idx="115">
                  <c:v>571</c:v>
                </c:pt>
                <c:pt idx="116">
                  <c:v>611</c:v>
                </c:pt>
                <c:pt idx="117">
                  <c:v>655</c:v>
                </c:pt>
                <c:pt idx="118">
                  <c:v>698</c:v>
                </c:pt>
                <c:pt idx="119">
                  <c:v>528</c:v>
                </c:pt>
                <c:pt idx="120">
                  <c:v>502</c:v>
                </c:pt>
                <c:pt idx="121">
                  <c:v>475</c:v>
                </c:pt>
                <c:pt idx="122">
                  <c:v>448</c:v>
                </c:pt>
                <c:pt idx="123">
                  <c:v>421</c:v>
                </c:pt>
                <c:pt idx="124">
                  <c:v>394</c:v>
                </c:pt>
                <c:pt idx="126">
                  <c:v>467</c:v>
                </c:pt>
                <c:pt idx="127">
                  <c:v>583</c:v>
                </c:pt>
                <c:pt idx="128">
                  <c:v>628</c:v>
                </c:pt>
                <c:pt idx="129">
                  <c:v>675</c:v>
                </c:pt>
                <c:pt idx="130">
                  <c:v>722</c:v>
                </c:pt>
                <c:pt idx="131">
                  <c:v>772</c:v>
                </c:pt>
                <c:pt idx="132">
                  <c:v>825</c:v>
                </c:pt>
                <c:pt idx="133">
                  <c:v>630</c:v>
                </c:pt>
                <c:pt idx="134">
                  <c:v>568</c:v>
                </c:pt>
                <c:pt idx="135">
                  <c:v>540</c:v>
                </c:pt>
                <c:pt idx="136">
                  <c:v>516</c:v>
                </c:pt>
                <c:pt idx="137">
                  <c:v>502</c:v>
                </c:pt>
                <c:pt idx="138">
                  <c:v>467</c:v>
                </c:pt>
                <c:pt idx="140">
                  <c:v>515</c:v>
                </c:pt>
                <c:pt idx="141">
                  <c:v>686</c:v>
                </c:pt>
                <c:pt idx="142">
                  <c:v>739</c:v>
                </c:pt>
                <c:pt idx="143">
                  <c:v>793</c:v>
                </c:pt>
                <c:pt idx="144">
                  <c:v>849</c:v>
                </c:pt>
                <c:pt idx="145">
                  <c:v>910</c:v>
                </c:pt>
                <c:pt idx="146">
                  <c:v>971</c:v>
                </c:pt>
                <c:pt idx="147">
                  <c:v>672</c:v>
                </c:pt>
                <c:pt idx="148">
                  <c:v>624</c:v>
                </c:pt>
                <c:pt idx="149">
                  <c:v>576</c:v>
                </c:pt>
                <c:pt idx="150">
                  <c:v>538</c:v>
                </c:pt>
                <c:pt idx="151">
                  <c:v>526</c:v>
                </c:pt>
                <c:pt idx="152">
                  <c:v>515</c:v>
                </c:pt>
                <c:pt idx="154">
                  <c:v>654</c:v>
                </c:pt>
                <c:pt idx="155">
                  <c:v>817</c:v>
                </c:pt>
                <c:pt idx="156">
                  <c:v>880</c:v>
                </c:pt>
                <c:pt idx="157">
                  <c:v>945</c:v>
                </c:pt>
                <c:pt idx="158">
                  <c:v>1013</c:v>
                </c:pt>
                <c:pt idx="159">
                  <c:v>1083</c:v>
                </c:pt>
                <c:pt idx="160">
                  <c:v>1157</c:v>
                </c:pt>
                <c:pt idx="161">
                  <c:v>778</c:v>
                </c:pt>
                <c:pt idx="162">
                  <c:v>730</c:v>
                </c:pt>
                <c:pt idx="163">
                  <c:v>719</c:v>
                </c:pt>
                <c:pt idx="164">
                  <c:v>706</c:v>
                </c:pt>
                <c:pt idx="165">
                  <c:v>685</c:v>
                </c:pt>
                <c:pt idx="166">
                  <c:v>654</c:v>
                </c:pt>
                <c:pt idx="168">
                  <c:v>762</c:v>
                </c:pt>
                <c:pt idx="169">
                  <c:v>952</c:v>
                </c:pt>
                <c:pt idx="170">
                  <c:v>1024</c:v>
                </c:pt>
                <c:pt idx="171">
                  <c:v>1100</c:v>
                </c:pt>
                <c:pt idx="172">
                  <c:v>1179</c:v>
                </c:pt>
                <c:pt idx="173">
                  <c:v>1261</c:v>
                </c:pt>
                <c:pt idx="174">
                  <c:v>1347</c:v>
                </c:pt>
                <c:pt idx="175">
                  <c:v>979</c:v>
                </c:pt>
                <c:pt idx="176">
                  <c:v>931</c:v>
                </c:pt>
                <c:pt idx="177">
                  <c:v>900</c:v>
                </c:pt>
                <c:pt idx="178">
                  <c:v>880</c:v>
                </c:pt>
                <c:pt idx="179">
                  <c:v>819</c:v>
                </c:pt>
                <c:pt idx="180">
                  <c:v>762</c:v>
                </c:pt>
                <c:pt idx="184">
                  <c:v>1040</c:v>
                </c:pt>
                <c:pt idx="185">
                  <c:v>1301</c:v>
                </c:pt>
                <c:pt idx="186">
                  <c:v>1393</c:v>
                </c:pt>
                <c:pt idx="187">
                  <c:v>1491</c:v>
                </c:pt>
                <c:pt idx="188">
                  <c:v>1591</c:v>
                </c:pt>
                <c:pt idx="189">
                  <c:v>1159</c:v>
                </c:pt>
                <c:pt idx="190">
                  <c:v>1118</c:v>
                </c:pt>
                <c:pt idx="191">
                  <c:v>1082</c:v>
                </c:pt>
                <c:pt idx="192">
                  <c:v>1040</c:v>
                </c:pt>
                <c:pt idx="198">
                  <c:v>1257</c:v>
                </c:pt>
                <c:pt idx="199">
                  <c:v>1479</c:v>
                </c:pt>
                <c:pt idx="200">
                  <c:v>1536</c:v>
                </c:pt>
                <c:pt idx="201">
                  <c:v>1594</c:v>
                </c:pt>
                <c:pt idx="202">
                  <c:v>1653</c:v>
                </c:pt>
                <c:pt idx="203">
                  <c:v>1405</c:v>
                </c:pt>
                <c:pt idx="204">
                  <c:v>1355</c:v>
                </c:pt>
                <c:pt idx="205">
                  <c:v>1306</c:v>
                </c:pt>
                <c:pt idx="206">
                  <c:v>1257</c:v>
                </c:pt>
                <c:pt idx="214">
                  <c:v>1419</c:v>
                </c:pt>
                <c:pt idx="215">
                  <c:v>1669</c:v>
                </c:pt>
                <c:pt idx="216">
                  <c:v>1715</c:v>
                </c:pt>
                <c:pt idx="217">
                  <c:v>1458</c:v>
                </c:pt>
                <c:pt idx="218">
                  <c:v>1419</c:v>
                </c:pt>
              </c:numCache>
            </c:numRef>
          </c:yVal>
          <c:smooth val="0"/>
        </c:ser>
        <c:ser>
          <c:idx val="1"/>
          <c:order val="1"/>
          <c:tx>
            <c:strRef>
              <c:f>Sheet1!$C$1</c:f>
              <c:strCache>
                <c:ptCount val="1"/>
                <c:pt idx="0">
                  <c:v>punkti</c:v>
                </c:pt>
              </c:strCache>
            </c:strRef>
          </c:tx>
          <c:spPr>
            <a:ln>
              <a:noFill/>
            </a:ln>
          </c:spPr>
          <c:marker>
            <c:symbol val="circle"/>
            <c:size val="2"/>
            <c:spPr>
              <a:ln>
                <a:solidFill>
                  <a:srgbClr val="002060"/>
                </a:solidFill>
              </a:ln>
            </c:spPr>
          </c:marker>
          <c:xVal>
            <c:numRef>
              <c:f>Sheet1!$A$2:$A$609</c:f>
              <c:numCache>
                <c:formatCode>General</c:formatCode>
                <c:ptCount val="608"/>
                <c:pt idx="0">
                  <c:v>1.1000000000000001</c:v>
                </c:pt>
                <c:pt idx="1">
                  <c:v>1.1000000000000001</c:v>
                </c:pt>
                <c:pt idx="2">
                  <c:v>1.2</c:v>
                </c:pt>
                <c:pt idx="3">
                  <c:v>1.3</c:v>
                </c:pt>
                <c:pt idx="4">
                  <c:v>1.4</c:v>
                </c:pt>
                <c:pt idx="5">
                  <c:v>1.5</c:v>
                </c:pt>
                <c:pt idx="6">
                  <c:v>1.6</c:v>
                </c:pt>
                <c:pt idx="7">
                  <c:v>1.6</c:v>
                </c:pt>
                <c:pt idx="8">
                  <c:v>1.5</c:v>
                </c:pt>
                <c:pt idx="9">
                  <c:v>1.4</c:v>
                </c:pt>
                <c:pt idx="10">
                  <c:v>1.3</c:v>
                </c:pt>
                <c:pt idx="11">
                  <c:v>1.2</c:v>
                </c:pt>
                <c:pt idx="12">
                  <c:v>1.1000000000000001</c:v>
                </c:pt>
                <c:pt idx="14">
                  <c:v>2.1</c:v>
                </c:pt>
                <c:pt idx="15">
                  <c:v>2.1</c:v>
                </c:pt>
                <c:pt idx="16">
                  <c:v>2.2000000000000002</c:v>
                </c:pt>
                <c:pt idx="17">
                  <c:v>2.2999999999999998</c:v>
                </c:pt>
                <c:pt idx="18">
                  <c:v>2.4</c:v>
                </c:pt>
                <c:pt idx="19">
                  <c:v>2.5</c:v>
                </c:pt>
                <c:pt idx="20">
                  <c:v>2.6</c:v>
                </c:pt>
                <c:pt idx="21">
                  <c:v>2.6</c:v>
                </c:pt>
                <c:pt idx="22">
                  <c:v>2.5</c:v>
                </c:pt>
                <c:pt idx="23">
                  <c:v>2.4</c:v>
                </c:pt>
                <c:pt idx="24">
                  <c:v>2.2999999999999998</c:v>
                </c:pt>
                <c:pt idx="25">
                  <c:v>2.2000000000000002</c:v>
                </c:pt>
                <c:pt idx="26">
                  <c:v>2.1</c:v>
                </c:pt>
                <c:pt idx="28">
                  <c:v>3.1</c:v>
                </c:pt>
                <c:pt idx="29">
                  <c:v>3.1</c:v>
                </c:pt>
                <c:pt idx="30">
                  <c:v>3.2</c:v>
                </c:pt>
                <c:pt idx="31">
                  <c:v>3.3</c:v>
                </c:pt>
                <c:pt idx="32">
                  <c:v>3.4</c:v>
                </c:pt>
                <c:pt idx="33">
                  <c:v>3.5</c:v>
                </c:pt>
                <c:pt idx="34">
                  <c:v>3.6</c:v>
                </c:pt>
                <c:pt idx="35">
                  <c:v>3.6</c:v>
                </c:pt>
                <c:pt idx="36">
                  <c:v>3.5</c:v>
                </c:pt>
                <c:pt idx="37">
                  <c:v>3.4</c:v>
                </c:pt>
                <c:pt idx="38">
                  <c:v>3.3</c:v>
                </c:pt>
                <c:pt idx="39">
                  <c:v>3.2</c:v>
                </c:pt>
                <c:pt idx="40">
                  <c:v>3.1</c:v>
                </c:pt>
                <c:pt idx="42">
                  <c:v>4.0999999999999996</c:v>
                </c:pt>
                <c:pt idx="43">
                  <c:v>4.0999999999999996</c:v>
                </c:pt>
                <c:pt idx="44">
                  <c:v>4.2</c:v>
                </c:pt>
                <c:pt idx="45">
                  <c:v>4.3</c:v>
                </c:pt>
                <c:pt idx="46">
                  <c:v>4.4000000000000004</c:v>
                </c:pt>
                <c:pt idx="47">
                  <c:v>4.5</c:v>
                </c:pt>
                <c:pt idx="48">
                  <c:v>4.5999999999999996</c:v>
                </c:pt>
                <c:pt idx="49">
                  <c:v>4.5999999999999996</c:v>
                </c:pt>
                <c:pt idx="50">
                  <c:v>4.5</c:v>
                </c:pt>
                <c:pt idx="51">
                  <c:v>4.4000000000000004</c:v>
                </c:pt>
                <c:pt idx="52">
                  <c:v>4.3</c:v>
                </c:pt>
                <c:pt idx="53">
                  <c:v>4.2</c:v>
                </c:pt>
                <c:pt idx="54">
                  <c:v>4.0999999999999996</c:v>
                </c:pt>
                <c:pt idx="56">
                  <c:v>5.0999999999999996</c:v>
                </c:pt>
                <c:pt idx="57">
                  <c:v>5.0999999999999996</c:v>
                </c:pt>
                <c:pt idx="58">
                  <c:v>5.2</c:v>
                </c:pt>
                <c:pt idx="59">
                  <c:v>5.3</c:v>
                </c:pt>
                <c:pt idx="60">
                  <c:v>5.4</c:v>
                </c:pt>
                <c:pt idx="61">
                  <c:v>5.5</c:v>
                </c:pt>
                <c:pt idx="62">
                  <c:v>5.6</c:v>
                </c:pt>
                <c:pt idx="63">
                  <c:v>5.6</c:v>
                </c:pt>
                <c:pt idx="64">
                  <c:v>5.5</c:v>
                </c:pt>
                <c:pt idx="65">
                  <c:v>5.4</c:v>
                </c:pt>
                <c:pt idx="66">
                  <c:v>5.3</c:v>
                </c:pt>
                <c:pt idx="67">
                  <c:v>5.2</c:v>
                </c:pt>
                <c:pt idx="68">
                  <c:v>5.0999999999999996</c:v>
                </c:pt>
                <c:pt idx="70">
                  <c:v>6.1</c:v>
                </c:pt>
                <c:pt idx="71">
                  <c:v>6.1</c:v>
                </c:pt>
                <c:pt idx="72">
                  <c:v>6.2</c:v>
                </c:pt>
                <c:pt idx="73">
                  <c:v>6.3</c:v>
                </c:pt>
                <c:pt idx="74">
                  <c:v>6.4</c:v>
                </c:pt>
                <c:pt idx="75">
                  <c:v>6.5</c:v>
                </c:pt>
                <c:pt idx="76">
                  <c:v>6.6</c:v>
                </c:pt>
                <c:pt idx="77">
                  <c:v>6.6</c:v>
                </c:pt>
                <c:pt idx="78">
                  <c:v>6.5</c:v>
                </c:pt>
                <c:pt idx="79">
                  <c:v>6.4</c:v>
                </c:pt>
                <c:pt idx="80">
                  <c:v>6.3</c:v>
                </c:pt>
                <c:pt idx="81">
                  <c:v>6.2</c:v>
                </c:pt>
                <c:pt idx="82">
                  <c:v>6.1</c:v>
                </c:pt>
                <c:pt idx="84">
                  <c:v>7.1</c:v>
                </c:pt>
                <c:pt idx="85">
                  <c:v>7.1</c:v>
                </c:pt>
                <c:pt idx="86">
                  <c:v>7.2</c:v>
                </c:pt>
                <c:pt idx="87">
                  <c:v>7.3</c:v>
                </c:pt>
                <c:pt idx="88">
                  <c:v>7.4</c:v>
                </c:pt>
                <c:pt idx="89">
                  <c:v>7.5</c:v>
                </c:pt>
                <c:pt idx="90">
                  <c:v>7.6</c:v>
                </c:pt>
                <c:pt idx="91">
                  <c:v>7.6</c:v>
                </c:pt>
                <c:pt idx="92">
                  <c:v>7.5</c:v>
                </c:pt>
                <c:pt idx="93">
                  <c:v>7.4</c:v>
                </c:pt>
                <c:pt idx="94">
                  <c:v>7.3</c:v>
                </c:pt>
                <c:pt idx="95">
                  <c:v>7.2</c:v>
                </c:pt>
                <c:pt idx="96">
                  <c:v>7.1</c:v>
                </c:pt>
                <c:pt idx="98">
                  <c:v>8.1</c:v>
                </c:pt>
                <c:pt idx="99">
                  <c:v>8.1</c:v>
                </c:pt>
                <c:pt idx="100">
                  <c:v>8.2000000000000011</c:v>
                </c:pt>
                <c:pt idx="101">
                  <c:v>8.3000000000000007</c:v>
                </c:pt>
                <c:pt idx="102">
                  <c:v>8.4</c:v>
                </c:pt>
                <c:pt idx="103">
                  <c:v>8.5</c:v>
                </c:pt>
                <c:pt idx="104">
                  <c:v>8.6</c:v>
                </c:pt>
                <c:pt idx="105">
                  <c:v>8.6</c:v>
                </c:pt>
                <c:pt idx="106">
                  <c:v>8.5</c:v>
                </c:pt>
                <c:pt idx="107">
                  <c:v>8.4</c:v>
                </c:pt>
                <c:pt idx="108">
                  <c:v>8.3000000000000007</c:v>
                </c:pt>
                <c:pt idx="109">
                  <c:v>8.2000000000000011</c:v>
                </c:pt>
                <c:pt idx="110">
                  <c:v>8.1</c:v>
                </c:pt>
                <c:pt idx="112">
                  <c:v>9.1</c:v>
                </c:pt>
                <c:pt idx="113">
                  <c:v>9.1</c:v>
                </c:pt>
                <c:pt idx="114">
                  <c:v>9.2000000000000011</c:v>
                </c:pt>
                <c:pt idx="115">
                  <c:v>9.3000000000000007</c:v>
                </c:pt>
                <c:pt idx="116">
                  <c:v>9.4</c:v>
                </c:pt>
                <c:pt idx="117">
                  <c:v>9.5</c:v>
                </c:pt>
                <c:pt idx="118">
                  <c:v>9.6</c:v>
                </c:pt>
                <c:pt idx="119">
                  <c:v>9.6</c:v>
                </c:pt>
                <c:pt idx="120">
                  <c:v>9.5</c:v>
                </c:pt>
                <c:pt idx="121">
                  <c:v>9.4</c:v>
                </c:pt>
                <c:pt idx="122">
                  <c:v>9.3000000000000007</c:v>
                </c:pt>
                <c:pt idx="123">
                  <c:v>9.2000000000000011</c:v>
                </c:pt>
                <c:pt idx="124">
                  <c:v>9.1</c:v>
                </c:pt>
                <c:pt idx="126">
                  <c:v>10.1</c:v>
                </c:pt>
                <c:pt idx="127">
                  <c:v>10.1</c:v>
                </c:pt>
                <c:pt idx="128">
                  <c:v>10.200000000000001</c:v>
                </c:pt>
                <c:pt idx="129">
                  <c:v>10.3</c:v>
                </c:pt>
                <c:pt idx="130">
                  <c:v>10.4</c:v>
                </c:pt>
                <c:pt idx="131">
                  <c:v>10.5</c:v>
                </c:pt>
                <c:pt idx="132">
                  <c:v>10.6</c:v>
                </c:pt>
                <c:pt idx="133">
                  <c:v>10.6</c:v>
                </c:pt>
                <c:pt idx="134">
                  <c:v>10.5</c:v>
                </c:pt>
                <c:pt idx="135">
                  <c:v>10.4</c:v>
                </c:pt>
                <c:pt idx="136">
                  <c:v>10.3</c:v>
                </c:pt>
                <c:pt idx="137">
                  <c:v>10.200000000000001</c:v>
                </c:pt>
                <c:pt idx="138">
                  <c:v>10.1</c:v>
                </c:pt>
                <c:pt idx="140">
                  <c:v>11.1</c:v>
                </c:pt>
                <c:pt idx="141">
                  <c:v>11.1</c:v>
                </c:pt>
                <c:pt idx="142">
                  <c:v>11.2</c:v>
                </c:pt>
                <c:pt idx="143">
                  <c:v>11.3</c:v>
                </c:pt>
                <c:pt idx="144">
                  <c:v>11.4</c:v>
                </c:pt>
                <c:pt idx="145">
                  <c:v>11.5</c:v>
                </c:pt>
                <c:pt idx="146">
                  <c:v>11.6</c:v>
                </c:pt>
                <c:pt idx="147">
                  <c:v>11.6</c:v>
                </c:pt>
                <c:pt idx="148">
                  <c:v>11.5</c:v>
                </c:pt>
                <c:pt idx="149">
                  <c:v>11.4</c:v>
                </c:pt>
                <c:pt idx="150">
                  <c:v>11.3</c:v>
                </c:pt>
                <c:pt idx="151">
                  <c:v>11.2</c:v>
                </c:pt>
                <c:pt idx="152">
                  <c:v>11.1</c:v>
                </c:pt>
                <c:pt idx="154">
                  <c:v>12.1</c:v>
                </c:pt>
                <c:pt idx="155">
                  <c:v>12.1</c:v>
                </c:pt>
                <c:pt idx="156">
                  <c:v>12.2</c:v>
                </c:pt>
                <c:pt idx="157">
                  <c:v>12.3</c:v>
                </c:pt>
                <c:pt idx="158">
                  <c:v>12.4</c:v>
                </c:pt>
                <c:pt idx="159">
                  <c:v>12.5</c:v>
                </c:pt>
                <c:pt idx="160">
                  <c:v>12.6</c:v>
                </c:pt>
                <c:pt idx="161">
                  <c:v>12.6</c:v>
                </c:pt>
                <c:pt idx="162">
                  <c:v>12.5</c:v>
                </c:pt>
                <c:pt idx="163">
                  <c:v>12.4</c:v>
                </c:pt>
                <c:pt idx="164">
                  <c:v>12.3</c:v>
                </c:pt>
                <c:pt idx="165">
                  <c:v>12.2</c:v>
                </c:pt>
                <c:pt idx="166">
                  <c:v>12.1</c:v>
                </c:pt>
                <c:pt idx="168">
                  <c:v>13.1</c:v>
                </c:pt>
                <c:pt idx="169">
                  <c:v>13.1</c:v>
                </c:pt>
                <c:pt idx="170">
                  <c:v>13.2</c:v>
                </c:pt>
                <c:pt idx="171">
                  <c:v>13.3</c:v>
                </c:pt>
                <c:pt idx="172">
                  <c:v>13.4</c:v>
                </c:pt>
                <c:pt idx="173">
                  <c:v>13.5</c:v>
                </c:pt>
                <c:pt idx="174">
                  <c:v>13.6</c:v>
                </c:pt>
                <c:pt idx="175">
                  <c:v>13.6</c:v>
                </c:pt>
                <c:pt idx="176">
                  <c:v>13.5</c:v>
                </c:pt>
                <c:pt idx="177">
                  <c:v>13.4</c:v>
                </c:pt>
                <c:pt idx="178">
                  <c:v>13.3</c:v>
                </c:pt>
                <c:pt idx="179">
                  <c:v>13.2</c:v>
                </c:pt>
                <c:pt idx="180">
                  <c:v>13.1</c:v>
                </c:pt>
                <c:pt idx="182">
                  <c:v>14.1</c:v>
                </c:pt>
                <c:pt idx="183">
                  <c:v>14.1</c:v>
                </c:pt>
                <c:pt idx="184">
                  <c:v>14.3</c:v>
                </c:pt>
                <c:pt idx="185">
                  <c:v>14.3</c:v>
                </c:pt>
                <c:pt idx="186">
                  <c:v>14.4</c:v>
                </c:pt>
                <c:pt idx="187">
                  <c:v>14.5</c:v>
                </c:pt>
                <c:pt idx="188">
                  <c:v>14.6</c:v>
                </c:pt>
                <c:pt idx="189">
                  <c:v>14.6</c:v>
                </c:pt>
                <c:pt idx="190">
                  <c:v>14.5</c:v>
                </c:pt>
                <c:pt idx="191">
                  <c:v>14.4</c:v>
                </c:pt>
                <c:pt idx="192">
                  <c:v>14.3</c:v>
                </c:pt>
                <c:pt idx="193">
                  <c:v>14.2</c:v>
                </c:pt>
                <c:pt idx="194">
                  <c:v>14.1</c:v>
                </c:pt>
                <c:pt idx="196">
                  <c:v>15.1</c:v>
                </c:pt>
                <c:pt idx="197">
                  <c:v>15.1</c:v>
                </c:pt>
                <c:pt idx="198">
                  <c:v>15.3</c:v>
                </c:pt>
                <c:pt idx="199">
                  <c:v>15.3</c:v>
                </c:pt>
                <c:pt idx="200">
                  <c:v>15.4</c:v>
                </c:pt>
                <c:pt idx="201">
                  <c:v>15.5</c:v>
                </c:pt>
                <c:pt idx="202">
                  <c:v>15.6</c:v>
                </c:pt>
                <c:pt idx="203">
                  <c:v>15.6</c:v>
                </c:pt>
                <c:pt idx="204">
                  <c:v>15.5</c:v>
                </c:pt>
                <c:pt idx="205">
                  <c:v>15.4</c:v>
                </c:pt>
                <c:pt idx="206">
                  <c:v>15.3</c:v>
                </c:pt>
                <c:pt idx="207">
                  <c:v>15.2</c:v>
                </c:pt>
                <c:pt idx="208">
                  <c:v>15.1</c:v>
                </c:pt>
                <c:pt idx="210">
                  <c:v>16.100000000000001</c:v>
                </c:pt>
                <c:pt idx="211">
                  <c:v>16.100000000000001</c:v>
                </c:pt>
                <c:pt idx="212">
                  <c:v>16.2</c:v>
                </c:pt>
                <c:pt idx="213">
                  <c:v>16.3</c:v>
                </c:pt>
                <c:pt idx="214">
                  <c:v>16.5</c:v>
                </c:pt>
                <c:pt idx="215">
                  <c:v>16.5</c:v>
                </c:pt>
                <c:pt idx="216">
                  <c:v>16.600000000000001</c:v>
                </c:pt>
                <c:pt idx="217">
                  <c:v>16.600000000000001</c:v>
                </c:pt>
                <c:pt idx="218">
                  <c:v>16.5</c:v>
                </c:pt>
                <c:pt idx="219">
                  <c:v>16.399999999999999</c:v>
                </c:pt>
                <c:pt idx="220">
                  <c:v>16.3</c:v>
                </c:pt>
                <c:pt idx="221">
                  <c:v>16.2</c:v>
                </c:pt>
                <c:pt idx="222">
                  <c:v>16.100000000000001</c:v>
                </c:pt>
                <c:pt idx="225">
                  <c:v>8.1</c:v>
                </c:pt>
                <c:pt idx="226">
                  <c:v>10.5</c:v>
                </c:pt>
                <c:pt idx="227">
                  <c:v>10.200000000000001</c:v>
                </c:pt>
                <c:pt idx="228">
                  <c:v>10.3</c:v>
                </c:pt>
                <c:pt idx="229">
                  <c:v>13.6</c:v>
                </c:pt>
                <c:pt idx="230">
                  <c:v>12.6</c:v>
                </c:pt>
                <c:pt idx="231">
                  <c:v>10.6</c:v>
                </c:pt>
                <c:pt idx="232">
                  <c:v>10.6</c:v>
                </c:pt>
                <c:pt idx="233">
                  <c:v>13.6</c:v>
                </c:pt>
                <c:pt idx="234">
                  <c:v>12.5</c:v>
                </c:pt>
                <c:pt idx="235">
                  <c:v>10.6</c:v>
                </c:pt>
                <c:pt idx="236">
                  <c:v>10.4</c:v>
                </c:pt>
                <c:pt idx="237">
                  <c:v>10.5</c:v>
                </c:pt>
                <c:pt idx="238">
                  <c:v>10.3</c:v>
                </c:pt>
                <c:pt idx="239">
                  <c:v>13.6</c:v>
                </c:pt>
                <c:pt idx="240">
                  <c:v>10.1</c:v>
                </c:pt>
                <c:pt idx="241">
                  <c:v>10.4</c:v>
                </c:pt>
                <c:pt idx="242">
                  <c:v>12.4</c:v>
                </c:pt>
                <c:pt idx="243">
                  <c:v>14.6</c:v>
                </c:pt>
                <c:pt idx="244">
                  <c:v>10.6</c:v>
                </c:pt>
                <c:pt idx="245">
                  <c:v>10.5</c:v>
                </c:pt>
                <c:pt idx="246">
                  <c:v>12.5</c:v>
                </c:pt>
                <c:pt idx="247">
                  <c:v>10.3</c:v>
                </c:pt>
                <c:pt idx="248">
                  <c:v>13.6</c:v>
                </c:pt>
                <c:pt idx="249">
                  <c:v>12.5</c:v>
                </c:pt>
                <c:pt idx="250">
                  <c:v>10.4</c:v>
                </c:pt>
                <c:pt idx="251">
                  <c:v>10.3</c:v>
                </c:pt>
                <c:pt idx="252">
                  <c:v>14.6</c:v>
                </c:pt>
                <c:pt idx="253">
                  <c:v>13.5</c:v>
                </c:pt>
                <c:pt idx="254">
                  <c:v>12.4</c:v>
                </c:pt>
                <c:pt idx="255">
                  <c:v>10.3</c:v>
                </c:pt>
                <c:pt idx="256">
                  <c:v>10.5</c:v>
                </c:pt>
                <c:pt idx="257">
                  <c:v>10.5</c:v>
                </c:pt>
                <c:pt idx="258">
                  <c:v>9.5</c:v>
                </c:pt>
                <c:pt idx="259">
                  <c:v>12.3</c:v>
                </c:pt>
                <c:pt idx="260">
                  <c:v>10.3</c:v>
                </c:pt>
                <c:pt idx="261">
                  <c:v>10.4</c:v>
                </c:pt>
                <c:pt idx="262">
                  <c:v>13.6</c:v>
                </c:pt>
                <c:pt idx="263">
                  <c:v>10.1</c:v>
                </c:pt>
                <c:pt idx="264">
                  <c:v>10.4</c:v>
                </c:pt>
                <c:pt idx="265">
                  <c:v>10.4</c:v>
                </c:pt>
                <c:pt idx="266">
                  <c:v>13.6</c:v>
                </c:pt>
                <c:pt idx="267">
                  <c:v>13.6</c:v>
                </c:pt>
                <c:pt idx="268">
                  <c:v>13.6</c:v>
                </c:pt>
                <c:pt idx="269">
                  <c:v>10.4</c:v>
                </c:pt>
                <c:pt idx="270">
                  <c:v>13.5</c:v>
                </c:pt>
                <c:pt idx="271">
                  <c:v>10.3</c:v>
                </c:pt>
                <c:pt idx="272">
                  <c:v>15.6</c:v>
                </c:pt>
                <c:pt idx="273">
                  <c:v>15.6</c:v>
                </c:pt>
                <c:pt idx="274">
                  <c:v>15.6</c:v>
                </c:pt>
                <c:pt idx="275">
                  <c:v>16.600000000000001</c:v>
                </c:pt>
                <c:pt idx="276">
                  <c:v>14.6</c:v>
                </c:pt>
                <c:pt idx="277">
                  <c:v>8.6</c:v>
                </c:pt>
                <c:pt idx="278">
                  <c:v>10.3</c:v>
                </c:pt>
                <c:pt idx="279">
                  <c:v>13.6</c:v>
                </c:pt>
                <c:pt idx="280">
                  <c:v>12.3</c:v>
                </c:pt>
                <c:pt idx="281">
                  <c:v>10.3</c:v>
                </c:pt>
                <c:pt idx="282">
                  <c:v>10.1</c:v>
                </c:pt>
                <c:pt idx="283">
                  <c:v>13.6</c:v>
                </c:pt>
                <c:pt idx="284">
                  <c:v>12.6</c:v>
                </c:pt>
                <c:pt idx="285">
                  <c:v>13.4</c:v>
                </c:pt>
                <c:pt idx="286">
                  <c:v>10.4</c:v>
                </c:pt>
                <c:pt idx="287">
                  <c:v>10.6</c:v>
                </c:pt>
                <c:pt idx="288">
                  <c:v>10.6</c:v>
                </c:pt>
                <c:pt idx="289">
                  <c:v>13.6</c:v>
                </c:pt>
                <c:pt idx="290">
                  <c:v>12.6</c:v>
                </c:pt>
                <c:pt idx="291">
                  <c:v>11.3</c:v>
                </c:pt>
                <c:pt idx="292">
                  <c:v>11.5</c:v>
                </c:pt>
                <c:pt idx="293">
                  <c:v>9.6</c:v>
                </c:pt>
                <c:pt idx="294">
                  <c:v>12.5</c:v>
                </c:pt>
                <c:pt idx="295">
                  <c:v>11.5</c:v>
                </c:pt>
                <c:pt idx="296">
                  <c:v>11.5</c:v>
                </c:pt>
                <c:pt idx="297">
                  <c:v>11.4</c:v>
                </c:pt>
                <c:pt idx="298">
                  <c:v>11.5</c:v>
                </c:pt>
                <c:pt idx="299">
                  <c:v>11.6</c:v>
                </c:pt>
                <c:pt idx="300">
                  <c:v>11.3</c:v>
                </c:pt>
                <c:pt idx="301">
                  <c:v>12.6</c:v>
                </c:pt>
                <c:pt idx="302">
                  <c:v>11.6</c:v>
                </c:pt>
                <c:pt idx="303">
                  <c:v>11.5</c:v>
                </c:pt>
                <c:pt idx="304">
                  <c:v>11.5</c:v>
                </c:pt>
                <c:pt idx="305">
                  <c:v>9.2000000000000011</c:v>
                </c:pt>
                <c:pt idx="306">
                  <c:v>10.5</c:v>
                </c:pt>
                <c:pt idx="307">
                  <c:v>12.6</c:v>
                </c:pt>
                <c:pt idx="308">
                  <c:v>9.4</c:v>
                </c:pt>
                <c:pt idx="309">
                  <c:v>13.6</c:v>
                </c:pt>
                <c:pt idx="310">
                  <c:v>13.6</c:v>
                </c:pt>
                <c:pt idx="311">
                  <c:v>9.6</c:v>
                </c:pt>
                <c:pt idx="312">
                  <c:v>9.6</c:v>
                </c:pt>
                <c:pt idx="313">
                  <c:v>9.5</c:v>
                </c:pt>
                <c:pt idx="314">
                  <c:v>14.6</c:v>
                </c:pt>
                <c:pt idx="315">
                  <c:v>13.6</c:v>
                </c:pt>
                <c:pt idx="316">
                  <c:v>13.6</c:v>
                </c:pt>
                <c:pt idx="317">
                  <c:v>12.6</c:v>
                </c:pt>
                <c:pt idx="318">
                  <c:v>12.3</c:v>
                </c:pt>
                <c:pt idx="319">
                  <c:v>12.3</c:v>
                </c:pt>
                <c:pt idx="320">
                  <c:v>10.1</c:v>
                </c:pt>
                <c:pt idx="321">
                  <c:v>10.3</c:v>
                </c:pt>
                <c:pt idx="322">
                  <c:v>13.6</c:v>
                </c:pt>
                <c:pt idx="323">
                  <c:v>10.4</c:v>
                </c:pt>
                <c:pt idx="324">
                  <c:v>12.3</c:v>
                </c:pt>
                <c:pt idx="325">
                  <c:v>10.1</c:v>
                </c:pt>
                <c:pt idx="326">
                  <c:v>10.200000000000001</c:v>
                </c:pt>
                <c:pt idx="327">
                  <c:v>13.6</c:v>
                </c:pt>
                <c:pt idx="328">
                  <c:v>12.6</c:v>
                </c:pt>
                <c:pt idx="329">
                  <c:v>10.5</c:v>
                </c:pt>
                <c:pt idx="330">
                  <c:v>14.6</c:v>
                </c:pt>
                <c:pt idx="331">
                  <c:v>13.6</c:v>
                </c:pt>
                <c:pt idx="332">
                  <c:v>13.5</c:v>
                </c:pt>
                <c:pt idx="333">
                  <c:v>9.5</c:v>
                </c:pt>
                <c:pt idx="334">
                  <c:v>10.6</c:v>
                </c:pt>
                <c:pt idx="335">
                  <c:v>10.6</c:v>
                </c:pt>
                <c:pt idx="336">
                  <c:v>10.6</c:v>
                </c:pt>
                <c:pt idx="337">
                  <c:v>13.6</c:v>
                </c:pt>
                <c:pt idx="338">
                  <c:v>11.3</c:v>
                </c:pt>
                <c:pt idx="339">
                  <c:v>10.5</c:v>
                </c:pt>
                <c:pt idx="340">
                  <c:v>11.6</c:v>
                </c:pt>
                <c:pt idx="341">
                  <c:v>10.5</c:v>
                </c:pt>
                <c:pt idx="342">
                  <c:v>13.6</c:v>
                </c:pt>
                <c:pt idx="343">
                  <c:v>12.5</c:v>
                </c:pt>
                <c:pt idx="344">
                  <c:v>14.6</c:v>
                </c:pt>
                <c:pt idx="345">
                  <c:v>12.6</c:v>
                </c:pt>
                <c:pt idx="346">
                  <c:v>10.200000000000001</c:v>
                </c:pt>
                <c:pt idx="347">
                  <c:v>10.5</c:v>
                </c:pt>
                <c:pt idx="348">
                  <c:v>10.3</c:v>
                </c:pt>
                <c:pt idx="349">
                  <c:v>9.5</c:v>
                </c:pt>
                <c:pt idx="350">
                  <c:v>10.6</c:v>
                </c:pt>
                <c:pt idx="351">
                  <c:v>10.6</c:v>
                </c:pt>
                <c:pt idx="352">
                  <c:v>8.6</c:v>
                </c:pt>
                <c:pt idx="353">
                  <c:v>11.4</c:v>
                </c:pt>
                <c:pt idx="354">
                  <c:v>10.6</c:v>
                </c:pt>
                <c:pt idx="355">
                  <c:v>8.6</c:v>
                </c:pt>
                <c:pt idx="356">
                  <c:v>8.6</c:v>
                </c:pt>
                <c:pt idx="357">
                  <c:v>8.6</c:v>
                </c:pt>
                <c:pt idx="358">
                  <c:v>8.6</c:v>
                </c:pt>
                <c:pt idx="359">
                  <c:v>8.5</c:v>
                </c:pt>
                <c:pt idx="360">
                  <c:v>8.5</c:v>
                </c:pt>
                <c:pt idx="361">
                  <c:v>9.6</c:v>
                </c:pt>
                <c:pt idx="362">
                  <c:v>14.6</c:v>
                </c:pt>
                <c:pt idx="363">
                  <c:v>13.6</c:v>
                </c:pt>
                <c:pt idx="364">
                  <c:v>10.1</c:v>
                </c:pt>
                <c:pt idx="365">
                  <c:v>10.5</c:v>
                </c:pt>
                <c:pt idx="366">
                  <c:v>12.6</c:v>
                </c:pt>
                <c:pt idx="367">
                  <c:v>12.3</c:v>
                </c:pt>
                <c:pt idx="368">
                  <c:v>14.5</c:v>
                </c:pt>
                <c:pt idx="369">
                  <c:v>13.6</c:v>
                </c:pt>
                <c:pt idx="370">
                  <c:v>12.5</c:v>
                </c:pt>
                <c:pt idx="371">
                  <c:v>10.5</c:v>
                </c:pt>
                <c:pt idx="372">
                  <c:v>10.6</c:v>
                </c:pt>
                <c:pt idx="373">
                  <c:v>10.5</c:v>
                </c:pt>
                <c:pt idx="374">
                  <c:v>10.6</c:v>
                </c:pt>
                <c:pt idx="375">
                  <c:v>13.6</c:v>
                </c:pt>
                <c:pt idx="376">
                  <c:v>12.6</c:v>
                </c:pt>
                <c:pt idx="377">
                  <c:v>10.5</c:v>
                </c:pt>
                <c:pt idx="378">
                  <c:v>10.6</c:v>
                </c:pt>
                <c:pt idx="379">
                  <c:v>10.4</c:v>
                </c:pt>
                <c:pt idx="380">
                  <c:v>10.3</c:v>
                </c:pt>
                <c:pt idx="381">
                  <c:v>12.5</c:v>
                </c:pt>
                <c:pt idx="382">
                  <c:v>12.6</c:v>
                </c:pt>
                <c:pt idx="383">
                  <c:v>8.6</c:v>
                </c:pt>
                <c:pt idx="384">
                  <c:v>14.6</c:v>
                </c:pt>
                <c:pt idx="385">
                  <c:v>12.5</c:v>
                </c:pt>
                <c:pt idx="386">
                  <c:v>11.5</c:v>
                </c:pt>
                <c:pt idx="387">
                  <c:v>11.6</c:v>
                </c:pt>
                <c:pt idx="388">
                  <c:v>11.5</c:v>
                </c:pt>
                <c:pt idx="389">
                  <c:v>10.5</c:v>
                </c:pt>
                <c:pt idx="390">
                  <c:v>10.5</c:v>
                </c:pt>
                <c:pt idx="391">
                  <c:v>14.6</c:v>
                </c:pt>
                <c:pt idx="392">
                  <c:v>13.6</c:v>
                </c:pt>
                <c:pt idx="393">
                  <c:v>10.3</c:v>
                </c:pt>
                <c:pt idx="394">
                  <c:v>14.6</c:v>
                </c:pt>
                <c:pt idx="395">
                  <c:v>13.6</c:v>
                </c:pt>
                <c:pt idx="396">
                  <c:v>13.6</c:v>
                </c:pt>
                <c:pt idx="397">
                  <c:v>13.5</c:v>
                </c:pt>
                <c:pt idx="398">
                  <c:v>12.5</c:v>
                </c:pt>
                <c:pt idx="399">
                  <c:v>10.4</c:v>
                </c:pt>
                <c:pt idx="400">
                  <c:v>13.6</c:v>
                </c:pt>
                <c:pt idx="401">
                  <c:v>10.200000000000001</c:v>
                </c:pt>
                <c:pt idx="402">
                  <c:v>13.5</c:v>
                </c:pt>
                <c:pt idx="403">
                  <c:v>12.6</c:v>
                </c:pt>
                <c:pt idx="404">
                  <c:v>10.200000000000001</c:v>
                </c:pt>
                <c:pt idx="405">
                  <c:v>10.200000000000001</c:v>
                </c:pt>
                <c:pt idx="406">
                  <c:v>13.5</c:v>
                </c:pt>
                <c:pt idx="407">
                  <c:v>12.5</c:v>
                </c:pt>
                <c:pt idx="408">
                  <c:v>14.6</c:v>
                </c:pt>
                <c:pt idx="409">
                  <c:v>13.6</c:v>
                </c:pt>
                <c:pt idx="410">
                  <c:v>10.3</c:v>
                </c:pt>
                <c:pt idx="411">
                  <c:v>13.5</c:v>
                </c:pt>
                <c:pt idx="412">
                  <c:v>12.6</c:v>
                </c:pt>
                <c:pt idx="413">
                  <c:v>10.4</c:v>
                </c:pt>
                <c:pt idx="414">
                  <c:v>10.3</c:v>
                </c:pt>
                <c:pt idx="415">
                  <c:v>10.5</c:v>
                </c:pt>
                <c:pt idx="416">
                  <c:v>10.6</c:v>
                </c:pt>
                <c:pt idx="417">
                  <c:v>10.6</c:v>
                </c:pt>
                <c:pt idx="418">
                  <c:v>13.6</c:v>
                </c:pt>
                <c:pt idx="419">
                  <c:v>12.6</c:v>
                </c:pt>
                <c:pt idx="420">
                  <c:v>10.6</c:v>
                </c:pt>
                <c:pt idx="421">
                  <c:v>10.6</c:v>
                </c:pt>
                <c:pt idx="422">
                  <c:v>12.6</c:v>
                </c:pt>
                <c:pt idx="423">
                  <c:v>10.6</c:v>
                </c:pt>
                <c:pt idx="424">
                  <c:v>10.6</c:v>
                </c:pt>
                <c:pt idx="425">
                  <c:v>10.3</c:v>
                </c:pt>
                <c:pt idx="426">
                  <c:v>13.6</c:v>
                </c:pt>
                <c:pt idx="427">
                  <c:v>12.6</c:v>
                </c:pt>
                <c:pt idx="428">
                  <c:v>10.4</c:v>
                </c:pt>
                <c:pt idx="429">
                  <c:v>10.200000000000001</c:v>
                </c:pt>
                <c:pt idx="430">
                  <c:v>12.3</c:v>
                </c:pt>
                <c:pt idx="431">
                  <c:v>13.5</c:v>
                </c:pt>
                <c:pt idx="432">
                  <c:v>10.1</c:v>
                </c:pt>
                <c:pt idx="433">
                  <c:v>13.5</c:v>
                </c:pt>
                <c:pt idx="434">
                  <c:v>10.4</c:v>
                </c:pt>
                <c:pt idx="435">
                  <c:v>10.5</c:v>
                </c:pt>
                <c:pt idx="436">
                  <c:v>8.6</c:v>
                </c:pt>
                <c:pt idx="437">
                  <c:v>13.5</c:v>
                </c:pt>
                <c:pt idx="438">
                  <c:v>13.5</c:v>
                </c:pt>
                <c:pt idx="439">
                  <c:v>13.4</c:v>
                </c:pt>
                <c:pt idx="440">
                  <c:v>12.5</c:v>
                </c:pt>
                <c:pt idx="441">
                  <c:v>12.3</c:v>
                </c:pt>
                <c:pt idx="442">
                  <c:v>12.2</c:v>
                </c:pt>
                <c:pt idx="443">
                  <c:v>13.6</c:v>
                </c:pt>
                <c:pt idx="444">
                  <c:v>12.6</c:v>
                </c:pt>
                <c:pt idx="445">
                  <c:v>12.5</c:v>
                </c:pt>
                <c:pt idx="446">
                  <c:v>12.3</c:v>
                </c:pt>
                <c:pt idx="447">
                  <c:v>10.5</c:v>
                </c:pt>
                <c:pt idx="448">
                  <c:v>10.6</c:v>
                </c:pt>
                <c:pt idx="449">
                  <c:v>12.6</c:v>
                </c:pt>
                <c:pt idx="450">
                  <c:v>13.6</c:v>
                </c:pt>
                <c:pt idx="451">
                  <c:v>12.6</c:v>
                </c:pt>
                <c:pt idx="452">
                  <c:v>12.6</c:v>
                </c:pt>
                <c:pt idx="453">
                  <c:v>10.5</c:v>
                </c:pt>
                <c:pt idx="454">
                  <c:v>10.4</c:v>
                </c:pt>
                <c:pt idx="455">
                  <c:v>14.6</c:v>
                </c:pt>
                <c:pt idx="456">
                  <c:v>10.5</c:v>
                </c:pt>
                <c:pt idx="457">
                  <c:v>10.6</c:v>
                </c:pt>
                <c:pt idx="458">
                  <c:v>10.6</c:v>
                </c:pt>
                <c:pt idx="459">
                  <c:v>10.5</c:v>
                </c:pt>
                <c:pt idx="460">
                  <c:v>10.5</c:v>
                </c:pt>
                <c:pt idx="461">
                  <c:v>12.5</c:v>
                </c:pt>
                <c:pt idx="462">
                  <c:v>10.5</c:v>
                </c:pt>
                <c:pt idx="463">
                  <c:v>10.5</c:v>
                </c:pt>
                <c:pt idx="464">
                  <c:v>14.6</c:v>
                </c:pt>
                <c:pt idx="465">
                  <c:v>13.6</c:v>
                </c:pt>
                <c:pt idx="466">
                  <c:v>12.5</c:v>
                </c:pt>
                <c:pt idx="467">
                  <c:v>12.6</c:v>
                </c:pt>
                <c:pt idx="468">
                  <c:v>12.6</c:v>
                </c:pt>
                <c:pt idx="469">
                  <c:v>12.6</c:v>
                </c:pt>
                <c:pt idx="470">
                  <c:v>12.4</c:v>
                </c:pt>
                <c:pt idx="471">
                  <c:v>12.3</c:v>
                </c:pt>
                <c:pt idx="472">
                  <c:v>10.5</c:v>
                </c:pt>
                <c:pt idx="473">
                  <c:v>11.5</c:v>
                </c:pt>
                <c:pt idx="474">
                  <c:v>12.6</c:v>
                </c:pt>
                <c:pt idx="475">
                  <c:v>12.6</c:v>
                </c:pt>
                <c:pt idx="476">
                  <c:v>12.6</c:v>
                </c:pt>
                <c:pt idx="477">
                  <c:v>12.6</c:v>
                </c:pt>
                <c:pt idx="478">
                  <c:v>11.5</c:v>
                </c:pt>
                <c:pt idx="479">
                  <c:v>11.4</c:v>
                </c:pt>
                <c:pt idx="480">
                  <c:v>11.5</c:v>
                </c:pt>
                <c:pt idx="481">
                  <c:v>11.6</c:v>
                </c:pt>
                <c:pt idx="482">
                  <c:v>11.6</c:v>
                </c:pt>
                <c:pt idx="483">
                  <c:v>11.4</c:v>
                </c:pt>
                <c:pt idx="484">
                  <c:v>11.5</c:v>
                </c:pt>
                <c:pt idx="485">
                  <c:v>11.5</c:v>
                </c:pt>
                <c:pt idx="486">
                  <c:v>11.5</c:v>
                </c:pt>
                <c:pt idx="487">
                  <c:v>11.4</c:v>
                </c:pt>
                <c:pt idx="488">
                  <c:v>12.6</c:v>
                </c:pt>
                <c:pt idx="489">
                  <c:v>10.1</c:v>
                </c:pt>
                <c:pt idx="490">
                  <c:v>10.5</c:v>
                </c:pt>
                <c:pt idx="491">
                  <c:v>10.5</c:v>
                </c:pt>
                <c:pt idx="492">
                  <c:v>10.5</c:v>
                </c:pt>
                <c:pt idx="493">
                  <c:v>10.1</c:v>
                </c:pt>
                <c:pt idx="494">
                  <c:v>10.3</c:v>
                </c:pt>
                <c:pt idx="495">
                  <c:v>12.2</c:v>
                </c:pt>
                <c:pt idx="496">
                  <c:v>12.3</c:v>
                </c:pt>
                <c:pt idx="497">
                  <c:v>12.5</c:v>
                </c:pt>
                <c:pt idx="498">
                  <c:v>12.5</c:v>
                </c:pt>
                <c:pt idx="499">
                  <c:v>12.4</c:v>
                </c:pt>
                <c:pt idx="500">
                  <c:v>12.2</c:v>
                </c:pt>
                <c:pt idx="501">
                  <c:v>12.6</c:v>
                </c:pt>
                <c:pt idx="502">
                  <c:v>12.4</c:v>
                </c:pt>
                <c:pt idx="503">
                  <c:v>10.3</c:v>
                </c:pt>
                <c:pt idx="504">
                  <c:v>10.5</c:v>
                </c:pt>
                <c:pt idx="505">
                  <c:v>12.4</c:v>
                </c:pt>
                <c:pt idx="506">
                  <c:v>12.6</c:v>
                </c:pt>
                <c:pt idx="507">
                  <c:v>13.4</c:v>
                </c:pt>
                <c:pt idx="508">
                  <c:v>14.6</c:v>
                </c:pt>
                <c:pt idx="509">
                  <c:v>14.6</c:v>
                </c:pt>
                <c:pt idx="510">
                  <c:v>12.5</c:v>
                </c:pt>
                <c:pt idx="511">
                  <c:v>12.2</c:v>
                </c:pt>
                <c:pt idx="512">
                  <c:v>10.1</c:v>
                </c:pt>
                <c:pt idx="513">
                  <c:v>12.1</c:v>
                </c:pt>
                <c:pt idx="514">
                  <c:v>12.5</c:v>
                </c:pt>
                <c:pt idx="515">
                  <c:v>10.200000000000001</c:v>
                </c:pt>
                <c:pt idx="516">
                  <c:v>12.6</c:v>
                </c:pt>
                <c:pt idx="517">
                  <c:v>9.6</c:v>
                </c:pt>
                <c:pt idx="518">
                  <c:v>10.3</c:v>
                </c:pt>
                <c:pt idx="519">
                  <c:v>13.2</c:v>
                </c:pt>
                <c:pt idx="520">
                  <c:v>12.1</c:v>
                </c:pt>
                <c:pt idx="521">
                  <c:v>15.3</c:v>
                </c:pt>
                <c:pt idx="522">
                  <c:v>10.6</c:v>
                </c:pt>
                <c:pt idx="523">
                  <c:v>10.6</c:v>
                </c:pt>
                <c:pt idx="524">
                  <c:v>13.6</c:v>
                </c:pt>
                <c:pt idx="525">
                  <c:v>13.5</c:v>
                </c:pt>
                <c:pt idx="526">
                  <c:v>12.4</c:v>
                </c:pt>
                <c:pt idx="527">
                  <c:v>12.6</c:v>
                </c:pt>
                <c:pt idx="528">
                  <c:v>13.5</c:v>
                </c:pt>
                <c:pt idx="529">
                  <c:v>13.6</c:v>
                </c:pt>
                <c:pt idx="530">
                  <c:v>12.5</c:v>
                </c:pt>
                <c:pt idx="531">
                  <c:v>12.4</c:v>
                </c:pt>
                <c:pt idx="532">
                  <c:v>12.4</c:v>
                </c:pt>
                <c:pt idx="533">
                  <c:v>14.6</c:v>
                </c:pt>
                <c:pt idx="534">
                  <c:v>14.6</c:v>
                </c:pt>
                <c:pt idx="535">
                  <c:v>14.6</c:v>
                </c:pt>
                <c:pt idx="536">
                  <c:v>14.6</c:v>
                </c:pt>
                <c:pt idx="537">
                  <c:v>12.6</c:v>
                </c:pt>
                <c:pt idx="538">
                  <c:v>12.5</c:v>
                </c:pt>
                <c:pt idx="539">
                  <c:v>13.6</c:v>
                </c:pt>
                <c:pt idx="540">
                  <c:v>12.6</c:v>
                </c:pt>
                <c:pt idx="541">
                  <c:v>10.6</c:v>
                </c:pt>
                <c:pt idx="542">
                  <c:v>10.6</c:v>
                </c:pt>
                <c:pt idx="543">
                  <c:v>12.6</c:v>
                </c:pt>
                <c:pt idx="544">
                  <c:v>10.4</c:v>
                </c:pt>
                <c:pt idx="545">
                  <c:v>13.6</c:v>
                </c:pt>
                <c:pt idx="546">
                  <c:v>12.6</c:v>
                </c:pt>
                <c:pt idx="547">
                  <c:v>10.6</c:v>
                </c:pt>
                <c:pt idx="548">
                  <c:v>10.5</c:v>
                </c:pt>
                <c:pt idx="549">
                  <c:v>10.6</c:v>
                </c:pt>
                <c:pt idx="550">
                  <c:v>10.5</c:v>
                </c:pt>
                <c:pt idx="551">
                  <c:v>10.6</c:v>
                </c:pt>
                <c:pt idx="552">
                  <c:v>13.6</c:v>
                </c:pt>
                <c:pt idx="553">
                  <c:v>12.6</c:v>
                </c:pt>
                <c:pt idx="554">
                  <c:v>12.6</c:v>
                </c:pt>
                <c:pt idx="555">
                  <c:v>11.6</c:v>
                </c:pt>
                <c:pt idx="556">
                  <c:v>9.6</c:v>
                </c:pt>
                <c:pt idx="557">
                  <c:v>9.4</c:v>
                </c:pt>
                <c:pt idx="558">
                  <c:v>10.1</c:v>
                </c:pt>
                <c:pt idx="559">
                  <c:v>10.6</c:v>
                </c:pt>
                <c:pt idx="560">
                  <c:v>10.5</c:v>
                </c:pt>
                <c:pt idx="561">
                  <c:v>10.5</c:v>
                </c:pt>
                <c:pt idx="562">
                  <c:v>12.1</c:v>
                </c:pt>
                <c:pt idx="563">
                  <c:v>12.3</c:v>
                </c:pt>
                <c:pt idx="564">
                  <c:v>12.6</c:v>
                </c:pt>
                <c:pt idx="565">
                  <c:v>13.5</c:v>
                </c:pt>
                <c:pt idx="566">
                  <c:v>13.6</c:v>
                </c:pt>
                <c:pt idx="567">
                  <c:v>10.1</c:v>
                </c:pt>
                <c:pt idx="568">
                  <c:v>14.6</c:v>
                </c:pt>
                <c:pt idx="569">
                  <c:v>9.5</c:v>
                </c:pt>
                <c:pt idx="570">
                  <c:v>10.3</c:v>
                </c:pt>
                <c:pt idx="571">
                  <c:v>13.5</c:v>
                </c:pt>
                <c:pt idx="572">
                  <c:v>12.5</c:v>
                </c:pt>
                <c:pt idx="573">
                  <c:v>11.5</c:v>
                </c:pt>
                <c:pt idx="574">
                  <c:v>11.5</c:v>
                </c:pt>
                <c:pt idx="575">
                  <c:v>11.3</c:v>
                </c:pt>
                <c:pt idx="576">
                  <c:v>11.1</c:v>
                </c:pt>
                <c:pt idx="577">
                  <c:v>11.6</c:v>
                </c:pt>
                <c:pt idx="578">
                  <c:v>10.6</c:v>
                </c:pt>
                <c:pt idx="579">
                  <c:v>10.5</c:v>
                </c:pt>
                <c:pt idx="580">
                  <c:v>10.5</c:v>
                </c:pt>
                <c:pt idx="581">
                  <c:v>10.4</c:v>
                </c:pt>
                <c:pt idx="582">
                  <c:v>12.6</c:v>
                </c:pt>
                <c:pt idx="583">
                  <c:v>10.3</c:v>
                </c:pt>
                <c:pt idx="584">
                  <c:v>10.3</c:v>
                </c:pt>
                <c:pt idx="585">
                  <c:v>12.4</c:v>
                </c:pt>
                <c:pt idx="586">
                  <c:v>12.4</c:v>
                </c:pt>
                <c:pt idx="587">
                  <c:v>10.3</c:v>
                </c:pt>
                <c:pt idx="588">
                  <c:v>10.200000000000001</c:v>
                </c:pt>
                <c:pt idx="589">
                  <c:v>10.4</c:v>
                </c:pt>
                <c:pt idx="590">
                  <c:v>9.1</c:v>
                </c:pt>
                <c:pt idx="591">
                  <c:v>13.6</c:v>
                </c:pt>
                <c:pt idx="592">
                  <c:v>12.2</c:v>
                </c:pt>
                <c:pt idx="593">
                  <c:v>10.5</c:v>
                </c:pt>
                <c:pt idx="594">
                  <c:v>10.6</c:v>
                </c:pt>
                <c:pt idx="595">
                  <c:v>12.5</c:v>
                </c:pt>
                <c:pt idx="596">
                  <c:v>12.4</c:v>
                </c:pt>
                <c:pt idx="597">
                  <c:v>9.3000000000000007</c:v>
                </c:pt>
                <c:pt idx="598">
                  <c:v>8.5</c:v>
                </c:pt>
                <c:pt idx="599">
                  <c:v>8.6</c:v>
                </c:pt>
                <c:pt idx="600">
                  <c:v>8.4</c:v>
                </c:pt>
                <c:pt idx="601">
                  <c:v>8.2000000000000011</c:v>
                </c:pt>
                <c:pt idx="602">
                  <c:v>8.5</c:v>
                </c:pt>
                <c:pt idx="603">
                  <c:v>8.6</c:v>
                </c:pt>
                <c:pt idx="604">
                  <c:v>11.5</c:v>
                </c:pt>
                <c:pt idx="605">
                  <c:v>10.5</c:v>
                </c:pt>
                <c:pt idx="606">
                  <c:v>10.6</c:v>
                </c:pt>
                <c:pt idx="607">
                  <c:v>12.3</c:v>
                </c:pt>
              </c:numCache>
            </c:numRef>
          </c:xVal>
          <c:yVal>
            <c:numRef>
              <c:f>Sheet1!$C$2:$C$609</c:f>
              <c:numCache>
                <c:formatCode>General</c:formatCode>
                <c:ptCount val="608"/>
                <c:pt idx="225">
                  <c:v>433</c:v>
                </c:pt>
                <c:pt idx="226">
                  <c:v>630</c:v>
                </c:pt>
                <c:pt idx="227">
                  <c:v>600</c:v>
                </c:pt>
                <c:pt idx="228">
                  <c:v>596</c:v>
                </c:pt>
                <c:pt idx="229">
                  <c:v>1282</c:v>
                </c:pt>
                <c:pt idx="230">
                  <c:v>930</c:v>
                </c:pt>
                <c:pt idx="231">
                  <c:v>710</c:v>
                </c:pt>
                <c:pt idx="232">
                  <c:v>708</c:v>
                </c:pt>
                <c:pt idx="233">
                  <c:v>1347</c:v>
                </c:pt>
                <c:pt idx="234">
                  <c:v>871</c:v>
                </c:pt>
                <c:pt idx="235">
                  <c:v>710</c:v>
                </c:pt>
                <c:pt idx="236">
                  <c:v>615</c:v>
                </c:pt>
                <c:pt idx="237">
                  <c:v>675</c:v>
                </c:pt>
                <c:pt idx="238">
                  <c:v>600</c:v>
                </c:pt>
                <c:pt idx="239">
                  <c:v>1282</c:v>
                </c:pt>
                <c:pt idx="240">
                  <c:v>550</c:v>
                </c:pt>
                <c:pt idx="241">
                  <c:v>620</c:v>
                </c:pt>
                <c:pt idx="242">
                  <c:v>810</c:v>
                </c:pt>
                <c:pt idx="243">
                  <c:v>1500</c:v>
                </c:pt>
                <c:pt idx="244">
                  <c:v>800</c:v>
                </c:pt>
                <c:pt idx="245">
                  <c:v>650</c:v>
                </c:pt>
                <c:pt idx="246">
                  <c:v>866</c:v>
                </c:pt>
                <c:pt idx="247">
                  <c:v>675</c:v>
                </c:pt>
                <c:pt idx="248">
                  <c:v>1163</c:v>
                </c:pt>
                <c:pt idx="249">
                  <c:v>950</c:v>
                </c:pt>
                <c:pt idx="250">
                  <c:v>650</c:v>
                </c:pt>
                <c:pt idx="251">
                  <c:v>559</c:v>
                </c:pt>
                <c:pt idx="252">
                  <c:v>1591</c:v>
                </c:pt>
                <c:pt idx="253">
                  <c:v>1179</c:v>
                </c:pt>
                <c:pt idx="254">
                  <c:v>850</c:v>
                </c:pt>
                <c:pt idx="255">
                  <c:v>583</c:v>
                </c:pt>
                <c:pt idx="256">
                  <c:v>600</c:v>
                </c:pt>
                <c:pt idx="257">
                  <c:v>600</c:v>
                </c:pt>
                <c:pt idx="258">
                  <c:v>570</c:v>
                </c:pt>
                <c:pt idx="259">
                  <c:v>850</c:v>
                </c:pt>
                <c:pt idx="260">
                  <c:v>600</c:v>
                </c:pt>
                <c:pt idx="261">
                  <c:v>620</c:v>
                </c:pt>
                <c:pt idx="262">
                  <c:v>1150</c:v>
                </c:pt>
                <c:pt idx="263">
                  <c:v>583</c:v>
                </c:pt>
                <c:pt idx="264">
                  <c:v>583</c:v>
                </c:pt>
                <c:pt idx="265">
                  <c:v>600</c:v>
                </c:pt>
                <c:pt idx="266">
                  <c:v>1347</c:v>
                </c:pt>
                <c:pt idx="267">
                  <c:v>1054</c:v>
                </c:pt>
                <c:pt idx="268">
                  <c:v>1080</c:v>
                </c:pt>
                <c:pt idx="269">
                  <c:v>628</c:v>
                </c:pt>
                <c:pt idx="270">
                  <c:v>974</c:v>
                </c:pt>
                <c:pt idx="271">
                  <c:v>583</c:v>
                </c:pt>
                <c:pt idx="272">
                  <c:v>1653</c:v>
                </c:pt>
                <c:pt idx="273">
                  <c:v>1653</c:v>
                </c:pt>
                <c:pt idx="274">
                  <c:v>1653</c:v>
                </c:pt>
                <c:pt idx="275">
                  <c:v>1715</c:v>
                </c:pt>
                <c:pt idx="276">
                  <c:v>1591</c:v>
                </c:pt>
                <c:pt idx="277">
                  <c:v>600</c:v>
                </c:pt>
                <c:pt idx="278">
                  <c:v>556</c:v>
                </c:pt>
                <c:pt idx="279">
                  <c:v>1150</c:v>
                </c:pt>
                <c:pt idx="280">
                  <c:v>800</c:v>
                </c:pt>
                <c:pt idx="281">
                  <c:v>600</c:v>
                </c:pt>
                <c:pt idx="282">
                  <c:v>550</c:v>
                </c:pt>
                <c:pt idx="283">
                  <c:v>1347</c:v>
                </c:pt>
                <c:pt idx="284">
                  <c:v>930</c:v>
                </c:pt>
                <c:pt idx="285">
                  <c:v>1145</c:v>
                </c:pt>
                <c:pt idx="286">
                  <c:v>650</c:v>
                </c:pt>
                <c:pt idx="287">
                  <c:v>710</c:v>
                </c:pt>
                <c:pt idx="288">
                  <c:v>710</c:v>
                </c:pt>
                <c:pt idx="289">
                  <c:v>1282</c:v>
                </c:pt>
                <c:pt idx="290">
                  <c:v>960</c:v>
                </c:pt>
                <c:pt idx="291">
                  <c:v>670</c:v>
                </c:pt>
                <c:pt idx="292">
                  <c:v>740</c:v>
                </c:pt>
                <c:pt idx="293">
                  <c:v>536</c:v>
                </c:pt>
                <c:pt idx="294">
                  <c:v>1000</c:v>
                </c:pt>
                <c:pt idx="295">
                  <c:v>910</c:v>
                </c:pt>
                <c:pt idx="296">
                  <c:v>740</c:v>
                </c:pt>
                <c:pt idx="297">
                  <c:v>740</c:v>
                </c:pt>
                <c:pt idx="298">
                  <c:v>740</c:v>
                </c:pt>
                <c:pt idx="299">
                  <c:v>700</c:v>
                </c:pt>
                <c:pt idx="300">
                  <c:v>686</c:v>
                </c:pt>
                <c:pt idx="301">
                  <c:v>1157</c:v>
                </c:pt>
                <c:pt idx="302">
                  <c:v>971</c:v>
                </c:pt>
                <c:pt idx="303">
                  <c:v>740</c:v>
                </c:pt>
                <c:pt idx="304">
                  <c:v>740</c:v>
                </c:pt>
                <c:pt idx="305">
                  <c:v>531</c:v>
                </c:pt>
                <c:pt idx="306">
                  <c:v>643</c:v>
                </c:pt>
                <c:pt idx="307">
                  <c:v>1090</c:v>
                </c:pt>
                <c:pt idx="308">
                  <c:v>611</c:v>
                </c:pt>
                <c:pt idx="309">
                  <c:v>1300</c:v>
                </c:pt>
                <c:pt idx="310">
                  <c:v>1020</c:v>
                </c:pt>
                <c:pt idx="311">
                  <c:v>698</c:v>
                </c:pt>
                <c:pt idx="312">
                  <c:v>655</c:v>
                </c:pt>
                <c:pt idx="313">
                  <c:v>571</c:v>
                </c:pt>
                <c:pt idx="314">
                  <c:v>1591</c:v>
                </c:pt>
                <c:pt idx="315">
                  <c:v>1347</c:v>
                </c:pt>
                <c:pt idx="316">
                  <c:v>1261</c:v>
                </c:pt>
                <c:pt idx="317">
                  <c:v>1000</c:v>
                </c:pt>
                <c:pt idx="318">
                  <c:v>706</c:v>
                </c:pt>
                <c:pt idx="319">
                  <c:v>817</c:v>
                </c:pt>
                <c:pt idx="320">
                  <c:v>583</c:v>
                </c:pt>
                <c:pt idx="321">
                  <c:v>675</c:v>
                </c:pt>
                <c:pt idx="322">
                  <c:v>1261</c:v>
                </c:pt>
                <c:pt idx="323">
                  <c:v>600</c:v>
                </c:pt>
                <c:pt idx="324">
                  <c:v>750</c:v>
                </c:pt>
                <c:pt idx="325">
                  <c:v>583</c:v>
                </c:pt>
                <c:pt idx="326">
                  <c:v>628</c:v>
                </c:pt>
                <c:pt idx="327">
                  <c:v>1120</c:v>
                </c:pt>
                <c:pt idx="328">
                  <c:v>950</c:v>
                </c:pt>
                <c:pt idx="329">
                  <c:v>730</c:v>
                </c:pt>
                <c:pt idx="330">
                  <c:v>1541</c:v>
                </c:pt>
                <c:pt idx="331">
                  <c:v>1347</c:v>
                </c:pt>
                <c:pt idx="332">
                  <c:v>1260</c:v>
                </c:pt>
                <c:pt idx="333">
                  <c:v>571</c:v>
                </c:pt>
                <c:pt idx="334">
                  <c:v>651</c:v>
                </c:pt>
                <c:pt idx="335">
                  <c:v>681</c:v>
                </c:pt>
                <c:pt idx="336">
                  <c:v>681</c:v>
                </c:pt>
                <c:pt idx="337">
                  <c:v>1150</c:v>
                </c:pt>
                <c:pt idx="338">
                  <c:v>793</c:v>
                </c:pt>
                <c:pt idx="339">
                  <c:v>800</c:v>
                </c:pt>
                <c:pt idx="340">
                  <c:v>970</c:v>
                </c:pt>
                <c:pt idx="341">
                  <c:v>672</c:v>
                </c:pt>
                <c:pt idx="342">
                  <c:v>1250</c:v>
                </c:pt>
                <c:pt idx="343">
                  <c:v>940</c:v>
                </c:pt>
                <c:pt idx="344">
                  <c:v>1467</c:v>
                </c:pt>
                <c:pt idx="345">
                  <c:v>900</c:v>
                </c:pt>
                <c:pt idx="346">
                  <c:v>628</c:v>
                </c:pt>
                <c:pt idx="347">
                  <c:v>720</c:v>
                </c:pt>
                <c:pt idx="348">
                  <c:v>675</c:v>
                </c:pt>
                <c:pt idx="349">
                  <c:v>633</c:v>
                </c:pt>
                <c:pt idx="350">
                  <c:v>825</c:v>
                </c:pt>
                <c:pt idx="351">
                  <c:v>825</c:v>
                </c:pt>
                <c:pt idx="352">
                  <c:v>614</c:v>
                </c:pt>
                <c:pt idx="353">
                  <c:v>650</c:v>
                </c:pt>
                <c:pt idx="354">
                  <c:v>825</c:v>
                </c:pt>
                <c:pt idx="355">
                  <c:v>538</c:v>
                </c:pt>
                <c:pt idx="356">
                  <c:v>502</c:v>
                </c:pt>
                <c:pt idx="357">
                  <c:v>535</c:v>
                </c:pt>
                <c:pt idx="358">
                  <c:v>535</c:v>
                </c:pt>
                <c:pt idx="359">
                  <c:v>502</c:v>
                </c:pt>
                <c:pt idx="360">
                  <c:v>502</c:v>
                </c:pt>
                <c:pt idx="361">
                  <c:v>563</c:v>
                </c:pt>
                <c:pt idx="362">
                  <c:v>1591</c:v>
                </c:pt>
                <c:pt idx="363">
                  <c:v>1270</c:v>
                </c:pt>
                <c:pt idx="364">
                  <c:v>583</c:v>
                </c:pt>
                <c:pt idx="365">
                  <c:v>650</c:v>
                </c:pt>
                <c:pt idx="366">
                  <c:v>0</c:v>
                </c:pt>
                <c:pt idx="367">
                  <c:v>945</c:v>
                </c:pt>
                <c:pt idx="368">
                  <c:v>1300</c:v>
                </c:pt>
                <c:pt idx="369">
                  <c:v>1050</c:v>
                </c:pt>
                <c:pt idx="370">
                  <c:v>900</c:v>
                </c:pt>
                <c:pt idx="371">
                  <c:v>745</c:v>
                </c:pt>
                <c:pt idx="372">
                  <c:v>675</c:v>
                </c:pt>
                <c:pt idx="373">
                  <c:v>690</c:v>
                </c:pt>
                <c:pt idx="374">
                  <c:v>720</c:v>
                </c:pt>
                <c:pt idx="375">
                  <c:v>1080</c:v>
                </c:pt>
                <c:pt idx="376">
                  <c:v>800</c:v>
                </c:pt>
                <c:pt idx="377">
                  <c:v>720</c:v>
                </c:pt>
                <c:pt idx="378">
                  <c:v>820</c:v>
                </c:pt>
                <c:pt idx="379">
                  <c:v>720</c:v>
                </c:pt>
                <c:pt idx="380">
                  <c:v>675</c:v>
                </c:pt>
                <c:pt idx="381">
                  <c:v>1000</c:v>
                </c:pt>
                <c:pt idx="382">
                  <c:v>1000</c:v>
                </c:pt>
                <c:pt idx="383">
                  <c:v>560</c:v>
                </c:pt>
                <c:pt idx="384">
                  <c:v>1250</c:v>
                </c:pt>
                <c:pt idx="385">
                  <c:v>1000</c:v>
                </c:pt>
                <c:pt idx="386">
                  <c:v>910</c:v>
                </c:pt>
                <c:pt idx="387">
                  <c:v>740</c:v>
                </c:pt>
                <c:pt idx="388">
                  <c:v>740</c:v>
                </c:pt>
                <c:pt idx="389">
                  <c:v>693</c:v>
                </c:pt>
                <c:pt idx="390">
                  <c:v>750</c:v>
                </c:pt>
                <c:pt idx="391">
                  <c:v>1591</c:v>
                </c:pt>
                <c:pt idx="392">
                  <c:v>1347</c:v>
                </c:pt>
                <c:pt idx="393">
                  <c:v>675</c:v>
                </c:pt>
                <c:pt idx="394">
                  <c:v>1591</c:v>
                </c:pt>
                <c:pt idx="395">
                  <c:v>1347</c:v>
                </c:pt>
                <c:pt idx="396">
                  <c:v>1347</c:v>
                </c:pt>
                <c:pt idx="397">
                  <c:v>1261</c:v>
                </c:pt>
                <c:pt idx="398">
                  <c:v>1000</c:v>
                </c:pt>
                <c:pt idx="399">
                  <c:v>580</c:v>
                </c:pt>
                <c:pt idx="400">
                  <c:v>1261</c:v>
                </c:pt>
                <c:pt idx="401">
                  <c:v>620</c:v>
                </c:pt>
                <c:pt idx="402">
                  <c:v>1261</c:v>
                </c:pt>
                <c:pt idx="403">
                  <c:v>1035</c:v>
                </c:pt>
                <c:pt idx="404">
                  <c:v>628</c:v>
                </c:pt>
                <c:pt idx="405">
                  <c:v>620</c:v>
                </c:pt>
                <c:pt idx="406">
                  <c:v>1261</c:v>
                </c:pt>
                <c:pt idx="407">
                  <c:v>1050</c:v>
                </c:pt>
                <c:pt idx="408">
                  <c:v>1591</c:v>
                </c:pt>
                <c:pt idx="409">
                  <c:v>1329</c:v>
                </c:pt>
                <c:pt idx="410">
                  <c:v>583</c:v>
                </c:pt>
                <c:pt idx="411">
                  <c:v>1200</c:v>
                </c:pt>
                <c:pt idx="412">
                  <c:v>925</c:v>
                </c:pt>
                <c:pt idx="413">
                  <c:v>580</c:v>
                </c:pt>
                <c:pt idx="414">
                  <c:v>600</c:v>
                </c:pt>
                <c:pt idx="415">
                  <c:v>770</c:v>
                </c:pt>
                <c:pt idx="416">
                  <c:v>689</c:v>
                </c:pt>
                <c:pt idx="417">
                  <c:v>630</c:v>
                </c:pt>
                <c:pt idx="418">
                  <c:v>1290</c:v>
                </c:pt>
                <c:pt idx="419">
                  <c:v>1010</c:v>
                </c:pt>
                <c:pt idx="420">
                  <c:v>689</c:v>
                </c:pt>
                <c:pt idx="421">
                  <c:v>689</c:v>
                </c:pt>
                <c:pt idx="422">
                  <c:v>873</c:v>
                </c:pt>
                <c:pt idx="423">
                  <c:v>689</c:v>
                </c:pt>
                <c:pt idx="424">
                  <c:v>688</c:v>
                </c:pt>
                <c:pt idx="425">
                  <c:v>600</c:v>
                </c:pt>
                <c:pt idx="426">
                  <c:v>905</c:v>
                </c:pt>
                <c:pt idx="427">
                  <c:v>1157</c:v>
                </c:pt>
                <c:pt idx="428">
                  <c:v>720</c:v>
                </c:pt>
                <c:pt idx="429">
                  <c:v>583</c:v>
                </c:pt>
                <c:pt idx="430">
                  <c:v>750</c:v>
                </c:pt>
                <c:pt idx="431">
                  <c:v>1100</c:v>
                </c:pt>
                <c:pt idx="432">
                  <c:v>580</c:v>
                </c:pt>
                <c:pt idx="433">
                  <c:v>1100</c:v>
                </c:pt>
                <c:pt idx="434">
                  <c:v>600</c:v>
                </c:pt>
                <c:pt idx="435">
                  <c:v>750</c:v>
                </c:pt>
                <c:pt idx="436">
                  <c:v>614</c:v>
                </c:pt>
                <c:pt idx="437">
                  <c:v>1150</c:v>
                </c:pt>
                <c:pt idx="438">
                  <c:v>1100</c:v>
                </c:pt>
                <c:pt idx="439">
                  <c:v>1000</c:v>
                </c:pt>
                <c:pt idx="440">
                  <c:v>817</c:v>
                </c:pt>
                <c:pt idx="441">
                  <c:v>750</c:v>
                </c:pt>
                <c:pt idx="442">
                  <c:v>750</c:v>
                </c:pt>
                <c:pt idx="443">
                  <c:v>1300</c:v>
                </c:pt>
                <c:pt idx="444">
                  <c:v>1083</c:v>
                </c:pt>
                <c:pt idx="445">
                  <c:v>950</c:v>
                </c:pt>
                <c:pt idx="446">
                  <c:v>800</c:v>
                </c:pt>
                <c:pt idx="447">
                  <c:v>630</c:v>
                </c:pt>
                <c:pt idx="448">
                  <c:v>722</c:v>
                </c:pt>
                <c:pt idx="449">
                  <c:v>900</c:v>
                </c:pt>
                <c:pt idx="450">
                  <c:v>1300</c:v>
                </c:pt>
                <c:pt idx="451">
                  <c:v>1000</c:v>
                </c:pt>
                <c:pt idx="452">
                  <c:v>900</c:v>
                </c:pt>
                <c:pt idx="453">
                  <c:v>680</c:v>
                </c:pt>
                <c:pt idx="454">
                  <c:v>600</c:v>
                </c:pt>
                <c:pt idx="455">
                  <c:v>1400</c:v>
                </c:pt>
                <c:pt idx="456">
                  <c:v>720</c:v>
                </c:pt>
                <c:pt idx="457">
                  <c:v>720</c:v>
                </c:pt>
                <c:pt idx="458">
                  <c:v>750</c:v>
                </c:pt>
                <c:pt idx="459">
                  <c:v>730</c:v>
                </c:pt>
                <c:pt idx="460">
                  <c:v>750</c:v>
                </c:pt>
                <c:pt idx="461">
                  <c:v>900</c:v>
                </c:pt>
                <c:pt idx="462">
                  <c:v>690</c:v>
                </c:pt>
                <c:pt idx="463">
                  <c:v>750</c:v>
                </c:pt>
                <c:pt idx="464">
                  <c:v>1591</c:v>
                </c:pt>
                <c:pt idx="465">
                  <c:v>1347</c:v>
                </c:pt>
                <c:pt idx="466">
                  <c:v>1000</c:v>
                </c:pt>
                <c:pt idx="467">
                  <c:v>1100</c:v>
                </c:pt>
                <c:pt idx="468">
                  <c:v>1100</c:v>
                </c:pt>
                <c:pt idx="469">
                  <c:v>1150</c:v>
                </c:pt>
                <c:pt idx="470">
                  <c:v>800</c:v>
                </c:pt>
                <c:pt idx="471">
                  <c:v>720</c:v>
                </c:pt>
                <c:pt idx="472">
                  <c:v>630</c:v>
                </c:pt>
                <c:pt idx="473">
                  <c:v>780</c:v>
                </c:pt>
                <c:pt idx="474">
                  <c:v>840</c:v>
                </c:pt>
                <c:pt idx="475">
                  <c:v>840</c:v>
                </c:pt>
                <c:pt idx="476">
                  <c:v>1100</c:v>
                </c:pt>
                <c:pt idx="477">
                  <c:v>1100</c:v>
                </c:pt>
                <c:pt idx="478">
                  <c:v>780</c:v>
                </c:pt>
                <c:pt idx="479">
                  <c:v>800</c:v>
                </c:pt>
                <c:pt idx="480">
                  <c:v>840</c:v>
                </c:pt>
                <c:pt idx="481">
                  <c:v>840</c:v>
                </c:pt>
                <c:pt idx="482">
                  <c:v>840</c:v>
                </c:pt>
                <c:pt idx="483">
                  <c:v>800</c:v>
                </c:pt>
                <c:pt idx="484">
                  <c:v>800</c:v>
                </c:pt>
                <c:pt idx="485">
                  <c:v>840</c:v>
                </c:pt>
                <c:pt idx="486">
                  <c:v>840</c:v>
                </c:pt>
                <c:pt idx="487">
                  <c:v>800</c:v>
                </c:pt>
                <c:pt idx="488">
                  <c:v>1100</c:v>
                </c:pt>
                <c:pt idx="489">
                  <c:v>550</c:v>
                </c:pt>
                <c:pt idx="490">
                  <c:v>630</c:v>
                </c:pt>
                <c:pt idx="491">
                  <c:v>620</c:v>
                </c:pt>
                <c:pt idx="492">
                  <c:v>630</c:v>
                </c:pt>
                <c:pt idx="493">
                  <c:v>550</c:v>
                </c:pt>
                <c:pt idx="494">
                  <c:v>620</c:v>
                </c:pt>
                <c:pt idx="495">
                  <c:v>817</c:v>
                </c:pt>
                <c:pt idx="496">
                  <c:v>817</c:v>
                </c:pt>
                <c:pt idx="497">
                  <c:v>850</c:v>
                </c:pt>
                <c:pt idx="498">
                  <c:v>820</c:v>
                </c:pt>
                <c:pt idx="499">
                  <c:v>720</c:v>
                </c:pt>
                <c:pt idx="500">
                  <c:v>800</c:v>
                </c:pt>
                <c:pt idx="501">
                  <c:v>900</c:v>
                </c:pt>
                <c:pt idx="502">
                  <c:v>950</c:v>
                </c:pt>
                <c:pt idx="503">
                  <c:v>583</c:v>
                </c:pt>
                <c:pt idx="504">
                  <c:v>660</c:v>
                </c:pt>
                <c:pt idx="505">
                  <c:v>950</c:v>
                </c:pt>
                <c:pt idx="506">
                  <c:v>1150</c:v>
                </c:pt>
                <c:pt idx="507">
                  <c:v>1179</c:v>
                </c:pt>
                <c:pt idx="508">
                  <c:v>1300</c:v>
                </c:pt>
                <c:pt idx="509">
                  <c:v>1340</c:v>
                </c:pt>
                <c:pt idx="510">
                  <c:v>1083</c:v>
                </c:pt>
                <c:pt idx="511">
                  <c:v>880</c:v>
                </c:pt>
                <c:pt idx="512">
                  <c:v>583</c:v>
                </c:pt>
                <c:pt idx="513">
                  <c:v>700</c:v>
                </c:pt>
                <c:pt idx="514">
                  <c:v>750</c:v>
                </c:pt>
                <c:pt idx="515">
                  <c:v>628</c:v>
                </c:pt>
                <c:pt idx="516">
                  <c:v>0</c:v>
                </c:pt>
                <c:pt idx="517">
                  <c:v>610</c:v>
                </c:pt>
                <c:pt idx="518">
                  <c:v>675</c:v>
                </c:pt>
                <c:pt idx="519">
                  <c:v>952</c:v>
                </c:pt>
                <c:pt idx="520">
                  <c:v>800</c:v>
                </c:pt>
                <c:pt idx="521">
                  <c:v>1479</c:v>
                </c:pt>
                <c:pt idx="522">
                  <c:v>708</c:v>
                </c:pt>
                <c:pt idx="523">
                  <c:v>750</c:v>
                </c:pt>
                <c:pt idx="524">
                  <c:v>1347</c:v>
                </c:pt>
                <c:pt idx="525">
                  <c:v>1261</c:v>
                </c:pt>
                <c:pt idx="526">
                  <c:v>750</c:v>
                </c:pt>
                <c:pt idx="527">
                  <c:v>778</c:v>
                </c:pt>
                <c:pt idx="528">
                  <c:v>1261</c:v>
                </c:pt>
                <c:pt idx="529">
                  <c:v>1090</c:v>
                </c:pt>
                <c:pt idx="530">
                  <c:v>920</c:v>
                </c:pt>
                <c:pt idx="531">
                  <c:v>860</c:v>
                </c:pt>
                <c:pt idx="532">
                  <c:v>860</c:v>
                </c:pt>
                <c:pt idx="533">
                  <c:v>1160</c:v>
                </c:pt>
                <c:pt idx="534">
                  <c:v>1550</c:v>
                </c:pt>
                <c:pt idx="535">
                  <c:v>1160</c:v>
                </c:pt>
                <c:pt idx="536">
                  <c:v>1550</c:v>
                </c:pt>
                <c:pt idx="537">
                  <c:v>980</c:v>
                </c:pt>
                <c:pt idx="538">
                  <c:v>931</c:v>
                </c:pt>
                <c:pt idx="539">
                  <c:v>1050</c:v>
                </c:pt>
                <c:pt idx="540">
                  <c:v>900</c:v>
                </c:pt>
                <c:pt idx="541">
                  <c:v>772</c:v>
                </c:pt>
                <c:pt idx="542">
                  <c:v>720</c:v>
                </c:pt>
                <c:pt idx="543">
                  <c:v>845</c:v>
                </c:pt>
                <c:pt idx="544">
                  <c:v>720</c:v>
                </c:pt>
                <c:pt idx="545">
                  <c:v>1050</c:v>
                </c:pt>
                <c:pt idx="546">
                  <c:v>900</c:v>
                </c:pt>
                <c:pt idx="547">
                  <c:v>720</c:v>
                </c:pt>
                <c:pt idx="548">
                  <c:v>740</c:v>
                </c:pt>
                <c:pt idx="549">
                  <c:v>740</c:v>
                </c:pt>
                <c:pt idx="550">
                  <c:v>720</c:v>
                </c:pt>
                <c:pt idx="551">
                  <c:v>690</c:v>
                </c:pt>
                <c:pt idx="552">
                  <c:v>1347</c:v>
                </c:pt>
                <c:pt idx="553">
                  <c:v>1031</c:v>
                </c:pt>
                <c:pt idx="554">
                  <c:v>1157</c:v>
                </c:pt>
                <c:pt idx="555">
                  <c:v>971</c:v>
                </c:pt>
                <c:pt idx="556">
                  <c:v>655</c:v>
                </c:pt>
                <c:pt idx="557">
                  <c:v>611</c:v>
                </c:pt>
                <c:pt idx="558">
                  <c:v>583</c:v>
                </c:pt>
                <c:pt idx="559">
                  <c:v>825</c:v>
                </c:pt>
                <c:pt idx="560">
                  <c:v>720</c:v>
                </c:pt>
                <c:pt idx="561">
                  <c:v>720</c:v>
                </c:pt>
                <c:pt idx="562">
                  <c:v>800</c:v>
                </c:pt>
                <c:pt idx="563">
                  <c:v>900</c:v>
                </c:pt>
                <c:pt idx="564">
                  <c:v>1037</c:v>
                </c:pt>
                <c:pt idx="565">
                  <c:v>1037</c:v>
                </c:pt>
                <c:pt idx="566">
                  <c:v>1150</c:v>
                </c:pt>
                <c:pt idx="567">
                  <c:v>520</c:v>
                </c:pt>
                <c:pt idx="568">
                  <c:v>1591</c:v>
                </c:pt>
                <c:pt idx="569">
                  <c:v>650</c:v>
                </c:pt>
                <c:pt idx="570">
                  <c:v>640</c:v>
                </c:pt>
                <c:pt idx="571">
                  <c:v>1261</c:v>
                </c:pt>
                <c:pt idx="572">
                  <c:v>1018</c:v>
                </c:pt>
                <c:pt idx="573">
                  <c:v>850</c:v>
                </c:pt>
                <c:pt idx="574">
                  <c:v>800</c:v>
                </c:pt>
                <c:pt idx="575">
                  <c:v>650</c:v>
                </c:pt>
                <c:pt idx="576">
                  <c:v>600</c:v>
                </c:pt>
                <c:pt idx="577">
                  <c:v>970</c:v>
                </c:pt>
                <c:pt idx="578">
                  <c:v>772</c:v>
                </c:pt>
                <c:pt idx="579">
                  <c:v>700</c:v>
                </c:pt>
                <c:pt idx="580">
                  <c:v>725</c:v>
                </c:pt>
                <c:pt idx="581">
                  <c:v>700</c:v>
                </c:pt>
                <c:pt idx="582">
                  <c:v>850</c:v>
                </c:pt>
                <c:pt idx="583">
                  <c:v>628</c:v>
                </c:pt>
                <c:pt idx="584">
                  <c:v>628</c:v>
                </c:pt>
                <c:pt idx="585">
                  <c:v>850</c:v>
                </c:pt>
                <c:pt idx="586">
                  <c:v>900</c:v>
                </c:pt>
                <c:pt idx="587">
                  <c:v>600</c:v>
                </c:pt>
                <c:pt idx="588">
                  <c:v>600</c:v>
                </c:pt>
                <c:pt idx="589">
                  <c:v>583</c:v>
                </c:pt>
                <c:pt idx="590">
                  <c:v>493</c:v>
                </c:pt>
                <c:pt idx="591">
                  <c:v>1300</c:v>
                </c:pt>
                <c:pt idx="592">
                  <c:v>750</c:v>
                </c:pt>
                <c:pt idx="593">
                  <c:v>675</c:v>
                </c:pt>
                <c:pt idx="594">
                  <c:v>750</c:v>
                </c:pt>
                <c:pt idx="595">
                  <c:v>750</c:v>
                </c:pt>
                <c:pt idx="596">
                  <c:v>722</c:v>
                </c:pt>
                <c:pt idx="597">
                  <c:v>571</c:v>
                </c:pt>
                <c:pt idx="598">
                  <c:v>535</c:v>
                </c:pt>
                <c:pt idx="599">
                  <c:v>538</c:v>
                </c:pt>
                <c:pt idx="600">
                  <c:v>502</c:v>
                </c:pt>
                <c:pt idx="601">
                  <c:v>466</c:v>
                </c:pt>
                <c:pt idx="602">
                  <c:v>538</c:v>
                </c:pt>
                <c:pt idx="603">
                  <c:v>598</c:v>
                </c:pt>
                <c:pt idx="604">
                  <c:v>624</c:v>
                </c:pt>
                <c:pt idx="605">
                  <c:v>720</c:v>
                </c:pt>
                <c:pt idx="606">
                  <c:v>720</c:v>
                </c:pt>
                <c:pt idx="607">
                  <c:v>910</c:v>
                </c:pt>
              </c:numCache>
            </c:numRef>
          </c:yVal>
          <c:smooth val="0"/>
        </c:ser>
        <c:dLbls>
          <c:showLegendKey val="0"/>
          <c:showVal val="0"/>
          <c:showCatName val="0"/>
          <c:showSerName val="0"/>
          <c:showPercent val="0"/>
          <c:showBubbleSize val="0"/>
        </c:dLbls>
        <c:axId val="475640360"/>
        <c:axId val="475640752"/>
      </c:scatterChart>
      <c:valAx>
        <c:axId val="475640360"/>
        <c:scaling>
          <c:orientation val="minMax"/>
          <c:max val="17"/>
          <c:min val="8"/>
        </c:scaling>
        <c:delete val="0"/>
        <c:axPos val="b"/>
        <c:title>
          <c:tx>
            <c:rich>
              <a:bodyPr/>
              <a:lstStyle/>
              <a:p>
                <a:pPr>
                  <a:defRPr sz="1199" b="1" i="0" u="none" strike="noStrike" baseline="0">
                    <a:solidFill>
                      <a:srgbClr val="000000"/>
                    </a:solidFill>
                    <a:latin typeface="Times New Roman"/>
                    <a:ea typeface="Times New Roman"/>
                    <a:cs typeface="Times New Roman"/>
                  </a:defRPr>
                </a:pPr>
                <a:r>
                  <a:rPr lang="lv-LV"/>
                  <a:t>Mēnešalgu grupa, kvalifikācijas pakāpe</a:t>
                </a:r>
              </a:p>
            </c:rich>
          </c:tx>
          <c:overlay val="0"/>
        </c:title>
        <c:numFmt formatCode="General" sourceLinked="1"/>
        <c:majorTickMark val="out"/>
        <c:minorTickMark val="none"/>
        <c:tickLblPos val="nextTo"/>
        <c:txPr>
          <a:bodyPr rot="0" vert="horz"/>
          <a:lstStyle/>
          <a:p>
            <a:pPr>
              <a:defRPr sz="1199" b="0" i="0" u="none" strike="noStrike" baseline="0">
                <a:solidFill>
                  <a:srgbClr val="000000"/>
                </a:solidFill>
                <a:latin typeface="Times New Roman"/>
                <a:ea typeface="Times New Roman"/>
                <a:cs typeface="Times New Roman"/>
              </a:defRPr>
            </a:pPr>
            <a:endParaRPr lang="lv-LV"/>
          </a:p>
        </c:txPr>
        <c:crossAx val="475640752"/>
        <c:crosses val="autoZero"/>
        <c:crossBetween val="midCat"/>
        <c:majorUnit val="1"/>
      </c:valAx>
      <c:valAx>
        <c:axId val="475640752"/>
        <c:scaling>
          <c:orientation val="minMax"/>
          <c:max val="1800"/>
          <c:min val="200"/>
        </c:scaling>
        <c:delete val="0"/>
        <c:axPos val="l"/>
        <c:majorGridlines/>
        <c:numFmt formatCode="General" sourceLinked="1"/>
        <c:majorTickMark val="out"/>
        <c:minorTickMark val="none"/>
        <c:tickLblPos val="nextTo"/>
        <c:txPr>
          <a:bodyPr/>
          <a:lstStyle/>
          <a:p>
            <a:pPr>
              <a:defRPr lang="lv-LV"/>
            </a:pPr>
            <a:endParaRPr lang="lv-LV"/>
          </a:p>
        </c:txPr>
        <c:crossAx val="475640360"/>
        <c:crosses val="autoZero"/>
        <c:crossBetween val="midCat"/>
      </c:valAx>
    </c:plotArea>
    <c:plotVisOnly val="1"/>
    <c:dispBlanksAs val="gap"/>
    <c:showDLblsOverMax val="0"/>
  </c:chart>
  <c:txPr>
    <a:bodyPr/>
    <a:lstStyle/>
    <a:p>
      <a:pPr>
        <a:defRPr sz="1199">
          <a:latin typeface="Times New Roman" pitchFamily="18" charset="0"/>
          <a:cs typeface="Times New Roman" pitchFamily="18" charset="0"/>
        </a:defRPr>
      </a:pPr>
      <a:endParaRPr lang="lv-LV"/>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Lapa1!$B$1</c:f>
              <c:strCache>
                <c:ptCount val="1"/>
                <c:pt idx="0">
                  <c:v>veca</c:v>
                </c:pt>
              </c:strCache>
            </c:strRef>
          </c:tx>
          <c:marker>
            <c:symbol val="none"/>
          </c:marker>
          <c:xVal>
            <c:numRef>
              <c:f>Lapa1!$A$2:$A$454</c:f>
              <c:numCache>
                <c:formatCode>General</c:formatCode>
                <c:ptCount val="453"/>
                <c:pt idx="0">
                  <c:v>1.1000000000000001</c:v>
                </c:pt>
                <c:pt idx="1">
                  <c:v>1.1000000000000001</c:v>
                </c:pt>
                <c:pt idx="2">
                  <c:v>1.2</c:v>
                </c:pt>
                <c:pt idx="3">
                  <c:v>1.3</c:v>
                </c:pt>
                <c:pt idx="4">
                  <c:v>1.4</c:v>
                </c:pt>
                <c:pt idx="5">
                  <c:v>1.5</c:v>
                </c:pt>
                <c:pt idx="6">
                  <c:v>1.6</c:v>
                </c:pt>
                <c:pt idx="7">
                  <c:v>1.6</c:v>
                </c:pt>
                <c:pt idx="8">
                  <c:v>1.5</c:v>
                </c:pt>
                <c:pt idx="9">
                  <c:v>1.4</c:v>
                </c:pt>
                <c:pt idx="10">
                  <c:v>1.3</c:v>
                </c:pt>
                <c:pt idx="11">
                  <c:v>1.2</c:v>
                </c:pt>
                <c:pt idx="12">
                  <c:v>1.1000000000000001</c:v>
                </c:pt>
                <c:pt idx="14">
                  <c:v>2.1</c:v>
                </c:pt>
                <c:pt idx="15">
                  <c:v>2.1</c:v>
                </c:pt>
                <c:pt idx="16">
                  <c:v>2.2000000000000002</c:v>
                </c:pt>
                <c:pt idx="17">
                  <c:v>2.2999999999999998</c:v>
                </c:pt>
                <c:pt idx="18">
                  <c:v>2.4</c:v>
                </c:pt>
                <c:pt idx="19">
                  <c:v>2.5</c:v>
                </c:pt>
                <c:pt idx="20">
                  <c:v>2.6</c:v>
                </c:pt>
                <c:pt idx="21">
                  <c:v>2.6</c:v>
                </c:pt>
                <c:pt idx="22">
                  <c:v>2.5</c:v>
                </c:pt>
                <c:pt idx="23">
                  <c:v>2.4</c:v>
                </c:pt>
                <c:pt idx="24">
                  <c:v>2.2999999999999998</c:v>
                </c:pt>
                <c:pt idx="25">
                  <c:v>2.2000000000000002</c:v>
                </c:pt>
                <c:pt idx="26">
                  <c:v>2.1</c:v>
                </c:pt>
                <c:pt idx="28">
                  <c:v>3.1</c:v>
                </c:pt>
                <c:pt idx="29">
                  <c:v>3.1</c:v>
                </c:pt>
                <c:pt idx="30">
                  <c:v>3.2</c:v>
                </c:pt>
                <c:pt idx="31">
                  <c:v>3.3</c:v>
                </c:pt>
                <c:pt idx="32">
                  <c:v>3.4</c:v>
                </c:pt>
                <c:pt idx="33">
                  <c:v>3.5</c:v>
                </c:pt>
                <c:pt idx="34">
                  <c:v>3.6</c:v>
                </c:pt>
                <c:pt idx="35">
                  <c:v>3.6</c:v>
                </c:pt>
                <c:pt idx="36">
                  <c:v>3.5</c:v>
                </c:pt>
                <c:pt idx="37">
                  <c:v>3.4</c:v>
                </c:pt>
                <c:pt idx="38">
                  <c:v>3.3</c:v>
                </c:pt>
                <c:pt idx="39">
                  <c:v>3.2</c:v>
                </c:pt>
                <c:pt idx="40">
                  <c:v>3.1</c:v>
                </c:pt>
                <c:pt idx="42">
                  <c:v>4.0999999999999996</c:v>
                </c:pt>
                <c:pt idx="43">
                  <c:v>4.0999999999999996</c:v>
                </c:pt>
                <c:pt idx="44">
                  <c:v>4.2</c:v>
                </c:pt>
                <c:pt idx="45">
                  <c:v>4.3</c:v>
                </c:pt>
                <c:pt idx="46">
                  <c:v>4.4000000000000004</c:v>
                </c:pt>
                <c:pt idx="47">
                  <c:v>4.5</c:v>
                </c:pt>
                <c:pt idx="48">
                  <c:v>4.5999999999999996</c:v>
                </c:pt>
                <c:pt idx="49">
                  <c:v>4.5999999999999996</c:v>
                </c:pt>
                <c:pt idx="50">
                  <c:v>4.5</c:v>
                </c:pt>
                <c:pt idx="51">
                  <c:v>4.4000000000000004</c:v>
                </c:pt>
                <c:pt idx="52">
                  <c:v>4.3</c:v>
                </c:pt>
                <c:pt idx="53">
                  <c:v>4.2</c:v>
                </c:pt>
                <c:pt idx="54">
                  <c:v>4.0999999999999996</c:v>
                </c:pt>
                <c:pt idx="56">
                  <c:v>5.0999999999999996</c:v>
                </c:pt>
                <c:pt idx="57">
                  <c:v>5.0999999999999996</c:v>
                </c:pt>
                <c:pt idx="58">
                  <c:v>5.2</c:v>
                </c:pt>
                <c:pt idx="59">
                  <c:v>5.3</c:v>
                </c:pt>
                <c:pt idx="60">
                  <c:v>5.4</c:v>
                </c:pt>
                <c:pt idx="61">
                  <c:v>5.5</c:v>
                </c:pt>
                <c:pt idx="62">
                  <c:v>5.6</c:v>
                </c:pt>
                <c:pt idx="63">
                  <c:v>5.6</c:v>
                </c:pt>
                <c:pt idx="64">
                  <c:v>5.5</c:v>
                </c:pt>
                <c:pt idx="65">
                  <c:v>5.4</c:v>
                </c:pt>
                <c:pt idx="66">
                  <c:v>5.3</c:v>
                </c:pt>
                <c:pt idx="67">
                  <c:v>5.2</c:v>
                </c:pt>
                <c:pt idx="68">
                  <c:v>5.0999999999999996</c:v>
                </c:pt>
                <c:pt idx="70">
                  <c:v>6.1</c:v>
                </c:pt>
                <c:pt idx="71">
                  <c:v>6.1</c:v>
                </c:pt>
                <c:pt idx="72">
                  <c:v>6.2</c:v>
                </c:pt>
                <c:pt idx="73">
                  <c:v>6.3</c:v>
                </c:pt>
                <c:pt idx="74">
                  <c:v>6.4</c:v>
                </c:pt>
                <c:pt idx="75">
                  <c:v>6.5</c:v>
                </c:pt>
                <c:pt idx="76">
                  <c:v>6.6</c:v>
                </c:pt>
                <c:pt idx="77">
                  <c:v>6.6</c:v>
                </c:pt>
                <c:pt idx="78">
                  <c:v>6.5</c:v>
                </c:pt>
                <c:pt idx="79">
                  <c:v>6.4</c:v>
                </c:pt>
                <c:pt idx="80">
                  <c:v>6.3</c:v>
                </c:pt>
                <c:pt idx="81">
                  <c:v>6.2</c:v>
                </c:pt>
                <c:pt idx="82">
                  <c:v>6.1</c:v>
                </c:pt>
                <c:pt idx="84">
                  <c:v>7.1</c:v>
                </c:pt>
                <c:pt idx="85">
                  <c:v>7.1</c:v>
                </c:pt>
                <c:pt idx="86">
                  <c:v>7.2</c:v>
                </c:pt>
                <c:pt idx="87">
                  <c:v>7.3</c:v>
                </c:pt>
                <c:pt idx="88">
                  <c:v>7.4</c:v>
                </c:pt>
                <c:pt idx="89">
                  <c:v>7.5</c:v>
                </c:pt>
                <c:pt idx="90">
                  <c:v>7.6</c:v>
                </c:pt>
                <c:pt idx="91">
                  <c:v>7.6</c:v>
                </c:pt>
                <c:pt idx="92">
                  <c:v>7.5</c:v>
                </c:pt>
                <c:pt idx="93">
                  <c:v>7.4</c:v>
                </c:pt>
                <c:pt idx="94">
                  <c:v>7.3</c:v>
                </c:pt>
                <c:pt idx="95">
                  <c:v>7.2</c:v>
                </c:pt>
                <c:pt idx="96">
                  <c:v>7.1</c:v>
                </c:pt>
                <c:pt idx="98">
                  <c:v>8.1</c:v>
                </c:pt>
                <c:pt idx="99">
                  <c:v>8.1</c:v>
                </c:pt>
                <c:pt idx="100">
                  <c:v>8.2000000000000011</c:v>
                </c:pt>
                <c:pt idx="101">
                  <c:v>8.3000000000000007</c:v>
                </c:pt>
                <c:pt idx="102">
                  <c:v>8.4</c:v>
                </c:pt>
                <c:pt idx="103">
                  <c:v>8.5</c:v>
                </c:pt>
                <c:pt idx="104">
                  <c:v>8.6</c:v>
                </c:pt>
                <c:pt idx="105">
                  <c:v>8.6</c:v>
                </c:pt>
                <c:pt idx="106">
                  <c:v>8.5</c:v>
                </c:pt>
                <c:pt idx="107">
                  <c:v>8.4</c:v>
                </c:pt>
                <c:pt idx="108">
                  <c:v>8.3000000000000007</c:v>
                </c:pt>
                <c:pt idx="109">
                  <c:v>8.2000000000000011</c:v>
                </c:pt>
                <c:pt idx="110">
                  <c:v>8.1</c:v>
                </c:pt>
                <c:pt idx="112">
                  <c:v>9.1</c:v>
                </c:pt>
                <c:pt idx="113">
                  <c:v>9.1</c:v>
                </c:pt>
                <c:pt idx="114">
                  <c:v>9.2000000000000011</c:v>
                </c:pt>
                <c:pt idx="115">
                  <c:v>9.3000000000000007</c:v>
                </c:pt>
                <c:pt idx="116">
                  <c:v>9.4</c:v>
                </c:pt>
                <c:pt idx="117">
                  <c:v>9.5</c:v>
                </c:pt>
                <c:pt idx="118">
                  <c:v>9.6</c:v>
                </c:pt>
                <c:pt idx="119">
                  <c:v>9.6</c:v>
                </c:pt>
                <c:pt idx="120">
                  <c:v>9.5</c:v>
                </c:pt>
                <c:pt idx="121">
                  <c:v>9.4</c:v>
                </c:pt>
                <c:pt idx="122">
                  <c:v>9.3000000000000007</c:v>
                </c:pt>
                <c:pt idx="123">
                  <c:v>9.2000000000000011</c:v>
                </c:pt>
                <c:pt idx="124">
                  <c:v>9.1</c:v>
                </c:pt>
                <c:pt idx="126">
                  <c:v>10.1</c:v>
                </c:pt>
                <c:pt idx="127">
                  <c:v>10.1</c:v>
                </c:pt>
                <c:pt idx="128">
                  <c:v>10.200000000000001</c:v>
                </c:pt>
                <c:pt idx="129">
                  <c:v>10.3</c:v>
                </c:pt>
                <c:pt idx="130">
                  <c:v>10.4</c:v>
                </c:pt>
                <c:pt idx="131">
                  <c:v>10.5</c:v>
                </c:pt>
                <c:pt idx="132">
                  <c:v>10.6</c:v>
                </c:pt>
                <c:pt idx="133">
                  <c:v>10.6</c:v>
                </c:pt>
                <c:pt idx="134">
                  <c:v>10.5</c:v>
                </c:pt>
                <c:pt idx="135">
                  <c:v>10.4</c:v>
                </c:pt>
                <c:pt idx="136">
                  <c:v>10.3</c:v>
                </c:pt>
                <c:pt idx="137">
                  <c:v>10.200000000000001</c:v>
                </c:pt>
                <c:pt idx="138">
                  <c:v>10.1</c:v>
                </c:pt>
                <c:pt idx="140">
                  <c:v>11.1</c:v>
                </c:pt>
                <c:pt idx="141">
                  <c:v>11.1</c:v>
                </c:pt>
                <c:pt idx="142">
                  <c:v>11.2</c:v>
                </c:pt>
                <c:pt idx="143">
                  <c:v>11.3</c:v>
                </c:pt>
                <c:pt idx="144">
                  <c:v>11.4</c:v>
                </c:pt>
                <c:pt idx="145">
                  <c:v>11.5</c:v>
                </c:pt>
                <c:pt idx="146">
                  <c:v>11.6</c:v>
                </c:pt>
                <c:pt idx="147">
                  <c:v>11.6</c:v>
                </c:pt>
                <c:pt idx="148">
                  <c:v>11.5</c:v>
                </c:pt>
                <c:pt idx="149">
                  <c:v>11.4</c:v>
                </c:pt>
                <c:pt idx="150">
                  <c:v>11.3</c:v>
                </c:pt>
                <c:pt idx="151">
                  <c:v>11.2</c:v>
                </c:pt>
                <c:pt idx="152">
                  <c:v>11.1</c:v>
                </c:pt>
                <c:pt idx="154">
                  <c:v>12.1</c:v>
                </c:pt>
                <c:pt idx="155">
                  <c:v>12.1</c:v>
                </c:pt>
                <c:pt idx="156">
                  <c:v>12.2</c:v>
                </c:pt>
                <c:pt idx="157">
                  <c:v>12.3</c:v>
                </c:pt>
                <c:pt idx="158">
                  <c:v>12.4</c:v>
                </c:pt>
                <c:pt idx="159">
                  <c:v>12.5</c:v>
                </c:pt>
                <c:pt idx="160">
                  <c:v>12.6</c:v>
                </c:pt>
                <c:pt idx="161">
                  <c:v>12.6</c:v>
                </c:pt>
                <c:pt idx="162">
                  <c:v>12.5</c:v>
                </c:pt>
                <c:pt idx="163">
                  <c:v>12.4</c:v>
                </c:pt>
                <c:pt idx="164">
                  <c:v>12.3</c:v>
                </c:pt>
                <c:pt idx="165">
                  <c:v>12.2</c:v>
                </c:pt>
                <c:pt idx="166">
                  <c:v>12.1</c:v>
                </c:pt>
                <c:pt idx="168">
                  <c:v>13.1</c:v>
                </c:pt>
                <c:pt idx="169">
                  <c:v>13.1</c:v>
                </c:pt>
                <c:pt idx="170">
                  <c:v>13.2</c:v>
                </c:pt>
                <c:pt idx="171">
                  <c:v>13.3</c:v>
                </c:pt>
                <c:pt idx="172">
                  <c:v>13.4</c:v>
                </c:pt>
                <c:pt idx="173">
                  <c:v>13.5</c:v>
                </c:pt>
                <c:pt idx="174">
                  <c:v>13.6</c:v>
                </c:pt>
                <c:pt idx="175">
                  <c:v>13.6</c:v>
                </c:pt>
                <c:pt idx="176">
                  <c:v>13.5</c:v>
                </c:pt>
                <c:pt idx="177">
                  <c:v>13.4</c:v>
                </c:pt>
                <c:pt idx="178">
                  <c:v>13.3</c:v>
                </c:pt>
                <c:pt idx="179">
                  <c:v>13.2</c:v>
                </c:pt>
                <c:pt idx="180">
                  <c:v>13.1</c:v>
                </c:pt>
                <c:pt idx="182">
                  <c:v>14.1</c:v>
                </c:pt>
                <c:pt idx="183">
                  <c:v>14.1</c:v>
                </c:pt>
                <c:pt idx="184">
                  <c:v>14.3</c:v>
                </c:pt>
                <c:pt idx="185">
                  <c:v>14.3</c:v>
                </c:pt>
                <c:pt idx="186">
                  <c:v>14.4</c:v>
                </c:pt>
                <c:pt idx="187">
                  <c:v>14.5</c:v>
                </c:pt>
                <c:pt idx="188">
                  <c:v>14.6</c:v>
                </c:pt>
                <c:pt idx="189">
                  <c:v>14.6</c:v>
                </c:pt>
                <c:pt idx="190">
                  <c:v>14.5</c:v>
                </c:pt>
                <c:pt idx="191">
                  <c:v>14.4</c:v>
                </c:pt>
                <c:pt idx="192">
                  <c:v>14.3</c:v>
                </c:pt>
                <c:pt idx="193">
                  <c:v>14.2</c:v>
                </c:pt>
                <c:pt idx="194">
                  <c:v>14.1</c:v>
                </c:pt>
                <c:pt idx="196">
                  <c:v>15.1</c:v>
                </c:pt>
                <c:pt idx="197">
                  <c:v>15.1</c:v>
                </c:pt>
                <c:pt idx="198">
                  <c:v>15.3</c:v>
                </c:pt>
                <c:pt idx="199">
                  <c:v>15.3</c:v>
                </c:pt>
                <c:pt idx="200">
                  <c:v>15.4</c:v>
                </c:pt>
                <c:pt idx="201">
                  <c:v>15.5</c:v>
                </c:pt>
                <c:pt idx="202">
                  <c:v>15.6</c:v>
                </c:pt>
                <c:pt idx="203">
                  <c:v>15.6</c:v>
                </c:pt>
                <c:pt idx="204">
                  <c:v>15.5</c:v>
                </c:pt>
                <c:pt idx="205">
                  <c:v>15.4</c:v>
                </c:pt>
                <c:pt idx="206">
                  <c:v>15.3</c:v>
                </c:pt>
                <c:pt idx="207">
                  <c:v>15.2</c:v>
                </c:pt>
                <c:pt idx="208">
                  <c:v>15.1</c:v>
                </c:pt>
                <c:pt idx="210">
                  <c:v>16.100000000000001</c:v>
                </c:pt>
                <c:pt idx="211">
                  <c:v>16.100000000000001</c:v>
                </c:pt>
                <c:pt idx="212">
                  <c:v>16.2</c:v>
                </c:pt>
                <c:pt idx="213">
                  <c:v>16.3</c:v>
                </c:pt>
                <c:pt idx="214">
                  <c:v>16.5</c:v>
                </c:pt>
                <c:pt idx="215">
                  <c:v>16.5</c:v>
                </c:pt>
                <c:pt idx="216">
                  <c:v>16.600000000000001</c:v>
                </c:pt>
                <c:pt idx="217">
                  <c:v>16.600000000000001</c:v>
                </c:pt>
                <c:pt idx="218">
                  <c:v>16.5</c:v>
                </c:pt>
                <c:pt idx="219">
                  <c:v>16.399999999999999</c:v>
                </c:pt>
                <c:pt idx="220">
                  <c:v>16.3</c:v>
                </c:pt>
                <c:pt idx="221">
                  <c:v>16.2</c:v>
                </c:pt>
                <c:pt idx="222">
                  <c:v>16.100000000000001</c:v>
                </c:pt>
                <c:pt idx="224">
                  <c:v>16.600000000000001</c:v>
                </c:pt>
                <c:pt idx="225">
                  <c:v>11.6</c:v>
                </c:pt>
                <c:pt idx="226">
                  <c:v>9.6</c:v>
                </c:pt>
                <c:pt idx="227">
                  <c:v>13.6</c:v>
                </c:pt>
                <c:pt idx="228">
                  <c:v>12.6</c:v>
                </c:pt>
                <c:pt idx="229">
                  <c:v>11.6</c:v>
                </c:pt>
                <c:pt idx="230">
                  <c:v>9.6</c:v>
                </c:pt>
                <c:pt idx="231">
                  <c:v>9.6</c:v>
                </c:pt>
                <c:pt idx="232">
                  <c:v>9.6</c:v>
                </c:pt>
                <c:pt idx="233">
                  <c:v>9.6</c:v>
                </c:pt>
                <c:pt idx="234">
                  <c:v>12.6</c:v>
                </c:pt>
                <c:pt idx="235">
                  <c:v>11.6</c:v>
                </c:pt>
                <c:pt idx="236">
                  <c:v>9.6</c:v>
                </c:pt>
                <c:pt idx="237">
                  <c:v>9.6</c:v>
                </c:pt>
                <c:pt idx="238">
                  <c:v>9.6</c:v>
                </c:pt>
                <c:pt idx="239">
                  <c:v>9.6</c:v>
                </c:pt>
                <c:pt idx="240">
                  <c:v>12.6</c:v>
                </c:pt>
                <c:pt idx="241">
                  <c:v>11.6</c:v>
                </c:pt>
                <c:pt idx="242">
                  <c:v>9.6</c:v>
                </c:pt>
                <c:pt idx="243">
                  <c:v>9.6</c:v>
                </c:pt>
                <c:pt idx="244">
                  <c:v>9.6</c:v>
                </c:pt>
                <c:pt idx="245">
                  <c:v>9.6</c:v>
                </c:pt>
                <c:pt idx="246">
                  <c:v>9.5</c:v>
                </c:pt>
                <c:pt idx="247">
                  <c:v>13.6</c:v>
                </c:pt>
                <c:pt idx="248">
                  <c:v>12.6</c:v>
                </c:pt>
                <c:pt idx="249">
                  <c:v>11.6</c:v>
                </c:pt>
                <c:pt idx="250">
                  <c:v>10.6</c:v>
                </c:pt>
                <c:pt idx="251">
                  <c:v>10.6</c:v>
                </c:pt>
                <c:pt idx="252">
                  <c:v>9.6</c:v>
                </c:pt>
                <c:pt idx="253">
                  <c:v>9.6</c:v>
                </c:pt>
                <c:pt idx="254">
                  <c:v>9.6</c:v>
                </c:pt>
                <c:pt idx="255">
                  <c:v>12.6</c:v>
                </c:pt>
                <c:pt idx="256">
                  <c:v>11.6</c:v>
                </c:pt>
                <c:pt idx="257">
                  <c:v>9.6</c:v>
                </c:pt>
                <c:pt idx="258">
                  <c:v>9.5</c:v>
                </c:pt>
                <c:pt idx="259">
                  <c:v>12.6</c:v>
                </c:pt>
                <c:pt idx="260">
                  <c:v>11.6</c:v>
                </c:pt>
                <c:pt idx="261">
                  <c:v>9.6</c:v>
                </c:pt>
                <c:pt idx="262">
                  <c:v>9.6</c:v>
                </c:pt>
                <c:pt idx="263">
                  <c:v>14.6</c:v>
                </c:pt>
                <c:pt idx="264">
                  <c:v>12.6</c:v>
                </c:pt>
                <c:pt idx="265">
                  <c:v>11.6</c:v>
                </c:pt>
                <c:pt idx="266">
                  <c:v>9.6</c:v>
                </c:pt>
                <c:pt idx="267">
                  <c:v>9.5</c:v>
                </c:pt>
                <c:pt idx="268">
                  <c:v>9.6</c:v>
                </c:pt>
                <c:pt idx="269">
                  <c:v>12.6</c:v>
                </c:pt>
                <c:pt idx="270">
                  <c:v>11.6</c:v>
                </c:pt>
                <c:pt idx="271">
                  <c:v>9.6</c:v>
                </c:pt>
                <c:pt idx="272">
                  <c:v>9.3000000000000007</c:v>
                </c:pt>
                <c:pt idx="273">
                  <c:v>9.6</c:v>
                </c:pt>
                <c:pt idx="274">
                  <c:v>13.6</c:v>
                </c:pt>
                <c:pt idx="275">
                  <c:v>13.6</c:v>
                </c:pt>
                <c:pt idx="276">
                  <c:v>12.6</c:v>
                </c:pt>
                <c:pt idx="277">
                  <c:v>9.1</c:v>
                </c:pt>
                <c:pt idx="278">
                  <c:v>10.5</c:v>
                </c:pt>
                <c:pt idx="279">
                  <c:v>9.6</c:v>
                </c:pt>
                <c:pt idx="280">
                  <c:v>13.6</c:v>
                </c:pt>
                <c:pt idx="281">
                  <c:v>10.6</c:v>
                </c:pt>
                <c:pt idx="282">
                  <c:v>12.6</c:v>
                </c:pt>
                <c:pt idx="283">
                  <c:v>11.5</c:v>
                </c:pt>
                <c:pt idx="284">
                  <c:v>9.6</c:v>
                </c:pt>
                <c:pt idx="285">
                  <c:v>9.6</c:v>
                </c:pt>
                <c:pt idx="286">
                  <c:v>9.6</c:v>
                </c:pt>
                <c:pt idx="287">
                  <c:v>9.6</c:v>
                </c:pt>
                <c:pt idx="288">
                  <c:v>9.6</c:v>
                </c:pt>
                <c:pt idx="289">
                  <c:v>9.6</c:v>
                </c:pt>
                <c:pt idx="290">
                  <c:v>12.6</c:v>
                </c:pt>
                <c:pt idx="291">
                  <c:v>9.6</c:v>
                </c:pt>
                <c:pt idx="292">
                  <c:v>9.6</c:v>
                </c:pt>
                <c:pt idx="293">
                  <c:v>12.6</c:v>
                </c:pt>
                <c:pt idx="294">
                  <c:v>11.6</c:v>
                </c:pt>
                <c:pt idx="295">
                  <c:v>9.6</c:v>
                </c:pt>
                <c:pt idx="296">
                  <c:v>9.6</c:v>
                </c:pt>
                <c:pt idx="297">
                  <c:v>9.6</c:v>
                </c:pt>
                <c:pt idx="298">
                  <c:v>9.6</c:v>
                </c:pt>
                <c:pt idx="299">
                  <c:v>9.5</c:v>
                </c:pt>
                <c:pt idx="300">
                  <c:v>12.6</c:v>
                </c:pt>
                <c:pt idx="301">
                  <c:v>11.6</c:v>
                </c:pt>
                <c:pt idx="302">
                  <c:v>9.6</c:v>
                </c:pt>
                <c:pt idx="303">
                  <c:v>9.1</c:v>
                </c:pt>
                <c:pt idx="304">
                  <c:v>9.5</c:v>
                </c:pt>
                <c:pt idx="305">
                  <c:v>9.6</c:v>
                </c:pt>
                <c:pt idx="306">
                  <c:v>12.6</c:v>
                </c:pt>
                <c:pt idx="307">
                  <c:v>11.6</c:v>
                </c:pt>
                <c:pt idx="308">
                  <c:v>9.6</c:v>
                </c:pt>
                <c:pt idx="309">
                  <c:v>9.6</c:v>
                </c:pt>
                <c:pt idx="310">
                  <c:v>9.6</c:v>
                </c:pt>
                <c:pt idx="311">
                  <c:v>15.6</c:v>
                </c:pt>
                <c:pt idx="312">
                  <c:v>13.6</c:v>
                </c:pt>
                <c:pt idx="313">
                  <c:v>11.6</c:v>
                </c:pt>
                <c:pt idx="314">
                  <c:v>9.6</c:v>
                </c:pt>
                <c:pt idx="315">
                  <c:v>10.6</c:v>
                </c:pt>
                <c:pt idx="316">
                  <c:v>9.5</c:v>
                </c:pt>
                <c:pt idx="317">
                  <c:v>11.6</c:v>
                </c:pt>
                <c:pt idx="318">
                  <c:v>11.6</c:v>
                </c:pt>
                <c:pt idx="319">
                  <c:v>11.6</c:v>
                </c:pt>
                <c:pt idx="320">
                  <c:v>10.6</c:v>
                </c:pt>
                <c:pt idx="321">
                  <c:v>9.5</c:v>
                </c:pt>
                <c:pt idx="322">
                  <c:v>9.6</c:v>
                </c:pt>
                <c:pt idx="323">
                  <c:v>9.5</c:v>
                </c:pt>
                <c:pt idx="324">
                  <c:v>9.6</c:v>
                </c:pt>
                <c:pt idx="325">
                  <c:v>12.6</c:v>
                </c:pt>
                <c:pt idx="326">
                  <c:v>11.6</c:v>
                </c:pt>
                <c:pt idx="327">
                  <c:v>10.5</c:v>
                </c:pt>
                <c:pt idx="328">
                  <c:v>9.6</c:v>
                </c:pt>
                <c:pt idx="329">
                  <c:v>14.6</c:v>
                </c:pt>
                <c:pt idx="330">
                  <c:v>12.6</c:v>
                </c:pt>
                <c:pt idx="331">
                  <c:v>11.6</c:v>
                </c:pt>
                <c:pt idx="332">
                  <c:v>10.6</c:v>
                </c:pt>
                <c:pt idx="333">
                  <c:v>10.6</c:v>
                </c:pt>
                <c:pt idx="334">
                  <c:v>10.5</c:v>
                </c:pt>
                <c:pt idx="335">
                  <c:v>12.6</c:v>
                </c:pt>
                <c:pt idx="336">
                  <c:v>11.6</c:v>
                </c:pt>
                <c:pt idx="337">
                  <c:v>7.5</c:v>
                </c:pt>
                <c:pt idx="338">
                  <c:v>10.6</c:v>
                </c:pt>
                <c:pt idx="339">
                  <c:v>10.6</c:v>
                </c:pt>
                <c:pt idx="340">
                  <c:v>10.6</c:v>
                </c:pt>
                <c:pt idx="341">
                  <c:v>12.6</c:v>
                </c:pt>
                <c:pt idx="342">
                  <c:v>10.6</c:v>
                </c:pt>
                <c:pt idx="343">
                  <c:v>9.6</c:v>
                </c:pt>
                <c:pt idx="344">
                  <c:v>9.6</c:v>
                </c:pt>
                <c:pt idx="345">
                  <c:v>8.6</c:v>
                </c:pt>
                <c:pt idx="346">
                  <c:v>13.6</c:v>
                </c:pt>
                <c:pt idx="347">
                  <c:v>11.6</c:v>
                </c:pt>
                <c:pt idx="348">
                  <c:v>9.6</c:v>
                </c:pt>
                <c:pt idx="349">
                  <c:v>9.6</c:v>
                </c:pt>
                <c:pt idx="350">
                  <c:v>9.6</c:v>
                </c:pt>
                <c:pt idx="351">
                  <c:v>9.6</c:v>
                </c:pt>
                <c:pt idx="352">
                  <c:v>9.6</c:v>
                </c:pt>
                <c:pt idx="353">
                  <c:v>13.6</c:v>
                </c:pt>
                <c:pt idx="354">
                  <c:v>11.6</c:v>
                </c:pt>
                <c:pt idx="355">
                  <c:v>9.6</c:v>
                </c:pt>
                <c:pt idx="356">
                  <c:v>9.6</c:v>
                </c:pt>
                <c:pt idx="357">
                  <c:v>9.6</c:v>
                </c:pt>
                <c:pt idx="358">
                  <c:v>8.5</c:v>
                </c:pt>
                <c:pt idx="359">
                  <c:v>9.6</c:v>
                </c:pt>
                <c:pt idx="360">
                  <c:v>11.6</c:v>
                </c:pt>
                <c:pt idx="361">
                  <c:v>9.6</c:v>
                </c:pt>
                <c:pt idx="362">
                  <c:v>9.6</c:v>
                </c:pt>
                <c:pt idx="363">
                  <c:v>9.6</c:v>
                </c:pt>
                <c:pt idx="364">
                  <c:v>13.6</c:v>
                </c:pt>
                <c:pt idx="365">
                  <c:v>12.6</c:v>
                </c:pt>
                <c:pt idx="366">
                  <c:v>10.6</c:v>
                </c:pt>
                <c:pt idx="367">
                  <c:v>10.1</c:v>
                </c:pt>
                <c:pt idx="368">
                  <c:v>9.6</c:v>
                </c:pt>
                <c:pt idx="369">
                  <c:v>14.6</c:v>
                </c:pt>
                <c:pt idx="370">
                  <c:v>13.6</c:v>
                </c:pt>
                <c:pt idx="371">
                  <c:v>12.6</c:v>
                </c:pt>
                <c:pt idx="372">
                  <c:v>10.6</c:v>
                </c:pt>
                <c:pt idx="373">
                  <c:v>10.6</c:v>
                </c:pt>
                <c:pt idx="374">
                  <c:v>10.6</c:v>
                </c:pt>
                <c:pt idx="375">
                  <c:v>10.6</c:v>
                </c:pt>
                <c:pt idx="376">
                  <c:v>10.6</c:v>
                </c:pt>
                <c:pt idx="377">
                  <c:v>9.3000000000000007</c:v>
                </c:pt>
                <c:pt idx="378">
                  <c:v>13.6</c:v>
                </c:pt>
                <c:pt idx="379">
                  <c:v>11.6</c:v>
                </c:pt>
                <c:pt idx="380">
                  <c:v>9.6</c:v>
                </c:pt>
                <c:pt idx="381">
                  <c:v>10.6</c:v>
                </c:pt>
                <c:pt idx="382">
                  <c:v>10.6</c:v>
                </c:pt>
                <c:pt idx="383">
                  <c:v>13.6</c:v>
                </c:pt>
                <c:pt idx="384">
                  <c:v>12.6</c:v>
                </c:pt>
                <c:pt idx="385">
                  <c:v>10.6</c:v>
                </c:pt>
                <c:pt idx="386">
                  <c:v>10.6</c:v>
                </c:pt>
                <c:pt idx="387">
                  <c:v>9.6</c:v>
                </c:pt>
                <c:pt idx="388">
                  <c:v>10.5</c:v>
                </c:pt>
                <c:pt idx="389">
                  <c:v>15.6</c:v>
                </c:pt>
                <c:pt idx="390">
                  <c:v>13.6</c:v>
                </c:pt>
                <c:pt idx="391">
                  <c:v>12.6</c:v>
                </c:pt>
                <c:pt idx="392">
                  <c:v>10.6</c:v>
                </c:pt>
                <c:pt idx="393">
                  <c:v>9.6</c:v>
                </c:pt>
                <c:pt idx="394">
                  <c:v>9.6</c:v>
                </c:pt>
                <c:pt idx="395">
                  <c:v>13.6</c:v>
                </c:pt>
                <c:pt idx="396">
                  <c:v>11.6</c:v>
                </c:pt>
                <c:pt idx="397">
                  <c:v>10.6</c:v>
                </c:pt>
                <c:pt idx="398">
                  <c:v>9.5</c:v>
                </c:pt>
                <c:pt idx="399">
                  <c:v>9.6</c:v>
                </c:pt>
                <c:pt idx="400">
                  <c:v>9.1</c:v>
                </c:pt>
                <c:pt idx="401">
                  <c:v>12.6</c:v>
                </c:pt>
                <c:pt idx="402">
                  <c:v>11.6</c:v>
                </c:pt>
                <c:pt idx="403">
                  <c:v>11.6</c:v>
                </c:pt>
                <c:pt idx="404">
                  <c:v>9.6</c:v>
                </c:pt>
                <c:pt idx="405">
                  <c:v>9.6</c:v>
                </c:pt>
                <c:pt idx="406">
                  <c:v>9.6</c:v>
                </c:pt>
                <c:pt idx="407">
                  <c:v>13.6</c:v>
                </c:pt>
                <c:pt idx="408">
                  <c:v>11.6</c:v>
                </c:pt>
                <c:pt idx="409">
                  <c:v>10.6</c:v>
                </c:pt>
                <c:pt idx="410">
                  <c:v>10.6</c:v>
                </c:pt>
                <c:pt idx="411">
                  <c:v>10.6</c:v>
                </c:pt>
                <c:pt idx="412">
                  <c:v>10.6</c:v>
                </c:pt>
                <c:pt idx="413">
                  <c:v>10.6</c:v>
                </c:pt>
                <c:pt idx="414">
                  <c:v>10.6</c:v>
                </c:pt>
                <c:pt idx="415">
                  <c:v>11.6</c:v>
                </c:pt>
                <c:pt idx="416">
                  <c:v>10.6</c:v>
                </c:pt>
                <c:pt idx="417">
                  <c:v>9.5</c:v>
                </c:pt>
                <c:pt idx="418">
                  <c:v>7.6</c:v>
                </c:pt>
                <c:pt idx="419">
                  <c:v>9.6</c:v>
                </c:pt>
                <c:pt idx="420">
                  <c:v>8.6</c:v>
                </c:pt>
                <c:pt idx="421">
                  <c:v>8.6</c:v>
                </c:pt>
                <c:pt idx="422">
                  <c:v>11.6</c:v>
                </c:pt>
                <c:pt idx="423">
                  <c:v>8.6</c:v>
                </c:pt>
                <c:pt idx="424">
                  <c:v>11.5</c:v>
                </c:pt>
                <c:pt idx="425">
                  <c:v>11.6</c:v>
                </c:pt>
                <c:pt idx="426">
                  <c:v>11.6</c:v>
                </c:pt>
                <c:pt idx="427">
                  <c:v>8.5</c:v>
                </c:pt>
                <c:pt idx="428">
                  <c:v>15.6</c:v>
                </c:pt>
                <c:pt idx="429">
                  <c:v>10.6</c:v>
                </c:pt>
                <c:pt idx="430">
                  <c:v>11.6</c:v>
                </c:pt>
                <c:pt idx="431">
                  <c:v>14.6</c:v>
                </c:pt>
                <c:pt idx="432">
                  <c:v>14.3</c:v>
                </c:pt>
                <c:pt idx="433">
                  <c:v>13.6</c:v>
                </c:pt>
                <c:pt idx="434">
                  <c:v>12.6</c:v>
                </c:pt>
                <c:pt idx="435">
                  <c:v>11.6</c:v>
                </c:pt>
                <c:pt idx="436">
                  <c:v>10.6</c:v>
                </c:pt>
                <c:pt idx="437">
                  <c:v>7.6</c:v>
                </c:pt>
                <c:pt idx="438">
                  <c:v>6.6</c:v>
                </c:pt>
                <c:pt idx="439">
                  <c:v>6.6</c:v>
                </c:pt>
                <c:pt idx="440">
                  <c:v>6.6</c:v>
                </c:pt>
                <c:pt idx="441">
                  <c:v>10.6</c:v>
                </c:pt>
                <c:pt idx="442">
                  <c:v>12.6</c:v>
                </c:pt>
                <c:pt idx="443">
                  <c:v>11.6</c:v>
                </c:pt>
                <c:pt idx="444">
                  <c:v>11.6</c:v>
                </c:pt>
                <c:pt idx="445">
                  <c:v>10.6</c:v>
                </c:pt>
                <c:pt idx="446">
                  <c:v>8.5</c:v>
                </c:pt>
                <c:pt idx="447">
                  <c:v>10.6</c:v>
                </c:pt>
                <c:pt idx="448">
                  <c:v>8.6</c:v>
                </c:pt>
                <c:pt idx="449">
                  <c:v>7.1</c:v>
                </c:pt>
                <c:pt idx="450">
                  <c:v>7.4</c:v>
                </c:pt>
                <c:pt idx="451">
                  <c:v>7.2</c:v>
                </c:pt>
                <c:pt idx="452">
                  <c:v>8.6</c:v>
                </c:pt>
              </c:numCache>
            </c:numRef>
          </c:xVal>
          <c:yVal>
            <c:numRef>
              <c:f>Lapa1!$B$2:$B$454</c:f>
              <c:numCache>
                <c:formatCode>General</c:formatCode>
                <c:ptCount val="453"/>
                <c:pt idx="0">
                  <c:v>200</c:v>
                </c:pt>
                <c:pt idx="1">
                  <c:v>200</c:v>
                </c:pt>
                <c:pt idx="2">
                  <c:v>210</c:v>
                </c:pt>
                <c:pt idx="3">
                  <c:v>212</c:v>
                </c:pt>
                <c:pt idx="4">
                  <c:v>215</c:v>
                </c:pt>
                <c:pt idx="5">
                  <c:v>219</c:v>
                </c:pt>
                <c:pt idx="6">
                  <c:v>224</c:v>
                </c:pt>
                <c:pt idx="7">
                  <c:v>213</c:v>
                </c:pt>
                <c:pt idx="8">
                  <c:v>209</c:v>
                </c:pt>
                <c:pt idx="9">
                  <c:v>206</c:v>
                </c:pt>
                <c:pt idx="10">
                  <c:v>204</c:v>
                </c:pt>
                <c:pt idx="11">
                  <c:v>202</c:v>
                </c:pt>
                <c:pt idx="12">
                  <c:v>200</c:v>
                </c:pt>
                <c:pt idx="14">
                  <c:v>204</c:v>
                </c:pt>
                <c:pt idx="15">
                  <c:v>207</c:v>
                </c:pt>
                <c:pt idx="16">
                  <c:v>218</c:v>
                </c:pt>
                <c:pt idx="17">
                  <c:v>229</c:v>
                </c:pt>
                <c:pt idx="18">
                  <c:v>241</c:v>
                </c:pt>
                <c:pt idx="19">
                  <c:v>256</c:v>
                </c:pt>
                <c:pt idx="20">
                  <c:v>270</c:v>
                </c:pt>
                <c:pt idx="21">
                  <c:v>235</c:v>
                </c:pt>
                <c:pt idx="22">
                  <c:v>228</c:v>
                </c:pt>
                <c:pt idx="23">
                  <c:v>221</c:v>
                </c:pt>
                <c:pt idx="24">
                  <c:v>215</c:v>
                </c:pt>
                <c:pt idx="25">
                  <c:v>209</c:v>
                </c:pt>
                <c:pt idx="26">
                  <c:v>204</c:v>
                </c:pt>
                <c:pt idx="28">
                  <c:v>207</c:v>
                </c:pt>
                <c:pt idx="29">
                  <c:v>229</c:v>
                </c:pt>
                <c:pt idx="30">
                  <c:v>244</c:v>
                </c:pt>
                <c:pt idx="31">
                  <c:v>259</c:v>
                </c:pt>
                <c:pt idx="32">
                  <c:v>274</c:v>
                </c:pt>
                <c:pt idx="33">
                  <c:v>288</c:v>
                </c:pt>
                <c:pt idx="34">
                  <c:v>302</c:v>
                </c:pt>
                <c:pt idx="35">
                  <c:v>256</c:v>
                </c:pt>
                <c:pt idx="36">
                  <c:v>245</c:v>
                </c:pt>
                <c:pt idx="37">
                  <c:v>235</c:v>
                </c:pt>
                <c:pt idx="38">
                  <c:v>225</c:v>
                </c:pt>
                <c:pt idx="39">
                  <c:v>216</c:v>
                </c:pt>
                <c:pt idx="40">
                  <c:v>207</c:v>
                </c:pt>
                <c:pt idx="42">
                  <c:v>224</c:v>
                </c:pt>
                <c:pt idx="43">
                  <c:v>252</c:v>
                </c:pt>
                <c:pt idx="44">
                  <c:v>271</c:v>
                </c:pt>
                <c:pt idx="45">
                  <c:v>291</c:v>
                </c:pt>
                <c:pt idx="46">
                  <c:v>312</c:v>
                </c:pt>
                <c:pt idx="47">
                  <c:v>334</c:v>
                </c:pt>
                <c:pt idx="48">
                  <c:v>358</c:v>
                </c:pt>
                <c:pt idx="49">
                  <c:v>279</c:v>
                </c:pt>
                <c:pt idx="50">
                  <c:v>266</c:v>
                </c:pt>
                <c:pt idx="51">
                  <c:v>254</c:v>
                </c:pt>
                <c:pt idx="52">
                  <c:v>242</c:v>
                </c:pt>
                <c:pt idx="53">
                  <c:v>233</c:v>
                </c:pt>
                <c:pt idx="54">
                  <c:v>224</c:v>
                </c:pt>
                <c:pt idx="56">
                  <c:v>239</c:v>
                </c:pt>
                <c:pt idx="57">
                  <c:v>285</c:v>
                </c:pt>
                <c:pt idx="58">
                  <c:v>306</c:v>
                </c:pt>
                <c:pt idx="59">
                  <c:v>329</c:v>
                </c:pt>
                <c:pt idx="60">
                  <c:v>353</c:v>
                </c:pt>
                <c:pt idx="61">
                  <c:v>378</c:v>
                </c:pt>
                <c:pt idx="62">
                  <c:v>403</c:v>
                </c:pt>
                <c:pt idx="63">
                  <c:v>323</c:v>
                </c:pt>
                <c:pt idx="64">
                  <c:v>302</c:v>
                </c:pt>
                <c:pt idx="65">
                  <c:v>282</c:v>
                </c:pt>
                <c:pt idx="66">
                  <c:v>264</c:v>
                </c:pt>
                <c:pt idx="67">
                  <c:v>249</c:v>
                </c:pt>
                <c:pt idx="68">
                  <c:v>239</c:v>
                </c:pt>
                <c:pt idx="70">
                  <c:v>265</c:v>
                </c:pt>
                <c:pt idx="71">
                  <c:v>330</c:v>
                </c:pt>
                <c:pt idx="72">
                  <c:v>355</c:v>
                </c:pt>
                <c:pt idx="73">
                  <c:v>382</c:v>
                </c:pt>
                <c:pt idx="74">
                  <c:v>409</c:v>
                </c:pt>
                <c:pt idx="75">
                  <c:v>438</c:v>
                </c:pt>
                <c:pt idx="76">
                  <c:v>467</c:v>
                </c:pt>
                <c:pt idx="77">
                  <c:v>374</c:v>
                </c:pt>
                <c:pt idx="78">
                  <c:v>350</c:v>
                </c:pt>
                <c:pt idx="79">
                  <c:v>327</c:v>
                </c:pt>
                <c:pt idx="80">
                  <c:v>305</c:v>
                </c:pt>
                <c:pt idx="81">
                  <c:v>284</c:v>
                </c:pt>
                <c:pt idx="82">
                  <c:v>265</c:v>
                </c:pt>
                <c:pt idx="84">
                  <c:v>298</c:v>
                </c:pt>
                <c:pt idx="85">
                  <c:v>372</c:v>
                </c:pt>
                <c:pt idx="86">
                  <c:v>401</c:v>
                </c:pt>
                <c:pt idx="87">
                  <c:v>431</c:v>
                </c:pt>
                <c:pt idx="88">
                  <c:v>461</c:v>
                </c:pt>
                <c:pt idx="89">
                  <c:v>494</c:v>
                </c:pt>
                <c:pt idx="90">
                  <c:v>527</c:v>
                </c:pt>
                <c:pt idx="91">
                  <c:v>400</c:v>
                </c:pt>
                <c:pt idx="92">
                  <c:v>385</c:v>
                </c:pt>
                <c:pt idx="93">
                  <c:v>369</c:v>
                </c:pt>
                <c:pt idx="94">
                  <c:v>345</c:v>
                </c:pt>
                <c:pt idx="95">
                  <c:v>321</c:v>
                </c:pt>
                <c:pt idx="96">
                  <c:v>298</c:v>
                </c:pt>
                <c:pt idx="98">
                  <c:v>347</c:v>
                </c:pt>
                <c:pt idx="99">
                  <c:v>433</c:v>
                </c:pt>
                <c:pt idx="100">
                  <c:v>466</c:v>
                </c:pt>
                <c:pt idx="101">
                  <c:v>502</c:v>
                </c:pt>
                <c:pt idx="102">
                  <c:v>538</c:v>
                </c:pt>
                <c:pt idx="103">
                  <c:v>575</c:v>
                </c:pt>
                <c:pt idx="104">
                  <c:v>614</c:v>
                </c:pt>
                <c:pt idx="105">
                  <c:v>480</c:v>
                </c:pt>
                <c:pt idx="106">
                  <c:v>455</c:v>
                </c:pt>
                <c:pt idx="107">
                  <c:v>430</c:v>
                </c:pt>
                <c:pt idx="108">
                  <c:v>401</c:v>
                </c:pt>
                <c:pt idx="109">
                  <c:v>373</c:v>
                </c:pt>
                <c:pt idx="110">
                  <c:v>347</c:v>
                </c:pt>
                <c:pt idx="112">
                  <c:v>394</c:v>
                </c:pt>
                <c:pt idx="113">
                  <c:v>493</c:v>
                </c:pt>
                <c:pt idx="114">
                  <c:v>531</c:v>
                </c:pt>
                <c:pt idx="115">
                  <c:v>571</c:v>
                </c:pt>
                <c:pt idx="116">
                  <c:v>611</c:v>
                </c:pt>
                <c:pt idx="117">
                  <c:v>655</c:v>
                </c:pt>
                <c:pt idx="118">
                  <c:v>698</c:v>
                </c:pt>
                <c:pt idx="119">
                  <c:v>528</c:v>
                </c:pt>
                <c:pt idx="120">
                  <c:v>502</c:v>
                </c:pt>
                <c:pt idx="121">
                  <c:v>475</c:v>
                </c:pt>
                <c:pt idx="122">
                  <c:v>448</c:v>
                </c:pt>
                <c:pt idx="123">
                  <c:v>421</c:v>
                </c:pt>
                <c:pt idx="124">
                  <c:v>394</c:v>
                </c:pt>
                <c:pt idx="126">
                  <c:v>467</c:v>
                </c:pt>
                <c:pt idx="127">
                  <c:v>583</c:v>
                </c:pt>
                <c:pt idx="128">
                  <c:v>628</c:v>
                </c:pt>
                <c:pt idx="129">
                  <c:v>675</c:v>
                </c:pt>
                <c:pt idx="130">
                  <c:v>722</c:v>
                </c:pt>
                <c:pt idx="131">
                  <c:v>772</c:v>
                </c:pt>
                <c:pt idx="132">
                  <c:v>825</c:v>
                </c:pt>
                <c:pt idx="133">
                  <c:v>630</c:v>
                </c:pt>
                <c:pt idx="134">
                  <c:v>568</c:v>
                </c:pt>
                <c:pt idx="135">
                  <c:v>540</c:v>
                </c:pt>
                <c:pt idx="136">
                  <c:v>516</c:v>
                </c:pt>
                <c:pt idx="137">
                  <c:v>502</c:v>
                </c:pt>
                <c:pt idx="138">
                  <c:v>467</c:v>
                </c:pt>
                <c:pt idx="140">
                  <c:v>515</c:v>
                </c:pt>
                <c:pt idx="141">
                  <c:v>686</c:v>
                </c:pt>
                <c:pt idx="142">
                  <c:v>739</c:v>
                </c:pt>
                <c:pt idx="143">
                  <c:v>793</c:v>
                </c:pt>
                <c:pt idx="144">
                  <c:v>849</c:v>
                </c:pt>
                <c:pt idx="145">
                  <c:v>910</c:v>
                </c:pt>
                <c:pt idx="146">
                  <c:v>971</c:v>
                </c:pt>
                <c:pt idx="147">
                  <c:v>672</c:v>
                </c:pt>
                <c:pt idx="148">
                  <c:v>624</c:v>
                </c:pt>
                <c:pt idx="149">
                  <c:v>576</c:v>
                </c:pt>
                <c:pt idx="150">
                  <c:v>538</c:v>
                </c:pt>
                <c:pt idx="151">
                  <c:v>526</c:v>
                </c:pt>
                <c:pt idx="152">
                  <c:v>515</c:v>
                </c:pt>
                <c:pt idx="154">
                  <c:v>654</c:v>
                </c:pt>
                <c:pt idx="155">
                  <c:v>817</c:v>
                </c:pt>
                <c:pt idx="156">
                  <c:v>880</c:v>
                </c:pt>
                <c:pt idx="157">
                  <c:v>945</c:v>
                </c:pt>
                <c:pt idx="158">
                  <c:v>1013</c:v>
                </c:pt>
                <c:pt idx="159">
                  <c:v>1083</c:v>
                </c:pt>
                <c:pt idx="160">
                  <c:v>1157</c:v>
                </c:pt>
                <c:pt idx="161">
                  <c:v>778</c:v>
                </c:pt>
                <c:pt idx="162">
                  <c:v>730</c:v>
                </c:pt>
                <c:pt idx="163">
                  <c:v>719</c:v>
                </c:pt>
                <c:pt idx="164">
                  <c:v>706</c:v>
                </c:pt>
                <c:pt idx="165">
                  <c:v>685</c:v>
                </c:pt>
                <c:pt idx="166">
                  <c:v>654</c:v>
                </c:pt>
                <c:pt idx="168">
                  <c:v>762</c:v>
                </c:pt>
                <c:pt idx="169">
                  <c:v>952</c:v>
                </c:pt>
                <c:pt idx="170">
                  <c:v>1024</c:v>
                </c:pt>
                <c:pt idx="171">
                  <c:v>1100</c:v>
                </c:pt>
                <c:pt idx="172">
                  <c:v>1179</c:v>
                </c:pt>
                <c:pt idx="173">
                  <c:v>1261</c:v>
                </c:pt>
                <c:pt idx="174">
                  <c:v>1347</c:v>
                </c:pt>
                <c:pt idx="175">
                  <c:v>979</c:v>
                </c:pt>
                <c:pt idx="176">
                  <c:v>931</c:v>
                </c:pt>
                <c:pt idx="177">
                  <c:v>900</c:v>
                </c:pt>
                <c:pt idx="178">
                  <c:v>880</c:v>
                </c:pt>
                <c:pt idx="179">
                  <c:v>819</c:v>
                </c:pt>
                <c:pt idx="180">
                  <c:v>762</c:v>
                </c:pt>
                <c:pt idx="184">
                  <c:v>1040</c:v>
                </c:pt>
                <c:pt idx="185">
                  <c:v>1301</c:v>
                </c:pt>
                <c:pt idx="186">
                  <c:v>1393</c:v>
                </c:pt>
                <c:pt idx="187">
                  <c:v>1491</c:v>
                </c:pt>
                <c:pt idx="188">
                  <c:v>1591</c:v>
                </c:pt>
                <c:pt idx="189">
                  <c:v>1159</c:v>
                </c:pt>
                <c:pt idx="190">
                  <c:v>1118</c:v>
                </c:pt>
                <c:pt idx="191">
                  <c:v>1082</c:v>
                </c:pt>
                <c:pt idx="192">
                  <c:v>1040</c:v>
                </c:pt>
                <c:pt idx="198">
                  <c:v>1257</c:v>
                </c:pt>
                <c:pt idx="199">
                  <c:v>1479</c:v>
                </c:pt>
                <c:pt idx="200">
                  <c:v>1536</c:v>
                </c:pt>
                <c:pt idx="201">
                  <c:v>1594</c:v>
                </c:pt>
                <c:pt idx="202">
                  <c:v>1653</c:v>
                </c:pt>
                <c:pt idx="203">
                  <c:v>1405</c:v>
                </c:pt>
                <c:pt idx="204">
                  <c:v>1355</c:v>
                </c:pt>
                <c:pt idx="205">
                  <c:v>1306</c:v>
                </c:pt>
                <c:pt idx="206">
                  <c:v>1257</c:v>
                </c:pt>
                <c:pt idx="214">
                  <c:v>1419</c:v>
                </c:pt>
                <c:pt idx="215">
                  <c:v>1669</c:v>
                </c:pt>
                <c:pt idx="216">
                  <c:v>1715</c:v>
                </c:pt>
                <c:pt idx="217">
                  <c:v>1458</c:v>
                </c:pt>
                <c:pt idx="218">
                  <c:v>1419</c:v>
                </c:pt>
              </c:numCache>
            </c:numRef>
          </c:yVal>
          <c:smooth val="0"/>
        </c:ser>
        <c:ser>
          <c:idx val="1"/>
          <c:order val="1"/>
          <c:tx>
            <c:strRef>
              <c:f>Lapa1!$C$1</c:f>
              <c:strCache>
                <c:ptCount val="1"/>
                <c:pt idx="0">
                  <c:v>punkti</c:v>
                </c:pt>
              </c:strCache>
            </c:strRef>
          </c:tx>
          <c:spPr>
            <a:ln>
              <a:noFill/>
            </a:ln>
          </c:spPr>
          <c:marker>
            <c:symbol val="circle"/>
            <c:size val="2"/>
            <c:spPr>
              <a:solidFill>
                <a:schemeClr val="accent2">
                  <a:lumMod val="75000"/>
                </a:schemeClr>
              </a:solidFill>
              <a:ln>
                <a:solidFill>
                  <a:srgbClr val="002060"/>
                </a:solidFill>
              </a:ln>
            </c:spPr>
          </c:marker>
          <c:xVal>
            <c:numRef>
              <c:f>Lapa1!$A$2:$A$454</c:f>
              <c:numCache>
                <c:formatCode>General</c:formatCode>
                <c:ptCount val="453"/>
                <c:pt idx="0">
                  <c:v>1.1000000000000001</c:v>
                </c:pt>
                <c:pt idx="1">
                  <c:v>1.1000000000000001</c:v>
                </c:pt>
                <c:pt idx="2">
                  <c:v>1.2</c:v>
                </c:pt>
                <c:pt idx="3">
                  <c:v>1.3</c:v>
                </c:pt>
                <c:pt idx="4">
                  <c:v>1.4</c:v>
                </c:pt>
                <c:pt idx="5">
                  <c:v>1.5</c:v>
                </c:pt>
                <c:pt idx="6">
                  <c:v>1.6</c:v>
                </c:pt>
                <c:pt idx="7">
                  <c:v>1.6</c:v>
                </c:pt>
                <c:pt idx="8">
                  <c:v>1.5</c:v>
                </c:pt>
                <c:pt idx="9">
                  <c:v>1.4</c:v>
                </c:pt>
                <c:pt idx="10">
                  <c:v>1.3</c:v>
                </c:pt>
                <c:pt idx="11">
                  <c:v>1.2</c:v>
                </c:pt>
                <c:pt idx="12">
                  <c:v>1.1000000000000001</c:v>
                </c:pt>
                <c:pt idx="14">
                  <c:v>2.1</c:v>
                </c:pt>
                <c:pt idx="15">
                  <c:v>2.1</c:v>
                </c:pt>
                <c:pt idx="16">
                  <c:v>2.2000000000000002</c:v>
                </c:pt>
                <c:pt idx="17">
                  <c:v>2.2999999999999998</c:v>
                </c:pt>
                <c:pt idx="18">
                  <c:v>2.4</c:v>
                </c:pt>
                <c:pt idx="19">
                  <c:v>2.5</c:v>
                </c:pt>
                <c:pt idx="20">
                  <c:v>2.6</c:v>
                </c:pt>
                <c:pt idx="21">
                  <c:v>2.6</c:v>
                </c:pt>
                <c:pt idx="22">
                  <c:v>2.5</c:v>
                </c:pt>
                <c:pt idx="23">
                  <c:v>2.4</c:v>
                </c:pt>
                <c:pt idx="24">
                  <c:v>2.2999999999999998</c:v>
                </c:pt>
                <c:pt idx="25">
                  <c:v>2.2000000000000002</c:v>
                </c:pt>
                <c:pt idx="26">
                  <c:v>2.1</c:v>
                </c:pt>
                <c:pt idx="28">
                  <c:v>3.1</c:v>
                </c:pt>
                <c:pt idx="29">
                  <c:v>3.1</c:v>
                </c:pt>
                <c:pt idx="30">
                  <c:v>3.2</c:v>
                </c:pt>
                <c:pt idx="31">
                  <c:v>3.3</c:v>
                </c:pt>
                <c:pt idx="32">
                  <c:v>3.4</c:v>
                </c:pt>
                <c:pt idx="33">
                  <c:v>3.5</c:v>
                </c:pt>
                <c:pt idx="34">
                  <c:v>3.6</c:v>
                </c:pt>
                <c:pt idx="35">
                  <c:v>3.6</c:v>
                </c:pt>
                <c:pt idx="36">
                  <c:v>3.5</c:v>
                </c:pt>
                <c:pt idx="37">
                  <c:v>3.4</c:v>
                </c:pt>
                <c:pt idx="38">
                  <c:v>3.3</c:v>
                </c:pt>
                <c:pt idx="39">
                  <c:v>3.2</c:v>
                </c:pt>
                <c:pt idx="40">
                  <c:v>3.1</c:v>
                </c:pt>
                <c:pt idx="42">
                  <c:v>4.0999999999999996</c:v>
                </c:pt>
                <c:pt idx="43">
                  <c:v>4.0999999999999996</c:v>
                </c:pt>
                <c:pt idx="44">
                  <c:v>4.2</c:v>
                </c:pt>
                <c:pt idx="45">
                  <c:v>4.3</c:v>
                </c:pt>
                <c:pt idx="46">
                  <c:v>4.4000000000000004</c:v>
                </c:pt>
                <c:pt idx="47">
                  <c:v>4.5</c:v>
                </c:pt>
                <c:pt idx="48">
                  <c:v>4.5999999999999996</c:v>
                </c:pt>
                <c:pt idx="49">
                  <c:v>4.5999999999999996</c:v>
                </c:pt>
                <c:pt idx="50">
                  <c:v>4.5</c:v>
                </c:pt>
                <c:pt idx="51">
                  <c:v>4.4000000000000004</c:v>
                </c:pt>
                <c:pt idx="52">
                  <c:v>4.3</c:v>
                </c:pt>
                <c:pt idx="53">
                  <c:v>4.2</c:v>
                </c:pt>
                <c:pt idx="54">
                  <c:v>4.0999999999999996</c:v>
                </c:pt>
                <c:pt idx="56">
                  <c:v>5.0999999999999996</c:v>
                </c:pt>
                <c:pt idx="57">
                  <c:v>5.0999999999999996</c:v>
                </c:pt>
                <c:pt idx="58">
                  <c:v>5.2</c:v>
                </c:pt>
                <c:pt idx="59">
                  <c:v>5.3</c:v>
                </c:pt>
                <c:pt idx="60">
                  <c:v>5.4</c:v>
                </c:pt>
                <c:pt idx="61">
                  <c:v>5.5</c:v>
                </c:pt>
                <c:pt idx="62">
                  <c:v>5.6</c:v>
                </c:pt>
                <c:pt idx="63">
                  <c:v>5.6</c:v>
                </c:pt>
                <c:pt idx="64">
                  <c:v>5.5</c:v>
                </c:pt>
                <c:pt idx="65">
                  <c:v>5.4</c:v>
                </c:pt>
                <c:pt idx="66">
                  <c:v>5.3</c:v>
                </c:pt>
                <c:pt idx="67">
                  <c:v>5.2</c:v>
                </c:pt>
                <c:pt idx="68">
                  <c:v>5.0999999999999996</c:v>
                </c:pt>
                <c:pt idx="70">
                  <c:v>6.1</c:v>
                </c:pt>
                <c:pt idx="71">
                  <c:v>6.1</c:v>
                </c:pt>
                <c:pt idx="72">
                  <c:v>6.2</c:v>
                </c:pt>
                <c:pt idx="73">
                  <c:v>6.3</c:v>
                </c:pt>
                <c:pt idx="74">
                  <c:v>6.4</c:v>
                </c:pt>
                <c:pt idx="75">
                  <c:v>6.5</c:v>
                </c:pt>
                <c:pt idx="76">
                  <c:v>6.6</c:v>
                </c:pt>
                <c:pt idx="77">
                  <c:v>6.6</c:v>
                </c:pt>
                <c:pt idx="78">
                  <c:v>6.5</c:v>
                </c:pt>
                <c:pt idx="79">
                  <c:v>6.4</c:v>
                </c:pt>
                <c:pt idx="80">
                  <c:v>6.3</c:v>
                </c:pt>
                <c:pt idx="81">
                  <c:v>6.2</c:v>
                </c:pt>
                <c:pt idx="82">
                  <c:v>6.1</c:v>
                </c:pt>
                <c:pt idx="84">
                  <c:v>7.1</c:v>
                </c:pt>
                <c:pt idx="85">
                  <c:v>7.1</c:v>
                </c:pt>
                <c:pt idx="86">
                  <c:v>7.2</c:v>
                </c:pt>
                <c:pt idx="87">
                  <c:v>7.3</c:v>
                </c:pt>
                <c:pt idx="88">
                  <c:v>7.4</c:v>
                </c:pt>
                <c:pt idx="89">
                  <c:v>7.5</c:v>
                </c:pt>
                <c:pt idx="90">
                  <c:v>7.6</c:v>
                </c:pt>
                <c:pt idx="91">
                  <c:v>7.6</c:v>
                </c:pt>
                <c:pt idx="92">
                  <c:v>7.5</c:v>
                </c:pt>
                <c:pt idx="93">
                  <c:v>7.4</c:v>
                </c:pt>
                <c:pt idx="94">
                  <c:v>7.3</c:v>
                </c:pt>
                <c:pt idx="95">
                  <c:v>7.2</c:v>
                </c:pt>
                <c:pt idx="96">
                  <c:v>7.1</c:v>
                </c:pt>
                <c:pt idx="98">
                  <c:v>8.1</c:v>
                </c:pt>
                <c:pt idx="99">
                  <c:v>8.1</c:v>
                </c:pt>
                <c:pt idx="100">
                  <c:v>8.2000000000000011</c:v>
                </c:pt>
                <c:pt idx="101">
                  <c:v>8.3000000000000007</c:v>
                </c:pt>
                <c:pt idx="102">
                  <c:v>8.4</c:v>
                </c:pt>
                <c:pt idx="103">
                  <c:v>8.5</c:v>
                </c:pt>
                <c:pt idx="104">
                  <c:v>8.6</c:v>
                </c:pt>
                <c:pt idx="105">
                  <c:v>8.6</c:v>
                </c:pt>
                <c:pt idx="106">
                  <c:v>8.5</c:v>
                </c:pt>
                <c:pt idx="107">
                  <c:v>8.4</c:v>
                </c:pt>
                <c:pt idx="108">
                  <c:v>8.3000000000000007</c:v>
                </c:pt>
                <c:pt idx="109">
                  <c:v>8.2000000000000011</c:v>
                </c:pt>
                <c:pt idx="110">
                  <c:v>8.1</c:v>
                </c:pt>
                <c:pt idx="112">
                  <c:v>9.1</c:v>
                </c:pt>
                <c:pt idx="113">
                  <c:v>9.1</c:v>
                </c:pt>
                <c:pt idx="114">
                  <c:v>9.2000000000000011</c:v>
                </c:pt>
                <c:pt idx="115">
                  <c:v>9.3000000000000007</c:v>
                </c:pt>
                <c:pt idx="116">
                  <c:v>9.4</c:v>
                </c:pt>
                <c:pt idx="117">
                  <c:v>9.5</c:v>
                </c:pt>
                <c:pt idx="118">
                  <c:v>9.6</c:v>
                </c:pt>
                <c:pt idx="119">
                  <c:v>9.6</c:v>
                </c:pt>
                <c:pt idx="120">
                  <c:v>9.5</c:v>
                </c:pt>
                <c:pt idx="121">
                  <c:v>9.4</c:v>
                </c:pt>
                <c:pt idx="122">
                  <c:v>9.3000000000000007</c:v>
                </c:pt>
                <c:pt idx="123">
                  <c:v>9.2000000000000011</c:v>
                </c:pt>
                <c:pt idx="124">
                  <c:v>9.1</c:v>
                </c:pt>
                <c:pt idx="126">
                  <c:v>10.1</c:v>
                </c:pt>
                <c:pt idx="127">
                  <c:v>10.1</c:v>
                </c:pt>
                <c:pt idx="128">
                  <c:v>10.200000000000001</c:v>
                </c:pt>
                <c:pt idx="129">
                  <c:v>10.3</c:v>
                </c:pt>
                <c:pt idx="130">
                  <c:v>10.4</c:v>
                </c:pt>
                <c:pt idx="131">
                  <c:v>10.5</c:v>
                </c:pt>
                <c:pt idx="132">
                  <c:v>10.6</c:v>
                </c:pt>
                <c:pt idx="133">
                  <c:v>10.6</c:v>
                </c:pt>
                <c:pt idx="134">
                  <c:v>10.5</c:v>
                </c:pt>
                <c:pt idx="135">
                  <c:v>10.4</c:v>
                </c:pt>
                <c:pt idx="136">
                  <c:v>10.3</c:v>
                </c:pt>
                <c:pt idx="137">
                  <c:v>10.200000000000001</c:v>
                </c:pt>
                <c:pt idx="138">
                  <c:v>10.1</c:v>
                </c:pt>
                <c:pt idx="140">
                  <c:v>11.1</c:v>
                </c:pt>
                <c:pt idx="141">
                  <c:v>11.1</c:v>
                </c:pt>
                <c:pt idx="142">
                  <c:v>11.2</c:v>
                </c:pt>
                <c:pt idx="143">
                  <c:v>11.3</c:v>
                </c:pt>
                <c:pt idx="144">
                  <c:v>11.4</c:v>
                </c:pt>
                <c:pt idx="145">
                  <c:v>11.5</c:v>
                </c:pt>
                <c:pt idx="146">
                  <c:v>11.6</c:v>
                </c:pt>
                <c:pt idx="147">
                  <c:v>11.6</c:v>
                </c:pt>
                <c:pt idx="148">
                  <c:v>11.5</c:v>
                </c:pt>
                <c:pt idx="149">
                  <c:v>11.4</c:v>
                </c:pt>
                <c:pt idx="150">
                  <c:v>11.3</c:v>
                </c:pt>
                <c:pt idx="151">
                  <c:v>11.2</c:v>
                </c:pt>
                <c:pt idx="152">
                  <c:v>11.1</c:v>
                </c:pt>
                <c:pt idx="154">
                  <c:v>12.1</c:v>
                </c:pt>
                <c:pt idx="155">
                  <c:v>12.1</c:v>
                </c:pt>
                <c:pt idx="156">
                  <c:v>12.2</c:v>
                </c:pt>
                <c:pt idx="157">
                  <c:v>12.3</c:v>
                </c:pt>
                <c:pt idx="158">
                  <c:v>12.4</c:v>
                </c:pt>
                <c:pt idx="159">
                  <c:v>12.5</c:v>
                </c:pt>
                <c:pt idx="160">
                  <c:v>12.6</c:v>
                </c:pt>
                <c:pt idx="161">
                  <c:v>12.6</c:v>
                </c:pt>
                <c:pt idx="162">
                  <c:v>12.5</c:v>
                </c:pt>
                <c:pt idx="163">
                  <c:v>12.4</c:v>
                </c:pt>
                <c:pt idx="164">
                  <c:v>12.3</c:v>
                </c:pt>
                <c:pt idx="165">
                  <c:v>12.2</c:v>
                </c:pt>
                <c:pt idx="166">
                  <c:v>12.1</c:v>
                </c:pt>
                <c:pt idx="168">
                  <c:v>13.1</c:v>
                </c:pt>
                <c:pt idx="169">
                  <c:v>13.1</c:v>
                </c:pt>
                <c:pt idx="170">
                  <c:v>13.2</c:v>
                </c:pt>
                <c:pt idx="171">
                  <c:v>13.3</c:v>
                </c:pt>
                <c:pt idx="172">
                  <c:v>13.4</c:v>
                </c:pt>
                <c:pt idx="173">
                  <c:v>13.5</c:v>
                </c:pt>
                <c:pt idx="174">
                  <c:v>13.6</c:v>
                </c:pt>
                <c:pt idx="175">
                  <c:v>13.6</c:v>
                </c:pt>
                <c:pt idx="176">
                  <c:v>13.5</c:v>
                </c:pt>
                <c:pt idx="177">
                  <c:v>13.4</c:v>
                </c:pt>
                <c:pt idx="178">
                  <c:v>13.3</c:v>
                </c:pt>
                <c:pt idx="179">
                  <c:v>13.2</c:v>
                </c:pt>
                <c:pt idx="180">
                  <c:v>13.1</c:v>
                </c:pt>
                <c:pt idx="182">
                  <c:v>14.1</c:v>
                </c:pt>
                <c:pt idx="183">
                  <c:v>14.1</c:v>
                </c:pt>
                <c:pt idx="184">
                  <c:v>14.3</c:v>
                </c:pt>
                <c:pt idx="185">
                  <c:v>14.3</c:v>
                </c:pt>
                <c:pt idx="186">
                  <c:v>14.4</c:v>
                </c:pt>
                <c:pt idx="187">
                  <c:v>14.5</c:v>
                </c:pt>
                <c:pt idx="188">
                  <c:v>14.6</c:v>
                </c:pt>
                <c:pt idx="189">
                  <c:v>14.6</c:v>
                </c:pt>
                <c:pt idx="190">
                  <c:v>14.5</c:v>
                </c:pt>
                <c:pt idx="191">
                  <c:v>14.4</c:v>
                </c:pt>
                <c:pt idx="192">
                  <c:v>14.3</c:v>
                </c:pt>
                <c:pt idx="193">
                  <c:v>14.2</c:v>
                </c:pt>
                <c:pt idx="194">
                  <c:v>14.1</c:v>
                </c:pt>
                <c:pt idx="196">
                  <c:v>15.1</c:v>
                </c:pt>
                <c:pt idx="197">
                  <c:v>15.1</c:v>
                </c:pt>
                <c:pt idx="198">
                  <c:v>15.3</c:v>
                </c:pt>
                <c:pt idx="199">
                  <c:v>15.3</c:v>
                </c:pt>
                <c:pt idx="200">
                  <c:v>15.4</c:v>
                </c:pt>
                <c:pt idx="201">
                  <c:v>15.5</c:v>
                </c:pt>
                <c:pt idx="202">
                  <c:v>15.6</c:v>
                </c:pt>
                <c:pt idx="203">
                  <c:v>15.6</c:v>
                </c:pt>
                <c:pt idx="204">
                  <c:v>15.5</c:v>
                </c:pt>
                <c:pt idx="205">
                  <c:v>15.4</c:v>
                </c:pt>
                <c:pt idx="206">
                  <c:v>15.3</c:v>
                </c:pt>
                <c:pt idx="207">
                  <c:v>15.2</c:v>
                </c:pt>
                <c:pt idx="208">
                  <c:v>15.1</c:v>
                </c:pt>
                <c:pt idx="210">
                  <c:v>16.100000000000001</c:v>
                </c:pt>
                <c:pt idx="211">
                  <c:v>16.100000000000001</c:v>
                </c:pt>
                <c:pt idx="212">
                  <c:v>16.2</c:v>
                </c:pt>
                <c:pt idx="213">
                  <c:v>16.3</c:v>
                </c:pt>
                <c:pt idx="214">
                  <c:v>16.5</c:v>
                </c:pt>
                <c:pt idx="215">
                  <c:v>16.5</c:v>
                </c:pt>
                <c:pt idx="216">
                  <c:v>16.600000000000001</c:v>
                </c:pt>
                <c:pt idx="217">
                  <c:v>16.600000000000001</c:v>
                </c:pt>
                <c:pt idx="218">
                  <c:v>16.5</c:v>
                </c:pt>
                <c:pt idx="219">
                  <c:v>16.399999999999999</c:v>
                </c:pt>
                <c:pt idx="220">
                  <c:v>16.3</c:v>
                </c:pt>
                <c:pt idx="221">
                  <c:v>16.2</c:v>
                </c:pt>
                <c:pt idx="222">
                  <c:v>16.100000000000001</c:v>
                </c:pt>
                <c:pt idx="224">
                  <c:v>16.600000000000001</c:v>
                </c:pt>
                <c:pt idx="225">
                  <c:v>11.6</c:v>
                </c:pt>
                <c:pt idx="226">
                  <c:v>9.6</c:v>
                </c:pt>
                <c:pt idx="227">
                  <c:v>13.6</c:v>
                </c:pt>
                <c:pt idx="228">
                  <c:v>12.6</c:v>
                </c:pt>
                <c:pt idx="229">
                  <c:v>11.6</c:v>
                </c:pt>
                <c:pt idx="230">
                  <c:v>9.6</c:v>
                </c:pt>
                <c:pt idx="231">
                  <c:v>9.6</c:v>
                </c:pt>
                <c:pt idx="232">
                  <c:v>9.6</c:v>
                </c:pt>
                <c:pt idx="233">
                  <c:v>9.6</c:v>
                </c:pt>
                <c:pt idx="234">
                  <c:v>12.6</c:v>
                </c:pt>
                <c:pt idx="235">
                  <c:v>11.6</c:v>
                </c:pt>
                <c:pt idx="236">
                  <c:v>9.6</c:v>
                </c:pt>
                <c:pt idx="237">
                  <c:v>9.6</c:v>
                </c:pt>
                <c:pt idx="238">
                  <c:v>9.6</c:v>
                </c:pt>
                <c:pt idx="239">
                  <c:v>9.6</c:v>
                </c:pt>
                <c:pt idx="240">
                  <c:v>12.6</c:v>
                </c:pt>
                <c:pt idx="241">
                  <c:v>11.6</c:v>
                </c:pt>
                <c:pt idx="242">
                  <c:v>9.6</c:v>
                </c:pt>
                <c:pt idx="243">
                  <c:v>9.6</c:v>
                </c:pt>
                <c:pt idx="244">
                  <c:v>9.6</c:v>
                </c:pt>
                <c:pt idx="245">
                  <c:v>9.6</c:v>
                </c:pt>
                <c:pt idx="246">
                  <c:v>9.5</c:v>
                </c:pt>
                <c:pt idx="247">
                  <c:v>13.6</c:v>
                </c:pt>
                <c:pt idx="248">
                  <c:v>12.6</c:v>
                </c:pt>
                <c:pt idx="249">
                  <c:v>11.6</c:v>
                </c:pt>
                <c:pt idx="250">
                  <c:v>10.6</c:v>
                </c:pt>
                <c:pt idx="251">
                  <c:v>10.6</c:v>
                </c:pt>
                <c:pt idx="252">
                  <c:v>9.6</c:v>
                </c:pt>
                <c:pt idx="253">
                  <c:v>9.6</c:v>
                </c:pt>
                <c:pt idx="254">
                  <c:v>9.6</c:v>
                </c:pt>
                <c:pt idx="255">
                  <c:v>12.6</c:v>
                </c:pt>
                <c:pt idx="256">
                  <c:v>11.6</c:v>
                </c:pt>
                <c:pt idx="257">
                  <c:v>9.6</c:v>
                </c:pt>
                <c:pt idx="258">
                  <c:v>9.5</c:v>
                </c:pt>
                <c:pt idx="259">
                  <c:v>12.6</c:v>
                </c:pt>
                <c:pt idx="260">
                  <c:v>11.6</c:v>
                </c:pt>
                <c:pt idx="261">
                  <c:v>9.6</c:v>
                </c:pt>
                <c:pt idx="262">
                  <c:v>9.6</c:v>
                </c:pt>
                <c:pt idx="263">
                  <c:v>14.6</c:v>
                </c:pt>
                <c:pt idx="264">
                  <c:v>12.6</c:v>
                </c:pt>
                <c:pt idx="265">
                  <c:v>11.6</c:v>
                </c:pt>
                <c:pt idx="266">
                  <c:v>9.6</c:v>
                </c:pt>
                <c:pt idx="267">
                  <c:v>9.5</c:v>
                </c:pt>
                <c:pt idx="268">
                  <c:v>9.6</c:v>
                </c:pt>
                <c:pt idx="269">
                  <c:v>12.6</c:v>
                </c:pt>
                <c:pt idx="270">
                  <c:v>11.6</c:v>
                </c:pt>
                <c:pt idx="271">
                  <c:v>9.6</c:v>
                </c:pt>
                <c:pt idx="272">
                  <c:v>9.3000000000000007</c:v>
                </c:pt>
                <c:pt idx="273">
                  <c:v>9.6</c:v>
                </c:pt>
                <c:pt idx="274">
                  <c:v>13.6</c:v>
                </c:pt>
                <c:pt idx="275">
                  <c:v>13.6</c:v>
                </c:pt>
                <c:pt idx="276">
                  <c:v>12.6</c:v>
                </c:pt>
                <c:pt idx="277">
                  <c:v>9.1</c:v>
                </c:pt>
                <c:pt idx="278">
                  <c:v>10.5</c:v>
                </c:pt>
                <c:pt idx="279">
                  <c:v>9.6</c:v>
                </c:pt>
                <c:pt idx="280">
                  <c:v>13.6</c:v>
                </c:pt>
                <c:pt idx="281">
                  <c:v>10.6</c:v>
                </c:pt>
                <c:pt idx="282">
                  <c:v>12.6</c:v>
                </c:pt>
                <c:pt idx="283">
                  <c:v>11.5</c:v>
                </c:pt>
                <c:pt idx="284">
                  <c:v>9.6</c:v>
                </c:pt>
                <c:pt idx="285">
                  <c:v>9.6</c:v>
                </c:pt>
                <c:pt idx="286">
                  <c:v>9.6</c:v>
                </c:pt>
                <c:pt idx="287">
                  <c:v>9.6</c:v>
                </c:pt>
                <c:pt idx="288">
                  <c:v>9.6</c:v>
                </c:pt>
                <c:pt idx="289">
                  <c:v>9.6</c:v>
                </c:pt>
                <c:pt idx="290">
                  <c:v>12.6</c:v>
                </c:pt>
                <c:pt idx="291">
                  <c:v>9.6</c:v>
                </c:pt>
                <c:pt idx="292">
                  <c:v>9.6</c:v>
                </c:pt>
                <c:pt idx="293">
                  <c:v>12.6</c:v>
                </c:pt>
                <c:pt idx="294">
                  <c:v>11.6</c:v>
                </c:pt>
                <c:pt idx="295">
                  <c:v>9.6</c:v>
                </c:pt>
                <c:pt idx="296">
                  <c:v>9.6</c:v>
                </c:pt>
                <c:pt idx="297">
                  <c:v>9.6</c:v>
                </c:pt>
                <c:pt idx="298">
                  <c:v>9.6</c:v>
                </c:pt>
                <c:pt idx="299">
                  <c:v>9.5</c:v>
                </c:pt>
                <c:pt idx="300">
                  <c:v>12.6</c:v>
                </c:pt>
                <c:pt idx="301">
                  <c:v>11.6</c:v>
                </c:pt>
                <c:pt idx="302">
                  <c:v>9.6</c:v>
                </c:pt>
                <c:pt idx="303">
                  <c:v>9.1</c:v>
                </c:pt>
                <c:pt idx="304">
                  <c:v>9.5</c:v>
                </c:pt>
                <c:pt idx="305">
                  <c:v>9.6</c:v>
                </c:pt>
                <c:pt idx="306">
                  <c:v>12.6</c:v>
                </c:pt>
                <c:pt idx="307">
                  <c:v>11.6</c:v>
                </c:pt>
                <c:pt idx="308">
                  <c:v>9.6</c:v>
                </c:pt>
                <c:pt idx="309">
                  <c:v>9.6</c:v>
                </c:pt>
                <c:pt idx="310">
                  <c:v>9.6</c:v>
                </c:pt>
                <c:pt idx="311">
                  <c:v>15.6</c:v>
                </c:pt>
                <c:pt idx="312">
                  <c:v>13.6</c:v>
                </c:pt>
                <c:pt idx="313">
                  <c:v>11.6</c:v>
                </c:pt>
                <c:pt idx="314">
                  <c:v>9.6</c:v>
                </c:pt>
                <c:pt idx="315">
                  <c:v>10.6</c:v>
                </c:pt>
                <c:pt idx="316">
                  <c:v>9.5</c:v>
                </c:pt>
                <c:pt idx="317">
                  <c:v>11.6</c:v>
                </c:pt>
                <c:pt idx="318">
                  <c:v>11.6</c:v>
                </c:pt>
                <c:pt idx="319">
                  <c:v>11.6</c:v>
                </c:pt>
                <c:pt idx="320">
                  <c:v>10.6</c:v>
                </c:pt>
                <c:pt idx="321">
                  <c:v>9.5</c:v>
                </c:pt>
                <c:pt idx="322">
                  <c:v>9.6</c:v>
                </c:pt>
                <c:pt idx="323">
                  <c:v>9.5</c:v>
                </c:pt>
                <c:pt idx="324">
                  <c:v>9.6</c:v>
                </c:pt>
                <c:pt idx="325">
                  <c:v>12.6</c:v>
                </c:pt>
                <c:pt idx="326">
                  <c:v>11.6</c:v>
                </c:pt>
                <c:pt idx="327">
                  <c:v>10.5</c:v>
                </c:pt>
                <c:pt idx="328">
                  <c:v>9.6</c:v>
                </c:pt>
                <c:pt idx="329">
                  <c:v>14.6</c:v>
                </c:pt>
                <c:pt idx="330">
                  <c:v>12.6</c:v>
                </c:pt>
                <c:pt idx="331">
                  <c:v>11.6</c:v>
                </c:pt>
                <c:pt idx="332">
                  <c:v>10.6</c:v>
                </c:pt>
                <c:pt idx="333">
                  <c:v>10.6</c:v>
                </c:pt>
                <c:pt idx="334">
                  <c:v>10.5</c:v>
                </c:pt>
                <c:pt idx="335">
                  <c:v>12.6</c:v>
                </c:pt>
                <c:pt idx="336">
                  <c:v>11.6</c:v>
                </c:pt>
                <c:pt idx="337">
                  <c:v>7.5</c:v>
                </c:pt>
                <c:pt idx="338">
                  <c:v>10.6</c:v>
                </c:pt>
                <c:pt idx="339">
                  <c:v>10.6</c:v>
                </c:pt>
                <c:pt idx="340">
                  <c:v>10.6</c:v>
                </c:pt>
                <c:pt idx="341">
                  <c:v>12.6</c:v>
                </c:pt>
                <c:pt idx="342">
                  <c:v>10.6</c:v>
                </c:pt>
                <c:pt idx="343">
                  <c:v>9.6</c:v>
                </c:pt>
                <c:pt idx="344">
                  <c:v>9.6</c:v>
                </c:pt>
                <c:pt idx="345">
                  <c:v>8.6</c:v>
                </c:pt>
                <c:pt idx="346">
                  <c:v>13.6</c:v>
                </c:pt>
                <c:pt idx="347">
                  <c:v>11.6</c:v>
                </c:pt>
                <c:pt idx="348">
                  <c:v>9.6</c:v>
                </c:pt>
                <c:pt idx="349">
                  <c:v>9.6</c:v>
                </c:pt>
                <c:pt idx="350">
                  <c:v>9.6</c:v>
                </c:pt>
                <c:pt idx="351">
                  <c:v>9.6</c:v>
                </c:pt>
                <c:pt idx="352">
                  <c:v>9.6</c:v>
                </c:pt>
                <c:pt idx="353">
                  <c:v>13.6</c:v>
                </c:pt>
                <c:pt idx="354">
                  <c:v>11.6</c:v>
                </c:pt>
                <c:pt idx="355">
                  <c:v>9.6</c:v>
                </c:pt>
                <c:pt idx="356">
                  <c:v>9.6</c:v>
                </c:pt>
                <c:pt idx="357">
                  <c:v>9.6</c:v>
                </c:pt>
                <c:pt idx="358">
                  <c:v>8.5</c:v>
                </c:pt>
                <c:pt idx="359">
                  <c:v>9.6</c:v>
                </c:pt>
                <c:pt idx="360">
                  <c:v>11.6</c:v>
                </c:pt>
                <c:pt idx="361">
                  <c:v>9.6</c:v>
                </c:pt>
                <c:pt idx="362">
                  <c:v>9.6</c:v>
                </c:pt>
                <c:pt idx="363">
                  <c:v>9.6</c:v>
                </c:pt>
                <c:pt idx="364">
                  <c:v>13.6</c:v>
                </c:pt>
                <c:pt idx="365">
                  <c:v>12.6</c:v>
                </c:pt>
                <c:pt idx="366">
                  <c:v>10.6</c:v>
                </c:pt>
                <c:pt idx="367">
                  <c:v>10.1</c:v>
                </c:pt>
                <c:pt idx="368">
                  <c:v>9.6</c:v>
                </c:pt>
                <c:pt idx="369">
                  <c:v>14.6</c:v>
                </c:pt>
                <c:pt idx="370">
                  <c:v>13.6</c:v>
                </c:pt>
                <c:pt idx="371">
                  <c:v>12.6</c:v>
                </c:pt>
                <c:pt idx="372">
                  <c:v>10.6</c:v>
                </c:pt>
                <c:pt idx="373">
                  <c:v>10.6</c:v>
                </c:pt>
                <c:pt idx="374">
                  <c:v>10.6</c:v>
                </c:pt>
                <c:pt idx="375">
                  <c:v>10.6</c:v>
                </c:pt>
                <c:pt idx="376">
                  <c:v>10.6</c:v>
                </c:pt>
                <c:pt idx="377">
                  <c:v>9.3000000000000007</c:v>
                </c:pt>
                <c:pt idx="378">
                  <c:v>13.6</c:v>
                </c:pt>
                <c:pt idx="379">
                  <c:v>11.6</c:v>
                </c:pt>
                <c:pt idx="380">
                  <c:v>9.6</c:v>
                </c:pt>
                <c:pt idx="381">
                  <c:v>10.6</c:v>
                </c:pt>
                <c:pt idx="382">
                  <c:v>10.6</c:v>
                </c:pt>
                <c:pt idx="383">
                  <c:v>13.6</c:v>
                </c:pt>
                <c:pt idx="384">
                  <c:v>12.6</c:v>
                </c:pt>
                <c:pt idx="385">
                  <c:v>10.6</c:v>
                </c:pt>
                <c:pt idx="386">
                  <c:v>10.6</c:v>
                </c:pt>
                <c:pt idx="387">
                  <c:v>9.6</c:v>
                </c:pt>
                <c:pt idx="388">
                  <c:v>10.5</c:v>
                </c:pt>
                <c:pt idx="389">
                  <c:v>15.6</c:v>
                </c:pt>
                <c:pt idx="390">
                  <c:v>13.6</c:v>
                </c:pt>
                <c:pt idx="391">
                  <c:v>12.6</c:v>
                </c:pt>
                <c:pt idx="392">
                  <c:v>10.6</c:v>
                </c:pt>
                <c:pt idx="393">
                  <c:v>9.6</c:v>
                </c:pt>
                <c:pt idx="394">
                  <c:v>9.6</c:v>
                </c:pt>
                <c:pt idx="395">
                  <c:v>13.6</c:v>
                </c:pt>
                <c:pt idx="396">
                  <c:v>11.6</c:v>
                </c:pt>
                <c:pt idx="397">
                  <c:v>10.6</c:v>
                </c:pt>
                <c:pt idx="398">
                  <c:v>9.5</c:v>
                </c:pt>
                <c:pt idx="399">
                  <c:v>9.6</c:v>
                </c:pt>
                <c:pt idx="400">
                  <c:v>9.1</c:v>
                </c:pt>
                <c:pt idx="401">
                  <c:v>12.6</c:v>
                </c:pt>
                <c:pt idx="402">
                  <c:v>11.6</c:v>
                </c:pt>
                <c:pt idx="403">
                  <c:v>11.6</c:v>
                </c:pt>
                <c:pt idx="404">
                  <c:v>9.6</c:v>
                </c:pt>
                <c:pt idx="405">
                  <c:v>9.6</c:v>
                </c:pt>
                <c:pt idx="406">
                  <c:v>9.6</c:v>
                </c:pt>
                <c:pt idx="407">
                  <c:v>13.6</c:v>
                </c:pt>
                <c:pt idx="408">
                  <c:v>11.6</c:v>
                </c:pt>
                <c:pt idx="409">
                  <c:v>10.6</c:v>
                </c:pt>
                <c:pt idx="410">
                  <c:v>10.6</c:v>
                </c:pt>
                <c:pt idx="411">
                  <c:v>10.6</c:v>
                </c:pt>
                <c:pt idx="412">
                  <c:v>10.6</c:v>
                </c:pt>
                <c:pt idx="413">
                  <c:v>10.6</c:v>
                </c:pt>
                <c:pt idx="414">
                  <c:v>10.6</c:v>
                </c:pt>
                <c:pt idx="415">
                  <c:v>11.6</c:v>
                </c:pt>
                <c:pt idx="416">
                  <c:v>10.6</c:v>
                </c:pt>
                <c:pt idx="417">
                  <c:v>9.5</c:v>
                </c:pt>
                <c:pt idx="418">
                  <c:v>7.6</c:v>
                </c:pt>
                <c:pt idx="419">
                  <c:v>9.6</c:v>
                </c:pt>
                <c:pt idx="420">
                  <c:v>8.6</c:v>
                </c:pt>
                <c:pt idx="421">
                  <c:v>8.6</c:v>
                </c:pt>
                <c:pt idx="422">
                  <c:v>11.6</c:v>
                </c:pt>
                <c:pt idx="423">
                  <c:v>8.6</c:v>
                </c:pt>
                <c:pt idx="424">
                  <c:v>11.5</c:v>
                </c:pt>
                <c:pt idx="425">
                  <c:v>11.6</c:v>
                </c:pt>
                <c:pt idx="426">
                  <c:v>11.6</c:v>
                </c:pt>
                <c:pt idx="427">
                  <c:v>8.5</c:v>
                </c:pt>
                <c:pt idx="428">
                  <c:v>15.6</c:v>
                </c:pt>
                <c:pt idx="429">
                  <c:v>10.6</c:v>
                </c:pt>
                <c:pt idx="430">
                  <c:v>11.6</c:v>
                </c:pt>
                <c:pt idx="431">
                  <c:v>14.6</c:v>
                </c:pt>
                <c:pt idx="432">
                  <c:v>14.3</c:v>
                </c:pt>
                <c:pt idx="433">
                  <c:v>13.6</c:v>
                </c:pt>
                <c:pt idx="434">
                  <c:v>12.6</c:v>
                </c:pt>
                <c:pt idx="435">
                  <c:v>11.6</c:v>
                </c:pt>
                <c:pt idx="436">
                  <c:v>10.6</c:v>
                </c:pt>
                <c:pt idx="437">
                  <c:v>7.6</c:v>
                </c:pt>
                <c:pt idx="438">
                  <c:v>6.6</c:v>
                </c:pt>
                <c:pt idx="439">
                  <c:v>6.6</c:v>
                </c:pt>
                <c:pt idx="440">
                  <c:v>6.6</c:v>
                </c:pt>
                <c:pt idx="441">
                  <c:v>10.6</c:v>
                </c:pt>
                <c:pt idx="442">
                  <c:v>12.6</c:v>
                </c:pt>
                <c:pt idx="443">
                  <c:v>11.6</c:v>
                </c:pt>
                <c:pt idx="444">
                  <c:v>11.6</c:v>
                </c:pt>
                <c:pt idx="445">
                  <c:v>10.6</c:v>
                </c:pt>
                <c:pt idx="446">
                  <c:v>8.5</c:v>
                </c:pt>
                <c:pt idx="447">
                  <c:v>10.6</c:v>
                </c:pt>
                <c:pt idx="448">
                  <c:v>8.6</c:v>
                </c:pt>
                <c:pt idx="449">
                  <c:v>7.1</c:v>
                </c:pt>
                <c:pt idx="450">
                  <c:v>7.4</c:v>
                </c:pt>
                <c:pt idx="451">
                  <c:v>7.2</c:v>
                </c:pt>
                <c:pt idx="452">
                  <c:v>8.6</c:v>
                </c:pt>
              </c:numCache>
            </c:numRef>
          </c:xVal>
          <c:yVal>
            <c:numRef>
              <c:f>Lapa1!$C$2:$C$454</c:f>
              <c:numCache>
                <c:formatCode>General</c:formatCode>
                <c:ptCount val="453"/>
                <c:pt idx="224">
                  <c:v>1715</c:v>
                </c:pt>
                <c:pt idx="225">
                  <c:v>971</c:v>
                </c:pt>
                <c:pt idx="226">
                  <c:v>698</c:v>
                </c:pt>
                <c:pt idx="227">
                  <c:v>1347</c:v>
                </c:pt>
                <c:pt idx="228">
                  <c:v>1157</c:v>
                </c:pt>
                <c:pt idx="229">
                  <c:v>971</c:v>
                </c:pt>
                <c:pt idx="230">
                  <c:v>698</c:v>
                </c:pt>
                <c:pt idx="231">
                  <c:v>698</c:v>
                </c:pt>
                <c:pt idx="232">
                  <c:v>698</c:v>
                </c:pt>
                <c:pt idx="233">
                  <c:v>698</c:v>
                </c:pt>
                <c:pt idx="234">
                  <c:v>1157</c:v>
                </c:pt>
                <c:pt idx="235">
                  <c:v>971</c:v>
                </c:pt>
                <c:pt idx="236">
                  <c:v>698</c:v>
                </c:pt>
                <c:pt idx="237">
                  <c:v>698</c:v>
                </c:pt>
                <c:pt idx="238">
                  <c:v>698</c:v>
                </c:pt>
                <c:pt idx="239">
                  <c:v>698</c:v>
                </c:pt>
                <c:pt idx="240">
                  <c:v>1157</c:v>
                </c:pt>
                <c:pt idx="241">
                  <c:v>971</c:v>
                </c:pt>
                <c:pt idx="242">
                  <c:v>698</c:v>
                </c:pt>
                <c:pt idx="243">
                  <c:v>698</c:v>
                </c:pt>
                <c:pt idx="244">
                  <c:v>698</c:v>
                </c:pt>
                <c:pt idx="245">
                  <c:v>698</c:v>
                </c:pt>
                <c:pt idx="246">
                  <c:v>655</c:v>
                </c:pt>
                <c:pt idx="247">
                  <c:v>1347</c:v>
                </c:pt>
                <c:pt idx="248">
                  <c:v>1157</c:v>
                </c:pt>
                <c:pt idx="249">
                  <c:v>971</c:v>
                </c:pt>
                <c:pt idx="250">
                  <c:v>825</c:v>
                </c:pt>
                <c:pt idx="251">
                  <c:v>825</c:v>
                </c:pt>
                <c:pt idx="252">
                  <c:v>698</c:v>
                </c:pt>
                <c:pt idx="253">
                  <c:v>698</c:v>
                </c:pt>
                <c:pt idx="254">
                  <c:v>698</c:v>
                </c:pt>
                <c:pt idx="255">
                  <c:v>1157</c:v>
                </c:pt>
                <c:pt idx="256">
                  <c:v>971</c:v>
                </c:pt>
                <c:pt idx="257">
                  <c:v>698</c:v>
                </c:pt>
                <c:pt idx="258">
                  <c:v>655</c:v>
                </c:pt>
                <c:pt idx="259">
                  <c:v>1157</c:v>
                </c:pt>
                <c:pt idx="260">
                  <c:v>971</c:v>
                </c:pt>
                <c:pt idx="261">
                  <c:v>698</c:v>
                </c:pt>
                <c:pt idx="262">
                  <c:v>698</c:v>
                </c:pt>
                <c:pt idx="263">
                  <c:v>1591</c:v>
                </c:pt>
                <c:pt idx="264">
                  <c:v>1157</c:v>
                </c:pt>
                <c:pt idx="265">
                  <c:v>971</c:v>
                </c:pt>
                <c:pt idx="266">
                  <c:v>698</c:v>
                </c:pt>
                <c:pt idx="267">
                  <c:v>655</c:v>
                </c:pt>
                <c:pt idx="268">
                  <c:v>698</c:v>
                </c:pt>
                <c:pt idx="269">
                  <c:v>1157</c:v>
                </c:pt>
                <c:pt idx="270">
                  <c:v>971</c:v>
                </c:pt>
                <c:pt idx="271">
                  <c:v>698</c:v>
                </c:pt>
                <c:pt idx="272">
                  <c:v>571</c:v>
                </c:pt>
                <c:pt idx="273">
                  <c:v>698</c:v>
                </c:pt>
                <c:pt idx="274">
                  <c:v>1347</c:v>
                </c:pt>
                <c:pt idx="275">
                  <c:v>1157</c:v>
                </c:pt>
                <c:pt idx="276">
                  <c:v>1157</c:v>
                </c:pt>
                <c:pt idx="277">
                  <c:v>493</c:v>
                </c:pt>
                <c:pt idx="278">
                  <c:v>772</c:v>
                </c:pt>
                <c:pt idx="279">
                  <c:v>698</c:v>
                </c:pt>
                <c:pt idx="280">
                  <c:v>1347</c:v>
                </c:pt>
                <c:pt idx="281">
                  <c:v>825</c:v>
                </c:pt>
                <c:pt idx="282">
                  <c:v>1157</c:v>
                </c:pt>
                <c:pt idx="283">
                  <c:v>910</c:v>
                </c:pt>
                <c:pt idx="284">
                  <c:v>698</c:v>
                </c:pt>
                <c:pt idx="285">
                  <c:v>698</c:v>
                </c:pt>
                <c:pt idx="286">
                  <c:v>698</c:v>
                </c:pt>
                <c:pt idx="287">
                  <c:v>698</c:v>
                </c:pt>
                <c:pt idx="288">
                  <c:v>698</c:v>
                </c:pt>
                <c:pt idx="289">
                  <c:v>698</c:v>
                </c:pt>
                <c:pt idx="290">
                  <c:v>1157</c:v>
                </c:pt>
                <c:pt idx="291">
                  <c:v>698</c:v>
                </c:pt>
                <c:pt idx="292">
                  <c:v>698</c:v>
                </c:pt>
                <c:pt idx="293">
                  <c:v>1157</c:v>
                </c:pt>
                <c:pt idx="294">
                  <c:v>971</c:v>
                </c:pt>
                <c:pt idx="295">
                  <c:v>698</c:v>
                </c:pt>
                <c:pt idx="296">
                  <c:v>698</c:v>
                </c:pt>
                <c:pt idx="297">
                  <c:v>698</c:v>
                </c:pt>
                <c:pt idx="298">
                  <c:v>698</c:v>
                </c:pt>
                <c:pt idx="299">
                  <c:v>655</c:v>
                </c:pt>
                <c:pt idx="300">
                  <c:v>1157</c:v>
                </c:pt>
                <c:pt idx="301">
                  <c:v>971</c:v>
                </c:pt>
                <c:pt idx="302">
                  <c:v>698</c:v>
                </c:pt>
                <c:pt idx="303">
                  <c:v>493</c:v>
                </c:pt>
                <c:pt idx="304">
                  <c:v>655</c:v>
                </c:pt>
                <c:pt idx="305">
                  <c:v>698</c:v>
                </c:pt>
                <c:pt idx="306">
                  <c:v>1157</c:v>
                </c:pt>
                <c:pt idx="307">
                  <c:v>971</c:v>
                </c:pt>
                <c:pt idx="308">
                  <c:v>698</c:v>
                </c:pt>
                <c:pt idx="309">
                  <c:v>698</c:v>
                </c:pt>
                <c:pt idx="310">
                  <c:v>698</c:v>
                </c:pt>
                <c:pt idx="311">
                  <c:v>1653</c:v>
                </c:pt>
                <c:pt idx="312">
                  <c:v>1347</c:v>
                </c:pt>
                <c:pt idx="313">
                  <c:v>971</c:v>
                </c:pt>
                <c:pt idx="314">
                  <c:v>698</c:v>
                </c:pt>
                <c:pt idx="315">
                  <c:v>825</c:v>
                </c:pt>
                <c:pt idx="316">
                  <c:v>655</c:v>
                </c:pt>
                <c:pt idx="317">
                  <c:v>874</c:v>
                </c:pt>
                <c:pt idx="318">
                  <c:v>874</c:v>
                </c:pt>
                <c:pt idx="319">
                  <c:v>971</c:v>
                </c:pt>
                <c:pt idx="320">
                  <c:v>825</c:v>
                </c:pt>
                <c:pt idx="321">
                  <c:v>655</c:v>
                </c:pt>
                <c:pt idx="322">
                  <c:v>698</c:v>
                </c:pt>
                <c:pt idx="323">
                  <c:v>655</c:v>
                </c:pt>
                <c:pt idx="324">
                  <c:v>698</c:v>
                </c:pt>
                <c:pt idx="325">
                  <c:v>1157</c:v>
                </c:pt>
                <c:pt idx="326">
                  <c:v>971</c:v>
                </c:pt>
                <c:pt idx="327">
                  <c:v>772</c:v>
                </c:pt>
                <c:pt idx="328">
                  <c:v>698</c:v>
                </c:pt>
                <c:pt idx="329">
                  <c:v>1591</c:v>
                </c:pt>
                <c:pt idx="330">
                  <c:v>1157</c:v>
                </c:pt>
                <c:pt idx="331">
                  <c:v>971</c:v>
                </c:pt>
                <c:pt idx="332">
                  <c:v>825</c:v>
                </c:pt>
                <c:pt idx="333">
                  <c:v>825</c:v>
                </c:pt>
                <c:pt idx="334">
                  <c:v>772</c:v>
                </c:pt>
                <c:pt idx="335">
                  <c:v>1157</c:v>
                </c:pt>
                <c:pt idx="336">
                  <c:v>971</c:v>
                </c:pt>
                <c:pt idx="337">
                  <c:v>494</c:v>
                </c:pt>
                <c:pt idx="338">
                  <c:v>825</c:v>
                </c:pt>
                <c:pt idx="339">
                  <c:v>825</c:v>
                </c:pt>
                <c:pt idx="340">
                  <c:v>825</c:v>
                </c:pt>
                <c:pt idx="341">
                  <c:v>1157</c:v>
                </c:pt>
                <c:pt idx="342">
                  <c:v>825</c:v>
                </c:pt>
                <c:pt idx="343">
                  <c:v>698</c:v>
                </c:pt>
                <c:pt idx="344">
                  <c:v>698</c:v>
                </c:pt>
                <c:pt idx="345">
                  <c:v>614</c:v>
                </c:pt>
                <c:pt idx="346">
                  <c:v>1347</c:v>
                </c:pt>
                <c:pt idx="347">
                  <c:v>971</c:v>
                </c:pt>
                <c:pt idx="348">
                  <c:v>698</c:v>
                </c:pt>
                <c:pt idx="349">
                  <c:v>698</c:v>
                </c:pt>
                <c:pt idx="350">
                  <c:v>698</c:v>
                </c:pt>
                <c:pt idx="351">
                  <c:v>698</c:v>
                </c:pt>
                <c:pt idx="352">
                  <c:v>698</c:v>
                </c:pt>
                <c:pt idx="353">
                  <c:v>1347</c:v>
                </c:pt>
                <c:pt idx="354">
                  <c:v>971</c:v>
                </c:pt>
                <c:pt idx="355">
                  <c:v>698</c:v>
                </c:pt>
                <c:pt idx="356">
                  <c:v>698</c:v>
                </c:pt>
                <c:pt idx="357">
                  <c:v>698</c:v>
                </c:pt>
                <c:pt idx="358">
                  <c:v>575</c:v>
                </c:pt>
                <c:pt idx="359">
                  <c:v>698</c:v>
                </c:pt>
                <c:pt idx="360">
                  <c:v>971</c:v>
                </c:pt>
                <c:pt idx="361">
                  <c:v>698</c:v>
                </c:pt>
                <c:pt idx="362">
                  <c:v>698</c:v>
                </c:pt>
                <c:pt idx="363">
                  <c:v>698</c:v>
                </c:pt>
                <c:pt idx="364">
                  <c:v>1347</c:v>
                </c:pt>
                <c:pt idx="365">
                  <c:v>1157</c:v>
                </c:pt>
                <c:pt idx="366">
                  <c:v>825</c:v>
                </c:pt>
                <c:pt idx="367">
                  <c:v>583</c:v>
                </c:pt>
                <c:pt idx="368">
                  <c:v>698</c:v>
                </c:pt>
                <c:pt idx="369">
                  <c:v>1591</c:v>
                </c:pt>
                <c:pt idx="370">
                  <c:v>1347</c:v>
                </c:pt>
                <c:pt idx="371">
                  <c:v>1157</c:v>
                </c:pt>
                <c:pt idx="372">
                  <c:v>825</c:v>
                </c:pt>
                <c:pt idx="373">
                  <c:v>825</c:v>
                </c:pt>
                <c:pt idx="374">
                  <c:v>825</c:v>
                </c:pt>
                <c:pt idx="375">
                  <c:v>825</c:v>
                </c:pt>
                <c:pt idx="376">
                  <c:v>825</c:v>
                </c:pt>
                <c:pt idx="377">
                  <c:v>571</c:v>
                </c:pt>
                <c:pt idx="378">
                  <c:v>1347</c:v>
                </c:pt>
                <c:pt idx="379">
                  <c:v>971</c:v>
                </c:pt>
                <c:pt idx="380">
                  <c:v>698</c:v>
                </c:pt>
                <c:pt idx="381">
                  <c:v>698</c:v>
                </c:pt>
                <c:pt idx="382">
                  <c:v>825</c:v>
                </c:pt>
                <c:pt idx="383">
                  <c:v>1347</c:v>
                </c:pt>
                <c:pt idx="384">
                  <c:v>1157</c:v>
                </c:pt>
                <c:pt idx="385">
                  <c:v>825</c:v>
                </c:pt>
                <c:pt idx="386">
                  <c:v>825</c:v>
                </c:pt>
                <c:pt idx="387">
                  <c:v>698</c:v>
                </c:pt>
                <c:pt idx="388">
                  <c:v>772</c:v>
                </c:pt>
                <c:pt idx="389">
                  <c:v>1653</c:v>
                </c:pt>
                <c:pt idx="390">
                  <c:v>1347</c:v>
                </c:pt>
                <c:pt idx="391">
                  <c:v>1157</c:v>
                </c:pt>
                <c:pt idx="392">
                  <c:v>825</c:v>
                </c:pt>
                <c:pt idx="393">
                  <c:v>698</c:v>
                </c:pt>
                <c:pt idx="394">
                  <c:v>698</c:v>
                </c:pt>
                <c:pt idx="395">
                  <c:v>1347</c:v>
                </c:pt>
                <c:pt idx="396">
                  <c:v>971</c:v>
                </c:pt>
                <c:pt idx="397">
                  <c:v>825</c:v>
                </c:pt>
                <c:pt idx="398">
                  <c:v>655</c:v>
                </c:pt>
                <c:pt idx="399">
                  <c:v>698</c:v>
                </c:pt>
                <c:pt idx="400">
                  <c:v>493</c:v>
                </c:pt>
                <c:pt idx="401">
                  <c:v>1157</c:v>
                </c:pt>
                <c:pt idx="402">
                  <c:v>971</c:v>
                </c:pt>
                <c:pt idx="403">
                  <c:v>971</c:v>
                </c:pt>
                <c:pt idx="404">
                  <c:v>698</c:v>
                </c:pt>
                <c:pt idx="405">
                  <c:v>698</c:v>
                </c:pt>
                <c:pt idx="406">
                  <c:v>698</c:v>
                </c:pt>
                <c:pt idx="407">
                  <c:v>1347</c:v>
                </c:pt>
                <c:pt idx="408">
                  <c:v>971</c:v>
                </c:pt>
                <c:pt idx="409">
                  <c:v>825</c:v>
                </c:pt>
                <c:pt idx="410">
                  <c:v>825</c:v>
                </c:pt>
                <c:pt idx="411">
                  <c:v>825</c:v>
                </c:pt>
                <c:pt idx="412">
                  <c:v>825</c:v>
                </c:pt>
                <c:pt idx="413">
                  <c:v>825</c:v>
                </c:pt>
                <c:pt idx="414">
                  <c:v>825</c:v>
                </c:pt>
                <c:pt idx="415">
                  <c:v>971</c:v>
                </c:pt>
                <c:pt idx="416">
                  <c:v>825</c:v>
                </c:pt>
                <c:pt idx="417">
                  <c:v>655</c:v>
                </c:pt>
                <c:pt idx="418">
                  <c:v>527</c:v>
                </c:pt>
                <c:pt idx="419">
                  <c:v>698</c:v>
                </c:pt>
                <c:pt idx="420">
                  <c:v>614</c:v>
                </c:pt>
                <c:pt idx="421">
                  <c:v>614</c:v>
                </c:pt>
                <c:pt idx="422">
                  <c:v>971</c:v>
                </c:pt>
                <c:pt idx="423">
                  <c:v>614</c:v>
                </c:pt>
                <c:pt idx="424">
                  <c:v>819</c:v>
                </c:pt>
                <c:pt idx="425">
                  <c:v>874</c:v>
                </c:pt>
                <c:pt idx="426">
                  <c:v>971</c:v>
                </c:pt>
                <c:pt idx="427">
                  <c:v>575</c:v>
                </c:pt>
                <c:pt idx="428">
                  <c:v>1653</c:v>
                </c:pt>
                <c:pt idx="429">
                  <c:v>825</c:v>
                </c:pt>
                <c:pt idx="430">
                  <c:v>950</c:v>
                </c:pt>
                <c:pt idx="431">
                  <c:v>1300</c:v>
                </c:pt>
                <c:pt idx="432">
                  <c:v>1200</c:v>
                </c:pt>
                <c:pt idx="433">
                  <c:v>1347</c:v>
                </c:pt>
                <c:pt idx="434">
                  <c:v>1157</c:v>
                </c:pt>
                <c:pt idx="435">
                  <c:v>971</c:v>
                </c:pt>
                <c:pt idx="436">
                  <c:v>825</c:v>
                </c:pt>
                <c:pt idx="437">
                  <c:v>527</c:v>
                </c:pt>
                <c:pt idx="438">
                  <c:v>467</c:v>
                </c:pt>
                <c:pt idx="439">
                  <c:v>467</c:v>
                </c:pt>
                <c:pt idx="440">
                  <c:v>467</c:v>
                </c:pt>
                <c:pt idx="441">
                  <c:v>825</c:v>
                </c:pt>
                <c:pt idx="442">
                  <c:v>1157</c:v>
                </c:pt>
                <c:pt idx="443">
                  <c:v>971</c:v>
                </c:pt>
                <c:pt idx="444">
                  <c:v>971</c:v>
                </c:pt>
                <c:pt idx="445">
                  <c:v>825</c:v>
                </c:pt>
                <c:pt idx="446">
                  <c:v>575</c:v>
                </c:pt>
                <c:pt idx="447">
                  <c:v>825</c:v>
                </c:pt>
                <c:pt idx="448">
                  <c:v>614</c:v>
                </c:pt>
                <c:pt idx="449">
                  <c:v>372</c:v>
                </c:pt>
                <c:pt idx="450">
                  <c:v>461</c:v>
                </c:pt>
                <c:pt idx="451">
                  <c:v>401</c:v>
                </c:pt>
                <c:pt idx="452">
                  <c:v>614</c:v>
                </c:pt>
              </c:numCache>
            </c:numRef>
          </c:yVal>
          <c:smooth val="0"/>
        </c:ser>
        <c:dLbls>
          <c:showLegendKey val="0"/>
          <c:showVal val="0"/>
          <c:showCatName val="0"/>
          <c:showSerName val="0"/>
          <c:showPercent val="0"/>
          <c:showBubbleSize val="0"/>
        </c:dLbls>
        <c:axId val="475641536"/>
        <c:axId val="475641928"/>
      </c:scatterChart>
      <c:valAx>
        <c:axId val="475641536"/>
        <c:scaling>
          <c:orientation val="minMax"/>
          <c:max val="17"/>
          <c:min val="6"/>
        </c:scaling>
        <c:delete val="0"/>
        <c:axPos val="b"/>
        <c:title>
          <c:tx>
            <c:rich>
              <a:bodyPr/>
              <a:lstStyle/>
              <a:p>
                <a:pPr>
                  <a:defRPr sz="1200" b="1" i="0" u="none" strike="noStrike" baseline="0">
                    <a:solidFill>
                      <a:srgbClr val="000000"/>
                    </a:solidFill>
                    <a:latin typeface="Times New Roman"/>
                    <a:ea typeface="Times New Roman"/>
                    <a:cs typeface="Times New Roman"/>
                  </a:defRPr>
                </a:pPr>
                <a:r>
                  <a:rPr lang="lv-LV"/>
                  <a:t>Mēnešalgu grupa, kvalifikācijas pakāpe</a:t>
                </a:r>
              </a:p>
            </c:rich>
          </c:tx>
          <c:overlay val="0"/>
        </c:title>
        <c:numFmt formatCode="General" sourceLinked="1"/>
        <c:majorTickMark val="out"/>
        <c:minorTickMark val="none"/>
        <c:tickLblPos val="nextTo"/>
        <c:txPr>
          <a:bodyPr rot="0" vert="horz"/>
          <a:lstStyle/>
          <a:p>
            <a:pPr>
              <a:defRPr sz="1200" b="0" i="0" u="none" strike="noStrike" baseline="0">
                <a:solidFill>
                  <a:srgbClr val="000000"/>
                </a:solidFill>
                <a:latin typeface="Times New Roman"/>
                <a:ea typeface="Times New Roman"/>
                <a:cs typeface="Times New Roman"/>
              </a:defRPr>
            </a:pPr>
            <a:endParaRPr lang="lv-LV"/>
          </a:p>
        </c:txPr>
        <c:crossAx val="475641928"/>
        <c:crosses val="autoZero"/>
        <c:crossBetween val="midCat"/>
        <c:majorUnit val="1"/>
      </c:valAx>
      <c:valAx>
        <c:axId val="475641928"/>
        <c:scaling>
          <c:orientation val="minMax"/>
          <c:max val="1800"/>
          <c:min val="200"/>
        </c:scaling>
        <c:delete val="0"/>
        <c:axPos val="l"/>
        <c:majorGridlines/>
        <c:numFmt formatCode="General" sourceLinked="1"/>
        <c:majorTickMark val="out"/>
        <c:minorTickMark val="none"/>
        <c:tickLblPos val="nextTo"/>
        <c:txPr>
          <a:bodyPr/>
          <a:lstStyle/>
          <a:p>
            <a:pPr>
              <a:defRPr lang="lv-LV"/>
            </a:pPr>
            <a:endParaRPr lang="lv-LV"/>
          </a:p>
        </c:txPr>
        <c:crossAx val="475641536"/>
        <c:crosses val="autoZero"/>
        <c:crossBetween val="midCat"/>
      </c:valAx>
    </c:plotArea>
    <c:plotVisOnly val="1"/>
    <c:dispBlanksAs val="gap"/>
    <c:showDLblsOverMax val="0"/>
  </c:chart>
  <c:txPr>
    <a:bodyPr/>
    <a:lstStyle/>
    <a:p>
      <a:pPr>
        <a:defRPr sz="1200">
          <a:latin typeface="Times New Roman" pitchFamily="18" charset="0"/>
          <a:cs typeface="Times New Roman" pitchFamily="18" charset="0"/>
        </a:defRPr>
      </a:pPr>
      <a:endParaRPr lang="lv-LV"/>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48780487804879"/>
          <c:y val="4.1075976614034358E-2"/>
          <c:w val="0.76540650406504052"/>
          <c:h val="0.75955894402088664"/>
        </c:manualLayout>
      </c:layout>
      <c:scatterChart>
        <c:scatterStyle val="lineMarker"/>
        <c:varyColors val="0"/>
        <c:ser>
          <c:idx val="0"/>
          <c:order val="0"/>
          <c:tx>
            <c:strRef>
              <c:f>Sheet1!$B$1</c:f>
              <c:strCache>
                <c:ptCount val="1"/>
                <c:pt idx="0">
                  <c:v>veca</c:v>
                </c:pt>
              </c:strCache>
            </c:strRef>
          </c:tx>
          <c:marker>
            <c:symbol val="none"/>
          </c:marker>
          <c:xVal>
            <c:numRef>
              <c:f>Sheet1!$A$2:$A$1127</c:f>
              <c:numCache>
                <c:formatCode>General</c:formatCode>
                <c:ptCount val="1126"/>
                <c:pt idx="0">
                  <c:v>1.1000000000000001</c:v>
                </c:pt>
                <c:pt idx="1">
                  <c:v>1.1000000000000001</c:v>
                </c:pt>
                <c:pt idx="2">
                  <c:v>1.2</c:v>
                </c:pt>
                <c:pt idx="3">
                  <c:v>1.3</c:v>
                </c:pt>
                <c:pt idx="4">
                  <c:v>1.4</c:v>
                </c:pt>
                <c:pt idx="5">
                  <c:v>1.5</c:v>
                </c:pt>
                <c:pt idx="6">
                  <c:v>1.6</c:v>
                </c:pt>
                <c:pt idx="7">
                  <c:v>1.6</c:v>
                </c:pt>
                <c:pt idx="8">
                  <c:v>1.5</c:v>
                </c:pt>
                <c:pt idx="9">
                  <c:v>1.4</c:v>
                </c:pt>
                <c:pt idx="10">
                  <c:v>1.3</c:v>
                </c:pt>
                <c:pt idx="11">
                  <c:v>1.2</c:v>
                </c:pt>
                <c:pt idx="12">
                  <c:v>1.1000000000000001</c:v>
                </c:pt>
                <c:pt idx="14">
                  <c:v>2.1</c:v>
                </c:pt>
                <c:pt idx="15">
                  <c:v>2.1</c:v>
                </c:pt>
                <c:pt idx="16">
                  <c:v>2.2000000000000002</c:v>
                </c:pt>
                <c:pt idx="17">
                  <c:v>2.2999999999999998</c:v>
                </c:pt>
                <c:pt idx="18">
                  <c:v>2.4</c:v>
                </c:pt>
                <c:pt idx="19">
                  <c:v>2.5</c:v>
                </c:pt>
                <c:pt idx="20">
                  <c:v>2.6</c:v>
                </c:pt>
                <c:pt idx="21">
                  <c:v>2.6</c:v>
                </c:pt>
                <c:pt idx="22">
                  <c:v>2.5</c:v>
                </c:pt>
                <c:pt idx="23">
                  <c:v>2.4</c:v>
                </c:pt>
                <c:pt idx="24">
                  <c:v>2.2999999999999998</c:v>
                </c:pt>
                <c:pt idx="25">
                  <c:v>2.2000000000000002</c:v>
                </c:pt>
                <c:pt idx="26">
                  <c:v>2.1</c:v>
                </c:pt>
                <c:pt idx="28">
                  <c:v>3.1</c:v>
                </c:pt>
                <c:pt idx="29">
                  <c:v>3.1</c:v>
                </c:pt>
                <c:pt idx="30">
                  <c:v>3.2</c:v>
                </c:pt>
                <c:pt idx="31">
                  <c:v>3.3</c:v>
                </c:pt>
                <c:pt idx="32">
                  <c:v>3.4</c:v>
                </c:pt>
                <c:pt idx="33">
                  <c:v>3.5</c:v>
                </c:pt>
                <c:pt idx="34">
                  <c:v>3.6</c:v>
                </c:pt>
                <c:pt idx="35">
                  <c:v>3.6</c:v>
                </c:pt>
                <c:pt idx="36">
                  <c:v>3.5</c:v>
                </c:pt>
                <c:pt idx="37">
                  <c:v>3.4</c:v>
                </c:pt>
                <c:pt idx="38">
                  <c:v>3.3</c:v>
                </c:pt>
                <c:pt idx="39">
                  <c:v>3.2</c:v>
                </c:pt>
                <c:pt idx="40">
                  <c:v>3.1</c:v>
                </c:pt>
                <c:pt idx="42">
                  <c:v>4.0999999999999996</c:v>
                </c:pt>
                <c:pt idx="43">
                  <c:v>4.0999999999999996</c:v>
                </c:pt>
                <c:pt idx="44">
                  <c:v>4.2</c:v>
                </c:pt>
                <c:pt idx="45">
                  <c:v>4.3</c:v>
                </c:pt>
                <c:pt idx="46">
                  <c:v>4.4000000000000004</c:v>
                </c:pt>
                <c:pt idx="47">
                  <c:v>4.5</c:v>
                </c:pt>
                <c:pt idx="48">
                  <c:v>4.5999999999999996</c:v>
                </c:pt>
                <c:pt idx="49">
                  <c:v>4.5999999999999996</c:v>
                </c:pt>
                <c:pt idx="50">
                  <c:v>4.5</c:v>
                </c:pt>
                <c:pt idx="51">
                  <c:v>4.4000000000000004</c:v>
                </c:pt>
                <c:pt idx="52">
                  <c:v>4.3</c:v>
                </c:pt>
                <c:pt idx="53">
                  <c:v>4.2</c:v>
                </c:pt>
                <c:pt idx="54">
                  <c:v>4.0999999999999996</c:v>
                </c:pt>
                <c:pt idx="56">
                  <c:v>5.0999999999999996</c:v>
                </c:pt>
                <c:pt idx="57">
                  <c:v>5.0999999999999996</c:v>
                </c:pt>
                <c:pt idx="58">
                  <c:v>5.2</c:v>
                </c:pt>
                <c:pt idx="59">
                  <c:v>5.3</c:v>
                </c:pt>
                <c:pt idx="60">
                  <c:v>5.4</c:v>
                </c:pt>
                <c:pt idx="61">
                  <c:v>5.5</c:v>
                </c:pt>
                <c:pt idx="62">
                  <c:v>5.6</c:v>
                </c:pt>
                <c:pt idx="63">
                  <c:v>5.6</c:v>
                </c:pt>
                <c:pt idx="64">
                  <c:v>5.5</c:v>
                </c:pt>
                <c:pt idx="65">
                  <c:v>5.4</c:v>
                </c:pt>
                <c:pt idx="66">
                  <c:v>5.3</c:v>
                </c:pt>
                <c:pt idx="67">
                  <c:v>5.2</c:v>
                </c:pt>
                <c:pt idx="68">
                  <c:v>5.0999999999999996</c:v>
                </c:pt>
                <c:pt idx="70">
                  <c:v>6.1</c:v>
                </c:pt>
                <c:pt idx="71">
                  <c:v>6.1</c:v>
                </c:pt>
                <c:pt idx="72">
                  <c:v>6.2</c:v>
                </c:pt>
                <c:pt idx="73">
                  <c:v>6.3</c:v>
                </c:pt>
                <c:pt idx="74">
                  <c:v>6.4</c:v>
                </c:pt>
                <c:pt idx="75">
                  <c:v>6.5</c:v>
                </c:pt>
                <c:pt idx="76">
                  <c:v>6.6</c:v>
                </c:pt>
                <c:pt idx="77">
                  <c:v>6.6</c:v>
                </c:pt>
                <c:pt idx="78">
                  <c:v>6.5</c:v>
                </c:pt>
                <c:pt idx="79">
                  <c:v>6.4</c:v>
                </c:pt>
                <c:pt idx="80">
                  <c:v>6.3</c:v>
                </c:pt>
                <c:pt idx="81">
                  <c:v>6.2</c:v>
                </c:pt>
                <c:pt idx="82">
                  <c:v>6.1</c:v>
                </c:pt>
                <c:pt idx="84">
                  <c:v>7.1</c:v>
                </c:pt>
                <c:pt idx="85">
                  <c:v>7.1</c:v>
                </c:pt>
                <c:pt idx="86">
                  <c:v>7.2</c:v>
                </c:pt>
                <c:pt idx="87">
                  <c:v>7.3</c:v>
                </c:pt>
                <c:pt idx="88">
                  <c:v>7.4</c:v>
                </c:pt>
                <c:pt idx="89">
                  <c:v>7.5</c:v>
                </c:pt>
                <c:pt idx="90">
                  <c:v>7.6</c:v>
                </c:pt>
                <c:pt idx="91">
                  <c:v>7.6</c:v>
                </c:pt>
                <c:pt idx="92">
                  <c:v>7.5</c:v>
                </c:pt>
                <c:pt idx="93">
                  <c:v>7.4</c:v>
                </c:pt>
                <c:pt idx="94">
                  <c:v>7.3</c:v>
                </c:pt>
                <c:pt idx="95">
                  <c:v>7.2</c:v>
                </c:pt>
                <c:pt idx="96">
                  <c:v>7.1</c:v>
                </c:pt>
                <c:pt idx="98">
                  <c:v>8.1</c:v>
                </c:pt>
                <c:pt idx="99">
                  <c:v>8.1</c:v>
                </c:pt>
                <c:pt idx="100">
                  <c:v>8.2000000000000011</c:v>
                </c:pt>
                <c:pt idx="101">
                  <c:v>8.3000000000000007</c:v>
                </c:pt>
                <c:pt idx="102">
                  <c:v>8.4</c:v>
                </c:pt>
                <c:pt idx="103">
                  <c:v>8.5</c:v>
                </c:pt>
                <c:pt idx="104">
                  <c:v>8.6</c:v>
                </c:pt>
                <c:pt idx="105">
                  <c:v>8.6</c:v>
                </c:pt>
                <c:pt idx="106">
                  <c:v>8.5</c:v>
                </c:pt>
                <c:pt idx="107">
                  <c:v>8.4</c:v>
                </c:pt>
                <c:pt idx="108">
                  <c:v>8.3000000000000007</c:v>
                </c:pt>
                <c:pt idx="109">
                  <c:v>8.2000000000000011</c:v>
                </c:pt>
                <c:pt idx="110">
                  <c:v>8.1</c:v>
                </c:pt>
                <c:pt idx="112">
                  <c:v>9.1</c:v>
                </c:pt>
                <c:pt idx="113">
                  <c:v>9.1</c:v>
                </c:pt>
                <c:pt idx="114">
                  <c:v>9.2000000000000011</c:v>
                </c:pt>
                <c:pt idx="115">
                  <c:v>9.3000000000000007</c:v>
                </c:pt>
                <c:pt idx="116">
                  <c:v>9.4</c:v>
                </c:pt>
                <c:pt idx="117">
                  <c:v>9.5</c:v>
                </c:pt>
                <c:pt idx="118">
                  <c:v>9.6</c:v>
                </c:pt>
                <c:pt idx="119">
                  <c:v>9.6</c:v>
                </c:pt>
                <c:pt idx="120">
                  <c:v>9.5</c:v>
                </c:pt>
                <c:pt idx="121">
                  <c:v>9.4</c:v>
                </c:pt>
                <c:pt idx="122">
                  <c:v>9.3000000000000007</c:v>
                </c:pt>
                <c:pt idx="123">
                  <c:v>9.2000000000000011</c:v>
                </c:pt>
                <c:pt idx="124">
                  <c:v>9.1</c:v>
                </c:pt>
                <c:pt idx="126">
                  <c:v>10.1</c:v>
                </c:pt>
                <c:pt idx="127">
                  <c:v>10.1</c:v>
                </c:pt>
                <c:pt idx="128">
                  <c:v>10.200000000000001</c:v>
                </c:pt>
                <c:pt idx="129">
                  <c:v>10.3</c:v>
                </c:pt>
                <c:pt idx="130">
                  <c:v>10.4</c:v>
                </c:pt>
                <c:pt idx="131">
                  <c:v>10.5</c:v>
                </c:pt>
                <c:pt idx="132">
                  <c:v>10.6</c:v>
                </c:pt>
                <c:pt idx="133">
                  <c:v>10.6</c:v>
                </c:pt>
                <c:pt idx="134">
                  <c:v>10.5</c:v>
                </c:pt>
                <c:pt idx="135">
                  <c:v>10.4</c:v>
                </c:pt>
                <c:pt idx="136">
                  <c:v>10.3</c:v>
                </c:pt>
                <c:pt idx="137">
                  <c:v>10.200000000000001</c:v>
                </c:pt>
                <c:pt idx="138">
                  <c:v>10.1</c:v>
                </c:pt>
                <c:pt idx="140">
                  <c:v>11.1</c:v>
                </c:pt>
                <c:pt idx="141">
                  <c:v>11.1</c:v>
                </c:pt>
                <c:pt idx="142">
                  <c:v>11.2</c:v>
                </c:pt>
                <c:pt idx="143">
                  <c:v>11.3</c:v>
                </c:pt>
                <c:pt idx="144">
                  <c:v>11.4</c:v>
                </c:pt>
                <c:pt idx="145">
                  <c:v>11.5</c:v>
                </c:pt>
                <c:pt idx="146">
                  <c:v>11.6</c:v>
                </c:pt>
                <c:pt idx="147">
                  <c:v>11.6</c:v>
                </c:pt>
                <c:pt idx="148">
                  <c:v>11.5</c:v>
                </c:pt>
                <c:pt idx="149">
                  <c:v>11.4</c:v>
                </c:pt>
                <c:pt idx="150">
                  <c:v>11.3</c:v>
                </c:pt>
                <c:pt idx="151">
                  <c:v>11.2</c:v>
                </c:pt>
                <c:pt idx="152">
                  <c:v>11.1</c:v>
                </c:pt>
                <c:pt idx="154">
                  <c:v>12.1</c:v>
                </c:pt>
                <c:pt idx="155">
                  <c:v>12.1</c:v>
                </c:pt>
                <c:pt idx="156">
                  <c:v>12.2</c:v>
                </c:pt>
                <c:pt idx="157">
                  <c:v>12.3</c:v>
                </c:pt>
                <c:pt idx="158">
                  <c:v>12.4</c:v>
                </c:pt>
                <c:pt idx="159">
                  <c:v>12.5</c:v>
                </c:pt>
                <c:pt idx="160">
                  <c:v>12.6</c:v>
                </c:pt>
                <c:pt idx="161">
                  <c:v>12.6</c:v>
                </c:pt>
                <c:pt idx="162">
                  <c:v>12.5</c:v>
                </c:pt>
                <c:pt idx="163">
                  <c:v>12.4</c:v>
                </c:pt>
                <c:pt idx="164">
                  <c:v>12.3</c:v>
                </c:pt>
                <c:pt idx="165">
                  <c:v>12.2</c:v>
                </c:pt>
                <c:pt idx="166">
                  <c:v>12.1</c:v>
                </c:pt>
                <c:pt idx="168">
                  <c:v>13.1</c:v>
                </c:pt>
                <c:pt idx="169">
                  <c:v>13.1</c:v>
                </c:pt>
                <c:pt idx="170">
                  <c:v>13.2</c:v>
                </c:pt>
                <c:pt idx="171">
                  <c:v>13.3</c:v>
                </c:pt>
                <c:pt idx="172">
                  <c:v>13.4</c:v>
                </c:pt>
                <c:pt idx="173">
                  <c:v>13.5</c:v>
                </c:pt>
                <c:pt idx="174">
                  <c:v>13.6</c:v>
                </c:pt>
                <c:pt idx="175">
                  <c:v>13.6</c:v>
                </c:pt>
                <c:pt idx="176">
                  <c:v>13.5</c:v>
                </c:pt>
                <c:pt idx="177">
                  <c:v>13.4</c:v>
                </c:pt>
                <c:pt idx="178">
                  <c:v>13.3</c:v>
                </c:pt>
                <c:pt idx="179">
                  <c:v>13.2</c:v>
                </c:pt>
                <c:pt idx="180">
                  <c:v>13.1</c:v>
                </c:pt>
                <c:pt idx="182">
                  <c:v>14.1</c:v>
                </c:pt>
                <c:pt idx="183">
                  <c:v>14.1</c:v>
                </c:pt>
                <c:pt idx="184">
                  <c:v>14.3</c:v>
                </c:pt>
                <c:pt idx="185">
                  <c:v>14.3</c:v>
                </c:pt>
                <c:pt idx="186">
                  <c:v>14.4</c:v>
                </c:pt>
                <c:pt idx="187">
                  <c:v>14.5</c:v>
                </c:pt>
                <c:pt idx="188">
                  <c:v>14.6</c:v>
                </c:pt>
                <c:pt idx="189">
                  <c:v>14.6</c:v>
                </c:pt>
                <c:pt idx="190">
                  <c:v>14.5</c:v>
                </c:pt>
                <c:pt idx="191">
                  <c:v>14.4</c:v>
                </c:pt>
                <c:pt idx="192">
                  <c:v>14.3</c:v>
                </c:pt>
                <c:pt idx="193">
                  <c:v>14.2</c:v>
                </c:pt>
                <c:pt idx="194">
                  <c:v>14.1</c:v>
                </c:pt>
                <c:pt idx="195">
                  <c:v>0</c:v>
                </c:pt>
                <c:pt idx="196">
                  <c:v>15.1</c:v>
                </c:pt>
                <c:pt idx="197">
                  <c:v>15.1</c:v>
                </c:pt>
                <c:pt idx="198">
                  <c:v>15.3</c:v>
                </c:pt>
                <c:pt idx="199">
                  <c:v>15.3</c:v>
                </c:pt>
                <c:pt idx="200">
                  <c:v>15.4</c:v>
                </c:pt>
                <c:pt idx="201">
                  <c:v>15.5</c:v>
                </c:pt>
                <c:pt idx="202">
                  <c:v>15.6</c:v>
                </c:pt>
                <c:pt idx="203">
                  <c:v>15.6</c:v>
                </c:pt>
                <c:pt idx="204">
                  <c:v>15.5</c:v>
                </c:pt>
                <c:pt idx="205">
                  <c:v>15.4</c:v>
                </c:pt>
                <c:pt idx="206">
                  <c:v>15.3</c:v>
                </c:pt>
                <c:pt idx="207">
                  <c:v>15.2</c:v>
                </c:pt>
                <c:pt idx="208">
                  <c:v>15.1</c:v>
                </c:pt>
                <c:pt idx="209">
                  <c:v>0</c:v>
                </c:pt>
                <c:pt idx="210">
                  <c:v>16.100000000000001</c:v>
                </c:pt>
                <c:pt idx="211">
                  <c:v>16.100000000000001</c:v>
                </c:pt>
                <c:pt idx="212">
                  <c:v>16.2</c:v>
                </c:pt>
                <c:pt idx="213">
                  <c:v>16.3</c:v>
                </c:pt>
                <c:pt idx="214">
                  <c:v>16.5</c:v>
                </c:pt>
                <c:pt idx="215">
                  <c:v>16.5</c:v>
                </c:pt>
                <c:pt idx="216">
                  <c:v>16.600000000000001</c:v>
                </c:pt>
                <c:pt idx="217">
                  <c:v>16.600000000000001</c:v>
                </c:pt>
                <c:pt idx="218">
                  <c:v>16.5</c:v>
                </c:pt>
                <c:pt idx="219">
                  <c:v>16.399999999999999</c:v>
                </c:pt>
                <c:pt idx="220">
                  <c:v>16.3</c:v>
                </c:pt>
                <c:pt idx="221">
                  <c:v>16.2</c:v>
                </c:pt>
                <c:pt idx="222">
                  <c:v>16.100000000000001</c:v>
                </c:pt>
                <c:pt idx="224">
                  <c:v>1.1000000000000001</c:v>
                </c:pt>
                <c:pt idx="225">
                  <c:v>1.1000000000000001</c:v>
                </c:pt>
                <c:pt idx="226">
                  <c:v>1.1000000000000001</c:v>
                </c:pt>
                <c:pt idx="227">
                  <c:v>1.1000000000000001</c:v>
                </c:pt>
                <c:pt idx="228">
                  <c:v>1.1000000000000001</c:v>
                </c:pt>
                <c:pt idx="229">
                  <c:v>1.1000000000000001</c:v>
                </c:pt>
                <c:pt idx="230">
                  <c:v>1.1000000000000001</c:v>
                </c:pt>
                <c:pt idx="231">
                  <c:v>1.2</c:v>
                </c:pt>
                <c:pt idx="232">
                  <c:v>1.2</c:v>
                </c:pt>
                <c:pt idx="233">
                  <c:v>1.2</c:v>
                </c:pt>
                <c:pt idx="234">
                  <c:v>1.2</c:v>
                </c:pt>
                <c:pt idx="235">
                  <c:v>1.2</c:v>
                </c:pt>
                <c:pt idx="236">
                  <c:v>1.3</c:v>
                </c:pt>
                <c:pt idx="237">
                  <c:v>1.3</c:v>
                </c:pt>
                <c:pt idx="238">
                  <c:v>1.3</c:v>
                </c:pt>
                <c:pt idx="239">
                  <c:v>1.3</c:v>
                </c:pt>
                <c:pt idx="240">
                  <c:v>1.3</c:v>
                </c:pt>
                <c:pt idx="241">
                  <c:v>1.3</c:v>
                </c:pt>
                <c:pt idx="242">
                  <c:v>1.3</c:v>
                </c:pt>
                <c:pt idx="243">
                  <c:v>1.3</c:v>
                </c:pt>
                <c:pt idx="244">
                  <c:v>1.3</c:v>
                </c:pt>
                <c:pt idx="245">
                  <c:v>1.3</c:v>
                </c:pt>
                <c:pt idx="246">
                  <c:v>1.3</c:v>
                </c:pt>
                <c:pt idx="247">
                  <c:v>1.3</c:v>
                </c:pt>
                <c:pt idx="248">
                  <c:v>1.4</c:v>
                </c:pt>
                <c:pt idx="249">
                  <c:v>1.4</c:v>
                </c:pt>
                <c:pt idx="250">
                  <c:v>1.4</c:v>
                </c:pt>
                <c:pt idx="251">
                  <c:v>1.4</c:v>
                </c:pt>
                <c:pt idx="252">
                  <c:v>1.4</c:v>
                </c:pt>
                <c:pt idx="253">
                  <c:v>1.4</c:v>
                </c:pt>
                <c:pt idx="254">
                  <c:v>1.4</c:v>
                </c:pt>
                <c:pt idx="255">
                  <c:v>1.4</c:v>
                </c:pt>
                <c:pt idx="256">
                  <c:v>1.4</c:v>
                </c:pt>
                <c:pt idx="257">
                  <c:v>1.4</c:v>
                </c:pt>
                <c:pt idx="258">
                  <c:v>1.4</c:v>
                </c:pt>
                <c:pt idx="259">
                  <c:v>1.4</c:v>
                </c:pt>
                <c:pt idx="260">
                  <c:v>1.4</c:v>
                </c:pt>
                <c:pt idx="261">
                  <c:v>1.5</c:v>
                </c:pt>
                <c:pt idx="262">
                  <c:v>1.5</c:v>
                </c:pt>
                <c:pt idx="263">
                  <c:v>1.5</c:v>
                </c:pt>
                <c:pt idx="264">
                  <c:v>1.5</c:v>
                </c:pt>
                <c:pt idx="265">
                  <c:v>1.5</c:v>
                </c:pt>
                <c:pt idx="266">
                  <c:v>1.5</c:v>
                </c:pt>
                <c:pt idx="267">
                  <c:v>1.5</c:v>
                </c:pt>
                <c:pt idx="268">
                  <c:v>1.5</c:v>
                </c:pt>
                <c:pt idx="269">
                  <c:v>1.6</c:v>
                </c:pt>
                <c:pt idx="270">
                  <c:v>1.6</c:v>
                </c:pt>
                <c:pt idx="271">
                  <c:v>1.6</c:v>
                </c:pt>
                <c:pt idx="272">
                  <c:v>1.6</c:v>
                </c:pt>
                <c:pt idx="273">
                  <c:v>1.6</c:v>
                </c:pt>
                <c:pt idx="274">
                  <c:v>1.6</c:v>
                </c:pt>
                <c:pt idx="275">
                  <c:v>1.6</c:v>
                </c:pt>
                <c:pt idx="276">
                  <c:v>1.6</c:v>
                </c:pt>
                <c:pt idx="277">
                  <c:v>2.1</c:v>
                </c:pt>
                <c:pt idx="278">
                  <c:v>2.1</c:v>
                </c:pt>
                <c:pt idx="279">
                  <c:v>2.2000000000000002</c:v>
                </c:pt>
                <c:pt idx="280">
                  <c:v>2.2000000000000002</c:v>
                </c:pt>
                <c:pt idx="281">
                  <c:v>2.2000000000000002</c:v>
                </c:pt>
                <c:pt idx="282">
                  <c:v>2.2000000000000002</c:v>
                </c:pt>
                <c:pt idx="283">
                  <c:v>2.2000000000000002</c:v>
                </c:pt>
                <c:pt idx="284">
                  <c:v>2.2000000000000002</c:v>
                </c:pt>
                <c:pt idx="285">
                  <c:v>2.2999999999999998</c:v>
                </c:pt>
                <c:pt idx="286">
                  <c:v>2.2999999999999998</c:v>
                </c:pt>
                <c:pt idx="287">
                  <c:v>2.2999999999999998</c:v>
                </c:pt>
                <c:pt idx="288">
                  <c:v>2.2999999999999998</c:v>
                </c:pt>
                <c:pt idx="289">
                  <c:v>2.2999999999999998</c:v>
                </c:pt>
                <c:pt idx="290">
                  <c:v>2.2999999999999998</c:v>
                </c:pt>
                <c:pt idx="291">
                  <c:v>2.2999999999999998</c:v>
                </c:pt>
                <c:pt idx="292">
                  <c:v>2.2999999999999998</c:v>
                </c:pt>
                <c:pt idx="293">
                  <c:v>2.2999999999999998</c:v>
                </c:pt>
                <c:pt idx="294">
                  <c:v>2.4</c:v>
                </c:pt>
                <c:pt idx="295">
                  <c:v>2.4</c:v>
                </c:pt>
                <c:pt idx="296">
                  <c:v>2.4</c:v>
                </c:pt>
                <c:pt idx="297">
                  <c:v>2.4</c:v>
                </c:pt>
                <c:pt idx="298">
                  <c:v>2.4</c:v>
                </c:pt>
                <c:pt idx="299">
                  <c:v>2.4</c:v>
                </c:pt>
                <c:pt idx="300">
                  <c:v>2.4</c:v>
                </c:pt>
                <c:pt idx="301">
                  <c:v>2.4</c:v>
                </c:pt>
                <c:pt idx="302">
                  <c:v>2.5</c:v>
                </c:pt>
                <c:pt idx="303">
                  <c:v>2.5</c:v>
                </c:pt>
                <c:pt idx="304">
                  <c:v>2.5</c:v>
                </c:pt>
                <c:pt idx="305">
                  <c:v>2.5</c:v>
                </c:pt>
                <c:pt idx="306">
                  <c:v>2.5</c:v>
                </c:pt>
                <c:pt idx="307">
                  <c:v>2.5</c:v>
                </c:pt>
                <c:pt idx="308">
                  <c:v>2.5</c:v>
                </c:pt>
                <c:pt idx="309">
                  <c:v>2.5</c:v>
                </c:pt>
                <c:pt idx="310">
                  <c:v>2.5</c:v>
                </c:pt>
                <c:pt idx="311">
                  <c:v>2.5</c:v>
                </c:pt>
                <c:pt idx="312">
                  <c:v>2.5</c:v>
                </c:pt>
                <c:pt idx="313">
                  <c:v>2.6</c:v>
                </c:pt>
                <c:pt idx="314">
                  <c:v>2.6</c:v>
                </c:pt>
                <c:pt idx="315">
                  <c:v>2.6</c:v>
                </c:pt>
                <c:pt idx="316">
                  <c:v>2.6</c:v>
                </c:pt>
                <c:pt idx="317">
                  <c:v>2.6</c:v>
                </c:pt>
                <c:pt idx="318">
                  <c:v>2.6</c:v>
                </c:pt>
                <c:pt idx="319">
                  <c:v>2.6</c:v>
                </c:pt>
                <c:pt idx="320">
                  <c:v>2.6</c:v>
                </c:pt>
                <c:pt idx="321">
                  <c:v>2.6</c:v>
                </c:pt>
                <c:pt idx="322">
                  <c:v>2.6</c:v>
                </c:pt>
                <c:pt idx="323">
                  <c:v>2.6</c:v>
                </c:pt>
                <c:pt idx="324">
                  <c:v>2.6</c:v>
                </c:pt>
                <c:pt idx="325">
                  <c:v>2.6</c:v>
                </c:pt>
                <c:pt idx="326">
                  <c:v>2.6</c:v>
                </c:pt>
                <c:pt idx="327">
                  <c:v>2.6</c:v>
                </c:pt>
                <c:pt idx="328">
                  <c:v>2.6</c:v>
                </c:pt>
                <c:pt idx="329">
                  <c:v>2.6</c:v>
                </c:pt>
                <c:pt idx="330">
                  <c:v>2.6</c:v>
                </c:pt>
                <c:pt idx="331">
                  <c:v>2.6</c:v>
                </c:pt>
                <c:pt idx="332">
                  <c:v>2.6</c:v>
                </c:pt>
                <c:pt idx="333">
                  <c:v>2.6</c:v>
                </c:pt>
                <c:pt idx="334">
                  <c:v>2.6</c:v>
                </c:pt>
                <c:pt idx="335">
                  <c:v>2.6</c:v>
                </c:pt>
                <c:pt idx="336">
                  <c:v>2.6</c:v>
                </c:pt>
                <c:pt idx="337">
                  <c:v>2.6</c:v>
                </c:pt>
                <c:pt idx="338">
                  <c:v>2.6</c:v>
                </c:pt>
                <c:pt idx="339">
                  <c:v>2.6</c:v>
                </c:pt>
                <c:pt idx="340">
                  <c:v>3.1</c:v>
                </c:pt>
                <c:pt idx="341">
                  <c:v>3.1</c:v>
                </c:pt>
                <c:pt idx="342">
                  <c:v>3.1</c:v>
                </c:pt>
                <c:pt idx="343">
                  <c:v>3.1</c:v>
                </c:pt>
                <c:pt idx="344">
                  <c:v>3.1</c:v>
                </c:pt>
                <c:pt idx="345">
                  <c:v>3.1</c:v>
                </c:pt>
                <c:pt idx="346">
                  <c:v>3.1</c:v>
                </c:pt>
                <c:pt idx="347">
                  <c:v>3.1</c:v>
                </c:pt>
                <c:pt idx="348">
                  <c:v>3.1</c:v>
                </c:pt>
                <c:pt idx="349">
                  <c:v>3.1</c:v>
                </c:pt>
                <c:pt idx="350">
                  <c:v>3.1</c:v>
                </c:pt>
                <c:pt idx="351">
                  <c:v>3.1</c:v>
                </c:pt>
                <c:pt idx="352">
                  <c:v>3.1</c:v>
                </c:pt>
                <c:pt idx="353">
                  <c:v>3.1</c:v>
                </c:pt>
                <c:pt idx="354">
                  <c:v>3.1</c:v>
                </c:pt>
                <c:pt idx="355">
                  <c:v>3.1</c:v>
                </c:pt>
                <c:pt idx="356">
                  <c:v>3.2</c:v>
                </c:pt>
                <c:pt idx="357">
                  <c:v>3.2</c:v>
                </c:pt>
                <c:pt idx="358">
                  <c:v>3.2</c:v>
                </c:pt>
                <c:pt idx="359">
                  <c:v>3.2</c:v>
                </c:pt>
                <c:pt idx="360">
                  <c:v>3.2</c:v>
                </c:pt>
                <c:pt idx="361">
                  <c:v>3.2</c:v>
                </c:pt>
                <c:pt idx="362">
                  <c:v>3.2</c:v>
                </c:pt>
                <c:pt idx="363">
                  <c:v>3.2</c:v>
                </c:pt>
                <c:pt idx="364">
                  <c:v>3.2</c:v>
                </c:pt>
                <c:pt idx="365">
                  <c:v>3.2</c:v>
                </c:pt>
                <c:pt idx="366">
                  <c:v>3.2</c:v>
                </c:pt>
                <c:pt idx="367">
                  <c:v>3.2</c:v>
                </c:pt>
                <c:pt idx="368">
                  <c:v>3.2</c:v>
                </c:pt>
                <c:pt idx="369">
                  <c:v>3.2</c:v>
                </c:pt>
                <c:pt idx="370">
                  <c:v>3.2</c:v>
                </c:pt>
                <c:pt idx="371">
                  <c:v>3.2</c:v>
                </c:pt>
                <c:pt idx="372">
                  <c:v>3.2</c:v>
                </c:pt>
                <c:pt idx="373">
                  <c:v>3.2</c:v>
                </c:pt>
                <c:pt idx="374">
                  <c:v>3.2</c:v>
                </c:pt>
                <c:pt idx="375">
                  <c:v>3.2</c:v>
                </c:pt>
                <c:pt idx="376">
                  <c:v>3.2</c:v>
                </c:pt>
                <c:pt idx="377">
                  <c:v>3.2</c:v>
                </c:pt>
                <c:pt idx="378">
                  <c:v>3.2</c:v>
                </c:pt>
                <c:pt idx="379">
                  <c:v>3.2</c:v>
                </c:pt>
                <c:pt idx="380">
                  <c:v>3.3</c:v>
                </c:pt>
                <c:pt idx="381">
                  <c:v>3.3</c:v>
                </c:pt>
                <c:pt idx="382">
                  <c:v>3.3</c:v>
                </c:pt>
                <c:pt idx="383">
                  <c:v>3.3</c:v>
                </c:pt>
                <c:pt idx="384">
                  <c:v>3.3</c:v>
                </c:pt>
                <c:pt idx="385">
                  <c:v>3.3</c:v>
                </c:pt>
                <c:pt idx="386">
                  <c:v>3.3</c:v>
                </c:pt>
                <c:pt idx="387">
                  <c:v>3.3</c:v>
                </c:pt>
                <c:pt idx="388">
                  <c:v>3.3</c:v>
                </c:pt>
                <c:pt idx="389">
                  <c:v>3.3</c:v>
                </c:pt>
                <c:pt idx="390">
                  <c:v>3.3</c:v>
                </c:pt>
                <c:pt idx="391">
                  <c:v>3.3</c:v>
                </c:pt>
                <c:pt idx="392">
                  <c:v>3.3</c:v>
                </c:pt>
                <c:pt idx="393">
                  <c:v>3.3</c:v>
                </c:pt>
                <c:pt idx="394">
                  <c:v>3.3</c:v>
                </c:pt>
                <c:pt idx="395">
                  <c:v>3.3</c:v>
                </c:pt>
                <c:pt idx="396">
                  <c:v>3.3</c:v>
                </c:pt>
                <c:pt idx="397">
                  <c:v>3.3</c:v>
                </c:pt>
                <c:pt idx="398">
                  <c:v>3.3</c:v>
                </c:pt>
                <c:pt idx="399">
                  <c:v>3.3</c:v>
                </c:pt>
                <c:pt idx="400">
                  <c:v>3.3</c:v>
                </c:pt>
                <c:pt idx="401">
                  <c:v>3.3</c:v>
                </c:pt>
                <c:pt idx="402">
                  <c:v>3.3</c:v>
                </c:pt>
                <c:pt idx="403">
                  <c:v>3.3</c:v>
                </c:pt>
                <c:pt idx="404">
                  <c:v>3.3</c:v>
                </c:pt>
                <c:pt idx="405">
                  <c:v>3.3</c:v>
                </c:pt>
                <c:pt idx="406">
                  <c:v>3.3</c:v>
                </c:pt>
                <c:pt idx="407">
                  <c:v>3.3</c:v>
                </c:pt>
                <c:pt idx="408">
                  <c:v>3.3</c:v>
                </c:pt>
                <c:pt idx="409">
                  <c:v>3.3</c:v>
                </c:pt>
                <c:pt idx="410">
                  <c:v>3.3</c:v>
                </c:pt>
                <c:pt idx="411">
                  <c:v>3.3</c:v>
                </c:pt>
                <c:pt idx="412">
                  <c:v>3.3</c:v>
                </c:pt>
                <c:pt idx="413">
                  <c:v>3.3</c:v>
                </c:pt>
                <c:pt idx="414">
                  <c:v>3.3</c:v>
                </c:pt>
                <c:pt idx="415">
                  <c:v>3.3</c:v>
                </c:pt>
                <c:pt idx="416">
                  <c:v>3.3</c:v>
                </c:pt>
                <c:pt idx="417">
                  <c:v>3.3</c:v>
                </c:pt>
                <c:pt idx="418">
                  <c:v>3.3</c:v>
                </c:pt>
                <c:pt idx="419">
                  <c:v>3.3</c:v>
                </c:pt>
                <c:pt idx="420">
                  <c:v>3.3</c:v>
                </c:pt>
                <c:pt idx="421">
                  <c:v>3.3</c:v>
                </c:pt>
                <c:pt idx="422">
                  <c:v>3.3</c:v>
                </c:pt>
                <c:pt idx="423">
                  <c:v>3.3</c:v>
                </c:pt>
                <c:pt idx="424">
                  <c:v>3.3</c:v>
                </c:pt>
                <c:pt idx="425">
                  <c:v>3.3</c:v>
                </c:pt>
                <c:pt idx="426">
                  <c:v>3.3</c:v>
                </c:pt>
                <c:pt idx="427">
                  <c:v>3.3</c:v>
                </c:pt>
                <c:pt idx="428">
                  <c:v>3.3</c:v>
                </c:pt>
                <c:pt idx="429">
                  <c:v>3.3</c:v>
                </c:pt>
                <c:pt idx="430">
                  <c:v>3.3</c:v>
                </c:pt>
                <c:pt idx="431">
                  <c:v>3.3</c:v>
                </c:pt>
                <c:pt idx="432">
                  <c:v>3.3</c:v>
                </c:pt>
                <c:pt idx="433">
                  <c:v>3.3</c:v>
                </c:pt>
                <c:pt idx="434">
                  <c:v>3.3</c:v>
                </c:pt>
                <c:pt idx="435">
                  <c:v>3.3</c:v>
                </c:pt>
                <c:pt idx="436">
                  <c:v>3.3</c:v>
                </c:pt>
                <c:pt idx="437">
                  <c:v>3.3</c:v>
                </c:pt>
                <c:pt idx="438">
                  <c:v>3.3</c:v>
                </c:pt>
                <c:pt idx="439">
                  <c:v>3.3</c:v>
                </c:pt>
                <c:pt idx="440">
                  <c:v>3.3</c:v>
                </c:pt>
                <c:pt idx="441">
                  <c:v>3.3</c:v>
                </c:pt>
                <c:pt idx="442">
                  <c:v>3.3</c:v>
                </c:pt>
                <c:pt idx="443">
                  <c:v>3.3</c:v>
                </c:pt>
                <c:pt idx="444">
                  <c:v>3.3</c:v>
                </c:pt>
                <c:pt idx="445">
                  <c:v>3.3</c:v>
                </c:pt>
                <c:pt idx="446">
                  <c:v>3.3</c:v>
                </c:pt>
                <c:pt idx="447">
                  <c:v>3.3</c:v>
                </c:pt>
                <c:pt idx="448">
                  <c:v>3.3</c:v>
                </c:pt>
                <c:pt idx="449">
                  <c:v>3.3</c:v>
                </c:pt>
                <c:pt idx="450">
                  <c:v>3.3</c:v>
                </c:pt>
                <c:pt idx="451">
                  <c:v>3.3</c:v>
                </c:pt>
                <c:pt idx="452">
                  <c:v>3.3</c:v>
                </c:pt>
                <c:pt idx="453">
                  <c:v>3.3</c:v>
                </c:pt>
                <c:pt idx="454">
                  <c:v>3.3</c:v>
                </c:pt>
                <c:pt idx="455">
                  <c:v>3.3</c:v>
                </c:pt>
                <c:pt idx="456">
                  <c:v>3.3</c:v>
                </c:pt>
                <c:pt idx="457">
                  <c:v>3.3</c:v>
                </c:pt>
                <c:pt idx="458">
                  <c:v>3.3</c:v>
                </c:pt>
                <c:pt idx="459">
                  <c:v>3.3</c:v>
                </c:pt>
                <c:pt idx="460">
                  <c:v>3.3</c:v>
                </c:pt>
                <c:pt idx="461">
                  <c:v>3.4</c:v>
                </c:pt>
                <c:pt idx="462">
                  <c:v>3.4</c:v>
                </c:pt>
                <c:pt idx="463">
                  <c:v>3.4</c:v>
                </c:pt>
                <c:pt idx="464">
                  <c:v>3.4</c:v>
                </c:pt>
                <c:pt idx="465">
                  <c:v>3.4</c:v>
                </c:pt>
                <c:pt idx="466">
                  <c:v>3.4</c:v>
                </c:pt>
                <c:pt idx="467">
                  <c:v>3.4</c:v>
                </c:pt>
                <c:pt idx="468">
                  <c:v>3.4</c:v>
                </c:pt>
                <c:pt idx="469">
                  <c:v>3.4</c:v>
                </c:pt>
                <c:pt idx="470">
                  <c:v>3.4</c:v>
                </c:pt>
                <c:pt idx="471">
                  <c:v>3.4</c:v>
                </c:pt>
                <c:pt idx="472">
                  <c:v>3.4</c:v>
                </c:pt>
                <c:pt idx="473">
                  <c:v>3.4</c:v>
                </c:pt>
                <c:pt idx="474">
                  <c:v>3.4</c:v>
                </c:pt>
                <c:pt idx="475">
                  <c:v>3.4</c:v>
                </c:pt>
                <c:pt idx="476">
                  <c:v>3.4</c:v>
                </c:pt>
                <c:pt idx="477">
                  <c:v>3.4</c:v>
                </c:pt>
                <c:pt idx="478">
                  <c:v>3.4</c:v>
                </c:pt>
                <c:pt idx="479">
                  <c:v>3.4</c:v>
                </c:pt>
                <c:pt idx="480">
                  <c:v>3.4</c:v>
                </c:pt>
                <c:pt idx="481">
                  <c:v>3.4</c:v>
                </c:pt>
                <c:pt idx="482">
                  <c:v>3.4</c:v>
                </c:pt>
                <c:pt idx="483">
                  <c:v>3.4</c:v>
                </c:pt>
                <c:pt idx="484">
                  <c:v>3.4</c:v>
                </c:pt>
                <c:pt idx="485">
                  <c:v>3.4</c:v>
                </c:pt>
                <c:pt idx="486">
                  <c:v>3.4</c:v>
                </c:pt>
                <c:pt idx="487">
                  <c:v>3.4</c:v>
                </c:pt>
                <c:pt idx="488">
                  <c:v>3.4</c:v>
                </c:pt>
                <c:pt idx="489">
                  <c:v>3.4</c:v>
                </c:pt>
                <c:pt idx="490">
                  <c:v>3.4</c:v>
                </c:pt>
                <c:pt idx="491">
                  <c:v>3.4</c:v>
                </c:pt>
                <c:pt idx="492">
                  <c:v>3.4</c:v>
                </c:pt>
                <c:pt idx="493">
                  <c:v>3.4</c:v>
                </c:pt>
                <c:pt idx="494">
                  <c:v>3.4</c:v>
                </c:pt>
                <c:pt idx="495">
                  <c:v>3.4</c:v>
                </c:pt>
                <c:pt idx="496">
                  <c:v>3.4</c:v>
                </c:pt>
                <c:pt idx="497">
                  <c:v>3.4</c:v>
                </c:pt>
                <c:pt idx="498">
                  <c:v>3.4</c:v>
                </c:pt>
                <c:pt idx="499">
                  <c:v>3.4</c:v>
                </c:pt>
                <c:pt idx="500">
                  <c:v>3.4</c:v>
                </c:pt>
                <c:pt idx="501">
                  <c:v>3.4</c:v>
                </c:pt>
                <c:pt idx="502">
                  <c:v>3.4</c:v>
                </c:pt>
                <c:pt idx="503">
                  <c:v>3.4</c:v>
                </c:pt>
                <c:pt idx="504">
                  <c:v>3.4</c:v>
                </c:pt>
                <c:pt idx="505">
                  <c:v>3.4</c:v>
                </c:pt>
                <c:pt idx="506">
                  <c:v>3.4</c:v>
                </c:pt>
                <c:pt idx="507">
                  <c:v>3.4</c:v>
                </c:pt>
                <c:pt idx="508">
                  <c:v>3.4</c:v>
                </c:pt>
                <c:pt idx="509">
                  <c:v>3.4</c:v>
                </c:pt>
                <c:pt idx="510">
                  <c:v>3.4</c:v>
                </c:pt>
                <c:pt idx="511">
                  <c:v>3.4</c:v>
                </c:pt>
                <c:pt idx="512">
                  <c:v>3.4</c:v>
                </c:pt>
                <c:pt idx="513">
                  <c:v>3.4</c:v>
                </c:pt>
                <c:pt idx="514">
                  <c:v>3.4</c:v>
                </c:pt>
                <c:pt idx="515">
                  <c:v>3.4</c:v>
                </c:pt>
                <c:pt idx="516">
                  <c:v>3.4</c:v>
                </c:pt>
                <c:pt idx="517">
                  <c:v>3.4</c:v>
                </c:pt>
                <c:pt idx="518">
                  <c:v>3.4</c:v>
                </c:pt>
                <c:pt idx="519">
                  <c:v>3.4</c:v>
                </c:pt>
                <c:pt idx="520">
                  <c:v>3.4</c:v>
                </c:pt>
                <c:pt idx="521">
                  <c:v>3.4</c:v>
                </c:pt>
                <c:pt idx="522">
                  <c:v>3.4</c:v>
                </c:pt>
                <c:pt idx="523">
                  <c:v>3.4</c:v>
                </c:pt>
                <c:pt idx="524">
                  <c:v>3.4</c:v>
                </c:pt>
                <c:pt idx="525">
                  <c:v>3.4</c:v>
                </c:pt>
                <c:pt idx="526">
                  <c:v>3.4</c:v>
                </c:pt>
                <c:pt idx="527">
                  <c:v>3.4</c:v>
                </c:pt>
                <c:pt idx="528">
                  <c:v>3.4</c:v>
                </c:pt>
                <c:pt idx="529">
                  <c:v>3.4</c:v>
                </c:pt>
                <c:pt idx="530">
                  <c:v>3.4</c:v>
                </c:pt>
                <c:pt idx="531">
                  <c:v>3.4</c:v>
                </c:pt>
                <c:pt idx="532">
                  <c:v>3.4</c:v>
                </c:pt>
                <c:pt idx="533">
                  <c:v>3.4</c:v>
                </c:pt>
                <c:pt idx="534">
                  <c:v>3.4</c:v>
                </c:pt>
                <c:pt idx="535">
                  <c:v>3.4</c:v>
                </c:pt>
                <c:pt idx="536">
                  <c:v>3.4</c:v>
                </c:pt>
                <c:pt idx="537">
                  <c:v>3.4</c:v>
                </c:pt>
                <c:pt idx="538">
                  <c:v>3.4</c:v>
                </c:pt>
                <c:pt idx="539">
                  <c:v>3.4</c:v>
                </c:pt>
                <c:pt idx="540">
                  <c:v>3.4</c:v>
                </c:pt>
                <c:pt idx="541">
                  <c:v>3.4</c:v>
                </c:pt>
                <c:pt idx="542">
                  <c:v>3.4</c:v>
                </c:pt>
                <c:pt idx="543">
                  <c:v>3.4</c:v>
                </c:pt>
                <c:pt idx="544">
                  <c:v>3.4</c:v>
                </c:pt>
                <c:pt idx="545">
                  <c:v>3.4</c:v>
                </c:pt>
                <c:pt idx="546">
                  <c:v>3.4</c:v>
                </c:pt>
                <c:pt idx="547">
                  <c:v>3.5</c:v>
                </c:pt>
                <c:pt idx="548">
                  <c:v>3.5</c:v>
                </c:pt>
                <c:pt idx="549">
                  <c:v>3.5</c:v>
                </c:pt>
                <c:pt idx="550">
                  <c:v>3.5</c:v>
                </c:pt>
                <c:pt idx="551">
                  <c:v>3.5</c:v>
                </c:pt>
                <c:pt idx="552">
                  <c:v>3.5</c:v>
                </c:pt>
                <c:pt idx="553">
                  <c:v>3.5</c:v>
                </c:pt>
                <c:pt idx="554">
                  <c:v>3.5</c:v>
                </c:pt>
                <c:pt idx="555">
                  <c:v>3.5</c:v>
                </c:pt>
                <c:pt idx="556">
                  <c:v>3.5</c:v>
                </c:pt>
                <c:pt idx="557">
                  <c:v>3.5</c:v>
                </c:pt>
                <c:pt idx="558">
                  <c:v>3.5</c:v>
                </c:pt>
                <c:pt idx="559">
                  <c:v>3.5</c:v>
                </c:pt>
                <c:pt idx="560">
                  <c:v>3.5</c:v>
                </c:pt>
                <c:pt idx="561">
                  <c:v>3.5</c:v>
                </c:pt>
                <c:pt idx="562">
                  <c:v>3.5</c:v>
                </c:pt>
                <c:pt idx="563">
                  <c:v>3.5</c:v>
                </c:pt>
                <c:pt idx="564">
                  <c:v>3.5</c:v>
                </c:pt>
                <c:pt idx="565">
                  <c:v>3.5</c:v>
                </c:pt>
                <c:pt idx="566">
                  <c:v>3.5</c:v>
                </c:pt>
                <c:pt idx="567">
                  <c:v>3.5</c:v>
                </c:pt>
                <c:pt idx="568">
                  <c:v>3.5</c:v>
                </c:pt>
                <c:pt idx="569">
                  <c:v>3.5</c:v>
                </c:pt>
                <c:pt idx="570">
                  <c:v>3.5</c:v>
                </c:pt>
                <c:pt idx="571">
                  <c:v>3.5</c:v>
                </c:pt>
                <c:pt idx="572">
                  <c:v>3.5</c:v>
                </c:pt>
                <c:pt idx="573">
                  <c:v>3.5</c:v>
                </c:pt>
                <c:pt idx="574">
                  <c:v>3.5</c:v>
                </c:pt>
                <c:pt idx="575">
                  <c:v>3.5</c:v>
                </c:pt>
                <c:pt idx="576">
                  <c:v>3.5</c:v>
                </c:pt>
                <c:pt idx="577">
                  <c:v>3.5</c:v>
                </c:pt>
                <c:pt idx="578">
                  <c:v>3.5</c:v>
                </c:pt>
                <c:pt idx="579">
                  <c:v>3.5</c:v>
                </c:pt>
                <c:pt idx="580">
                  <c:v>3.5</c:v>
                </c:pt>
                <c:pt idx="581">
                  <c:v>3.5</c:v>
                </c:pt>
                <c:pt idx="582">
                  <c:v>3.5</c:v>
                </c:pt>
                <c:pt idx="583">
                  <c:v>3.5</c:v>
                </c:pt>
                <c:pt idx="584">
                  <c:v>3.5</c:v>
                </c:pt>
                <c:pt idx="585">
                  <c:v>3.5</c:v>
                </c:pt>
                <c:pt idx="586">
                  <c:v>3.5</c:v>
                </c:pt>
                <c:pt idx="587">
                  <c:v>3.5</c:v>
                </c:pt>
                <c:pt idx="588">
                  <c:v>3.5</c:v>
                </c:pt>
                <c:pt idx="589">
                  <c:v>3.5</c:v>
                </c:pt>
                <c:pt idx="590">
                  <c:v>3.5</c:v>
                </c:pt>
                <c:pt idx="591">
                  <c:v>3.5</c:v>
                </c:pt>
                <c:pt idx="592">
                  <c:v>3.6</c:v>
                </c:pt>
                <c:pt idx="593">
                  <c:v>3.6</c:v>
                </c:pt>
                <c:pt idx="594">
                  <c:v>3.6</c:v>
                </c:pt>
                <c:pt idx="595">
                  <c:v>3.6</c:v>
                </c:pt>
                <c:pt idx="596">
                  <c:v>3.6</c:v>
                </c:pt>
                <c:pt idx="597">
                  <c:v>3.6</c:v>
                </c:pt>
                <c:pt idx="598">
                  <c:v>3.6</c:v>
                </c:pt>
                <c:pt idx="599">
                  <c:v>3.6</c:v>
                </c:pt>
                <c:pt idx="600">
                  <c:v>3.6</c:v>
                </c:pt>
                <c:pt idx="601">
                  <c:v>3.6</c:v>
                </c:pt>
                <c:pt idx="602">
                  <c:v>3.6</c:v>
                </c:pt>
                <c:pt idx="603">
                  <c:v>3.6</c:v>
                </c:pt>
                <c:pt idx="604">
                  <c:v>3.6</c:v>
                </c:pt>
                <c:pt idx="605">
                  <c:v>3.6</c:v>
                </c:pt>
                <c:pt idx="606">
                  <c:v>3.6</c:v>
                </c:pt>
                <c:pt idx="607">
                  <c:v>3.6</c:v>
                </c:pt>
                <c:pt idx="608">
                  <c:v>3.6</c:v>
                </c:pt>
                <c:pt idx="609">
                  <c:v>3.6</c:v>
                </c:pt>
                <c:pt idx="610">
                  <c:v>3.6</c:v>
                </c:pt>
                <c:pt idx="611">
                  <c:v>3.6</c:v>
                </c:pt>
                <c:pt idx="612">
                  <c:v>3.6</c:v>
                </c:pt>
                <c:pt idx="613">
                  <c:v>3.6</c:v>
                </c:pt>
                <c:pt idx="614">
                  <c:v>3.6</c:v>
                </c:pt>
                <c:pt idx="615">
                  <c:v>3.6</c:v>
                </c:pt>
                <c:pt idx="616">
                  <c:v>3.6</c:v>
                </c:pt>
                <c:pt idx="617">
                  <c:v>3.6</c:v>
                </c:pt>
                <c:pt idx="618">
                  <c:v>3.6</c:v>
                </c:pt>
                <c:pt idx="619">
                  <c:v>3.6</c:v>
                </c:pt>
                <c:pt idx="620">
                  <c:v>3.6</c:v>
                </c:pt>
                <c:pt idx="621">
                  <c:v>3.6</c:v>
                </c:pt>
                <c:pt idx="622">
                  <c:v>3.6</c:v>
                </c:pt>
                <c:pt idx="623">
                  <c:v>3.6</c:v>
                </c:pt>
                <c:pt idx="624">
                  <c:v>3.6</c:v>
                </c:pt>
                <c:pt idx="625">
                  <c:v>3.6</c:v>
                </c:pt>
                <c:pt idx="626">
                  <c:v>3.6</c:v>
                </c:pt>
                <c:pt idx="627">
                  <c:v>3.6</c:v>
                </c:pt>
                <c:pt idx="628">
                  <c:v>3.6</c:v>
                </c:pt>
                <c:pt idx="629">
                  <c:v>3.6</c:v>
                </c:pt>
                <c:pt idx="630">
                  <c:v>3.6</c:v>
                </c:pt>
                <c:pt idx="631">
                  <c:v>3.6</c:v>
                </c:pt>
                <c:pt idx="632">
                  <c:v>3.6</c:v>
                </c:pt>
                <c:pt idx="633">
                  <c:v>3.6</c:v>
                </c:pt>
                <c:pt idx="634">
                  <c:v>3.6</c:v>
                </c:pt>
                <c:pt idx="635">
                  <c:v>3.6</c:v>
                </c:pt>
                <c:pt idx="636">
                  <c:v>3.6</c:v>
                </c:pt>
                <c:pt idx="637">
                  <c:v>3.6</c:v>
                </c:pt>
                <c:pt idx="638">
                  <c:v>3.6</c:v>
                </c:pt>
                <c:pt idx="639">
                  <c:v>3.6</c:v>
                </c:pt>
                <c:pt idx="640">
                  <c:v>3.6</c:v>
                </c:pt>
                <c:pt idx="641">
                  <c:v>3.6</c:v>
                </c:pt>
                <c:pt idx="642">
                  <c:v>3.6</c:v>
                </c:pt>
                <c:pt idx="643">
                  <c:v>3.6</c:v>
                </c:pt>
                <c:pt idx="644">
                  <c:v>3.6</c:v>
                </c:pt>
                <c:pt idx="645">
                  <c:v>3.6</c:v>
                </c:pt>
                <c:pt idx="646">
                  <c:v>3.6</c:v>
                </c:pt>
                <c:pt idx="647">
                  <c:v>3.6</c:v>
                </c:pt>
                <c:pt idx="648">
                  <c:v>3.6</c:v>
                </c:pt>
                <c:pt idx="649">
                  <c:v>3.6</c:v>
                </c:pt>
                <c:pt idx="650">
                  <c:v>3.6</c:v>
                </c:pt>
                <c:pt idx="651">
                  <c:v>3.6</c:v>
                </c:pt>
                <c:pt idx="652">
                  <c:v>3.6</c:v>
                </c:pt>
                <c:pt idx="653">
                  <c:v>3.6</c:v>
                </c:pt>
                <c:pt idx="654">
                  <c:v>3.6</c:v>
                </c:pt>
                <c:pt idx="655">
                  <c:v>3.6</c:v>
                </c:pt>
                <c:pt idx="656">
                  <c:v>3.6</c:v>
                </c:pt>
                <c:pt idx="657">
                  <c:v>3.6</c:v>
                </c:pt>
                <c:pt idx="658">
                  <c:v>3.6</c:v>
                </c:pt>
                <c:pt idx="659">
                  <c:v>3.6</c:v>
                </c:pt>
                <c:pt idx="660">
                  <c:v>3.6</c:v>
                </c:pt>
                <c:pt idx="661">
                  <c:v>3.6</c:v>
                </c:pt>
                <c:pt idx="662">
                  <c:v>3.6</c:v>
                </c:pt>
                <c:pt idx="663">
                  <c:v>3.6</c:v>
                </c:pt>
                <c:pt idx="664">
                  <c:v>3.6</c:v>
                </c:pt>
                <c:pt idx="665">
                  <c:v>3.6</c:v>
                </c:pt>
                <c:pt idx="666">
                  <c:v>3.6</c:v>
                </c:pt>
                <c:pt idx="667">
                  <c:v>3.6</c:v>
                </c:pt>
                <c:pt idx="668">
                  <c:v>3.6</c:v>
                </c:pt>
                <c:pt idx="669">
                  <c:v>3.6</c:v>
                </c:pt>
                <c:pt idx="670">
                  <c:v>3.6</c:v>
                </c:pt>
                <c:pt idx="671">
                  <c:v>3.6</c:v>
                </c:pt>
                <c:pt idx="672">
                  <c:v>3.6</c:v>
                </c:pt>
                <c:pt idx="673">
                  <c:v>3.6</c:v>
                </c:pt>
                <c:pt idx="674">
                  <c:v>3.6</c:v>
                </c:pt>
                <c:pt idx="675">
                  <c:v>3.6</c:v>
                </c:pt>
                <c:pt idx="676">
                  <c:v>3.6</c:v>
                </c:pt>
                <c:pt idx="677">
                  <c:v>3.6</c:v>
                </c:pt>
                <c:pt idx="678">
                  <c:v>3.6</c:v>
                </c:pt>
                <c:pt idx="679">
                  <c:v>3.6</c:v>
                </c:pt>
                <c:pt idx="680">
                  <c:v>3.6</c:v>
                </c:pt>
                <c:pt idx="681">
                  <c:v>3.6</c:v>
                </c:pt>
                <c:pt idx="682">
                  <c:v>3.6</c:v>
                </c:pt>
                <c:pt idx="683">
                  <c:v>3.6</c:v>
                </c:pt>
                <c:pt idx="684">
                  <c:v>3.6</c:v>
                </c:pt>
                <c:pt idx="685">
                  <c:v>3.6</c:v>
                </c:pt>
                <c:pt idx="686">
                  <c:v>3.6</c:v>
                </c:pt>
                <c:pt idx="687">
                  <c:v>3.6</c:v>
                </c:pt>
                <c:pt idx="688">
                  <c:v>3.6</c:v>
                </c:pt>
                <c:pt idx="689">
                  <c:v>3.6</c:v>
                </c:pt>
                <c:pt idx="690">
                  <c:v>3.6</c:v>
                </c:pt>
                <c:pt idx="691">
                  <c:v>3.6</c:v>
                </c:pt>
                <c:pt idx="692">
                  <c:v>3.6</c:v>
                </c:pt>
                <c:pt idx="693">
                  <c:v>3.6</c:v>
                </c:pt>
                <c:pt idx="694">
                  <c:v>3.6</c:v>
                </c:pt>
                <c:pt idx="695">
                  <c:v>3.6</c:v>
                </c:pt>
                <c:pt idx="696">
                  <c:v>3.6</c:v>
                </c:pt>
                <c:pt idx="697">
                  <c:v>3.6</c:v>
                </c:pt>
                <c:pt idx="698">
                  <c:v>3.6</c:v>
                </c:pt>
                <c:pt idx="699">
                  <c:v>3.6</c:v>
                </c:pt>
                <c:pt idx="700">
                  <c:v>3.6</c:v>
                </c:pt>
                <c:pt idx="701">
                  <c:v>3.6</c:v>
                </c:pt>
                <c:pt idx="702">
                  <c:v>3.6</c:v>
                </c:pt>
                <c:pt idx="703">
                  <c:v>3.6</c:v>
                </c:pt>
                <c:pt idx="704">
                  <c:v>3.6</c:v>
                </c:pt>
                <c:pt idx="705">
                  <c:v>3.6</c:v>
                </c:pt>
                <c:pt idx="706">
                  <c:v>3.6</c:v>
                </c:pt>
                <c:pt idx="707">
                  <c:v>3.6</c:v>
                </c:pt>
                <c:pt idx="708">
                  <c:v>3.6</c:v>
                </c:pt>
                <c:pt idx="709">
                  <c:v>3.6</c:v>
                </c:pt>
                <c:pt idx="710">
                  <c:v>3.6</c:v>
                </c:pt>
                <c:pt idx="711">
                  <c:v>3.6</c:v>
                </c:pt>
                <c:pt idx="712">
                  <c:v>3.6</c:v>
                </c:pt>
                <c:pt idx="713">
                  <c:v>3.6</c:v>
                </c:pt>
                <c:pt idx="714">
                  <c:v>3.6</c:v>
                </c:pt>
                <c:pt idx="715">
                  <c:v>3.6</c:v>
                </c:pt>
                <c:pt idx="716">
                  <c:v>3.6</c:v>
                </c:pt>
                <c:pt idx="717">
                  <c:v>3.6</c:v>
                </c:pt>
                <c:pt idx="718">
                  <c:v>3.6</c:v>
                </c:pt>
                <c:pt idx="719">
                  <c:v>3.6</c:v>
                </c:pt>
                <c:pt idx="720">
                  <c:v>3.6</c:v>
                </c:pt>
                <c:pt idx="721">
                  <c:v>3.6</c:v>
                </c:pt>
                <c:pt idx="722">
                  <c:v>4.0999999999999996</c:v>
                </c:pt>
                <c:pt idx="723">
                  <c:v>4.0999999999999996</c:v>
                </c:pt>
                <c:pt idx="724">
                  <c:v>4.2</c:v>
                </c:pt>
                <c:pt idx="725">
                  <c:v>4.2</c:v>
                </c:pt>
                <c:pt idx="726">
                  <c:v>4.2</c:v>
                </c:pt>
                <c:pt idx="727">
                  <c:v>4.3</c:v>
                </c:pt>
                <c:pt idx="728">
                  <c:v>4.3</c:v>
                </c:pt>
                <c:pt idx="729">
                  <c:v>4.3</c:v>
                </c:pt>
                <c:pt idx="730">
                  <c:v>4.3</c:v>
                </c:pt>
                <c:pt idx="731">
                  <c:v>4.3</c:v>
                </c:pt>
                <c:pt idx="732">
                  <c:v>4.3</c:v>
                </c:pt>
                <c:pt idx="733">
                  <c:v>4.3</c:v>
                </c:pt>
                <c:pt idx="734">
                  <c:v>4.3</c:v>
                </c:pt>
                <c:pt idx="735">
                  <c:v>4.3</c:v>
                </c:pt>
                <c:pt idx="736">
                  <c:v>4.3</c:v>
                </c:pt>
                <c:pt idx="737">
                  <c:v>4.4000000000000004</c:v>
                </c:pt>
                <c:pt idx="738">
                  <c:v>4.4000000000000004</c:v>
                </c:pt>
                <c:pt idx="739">
                  <c:v>4.4000000000000004</c:v>
                </c:pt>
                <c:pt idx="740">
                  <c:v>4.4000000000000004</c:v>
                </c:pt>
                <c:pt idx="741">
                  <c:v>4.4000000000000004</c:v>
                </c:pt>
                <c:pt idx="742">
                  <c:v>4.4000000000000004</c:v>
                </c:pt>
                <c:pt idx="743">
                  <c:v>4.4000000000000004</c:v>
                </c:pt>
                <c:pt idx="744">
                  <c:v>4.4000000000000004</c:v>
                </c:pt>
                <c:pt idx="745">
                  <c:v>4.4000000000000004</c:v>
                </c:pt>
                <c:pt idx="746">
                  <c:v>4.4000000000000004</c:v>
                </c:pt>
                <c:pt idx="747">
                  <c:v>4.4000000000000004</c:v>
                </c:pt>
                <c:pt idx="748">
                  <c:v>4.4000000000000004</c:v>
                </c:pt>
                <c:pt idx="749">
                  <c:v>4.4000000000000004</c:v>
                </c:pt>
                <c:pt idx="750">
                  <c:v>4.5</c:v>
                </c:pt>
                <c:pt idx="751">
                  <c:v>4.5</c:v>
                </c:pt>
                <c:pt idx="752">
                  <c:v>4.5</c:v>
                </c:pt>
                <c:pt idx="753">
                  <c:v>4.5</c:v>
                </c:pt>
                <c:pt idx="754">
                  <c:v>4.5</c:v>
                </c:pt>
                <c:pt idx="755">
                  <c:v>4.5</c:v>
                </c:pt>
                <c:pt idx="756">
                  <c:v>4.5</c:v>
                </c:pt>
                <c:pt idx="757">
                  <c:v>4.5</c:v>
                </c:pt>
                <c:pt idx="758">
                  <c:v>4.5</c:v>
                </c:pt>
                <c:pt idx="759">
                  <c:v>4.5</c:v>
                </c:pt>
                <c:pt idx="760">
                  <c:v>4.5</c:v>
                </c:pt>
                <c:pt idx="761">
                  <c:v>4.5999999999999996</c:v>
                </c:pt>
                <c:pt idx="762">
                  <c:v>4.5999999999999996</c:v>
                </c:pt>
                <c:pt idx="763">
                  <c:v>4.5999999999999996</c:v>
                </c:pt>
                <c:pt idx="764">
                  <c:v>4.5999999999999996</c:v>
                </c:pt>
                <c:pt idx="765">
                  <c:v>4.5999999999999996</c:v>
                </c:pt>
                <c:pt idx="766">
                  <c:v>4.5999999999999996</c:v>
                </c:pt>
                <c:pt idx="767">
                  <c:v>4.5999999999999996</c:v>
                </c:pt>
                <c:pt idx="768">
                  <c:v>4.5999999999999996</c:v>
                </c:pt>
                <c:pt idx="769">
                  <c:v>4.5999999999999996</c:v>
                </c:pt>
                <c:pt idx="770">
                  <c:v>4.5999999999999996</c:v>
                </c:pt>
                <c:pt idx="771">
                  <c:v>4.5999999999999996</c:v>
                </c:pt>
                <c:pt idx="772">
                  <c:v>4.5999999999999996</c:v>
                </c:pt>
                <c:pt idx="773">
                  <c:v>4.5999999999999996</c:v>
                </c:pt>
                <c:pt idx="774">
                  <c:v>4.5999999999999996</c:v>
                </c:pt>
                <c:pt idx="775">
                  <c:v>4.5999999999999996</c:v>
                </c:pt>
                <c:pt idx="776">
                  <c:v>4.5999999999999996</c:v>
                </c:pt>
                <c:pt idx="777">
                  <c:v>4.5999999999999996</c:v>
                </c:pt>
                <c:pt idx="778">
                  <c:v>4.5999999999999996</c:v>
                </c:pt>
                <c:pt idx="779">
                  <c:v>4.5999999999999996</c:v>
                </c:pt>
                <c:pt idx="780">
                  <c:v>4.5999999999999996</c:v>
                </c:pt>
                <c:pt idx="781">
                  <c:v>4.5999999999999996</c:v>
                </c:pt>
                <c:pt idx="782">
                  <c:v>4.5999999999999996</c:v>
                </c:pt>
                <c:pt idx="783">
                  <c:v>4.5999999999999996</c:v>
                </c:pt>
                <c:pt idx="784">
                  <c:v>4.5999999999999996</c:v>
                </c:pt>
                <c:pt idx="785">
                  <c:v>4.5999999999999996</c:v>
                </c:pt>
                <c:pt idx="786">
                  <c:v>5.0999999999999996</c:v>
                </c:pt>
                <c:pt idx="787">
                  <c:v>5.0999999999999996</c:v>
                </c:pt>
                <c:pt idx="788">
                  <c:v>5.0999999999999996</c:v>
                </c:pt>
                <c:pt idx="789">
                  <c:v>5.0999999999999996</c:v>
                </c:pt>
                <c:pt idx="790">
                  <c:v>5.0999999999999996</c:v>
                </c:pt>
                <c:pt idx="791">
                  <c:v>5.0999999999999996</c:v>
                </c:pt>
                <c:pt idx="792">
                  <c:v>5.0999999999999996</c:v>
                </c:pt>
                <c:pt idx="793">
                  <c:v>5.2</c:v>
                </c:pt>
                <c:pt idx="794">
                  <c:v>5.2</c:v>
                </c:pt>
                <c:pt idx="795">
                  <c:v>5.2</c:v>
                </c:pt>
                <c:pt idx="796">
                  <c:v>5.3</c:v>
                </c:pt>
                <c:pt idx="797">
                  <c:v>5.3</c:v>
                </c:pt>
                <c:pt idx="798">
                  <c:v>5.3</c:v>
                </c:pt>
                <c:pt idx="799">
                  <c:v>5.3</c:v>
                </c:pt>
                <c:pt idx="800">
                  <c:v>5.3</c:v>
                </c:pt>
                <c:pt idx="801">
                  <c:v>5.3</c:v>
                </c:pt>
                <c:pt idx="802">
                  <c:v>5.3</c:v>
                </c:pt>
                <c:pt idx="803">
                  <c:v>5.3</c:v>
                </c:pt>
                <c:pt idx="804">
                  <c:v>5.3</c:v>
                </c:pt>
                <c:pt idx="805">
                  <c:v>5.3</c:v>
                </c:pt>
                <c:pt idx="806">
                  <c:v>5.3</c:v>
                </c:pt>
                <c:pt idx="807">
                  <c:v>5.3</c:v>
                </c:pt>
                <c:pt idx="808">
                  <c:v>5.3</c:v>
                </c:pt>
                <c:pt idx="809">
                  <c:v>5.3</c:v>
                </c:pt>
                <c:pt idx="810">
                  <c:v>5.3</c:v>
                </c:pt>
                <c:pt idx="811">
                  <c:v>5.3</c:v>
                </c:pt>
                <c:pt idx="812">
                  <c:v>5.3</c:v>
                </c:pt>
                <c:pt idx="813">
                  <c:v>5.3</c:v>
                </c:pt>
                <c:pt idx="814">
                  <c:v>5.3</c:v>
                </c:pt>
                <c:pt idx="815">
                  <c:v>5.3</c:v>
                </c:pt>
                <c:pt idx="816">
                  <c:v>5.3</c:v>
                </c:pt>
                <c:pt idx="817">
                  <c:v>5.4</c:v>
                </c:pt>
                <c:pt idx="818">
                  <c:v>5.4</c:v>
                </c:pt>
                <c:pt idx="819">
                  <c:v>5.4</c:v>
                </c:pt>
                <c:pt idx="820">
                  <c:v>5.4</c:v>
                </c:pt>
                <c:pt idx="821">
                  <c:v>5.4</c:v>
                </c:pt>
                <c:pt idx="822">
                  <c:v>5.4</c:v>
                </c:pt>
                <c:pt idx="823">
                  <c:v>5.4</c:v>
                </c:pt>
                <c:pt idx="824">
                  <c:v>5.4</c:v>
                </c:pt>
                <c:pt idx="825">
                  <c:v>5.4</c:v>
                </c:pt>
                <c:pt idx="826">
                  <c:v>5.4</c:v>
                </c:pt>
                <c:pt idx="827">
                  <c:v>5.4</c:v>
                </c:pt>
                <c:pt idx="828">
                  <c:v>5.4</c:v>
                </c:pt>
                <c:pt idx="829">
                  <c:v>5.4</c:v>
                </c:pt>
                <c:pt idx="830">
                  <c:v>5.4</c:v>
                </c:pt>
                <c:pt idx="831">
                  <c:v>5.4</c:v>
                </c:pt>
                <c:pt idx="832">
                  <c:v>5.4</c:v>
                </c:pt>
                <c:pt idx="833">
                  <c:v>5.4</c:v>
                </c:pt>
                <c:pt idx="834">
                  <c:v>5.4</c:v>
                </c:pt>
                <c:pt idx="835">
                  <c:v>5.4</c:v>
                </c:pt>
                <c:pt idx="836">
                  <c:v>5.5</c:v>
                </c:pt>
                <c:pt idx="837">
                  <c:v>5.5</c:v>
                </c:pt>
                <c:pt idx="838">
                  <c:v>5.5</c:v>
                </c:pt>
                <c:pt idx="839">
                  <c:v>5.5</c:v>
                </c:pt>
                <c:pt idx="840">
                  <c:v>5.5</c:v>
                </c:pt>
                <c:pt idx="841">
                  <c:v>5.5</c:v>
                </c:pt>
                <c:pt idx="842">
                  <c:v>5.5</c:v>
                </c:pt>
                <c:pt idx="843">
                  <c:v>5.5</c:v>
                </c:pt>
                <c:pt idx="844">
                  <c:v>5.5</c:v>
                </c:pt>
                <c:pt idx="845">
                  <c:v>5.5</c:v>
                </c:pt>
                <c:pt idx="846">
                  <c:v>5.5</c:v>
                </c:pt>
                <c:pt idx="847">
                  <c:v>5.5</c:v>
                </c:pt>
                <c:pt idx="848">
                  <c:v>5.5</c:v>
                </c:pt>
                <c:pt idx="849">
                  <c:v>5.5</c:v>
                </c:pt>
                <c:pt idx="850">
                  <c:v>5.5</c:v>
                </c:pt>
                <c:pt idx="851">
                  <c:v>5.5</c:v>
                </c:pt>
                <c:pt idx="852">
                  <c:v>5.5</c:v>
                </c:pt>
                <c:pt idx="853">
                  <c:v>5.5</c:v>
                </c:pt>
                <c:pt idx="854">
                  <c:v>5.6</c:v>
                </c:pt>
                <c:pt idx="855">
                  <c:v>5.6</c:v>
                </c:pt>
                <c:pt idx="856">
                  <c:v>5.6</c:v>
                </c:pt>
                <c:pt idx="857">
                  <c:v>5.6</c:v>
                </c:pt>
                <c:pt idx="858">
                  <c:v>5.6</c:v>
                </c:pt>
                <c:pt idx="859">
                  <c:v>5.6</c:v>
                </c:pt>
                <c:pt idx="860">
                  <c:v>5.6</c:v>
                </c:pt>
                <c:pt idx="861">
                  <c:v>5.6</c:v>
                </c:pt>
                <c:pt idx="862">
                  <c:v>5.6</c:v>
                </c:pt>
                <c:pt idx="863">
                  <c:v>5.6</c:v>
                </c:pt>
                <c:pt idx="864">
                  <c:v>5.6</c:v>
                </c:pt>
                <c:pt idx="865">
                  <c:v>5.6</c:v>
                </c:pt>
                <c:pt idx="866">
                  <c:v>5.6</c:v>
                </c:pt>
                <c:pt idx="867">
                  <c:v>5.6</c:v>
                </c:pt>
                <c:pt idx="868">
                  <c:v>5.6</c:v>
                </c:pt>
                <c:pt idx="869">
                  <c:v>5.6</c:v>
                </c:pt>
                <c:pt idx="870">
                  <c:v>5.6</c:v>
                </c:pt>
                <c:pt idx="871">
                  <c:v>5.6</c:v>
                </c:pt>
                <c:pt idx="872">
                  <c:v>5.6</c:v>
                </c:pt>
                <c:pt idx="873">
                  <c:v>5.6</c:v>
                </c:pt>
                <c:pt idx="874">
                  <c:v>5.6</c:v>
                </c:pt>
                <c:pt idx="875">
                  <c:v>5.6</c:v>
                </c:pt>
                <c:pt idx="876">
                  <c:v>5.6</c:v>
                </c:pt>
                <c:pt idx="877">
                  <c:v>5.6</c:v>
                </c:pt>
                <c:pt idx="878">
                  <c:v>5.6</c:v>
                </c:pt>
                <c:pt idx="879">
                  <c:v>5.6</c:v>
                </c:pt>
                <c:pt idx="880">
                  <c:v>5.6</c:v>
                </c:pt>
                <c:pt idx="881">
                  <c:v>5.6</c:v>
                </c:pt>
                <c:pt idx="882">
                  <c:v>5.6</c:v>
                </c:pt>
                <c:pt idx="883">
                  <c:v>5.6</c:v>
                </c:pt>
                <c:pt idx="884">
                  <c:v>5.6</c:v>
                </c:pt>
                <c:pt idx="885">
                  <c:v>5.6</c:v>
                </c:pt>
                <c:pt idx="886">
                  <c:v>5.6</c:v>
                </c:pt>
                <c:pt idx="887">
                  <c:v>5.6</c:v>
                </c:pt>
                <c:pt idx="888">
                  <c:v>5.6</c:v>
                </c:pt>
                <c:pt idx="889">
                  <c:v>5.6</c:v>
                </c:pt>
                <c:pt idx="890">
                  <c:v>5.6</c:v>
                </c:pt>
                <c:pt idx="891">
                  <c:v>5.6</c:v>
                </c:pt>
                <c:pt idx="892">
                  <c:v>5.6</c:v>
                </c:pt>
                <c:pt idx="893">
                  <c:v>5.6</c:v>
                </c:pt>
                <c:pt idx="894">
                  <c:v>5.6</c:v>
                </c:pt>
                <c:pt idx="895">
                  <c:v>5.6</c:v>
                </c:pt>
                <c:pt idx="896">
                  <c:v>5.6</c:v>
                </c:pt>
                <c:pt idx="897">
                  <c:v>5.6</c:v>
                </c:pt>
                <c:pt idx="898">
                  <c:v>5.6</c:v>
                </c:pt>
                <c:pt idx="899">
                  <c:v>5.6</c:v>
                </c:pt>
                <c:pt idx="900">
                  <c:v>5.6</c:v>
                </c:pt>
                <c:pt idx="901">
                  <c:v>5.6</c:v>
                </c:pt>
                <c:pt idx="902">
                  <c:v>5.6</c:v>
                </c:pt>
                <c:pt idx="903">
                  <c:v>5.6</c:v>
                </c:pt>
                <c:pt idx="904">
                  <c:v>5.6</c:v>
                </c:pt>
                <c:pt idx="905">
                  <c:v>5.6</c:v>
                </c:pt>
                <c:pt idx="906">
                  <c:v>6.1</c:v>
                </c:pt>
                <c:pt idx="907">
                  <c:v>6.1</c:v>
                </c:pt>
                <c:pt idx="908">
                  <c:v>6.1</c:v>
                </c:pt>
                <c:pt idx="909">
                  <c:v>6.3</c:v>
                </c:pt>
                <c:pt idx="910">
                  <c:v>6.3</c:v>
                </c:pt>
                <c:pt idx="911">
                  <c:v>7.1</c:v>
                </c:pt>
                <c:pt idx="912">
                  <c:v>7.1</c:v>
                </c:pt>
                <c:pt idx="913">
                  <c:v>7.1</c:v>
                </c:pt>
                <c:pt idx="914">
                  <c:v>7.1</c:v>
                </c:pt>
                <c:pt idx="915">
                  <c:v>7.1</c:v>
                </c:pt>
                <c:pt idx="916">
                  <c:v>7.2</c:v>
                </c:pt>
                <c:pt idx="917">
                  <c:v>7.2</c:v>
                </c:pt>
                <c:pt idx="918">
                  <c:v>7.3</c:v>
                </c:pt>
                <c:pt idx="919">
                  <c:v>7.3</c:v>
                </c:pt>
                <c:pt idx="920">
                  <c:v>7.3</c:v>
                </c:pt>
                <c:pt idx="921">
                  <c:v>7.3</c:v>
                </c:pt>
                <c:pt idx="922">
                  <c:v>7.3</c:v>
                </c:pt>
                <c:pt idx="923">
                  <c:v>7.4</c:v>
                </c:pt>
                <c:pt idx="924">
                  <c:v>7.4</c:v>
                </c:pt>
                <c:pt idx="925">
                  <c:v>7.4</c:v>
                </c:pt>
                <c:pt idx="926">
                  <c:v>7.4</c:v>
                </c:pt>
                <c:pt idx="927">
                  <c:v>7.4</c:v>
                </c:pt>
                <c:pt idx="928">
                  <c:v>7.4</c:v>
                </c:pt>
                <c:pt idx="929">
                  <c:v>7.4</c:v>
                </c:pt>
                <c:pt idx="930">
                  <c:v>7.4</c:v>
                </c:pt>
                <c:pt idx="931">
                  <c:v>7.5</c:v>
                </c:pt>
                <c:pt idx="932">
                  <c:v>7.5</c:v>
                </c:pt>
                <c:pt idx="933">
                  <c:v>7.5</c:v>
                </c:pt>
                <c:pt idx="934">
                  <c:v>7.5</c:v>
                </c:pt>
                <c:pt idx="935">
                  <c:v>7.5</c:v>
                </c:pt>
                <c:pt idx="936">
                  <c:v>7.5</c:v>
                </c:pt>
                <c:pt idx="937">
                  <c:v>7.5</c:v>
                </c:pt>
                <c:pt idx="938">
                  <c:v>7.5</c:v>
                </c:pt>
                <c:pt idx="939">
                  <c:v>7.5</c:v>
                </c:pt>
                <c:pt idx="940">
                  <c:v>7.5</c:v>
                </c:pt>
                <c:pt idx="941">
                  <c:v>7.5</c:v>
                </c:pt>
                <c:pt idx="942">
                  <c:v>7.5</c:v>
                </c:pt>
                <c:pt idx="943">
                  <c:v>7.5</c:v>
                </c:pt>
                <c:pt idx="944">
                  <c:v>7.5</c:v>
                </c:pt>
                <c:pt idx="945">
                  <c:v>7.5</c:v>
                </c:pt>
                <c:pt idx="946">
                  <c:v>7.6</c:v>
                </c:pt>
                <c:pt idx="947">
                  <c:v>7.6</c:v>
                </c:pt>
                <c:pt idx="948">
                  <c:v>7.6</c:v>
                </c:pt>
                <c:pt idx="949">
                  <c:v>7.6</c:v>
                </c:pt>
                <c:pt idx="950">
                  <c:v>7.6</c:v>
                </c:pt>
                <c:pt idx="951">
                  <c:v>7.6</c:v>
                </c:pt>
                <c:pt idx="952">
                  <c:v>7.6</c:v>
                </c:pt>
                <c:pt idx="953">
                  <c:v>7.6</c:v>
                </c:pt>
                <c:pt idx="954">
                  <c:v>7.6</c:v>
                </c:pt>
                <c:pt idx="955">
                  <c:v>7.6</c:v>
                </c:pt>
                <c:pt idx="956">
                  <c:v>7.6</c:v>
                </c:pt>
                <c:pt idx="957">
                  <c:v>7.6</c:v>
                </c:pt>
                <c:pt idx="958">
                  <c:v>7.6</c:v>
                </c:pt>
                <c:pt idx="959">
                  <c:v>7.6</c:v>
                </c:pt>
                <c:pt idx="960">
                  <c:v>7.6</c:v>
                </c:pt>
                <c:pt idx="961">
                  <c:v>7.6</c:v>
                </c:pt>
                <c:pt idx="962">
                  <c:v>7.6</c:v>
                </c:pt>
                <c:pt idx="963">
                  <c:v>7.6</c:v>
                </c:pt>
                <c:pt idx="964">
                  <c:v>7.6</c:v>
                </c:pt>
                <c:pt idx="965">
                  <c:v>7.6</c:v>
                </c:pt>
                <c:pt idx="966">
                  <c:v>7.6</c:v>
                </c:pt>
                <c:pt idx="967">
                  <c:v>7.6</c:v>
                </c:pt>
                <c:pt idx="968">
                  <c:v>7.6</c:v>
                </c:pt>
                <c:pt idx="969">
                  <c:v>7.6</c:v>
                </c:pt>
                <c:pt idx="970">
                  <c:v>7.6</c:v>
                </c:pt>
                <c:pt idx="971">
                  <c:v>7.6</c:v>
                </c:pt>
                <c:pt idx="972">
                  <c:v>7.6</c:v>
                </c:pt>
                <c:pt idx="973">
                  <c:v>7.6</c:v>
                </c:pt>
                <c:pt idx="974">
                  <c:v>7.6</c:v>
                </c:pt>
                <c:pt idx="975">
                  <c:v>7.6</c:v>
                </c:pt>
                <c:pt idx="976">
                  <c:v>7.6</c:v>
                </c:pt>
                <c:pt idx="977">
                  <c:v>7.6</c:v>
                </c:pt>
                <c:pt idx="978">
                  <c:v>7.6</c:v>
                </c:pt>
                <c:pt idx="979">
                  <c:v>7.6</c:v>
                </c:pt>
                <c:pt idx="980">
                  <c:v>7.6</c:v>
                </c:pt>
                <c:pt idx="981">
                  <c:v>7.6</c:v>
                </c:pt>
                <c:pt idx="982">
                  <c:v>7.6</c:v>
                </c:pt>
                <c:pt idx="983">
                  <c:v>7.6</c:v>
                </c:pt>
                <c:pt idx="984">
                  <c:v>7.6</c:v>
                </c:pt>
                <c:pt idx="985">
                  <c:v>7.6</c:v>
                </c:pt>
                <c:pt idx="986">
                  <c:v>7.6</c:v>
                </c:pt>
                <c:pt idx="987">
                  <c:v>7.6</c:v>
                </c:pt>
                <c:pt idx="988">
                  <c:v>7.6</c:v>
                </c:pt>
                <c:pt idx="989">
                  <c:v>7.6</c:v>
                </c:pt>
                <c:pt idx="990">
                  <c:v>7.6</c:v>
                </c:pt>
                <c:pt idx="991">
                  <c:v>7.6</c:v>
                </c:pt>
                <c:pt idx="992">
                  <c:v>7.6</c:v>
                </c:pt>
                <c:pt idx="993">
                  <c:v>7.6</c:v>
                </c:pt>
                <c:pt idx="994">
                  <c:v>7.6</c:v>
                </c:pt>
                <c:pt idx="995">
                  <c:v>7.6</c:v>
                </c:pt>
                <c:pt idx="996">
                  <c:v>7.6</c:v>
                </c:pt>
                <c:pt idx="997">
                  <c:v>8.1</c:v>
                </c:pt>
                <c:pt idx="998">
                  <c:v>8.1</c:v>
                </c:pt>
                <c:pt idx="999">
                  <c:v>8.2000000000000011</c:v>
                </c:pt>
                <c:pt idx="1000">
                  <c:v>8.2000000000000011</c:v>
                </c:pt>
                <c:pt idx="1001">
                  <c:v>8.2000000000000011</c:v>
                </c:pt>
                <c:pt idx="1002">
                  <c:v>8.2000000000000011</c:v>
                </c:pt>
                <c:pt idx="1003">
                  <c:v>8.3000000000000007</c:v>
                </c:pt>
                <c:pt idx="1004">
                  <c:v>8.3000000000000007</c:v>
                </c:pt>
                <c:pt idx="1005">
                  <c:v>8.3000000000000007</c:v>
                </c:pt>
                <c:pt idx="1006">
                  <c:v>8.3000000000000007</c:v>
                </c:pt>
                <c:pt idx="1007">
                  <c:v>8.3000000000000007</c:v>
                </c:pt>
                <c:pt idx="1008">
                  <c:v>8.3000000000000007</c:v>
                </c:pt>
                <c:pt idx="1009">
                  <c:v>8.4</c:v>
                </c:pt>
                <c:pt idx="1010">
                  <c:v>8.4</c:v>
                </c:pt>
                <c:pt idx="1011">
                  <c:v>8.4</c:v>
                </c:pt>
                <c:pt idx="1012">
                  <c:v>8.4</c:v>
                </c:pt>
                <c:pt idx="1013">
                  <c:v>8.4</c:v>
                </c:pt>
                <c:pt idx="1014">
                  <c:v>8.4</c:v>
                </c:pt>
                <c:pt idx="1015">
                  <c:v>8.4</c:v>
                </c:pt>
                <c:pt idx="1016">
                  <c:v>8.5</c:v>
                </c:pt>
                <c:pt idx="1017">
                  <c:v>8.5</c:v>
                </c:pt>
                <c:pt idx="1018">
                  <c:v>8.5</c:v>
                </c:pt>
                <c:pt idx="1019">
                  <c:v>8.5</c:v>
                </c:pt>
                <c:pt idx="1020">
                  <c:v>8.5</c:v>
                </c:pt>
                <c:pt idx="1021">
                  <c:v>8.5</c:v>
                </c:pt>
                <c:pt idx="1022">
                  <c:v>8.5</c:v>
                </c:pt>
                <c:pt idx="1023">
                  <c:v>8.5</c:v>
                </c:pt>
                <c:pt idx="1024">
                  <c:v>8.5</c:v>
                </c:pt>
                <c:pt idx="1025">
                  <c:v>8.5</c:v>
                </c:pt>
                <c:pt idx="1026">
                  <c:v>8.5</c:v>
                </c:pt>
                <c:pt idx="1027">
                  <c:v>8.5</c:v>
                </c:pt>
                <c:pt idx="1028">
                  <c:v>8.5</c:v>
                </c:pt>
                <c:pt idx="1029">
                  <c:v>8.5</c:v>
                </c:pt>
                <c:pt idx="1030">
                  <c:v>8.6</c:v>
                </c:pt>
                <c:pt idx="1031">
                  <c:v>8.6</c:v>
                </c:pt>
                <c:pt idx="1032">
                  <c:v>8.6</c:v>
                </c:pt>
                <c:pt idx="1033">
                  <c:v>8.6</c:v>
                </c:pt>
                <c:pt idx="1034">
                  <c:v>8.6</c:v>
                </c:pt>
                <c:pt idx="1035">
                  <c:v>8.6</c:v>
                </c:pt>
                <c:pt idx="1036">
                  <c:v>8.6</c:v>
                </c:pt>
                <c:pt idx="1037">
                  <c:v>8.6</c:v>
                </c:pt>
                <c:pt idx="1038">
                  <c:v>8.6</c:v>
                </c:pt>
                <c:pt idx="1039">
                  <c:v>8.6</c:v>
                </c:pt>
                <c:pt idx="1040">
                  <c:v>8.6</c:v>
                </c:pt>
                <c:pt idx="1041">
                  <c:v>8.6</c:v>
                </c:pt>
                <c:pt idx="1042">
                  <c:v>8.6</c:v>
                </c:pt>
                <c:pt idx="1043">
                  <c:v>8.6</c:v>
                </c:pt>
                <c:pt idx="1044">
                  <c:v>8.6</c:v>
                </c:pt>
                <c:pt idx="1045">
                  <c:v>8.6</c:v>
                </c:pt>
                <c:pt idx="1046">
                  <c:v>8.6</c:v>
                </c:pt>
                <c:pt idx="1047">
                  <c:v>8.6</c:v>
                </c:pt>
                <c:pt idx="1048">
                  <c:v>8.6</c:v>
                </c:pt>
                <c:pt idx="1049">
                  <c:v>8.6</c:v>
                </c:pt>
                <c:pt idx="1050">
                  <c:v>8.6</c:v>
                </c:pt>
                <c:pt idx="1051">
                  <c:v>8.6</c:v>
                </c:pt>
                <c:pt idx="1052">
                  <c:v>8.6</c:v>
                </c:pt>
                <c:pt idx="1053">
                  <c:v>8.6</c:v>
                </c:pt>
                <c:pt idx="1054">
                  <c:v>8.6</c:v>
                </c:pt>
                <c:pt idx="1055">
                  <c:v>8.6</c:v>
                </c:pt>
                <c:pt idx="1056">
                  <c:v>8.6</c:v>
                </c:pt>
                <c:pt idx="1057">
                  <c:v>9.1</c:v>
                </c:pt>
                <c:pt idx="1058">
                  <c:v>9.1</c:v>
                </c:pt>
                <c:pt idx="1059">
                  <c:v>9.1</c:v>
                </c:pt>
                <c:pt idx="1060">
                  <c:v>9.2000000000000011</c:v>
                </c:pt>
                <c:pt idx="1061">
                  <c:v>9.3000000000000007</c:v>
                </c:pt>
                <c:pt idx="1062">
                  <c:v>9.3000000000000007</c:v>
                </c:pt>
                <c:pt idx="1063">
                  <c:v>9.3000000000000007</c:v>
                </c:pt>
                <c:pt idx="1064">
                  <c:v>9.3000000000000007</c:v>
                </c:pt>
                <c:pt idx="1065">
                  <c:v>9.4</c:v>
                </c:pt>
                <c:pt idx="1066">
                  <c:v>9.4</c:v>
                </c:pt>
                <c:pt idx="1067">
                  <c:v>9.4</c:v>
                </c:pt>
                <c:pt idx="1068">
                  <c:v>9.4</c:v>
                </c:pt>
                <c:pt idx="1069">
                  <c:v>9.4</c:v>
                </c:pt>
                <c:pt idx="1070">
                  <c:v>9.4</c:v>
                </c:pt>
                <c:pt idx="1071">
                  <c:v>9.5</c:v>
                </c:pt>
                <c:pt idx="1072">
                  <c:v>9.5</c:v>
                </c:pt>
                <c:pt idx="1073">
                  <c:v>9.5</c:v>
                </c:pt>
                <c:pt idx="1074">
                  <c:v>9.5</c:v>
                </c:pt>
                <c:pt idx="1075">
                  <c:v>9.5</c:v>
                </c:pt>
                <c:pt idx="1076">
                  <c:v>9.5</c:v>
                </c:pt>
                <c:pt idx="1077">
                  <c:v>9.6</c:v>
                </c:pt>
                <c:pt idx="1078">
                  <c:v>9.6</c:v>
                </c:pt>
                <c:pt idx="1079">
                  <c:v>9.6</c:v>
                </c:pt>
                <c:pt idx="1080">
                  <c:v>9.6</c:v>
                </c:pt>
                <c:pt idx="1081">
                  <c:v>9.6</c:v>
                </c:pt>
                <c:pt idx="1082">
                  <c:v>9.6</c:v>
                </c:pt>
                <c:pt idx="1083">
                  <c:v>9.6</c:v>
                </c:pt>
                <c:pt idx="1084">
                  <c:v>9.6</c:v>
                </c:pt>
                <c:pt idx="1085">
                  <c:v>9.6</c:v>
                </c:pt>
                <c:pt idx="1086">
                  <c:v>9.6</c:v>
                </c:pt>
                <c:pt idx="1087">
                  <c:v>9.6</c:v>
                </c:pt>
                <c:pt idx="1088">
                  <c:v>9.6</c:v>
                </c:pt>
                <c:pt idx="1089">
                  <c:v>10.3</c:v>
                </c:pt>
                <c:pt idx="1090">
                  <c:v>10.3</c:v>
                </c:pt>
                <c:pt idx="1091">
                  <c:v>10.4</c:v>
                </c:pt>
                <c:pt idx="1092">
                  <c:v>10.4</c:v>
                </c:pt>
                <c:pt idx="1093">
                  <c:v>10.4</c:v>
                </c:pt>
                <c:pt idx="1094">
                  <c:v>10.4</c:v>
                </c:pt>
                <c:pt idx="1095">
                  <c:v>10.4</c:v>
                </c:pt>
                <c:pt idx="1096">
                  <c:v>10.5</c:v>
                </c:pt>
                <c:pt idx="1097">
                  <c:v>10.5</c:v>
                </c:pt>
                <c:pt idx="1098">
                  <c:v>10.5</c:v>
                </c:pt>
                <c:pt idx="1099">
                  <c:v>10.6</c:v>
                </c:pt>
                <c:pt idx="1100">
                  <c:v>10.6</c:v>
                </c:pt>
                <c:pt idx="1101">
                  <c:v>10.6</c:v>
                </c:pt>
                <c:pt idx="1102">
                  <c:v>10.6</c:v>
                </c:pt>
                <c:pt idx="1103">
                  <c:v>10.6</c:v>
                </c:pt>
                <c:pt idx="1104">
                  <c:v>10.6</c:v>
                </c:pt>
                <c:pt idx="1105">
                  <c:v>10.6</c:v>
                </c:pt>
                <c:pt idx="1106">
                  <c:v>10.6</c:v>
                </c:pt>
                <c:pt idx="1107">
                  <c:v>10.6</c:v>
                </c:pt>
                <c:pt idx="1108">
                  <c:v>10.6</c:v>
                </c:pt>
                <c:pt idx="1109">
                  <c:v>10.6</c:v>
                </c:pt>
                <c:pt idx="1110">
                  <c:v>10.6</c:v>
                </c:pt>
                <c:pt idx="1111">
                  <c:v>10.6</c:v>
                </c:pt>
                <c:pt idx="1112">
                  <c:v>10.6</c:v>
                </c:pt>
                <c:pt idx="1113">
                  <c:v>10.6</c:v>
                </c:pt>
                <c:pt idx="1114">
                  <c:v>10.6</c:v>
                </c:pt>
                <c:pt idx="1115">
                  <c:v>11.4</c:v>
                </c:pt>
                <c:pt idx="1116">
                  <c:v>11.6</c:v>
                </c:pt>
                <c:pt idx="1117">
                  <c:v>12.1</c:v>
                </c:pt>
                <c:pt idx="1118">
                  <c:v>12.2</c:v>
                </c:pt>
                <c:pt idx="1119">
                  <c:v>12.5</c:v>
                </c:pt>
                <c:pt idx="1120">
                  <c:v>12.6</c:v>
                </c:pt>
                <c:pt idx="1121">
                  <c:v>12.6</c:v>
                </c:pt>
                <c:pt idx="1122">
                  <c:v>12.6</c:v>
                </c:pt>
                <c:pt idx="1123">
                  <c:v>12.6</c:v>
                </c:pt>
                <c:pt idx="1124">
                  <c:v>12.6</c:v>
                </c:pt>
                <c:pt idx="1125">
                  <c:v>14.5</c:v>
                </c:pt>
              </c:numCache>
            </c:numRef>
          </c:xVal>
          <c:yVal>
            <c:numRef>
              <c:f>Sheet1!$B$2:$B$1127</c:f>
              <c:numCache>
                <c:formatCode>General</c:formatCode>
                <c:ptCount val="1126"/>
                <c:pt idx="0">
                  <c:v>200</c:v>
                </c:pt>
                <c:pt idx="1">
                  <c:v>200</c:v>
                </c:pt>
                <c:pt idx="2">
                  <c:v>210</c:v>
                </c:pt>
                <c:pt idx="3">
                  <c:v>212</c:v>
                </c:pt>
                <c:pt idx="4">
                  <c:v>215</c:v>
                </c:pt>
                <c:pt idx="5">
                  <c:v>219</c:v>
                </c:pt>
                <c:pt idx="6">
                  <c:v>224</c:v>
                </c:pt>
                <c:pt idx="7">
                  <c:v>213</c:v>
                </c:pt>
                <c:pt idx="8">
                  <c:v>209</c:v>
                </c:pt>
                <c:pt idx="9">
                  <c:v>206</c:v>
                </c:pt>
                <c:pt idx="10">
                  <c:v>204</c:v>
                </c:pt>
                <c:pt idx="11">
                  <c:v>202</c:v>
                </c:pt>
                <c:pt idx="12">
                  <c:v>200</c:v>
                </c:pt>
                <c:pt idx="14">
                  <c:v>202</c:v>
                </c:pt>
                <c:pt idx="15">
                  <c:v>207</c:v>
                </c:pt>
                <c:pt idx="16">
                  <c:v>218</c:v>
                </c:pt>
                <c:pt idx="17">
                  <c:v>229</c:v>
                </c:pt>
                <c:pt idx="18">
                  <c:v>241</c:v>
                </c:pt>
                <c:pt idx="19">
                  <c:v>256</c:v>
                </c:pt>
                <c:pt idx="20">
                  <c:v>260</c:v>
                </c:pt>
                <c:pt idx="21">
                  <c:v>218</c:v>
                </c:pt>
                <c:pt idx="22">
                  <c:v>214</c:v>
                </c:pt>
                <c:pt idx="23">
                  <c:v>210</c:v>
                </c:pt>
                <c:pt idx="24">
                  <c:v>207</c:v>
                </c:pt>
                <c:pt idx="25">
                  <c:v>204</c:v>
                </c:pt>
                <c:pt idx="26">
                  <c:v>202</c:v>
                </c:pt>
                <c:pt idx="28">
                  <c:v>204</c:v>
                </c:pt>
                <c:pt idx="29">
                  <c:v>229</c:v>
                </c:pt>
                <c:pt idx="30">
                  <c:v>244</c:v>
                </c:pt>
                <c:pt idx="31">
                  <c:v>259</c:v>
                </c:pt>
                <c:pt idx="32">
                  <c:v>274</c:v>
                </c:pt>
                <c:pt idx="33">
                  <c:v>288</c:v>
                </c:pt>
                <c:pt idx="34">
                  <c:v>302</c:v>
                </c:pt>
                <c:pt idx="35">
                  <c:v>221</c:v>
                </c:pt>
                <c:pt idx="36">
                  <c:v>217</c:v>
                </c:pt>
                <c:pt idx="37">
                  <c:v>213</c:v>
                </c:pt>
                <c:pt idx="38">
                  <c:v>209</c:v>
                </c:pt>
                <c:pt idx="39">
                  <c:v>206</c:v>
                </c:pt>
                <c:pt idx="40">
                  <c:v>204</c:v>
                </c:pt>
                <c:pt idx="42">
                  <c:v>206</c:v>
                </c:pt>
                <c:pt idx="43">
                  <c:v>252</c:v>
                </c:pt>
                <c:pt idx="44">
                  <c:v>271</c:v>
                </c:pt>
                <c:pt idx="45">
                  <c:v>291</c:v>
                </c:pt>
                <c:pt idx="46">
                  <c:v>312</c:v>
                </c:pt>
                <c:pt idx="47">
                  <c:v>334</c:v>
                </c:pt>
                <c:pt idx="48">
                  <c:v>358</c:v>
                </c:pt>
                <c:pt idx="49">
                  <c:v>225</c:v>
                </c:pt>
                <c:pt idx="50">
                  <c:v>220</c:v>
                </c:pt>
                <c:pt idx="51">
                  <c:v>216</c:v>
                </c:pt>
                <c:pt idx="52">
                  <c:v>212</c:v>
                </c:pt>
                <c:pt idx="53">
                  <c:v>209</c:v>
                </c:pt>
                <c:pt idx="54">
                  <c:v>206</c:v>
                </c:pt>
                <c:pt idx="56">
                  <c:v>208</c:v>
                </c:pt>
                <c:pt idx="57">
                  <c:v>285</c:v>
                </c:pt>
                <c:pt idx="58">
                  <c:v>306</c:v>
                </c:pt>
                <c:pt idx="59">
                  <c:v>329</c:v>
                </c:pt>
                <c:pt idx="60">
                  <c:v>353</c:v>
                </c:pt>
                <c:pt idx="61">
                  <c:v>378</c:v>
                </c:pt>
                <c:pt idx="62">
                  <c:v>403</c:v>
                </c:pt>
                <c:pt idx="63">
                  <c:v>229</c:v>
                </c:pt>
                <c:pt idx="64">
                  <c:v>224</c:v>
                </c:pt>
                <c:pt idx="65">
                  <c:v>219</c:v>
                </c:pt>
                <c:pt idx="66">
                  <c:v>215</c:v>
                </c:pt>
                <c:pt idx="67">
                  <c:v>211</c:v>
                </c:pt>
                <c:pt idx="68">
                  <c:v>208</c:v>
                </c:pt>
                <c:pt idx="70">
                  <c:v>210</c:v>
                </c:pt>
                <c:pt idx="71">
                  <c:v>330</c:v>
                </c:pt>
                <c:pt idx="72">
                  <c:v>355</c:v>
                </c:pt>
                <c:pt idx="73">
                  <c:v>382</c:v>
                </c:pt>
                <c:pt idx="74">
                  <c:v>409</c:v>
                </c:pt>
                <c:pt idx="75">
                  <c:v>438</c:v>
                </c:pt>
                <c:pt idx="76">
                  <c:v>467</c:v>
                </c:pt>
                <c:pt idx="77">
                  <c:v>231</c:v>
                </c:pt>
                <c:pt idx="78">
                  <c:v>226</c:v>
                </c:pt>
                <c:pt idx="79">
                  <c:v>221</c:v>
                </c:pt>
                <c:pt idx="80">
                  <c:v>217</c:v>
                </c:pt>
                <c:pt idx="81">
                  <c:v>213</c:v>
                </c:pt>
                <c:pt idx="82">
                  <c:v>210</c:v>
                </c:pt>
                <c:pt idx="84">
                  <c:v>213</c:v>
                </c:pt>
                <c:pt idx="85">
                  <c:v>372</c:v>
                </c:pt>
                <c:pt idx="86">
                  <c:v>401</c:v>
                </c:pt>
                <c:pt idx="87">
                  <c:v>431</c:v>
                </c:pt>
                <c:pt idx="88">
                  <c:v>461</c:v>
                </c:pt>
                <c:pt idx="89">
                  <c:v>494</c:v>
                </c:pt>
                <c:pt idx="90">
                  <c:v>527</c:v>
                </c:pt>
                <c:pt idx="91">
                  <c:v>237</c:v>
                </c:pt>
                <c:pt idx="92">
                  <c:v>230</c:v>
                </c:pt>
                <c:pt idx="93">
                  <c:v>224</c:v>
                </c:pt>
                <c:pt idx="94">
                  <c:v>220</c:v>
                </c:pt>
                <c:pt idx="95">
                  <c:v>216</c:v>
                </c:pt>
                <c:pt idx="96">
                  <c:v>213</c:v>
                </c:pt>
                <c:pt idx="98">
                  <c:v>217</c:v>
                </c:pt>
                <c:pt idx="99">
                  <c:v>433</c:v>
                </c:pt>
                <c:pt idx="100">
                  <c:v>466</c:v>
                </c:pt>
                <c:pt idx="101">
                  <c:v>502</c:v>
                </c:pt>
                <c:pt idx="102">
                  <c:v>538</c:v>
                </c:pt>
                <c:pt idx="103">
                  <c:v>575</c:v>
                </c:pt>
                <c:pt idx="104">
                  <c:v>614</c:v>
                </c:pt>
                <c:pt idx="105">
                  <c:v>249</c:v>
                </c:pt>
                <c:pt idx="106">
                  <c:v>238</c:v>
                </c:pt>
                <c:pt idx="107">
                  <c:v>230</c:v>
                </c:pt>
                <c:pt idx="108">
                  <c:v>225</c:v>
                </c:pt>
                <c:pt idx="109">
                  <c:v>221</c:v>
                </c:pt>
                <c:pt idx="110">
                  <c:v>217</c:v>
                </c:pt>
                <c:pt idx="112">
                  <c:v>221</c:v>
                </c:pt>
                <c:pt idx="113">
                  <c:v>493</c:v>
                </c:pt>
                <c:pt idx="114">
                  <c:v>531</c:v>
                </c:pt>
                <c:pt idx="115">
                  <c:v>571</c:v>
                </c:pt>
                <c:pt idx="116">
                  <c:v>611</c:v>
                </c:pt>
                <c:pt idx="117">
                  <c:v>655</c:v>
                </c:pt>
                <c:pt idx="118">
                  <c:v>698</c:v>
                </c:pt>
                <c:pt idx="119">
                  <c:v>262</c:v>
                </c:pt>
                <c:pt idx="120">
                  <c:v>251</c:v>
                </c:pt>
                <c:pt idx="121">
                  <c:v>240</c:v>
                </c:pt>
                <c:pt idx="122">
                  <c:v>232</c:v>
                </c:pt>
                <c:pt idx="123">
                  <c:v>226</c:v>
                </c:pt>
                <c:pt idx="124">
                  <c:v>221</c:v>
                </c:pt>
                <c:pt idx="126">
                  <c:v>228</c:v>
                </c:pt>
                <c:pt idx="127">
                  <c:v>583</c:v>
                </c:pt>
                <c:pt idx="128">
                  <c:v>628</c:v>
                </c:pt>
                <c:pt idx="129">
                  <c:v>675</c:v>
                </c:pt>
                <c:pt idx="130">
                  <c:v>722</c:v>
                </c:pt>
                <c:pt idx="131">
                  <c:v>772</c:v>
                </c:pt>
                <c:pt idx="132">
                  <c:v>825</c:v>
                </c:pt>
                <c:pt idx="133">
                  <c:v>303</c:v>
                </c:pt>
                <c:pt idx="134">
                  <c:v>276</c:v>
                </c:pt>
                <c:pt idx="135">
                  <c:v>253</c:v>
                </c:pt>
                <c:pt idx="136">
                  <c:v>242</c:v>
                </c:pt>
                <c:pt idx="137">
                  <c:v>234</c:v>
                </c:pt>
                <c:pt idx="138">
                  <c:v>228</c:v>
                </c:pt>
                <c:pt idx="140">
                  <c:v>238</c:v>
                </c:pt>
                <c:pt idx="141">
                  <c:v>686</c:v>
                </c:pt>
                <c:pt idx="142">
                  <c:v>739</c:v>
                </c:pt>
                <c:pt idx="143">
                  <c:v>793</c:v>
                </c:pt>
                <c:pt idx="144">
                  <c:v>849</c:v>
                </c:pt>
                <c:pt idx="145">
                  <c:v>910</c:v>
                </c:pt>
                <c:pt idx="146">
                  <c:v>971</c:v>
                </c:pt>
                <c:pt idx="147">
                  <c:v>355</c:v>
                </c:pt>
                <c:pt idx="148">
                  <c:v>327</c:v>
                </c:pt>
                <c:pt idx="149">
                  <c:v>297</c:v>
                </c:pt>
                <c:pt idx="150">
                  <c:v>271</c:v>
                </c:pt>
                <c:pt idx="151">
                  <c:v>247</c:v>
                </c:pt>
                <c:pt idx="152">
                  <c:v>238</c:v>
                </c:pt>
                <c:pt idx="154">
                  <c:v>281</c:v>
                </c:pt>
                <c:pt idx="155">
                  <c:v>817</c:v>
                </c:pt>
                <c:pt idx="156">
                  <c:v>880</c:v>
                </c:pt>
                <c:pt idx="157">
                  <c:v>945</c:v>
                </c:pt>
                <c:pt idx="158">
                  <c:v>1013</c:v>
                </c:pt>
                <c:pt idx="159">
                  <c:v>1083</c:v>
                </c:pt>
                <c:pt idx="160">
                  <c:v>1157</c:v>
                </c:pt>
                <c:pt idx="161">
                  <c:v>406</c:v>
                </c:pt>
                <c:pt idx="162">
                  <c:v>377</c:v>
                </c:pt>
                <c:pt idx="163">
                  <c:v>348</c:v>
                </c:pt>
                <c:pt idx="164">
                  <c:v>313</c:v>
                </c:pt>
                <c:pt idx="165">
                  <c:v>289</c:v>
                </c:pt>
                <c:pt idx="166">
                  <c:v>281</c:v>
                </c:pt>
                <c:pt idx="168">
                  <c:v>335</c:v>
                </c:pt>
                <c:pt idx="169">
                  <c:v>952</c:v>
                </c:pt>
                <c:pt idx="170">
                  <c:v>1024</c:v>
                </c:pt>
                <c:pt idx="171">
                  <c:v>1100</c:v>
                </c:pt>
                <c:pt idx="172">
                  <c:v>1179</c:v>
                </c:pt>
                <c:pt idx="173">
                  <c:v>1261</c:v>
                </c:pt>
                <c:pt idx="174">
                  <c:v>1347</c:v>
                </c:pt>
                <c:pt idx="175">
                  <c:v>484</c:v>
                </c:pt>
                <c:pt idx="176">
                  <c:v>440</c:v>
                </c:pt>
                <c:pt idx="177">
                  <c:v>411</c:v>
                </c:pt>
                <c:pt idx="178">
                  <c:v>370</c:v>
                </c:pt>
                <c:pt idx="179">
                  <c:v>345</c:v>
                </c:pt>
                <c:pt idx="180">
                  <c:v>335</c:v>
                </c:pt>
                <c:pt idx="184">
                  <c:v>507</c:v>
                </c:pt>
                <c:pt idx="185">
                  <c:v>1301</c:v>
                </c:pt>
                <c:pt idx="186">
                  <c:v>1393</c:v>
                </c:pt>
                <c:pt idx="187">
                  <c:v>1491</c:v>
                </c:pt>
                <c:pt idx="188">
                  <c:v>1591</c:v>
                </c:pt>
                <c:pt idx="189">
                  <c:v>572</c:v>
                </c:pt>
                <c:pt idx="190">
                  <c:v>548</c:v>
                </c:pt>
                <c:pt idx="191">
                  <c:v>527</c:v>
                </c:pt>
                <c:pt idx="192">
                  <c:v>507</c:v>
                </c:pt>
                <c:pt idx="198">
                  <c:v>657</c:v>
                </c:pt>
                <c:pt idx="199">
                  <c:v>1479</c:v>
                </c:pt>
                <c:pt idx="200">
                  <c:v>1536</c:v>
                </c:pt>
                <c:pt idx="201">
                  <c:v>1594</c:v>
                </c:pt>
                <c:pt idx="202">
                  <c:v>1653</c:v>
                </c:pt>
                <c:pt idx="203">
                  <c:v>738</c:v>
                </c:pt>
                <c:pt idx="204">
                  <c:v>710</c:v>
                </c:pt>
                <c:pt idx="205">
                  <c:v>683</c:v>
                </c:pt>
                <c:pt idx="206">
                  <c:v>657</c:v>
                </c:pt>
                <c:pt idx="214">
                  <c:v>877</c:v>
                </c:pt>
                <c:pt idx="215">
                  <c:v>1669</c:v>
                </c:pt>
                <c:pt idx="216">
                  <c:v>1715</c:v>
                </c:pt>
                <c:pt idx="217">
                  <c:v>912</c:v>
                </c:pt>
                <c:pt idx="218">
                  <c:v>877</c:v>
                </c:pt>
              </c:numCache>
            </c:numRef>
          </c:yVal>
          <c:smooth val="0"/>
        </c:ser>
        <c:ser>
          <c:idx val="1"/>
          <c:order val="1"/>
          <c:tx>
            <c:strRef>
              <c:f>Sheet1!$C$1</c:f>
              <c:strCache>
                <c:ptCount val="1"/>
                <c:pt idx="0">
                  <c:v>punkti</c:v>
                </c:pt>
              </c:strCache>
            </c:strRef>
          </c:tx>
          <c:spPr>
            <a:ln>
              <a:noFill/>
            </a:ln>
          </c:spPr>
          <c:marker>
            <c:symbol val="circle"/>
            <c:size val="3"/>
            <c:spPr>
              <a:ln>
                <a:solidFill>
                  <a:srgbClr val="002060"/>
                </a:solidFill>
              </a:ln>
            </c:spPr>
          </c:marker>
          <c:xVal>
            <c:numRef>
              <c:f>Sheet1!$A$2:$A$1127</c:f>
              <c:numCache>
                <c:formatCode>General</c:formatCode>
                <c:ptCount val="1126"/>
                <c:pt idx="0">
                  <c:v>1.1000000000000001</c:v>
                </c:pt>
                <c:pt idx="1">
                  <c:v>1.1000000000000001</c:v>
                </c:pt>
                <c:pt idx="2">
                  <c:v>1.2</c:v>
                </c:pt>
                <c:pt idx="3">
                  <c:v>1.3</c:v>
                </c:pt>
                <c:pt idx="4">
                  <c:v>1.4</c:v>
                </c:pt>
                <c:pt idx="5">
                  <c:v>1.5</c:v>
                </c:pt>
                <c:pt idx="6">
                  <c:v>1.6</c:v>
                </c:pt>
                <c:pt idx="7">
                  <c:v>1.6</c:v>
                </c:pt>
                <c:pt idx="8">
                  <c:v>1.5</c:v>
                </c:pt>
                <c:pt idx="9">
                  <c:v>1.4</c:v>
                </c:pt>
                <c:pt idx="10">
                  <c:v>1.3</c:v>
                </c:pt>
                <c:pt idx="11">
                  <c:v>1.2</c:v>
                </c:pt>
                <c:pt idx="12">
                  <c:v>1.1000000000000001</c:v>
                </c:pt>
                <c:pt idx="14">
                  <c:v>2.1</c:v>
                </c:pt>
                <c:pt idx="15">
                  <c:v>2.1</c:v>
                </c:pt>
                <c:pt idx="16">
                  <c:v>2.2000000000000002</c:v>
                </c:pt>
                <c:pt idx="17">
                  <c:v>2.2999999999999998</c:v>
                </c:pt>
                <c:pt idx="18">
                  <c:v>2.4</c:v>
                </c:pt>
                <c:pt idx="19">
                  <c:v>2.5</c:v>
                </c:pt>
                <c:pt idx="20">
                  <c:v>2.6</c:v>
                </c:pt>
                <c:pt idx="21">
                  <c:v>2.6</c:v>
                </c:pt>
                <c:pt idx="22">
                  <c:v>2.5</c:v>
                </c:pt>
                <c:pt idx="23">
                  <c:v>2.4</c:v>
                </c:pt>
                <c:pt idx="24">
                  <c:v>2.2999999999999998</c:v>
                </c:pt>
                <c:pt idx="25">
                  <c:v>2.2000000000000002</c:v>
                </c:pt>
                <c:pt idx="26">
                  <c:v>2.1</c:v>
                </c:pt>
                <c:pt idx="28">
                  <c:v>3.1</c:v>
                </c:pt>
                <c:pt idx="29">
                  <c:v>3.1</c:v>
                </c:pt>
                <c:pt idx="30">
                  <c:v>3.2</c:v>
                </c:pt>
                <c:pt idx="31">
                  <c:v>3.3</c:v>
                </c:pt>
                <c:pt idx="32">
                  <c:v>3.4</c:v>
                </c:pt>
                <c:pt idx="33">
                  <c:v>3.5</c:v>
                </c:pt>
                <c:pt idx="34">
                  <c:v>3.6</c:v>
                </c:pt>
                <c:pt idx="35">
                  <c:v>3.6</c:v>
                </c:pt>
                <c:pt idx="36">
                  <c:v>3.5</c:v>
                </c:pt>
                <c:pt idx="37">
                  <c:v>3.4</c:v>
                </c:pt>
                <c:pt idx="38">
                  <c:v>3.3</c:v>
                </c:pt>
                <c:pt idx="39">
                  <c:v>3.2</c:v>
                </c:pt>
                <c:pt idx="40">
                  <c:v>3.1</c:v>
                </c:pt>
                <c:pt idx="42">
                  <c:v>4.0999999999999996</c:v>
                </c:pt>
                <c:pt idx="43">
                  <c:v>4.0999999999999996</c:v>
                </c:pt>
                <c:pt idx="44">
                  <c:v>4.2</c:v>
                </c:pt>
                <c:pt idx="45">
                  <c:v>4.3</c:v>
                </c:pt>
                <c:pt idx="46">
                  <c:v>4.4000000000000004</c:v>
                </c:pt>
                <c:pt idx="47">
                  <c:v>4.5</c:v>
                </c:pt>
                <c:pt idx="48">
                  <c:v>4.5999999999999996</c:v>
                </c:pt>
                <c:pt idx="49">
                  <c:v>4.5999999999999996</c:v>
                </c:pt>
                <c:pt idx="50">
                  <c:v>4.5</c:v>
                </c:pt>
                <c:pt idx="51">
                  <c:v>4.4000000000000004</c:v>
                </c:pt>
                <c:pt idx="52">
                  <c:v>4.3</c:v>
                </c:pt>
                <c:pt idx="53">
                  <c:v>4.2</c:v>
                </c:pt>
                <c:pt idx="54">
                  <c:v>4.0999999999999996</c:v>
                </c:pt>
                <c:pt idx="56">
                  <c:v>5.0999999999999996</c:v>
                </c:pt>
                <c:pt idx="57">
                  <c:v>5.0999999999999996</c:v>
                </c:pt>
                <c:pt idx="58">
                  <c:v>5.2</c:v>
                </c:pt>
                <c:pt idx="59">
                  <c:v>5.3</c:v>
                </c:pt>
                <c:pt idx="60">
                  <c:v>5.4</c:v>
                </c:pt>
                <c:pt idx="61">
                  <c:v>5.5</c:v>
                </c:pt>
                <c:pt idx="62">
                  <c:v>5.6</c:v>
                </c:pt>
                <c:pt idx="63">
                  <c:v>5.6</c:v>
                </c:pt>
                <c:pt idx="64">
                  <c:v>5.5</c:v>
                </c:pt>
                <c:pt idx="65">
                  <c:v>5.4</c:v>
                </c:pt>
                <c:pt idx="66">
                  <c:v>5.3</c:v>
                </c:pt>
                <c:pt idx="67">
                  <c:v>5.2</c:v>
                </c:pt>
                <c:pt idx="68">
                  <c:v>5.0999999999999996</c:v>
                </c:pt>
                <c:pt idx="70">
                  <c:v>6.1</c:v>
                </c:pt>
                <c:pt idx="71">
                  <c:v>6.1</c:v>
                </c:pt>
                <c:pt idx="72">
                  <c:v>6.2</c:v>
                </c:pt>
                <c:pt idx="73">
                  <c:v>6.3</c:v>
                </c:pt>
                <c:pt idx="74">
                  <c:v>6.4</c:v>
                </c:pt>
                <c:pt idx="75">
                  <c:v>6.5</c:v>
                </c:pt>
                <c:pt idx="76">
                  <c:v>6.6</c:v>
                </c:pt>
                <c:pt idx="77">
                  <c:v>6.6</c:v>
                </c:pt>
                <c:pt idx="78">
                  <c:v>6.5</c:v>
                </c:pt>
                <c:pt idx="79">
                  <c:v>6.4</c:v>
                </c:pt>
                <c:pt idx="80">
                  <c:v>6.3</c:v>
                </c:pt>
                <c:pt idx="81">
                  <c:v>6.2</c:v>
                </c:pt>
                <c:pt idx="82">
                  <c:v>6.1</c:v>
                </c:pt>
                <c:pt idx="84">
                  <c:v>7.1</c:v>
                </c:pt>
                <c:pt idx="85">
                  <c:v>7.1</c:v>
                </c:pt>
                <c:pt idx="86">
                  <c:v>7.2</c:v>
                </c:pt>
                <c:pt idx="87">
                  <c:v>7.3</c:v>
                </c:pt>
                <c:pt idx="88">
                  <c:v>7.4</c:v>
                </c:pt>
                <c:pt idx="89">
                  <c:v>7.5</c:v>
                </c:pt>
                <c:pt idx="90">
                  <c:v>7.6</c:v>
                </c:pt>
                <c:pt idx="91">
                  <c:v>7.6</c:v>
                </c:pt>
                <c:pt idx="92">
                  <c:v>7.5</c:v>
                </c:pt>
                <c:pt idx="93">
                  <c:v>7.4</c:v>
                </c:pt>
                <c:pt idx="94">
                  <c:v>7.3</c:v>
                </c:pt>
                <c:pt idx="95">
                  <c:v>7.2</c:v>
                </c:pt>
                <c:pt idx="96">
                  <c:v>7.1</c:v>
                </c:pt>
                <c:pt idx="98">
                  <c:v>8.1</c:v>
                </c:pt>
                <c:pt idx="99">
                  <c:v>8.1</c:v>
                </c:pt>
                <c:pt idx="100">
                  <c:v>8.2000000000000011</c:v>
                </c:pt>
                <c:pt idx="101">
                  <c:v>8.3000000000000007</c:v>
                </c:pt>
                <c:pt idx="102">
                  <c:v>8.4</c:v>
                </c:pt>
                <c:pt idx="103">
                  <c:v>8.5</c:v>
                </c:pt>
                <c:pt idx="104">
                  <c:v>8.6</c:v>
                </c:pt>
                <c:pt idx="105">
                  <c:v>8.6</c:v>
                </c:pt>
                <c:pt idx="106">
                  <c:v>8.5</c:v>
                </c:pt>
                <c:pt idx="107">
                  <c:v>8.4</c:v>
                </c:pt>
                <c:pt idx="108">
                  <c:v>8.3000000000000007</c:v>
                </c:pt>
                <c:pt idx="109">
                  <c:v>8.2000000000000011</c:v>
                </c:pt>
                <c:pt idx="110">
                  <c:v>8.1</c:v>
                </c:pt>
                <c:pt idx="112">
                  <c:v>9.1</c:v>
                </c:pt>
                <c:pt idx="113">
                  <c:v>9.1</c:v>
                </c:pt>
                <c:pt idx="114">
                  <c:v>9.2000000000000011</c:v>
                </c:pt>
                <c:pt idx="115">
                  <c:v>9.3000000000000007</c:v>
                </c:pt>
                <c:pt idx="116">
                  <c:v>9.4</c:v>
                </c:pt>
                <c:pt idx="117">
                  <c:v>9.5</c:v>
                </c:pt>
                <c:pt idx="118">
                  <c:v>9.6</c:v>
                </c:pt>
                <c:pt idx="119">
                  <c:v>9.6</c:v>
                </c:pt>
                <c:pt idx="120">
                  <c:v>9.5</c:v>
                </c:pt>
                <c:pt idx="121">
                  <c:v>9.4</c:v>
                </c:pt>
                <c:pt idx="122">
                  <c:v>9.3000000000000007</c:v>
                </c:pt>
                <c:pt idx="123">
                  <c:v>9.2000000000000011</c:v>
                </c:pt>
                <c:pt idx="124">
                  <c:v>9.1</c:v>
                </c:pt>
                <c:pt idx="126">
                  <c:v>10.1</c:v>
                </c:pt>
                <c:pt idx="127">
                  <c:v>10.1</c:v>
                </c:pt>
                <c:pt idx="128">
                  <c:v>10.200000000000001</c:v>
                </c:pt>
                <c:pt idx="129">
                  <c:v>10.3</c:v>
                </c:pt>
                <c:pt idx="130">
                  <c:v>10.4</c:v>
                </c:pt>
                <c:pt idx="131">
                  <c:v>10.5</c:v>
                </c:pt>
                <c:pt idx="132">
                  <c:v>10.6</c:v>
                </c:pt>
                <c:pt idx="133">
                  <c:v>10.6</c:v>
                </c:pt>
                <c:pt idx="134">
                  <c:v>10.5</c:v>
                </c:pt>
                <c:pt idx="135">
                  <c:v>10.4</c:v>
                </c:pt>
                <c:pt idx="136">
                  <c:v>10.3</c:v>
                </c:pt>
                <c:pt idx="137">
                  <c:v>10.200000000000001</c:v>
                </c:pt>
                <c:pt idx="138">
                  <c:v>10.1</c:v>
                </c:pt>
                <c:pt idx="140">
                  <c:v>11.1</c:v>
                </c:pt>
                <c:pt idx="141">
                  <c:v>11.1</c:v>
                </c:pt>
                <c:pt idx="142">
                  <c:v>11.2</c:v>
                </c:pt>
                <c:pt idx="143">
                  <c:v>11.3</c:v>
                </c:pt>
                <c:pt idx="144">
                  <c:v>11.4</c:v>
                </c:pt>
                <c:pt idx="145">
                  <c:v>11.5</c:v>
                </c:pt>
                <c:pt idx="146">
                  <c:v>11.6</c:v>
                </c:pt>
                <c:pt idx="147">
                  <c:v>11.6</c:v>
                </c:pt>
                <c:pt idx="148">
                  <c:v>11.5</c:v>
                </c:pt>
                <c:pt idx="149">
                  <c:v>11.4</c:v>
                </c:pt>
                <c:pt idx="150">
                  <c:v>11.3</c:v>
                </c:pt>
                <c:pt idx="151">
                  <c:v>11.2</c:v>
                </c:pt>
                <c:pt idx="152">
                  <c:v>11.1</c:v>
                </c:pt>
                <c:pt idx="154">
                  <c:v>12.1</c:v>
                </c:pt>
                <c:pt idx="155">
                  <c:v>12.1</c:v>
                </c:pt>
                <c:pt idx="156">
                  <c:v>12.2</c:v>
                </c:pt>
                <c:pt idx="157">
                  <c:v>12.3</c:v>
                </c:pt>
                <c:pt idx="158">
                  <c:v>12.4</c:v>
                </c:pt>
                <c:pt idx="159">
                  <c:v>12.5</c:v>
                </c:pt>
                <c:pt idx="160">
                  <c:v>12.6</c:v>
                </c:pt>
                <c:pt idx="161">
                  <c:v>12.6</c:v>
                </c:pt>
                <c:pt idx="162">
                  <c:v>12.5</c:v>
                </c:pt>
                <c:pt idx="163">
                  <c:v>12.4</c:v>
                </c:pt>
                <c:pt idx="164">
                  <c:v>12.3</c:v>
                </c:pt>
                <c:pt idx="165">
                  <c:v>12.2</c:v>
                </c:pt>
                <c:pt idx="166">
                  <c:v>12.1</c:v>
                </c:pt>
                <c:pt idx="168">
                  <c:v>13.1</c:v>
                </c:pt>
                <c:pt idx="169">
                  <c:v>13.1</c:v>
                </c:pt>
                <c:pt idx="170">
                  <c:v>13.2</c:v>
                </c:pt>
                <c:pt idx="171">
                  <c:v>13.3</c:v>
                </c:pt>
                <c:pt idx="172">
                  <c:v>13.4</c:v>
                </c:pt>
                <c:pt idx="173">
                  <c:v>13.5</c:v>
                </c:pt>
                <c:pt idx="174">
                  <c:v>13.6</c:v>
                </c:pt>
                <c:pt idx="175">
                  <c:v>13.6</c:v>
                </c:pt>
                <c:pt idx="176">
                  <c:v>13.5</c:v>
                </c:pt>
                <c:pt idx="177">
                  <c:v>13.4</c:v>
                </c:pt>
                <c:pt idx="178">
                  <c:v>13.3</c:v>
                </c:pt>
                <c:pt idx="179">
                  <c:v>13.2</c:v>
                </c:pt>
                <c:pt idx="180">
                  <c:v>13.1</c:v>
                </c:pt>
                <c:pt idx="182">
                  <c:v>14.1</c:v>
                </c:pt>
                <c:pt idx="183">
                  <c:v>14.1</c:v>
                </c:pt>
                <c:pt idx="184">
                  <c:v>14.3</c:v>
                </c:pt>
                <c:pt idx="185">
                  <c:v>14.3</c:v>
                </c:pt>
                <c:pt idx="186">
                  <c:v>14.4</c:v>
                </c:pt>
                <c:pt idx="187">
                  <c:v>14.5</c:v>
                </c:pt>
                <c:pt idx="188">
                  <c:v>14.6</c:v>
                </c:pt>
                <c:pt idx="189">
                  <c:v>14.6</c:v>
                </c:pt>
                <c:pt idx="190">
                  <c:v>14.5</c:v>
                </c:pt>
                <c:pt idx="191">
                  <c:v>14.4</c:v>
                </c:pt>
                <c:pt idx="192">
                  <c:v>14.3</c:v>
                </c:pt>
                <c:pt idx="193">
                  <c:v>14.2</c:v>
                </c:pt>
                <c:pt idx="194">
                  <c:v>14.1</c:v>
                </c:pt>
                <c:pt idx="195">
                  <c:v>0</c:v>
                </c:pt>
                <c:pt idx="196">
                  <c:v>15.1</c:v>
                </c:pt>
                <c:pt idx="197">
                  <c:v>15.1</c:v>
                </c:pt>
                <c:pt idx="198">
                  <c:v>15.3</c:v>
                </c:pt>
                <c:pt idx="199">
                  <c:v>15.3</c:v>
                </c:pt>
                <c:pt idx="200">
                  <c:v>15.4</c:v>
                </c:pt>
                <c:pt idx="201">
                  <c:v>15.5</c:v>
                </c:pt>
                <c:pt idx="202">
                  <c:v>15.6</c:v>
                </c:pt>
                <c:pt idx="203">
                  <c:v>15.6</c:v>
                </c:pt>
                <c:pt idx="204">
                  <c:v>15.5</c:v>
                </c:pt>
                <c:pt idx="205">
                  <c:v>15.4</c:v>
                </c:pt>
                <c:pt idx="206">
                  <c:v>15.3</c:v>
                </c:pt>
                <c:pt idx="207">
                  <c:v>15.2</c:v>
                </c:pt>
                <c:pt idx="208">
                  <c:v>15.1</c:v>
                </c:pt>
                <c:pt idx="209">
                  <c:v>0</c:v>
                </c:pt>
                <c:pt idx="210">
                  <c:v>16.100000000000001</c:v>
                </c:pt>
                <c:pt idx="211">
                  <c:v>16.100000000000001</c:v>
                </c:pt>
                <c:pt idx="212">
                  <c:v>16.2</c:v>
                </c:pt>
                <c:pt idx="213">
                  <c:v>16.3</c:v>
                </c:pt>
                <c:pt idx="214">
                  <c:v>16.5</c:v>
                </c:pt>
                <c:pt idx="215">
                  <c:v>16.5</c:v>
                </c:pt>
                <c:pt idx="216">
                  <c:v>16.600000000000001</c:v>
                </c:pt>
                <c:pt idx="217">
                  <c:v>16.600000000000001</c:v>
                </c:pt>
                <c:pt idx="218">
                  <c:v>16.5</c:v>
                </c:pt>
                <c:pt idx="219">
                  <c:v>16.399999999999999</c:v>
                </c:pt>
                <c:pt idx="220">
                  <c:v>16.3</c:v>
                </c:pt>
                <c:pt idx="221">
                  <c:v>16.2</c:v>
                </c:pt>
                <c:pt idx="222">
                  <c:v>16.100000000000001</c:v>
                </c:pt>
                <c:pt idx="224">
                  <c:v>1.1000000000000001</c:v>
                </c:pt>
                <c:pt idx="225">
                  <c:v>1.1000000000000001</c:v>
                </c:pt>
                <c:pt idx="226">
                  <c:v>1.1000000000000001</c:v>
                </c:pt>
                <c:pt idx="227">
                  <c:v>1.1000000000000001</c:v>
                </c:pt>
                <c:pt idx="228">
                  <c:v>1.1000000000000001</c:v>
                </c:pt>
                <c:pt idx="229">
                  <c:v>1.1000000000000001</c:v>
                </c:pt>
                <c:pt idx="230">
                  <c:v>1.1000000000000001</c:v>
                </c:pt>
                <c:pt idx="231">
                  <c:v>1.2</c:v>
                </c:pt>
                <c:pt idx="232">
                  <c:v>1.2</c:v>
                </c:pt>
                <c:pt idx="233">
                  <c:v>1.2</c:v>
                </c:pt>
                <c:pt idx="234">
                  <c:v>1.2</c:v>
                </c:pt>
                <c:pt idx="235">
                  <c:v>1.2</c:v>
                </c:pt>
                <c:pt idx="236">
                  <c:v>1.3</c:v>
                </c:pt>
                <c:pt idx="237">
                  <c:v>1.3</c:v>
                </c:pt>
                <c:pt idx="238">
                  <c:v>1.3</c:v>
                </c:pt>
                <c:pt idx="239">
                  <c:v>1.3</c:v>
                </c:pt>
                <c:pt idx="240">
                  <c:v>1.3</c:v>
                </c:pt>
                <c:pt idx="241">
                  <c:v>1.3</c:v>
                </c:pt>
                <c:pt idx="242">
                  <c:v>1.3</c:v>
                </c:pt>
                <c:pt idx="243">
                  <c:v>1.3</c:v>
                </c:pt>
                <c:pt idx="244">
                  <c:v>1.3</c:v>
                </c:pt>
                <c:pt idx="245">
                  <c:v>1.3</c:v>
                </c:pt>
                <c:pt idx="246">
                  <c:v>1.3</c:v>
                </c:pt>
                <c:pt idx="247">
                  <c:v>1.3</c:v>
                </c:pt>
                <c:pt idx="248">
                  <c:v>1.4</c:v>
                </c:pt>
                <c:pt idx="249">
                  <c:v>1.4</c:v>
                </c:pt>
                <c:pt idx="250">
                  <c:v>1.4</c:v>
                </c:pt>
                <c:pt idx="251">
                  <c:v>1.4</c:v>
                </c:pt>
                <c:pt idx="252">
                  <c:v>1.4</c:v>
                </c:pt>
                <c:pt idx="253">
                  <c:v>1.4</c:v>
                </c:pt>
                <c:pt idx="254">
                  <c:v>1.4</c:v>
                </c:pt>
                <c:pt idx="255">
                  <c:v>1.4</c:v>
                </c:pt>
                <c:pt idx="256">
                  <c:v>1.4</c:v>
                </c:pt>
                <c:pt idx="257">
                  <c:v>1.4</c:v>
                </c:pt>
                <c:pt idx="258">
                  <c:v>1.4</c:v>
                </c:pt>
                <c:pt idx="259">
                  <c:v>1.4</c:v>
                </c:pt>
                <c:pt idx="260">
                  <c:v>1.4</c:v>
                </c:pt>
                <c:pt idx="261">
                  <c:v>1.5</c:v>
                </c:pt>
                <c:pt idx="262">
                  <c:v>1.5</c:v>
                </c:pt>
                <c:pt idx="263">
                  <c:v>1.5</c:v>
                </c:pt>
                <c:pt idx="264">
                  <c:v>1.5</c:v>
                </c:pt>
                <c:pt idx="265">
                  <c:v>1.5</c:v>
                </c:pt>
                <c:pt idx="266">
                  <c:v>1.5</c:v>
                </c:pt>
                <c:pt idx="267">
                  <c:v>1.5</c:v>
                </c:pt>
                <c:pt idx="268">
                  <c:v>1.5</c:v>
                </c:pt>
                <c:pt idx="269">
                  <c:v>1.6</c:v>
                </c:pt>
                <c:pt idx="270">
                  <c:v>1.6</c:v>
                </c:pt>
                <c:pt idx="271">
                  <c:v>1.6</c:v>
                </c:pt>
                <c:pt idx="272">
                  <c:v>1.6</c:v>
                </c:pt>
                <c:pt idx="273">
                  <c:v>1.6</c:v>
                </c:pt>
                <c:pt idx="274">
                  <c:v>1.6</c:v>
                </c:pt>
                <c:pt idx="275">
                  <c:v>1.6</c:v>
                </c:pt>
                <c:pt idx="276">
                  <c:v>1.6</c:v>
                </c:pt>
                <c:pt idx="277">
                  <c:v>2.1</c:v>
                </c:pt>
                <c:pt idx="278">
                  <c:v>2.1</c:v>
                </c:pt>
                <c:pt idx="279">
                  <c:v>2.2000000000000002</c:v>
                </c:pt>
                <c:pt idx="280">
                  <c:v>2.2000000000000002</c:v>
                </c:pt>
                <c:pt idx="281">
                  <c:v>2.2000000000000002</c:v>
                </c:pt>
                <c:pt idx="282">
                  <c:v>2.2000000000000002</c:v>
                </c:pt>
                <c:pt idx="283">
                  <c:v>2.2000000000000002</c:v>
                </c:pt>
                <c:pt idx="284">
                  <c:v>2.2000000000000002</c:v>
                </c:pt>
                <c:pt idx="285">
                  <c:v>2.2999999999999998</c:v>
                </c:pt>
                <c:pt idx="286">
                  <c:v>2.2999999999999998</c:v>
                </c:pt>
                <c:pt idx="287">
                  <c:v>2.2999999999999998</c:v>
                </c:pt>
                <c:pt idx="288">
                  <c:v>2.2999999999999998</c:v>
                </c:pt>
                <c:pt idx="289">
                  <c:v>2.2999999999999998</c:v>
                </c:pt>
                <c:pt idx="290">
                  <c:v>2.2999999999999998</c:v>
                </c:pt>
                <c:pt idx="291">
                  <c:v>2.2999999999999998</c:v>
                </c:pt>
                <c:pt idx="292">
                  <c:v>2.2999999999999998</c:v>
                </c:pt>
                <c:pt idx="293">
                  <c:v>2.2999999999999998</c:v>
                </c:pt>
                <c:pt idx="294">
                  <c:v>2.4</c:v>
                </c:pt>
                <c:pt idx="295">
                  <c:v>2.4</c:v>
                </c:pt>
                <c:pt idx="296">
                  <c:v>2.4</c:v>
                </c:pt>
                <c:pt idx="297">
                  <c:v>2.4</c:v>
                </c:pt>
                <c:pt idx="298">
                  <c:v>2.4</c:v>
                </c:pt>
                <c:pt idx="299">
                  <c:v>2.4</c:v>
                </c:pt>
                <c:pt idx="300">
                  <c:v>2.4</c:v>
                </c:pt>
                <c:pt idx="301">
                  <c:v>2.4</c:v>
                </c:pt>
                <c:pt idx="302">
                  <c:v>2.5</c:v>
                </c:pt>
                <c:pt idx="303">
                  <c:v>2.5</c:v>
                </c:pt>
                <c:pt idx="304">
                  <c:v>2.5</c:v>
                </c:pt>
                <c:pt idx="305">
                  <c:v>2.5</c:v>
                </c:pt>
                <c:pt idx="306">
                  <c:v>2.5</c:v>
                </c:pt>
                <c:pt idx="307">
                  <c:v>2.5</c:v>
                </c:pt>
                <c:pt idx="308">
                  <c:v>2.5</c:v>
                </c:pt>
                <c:pt idx="309">
                  <c:v>2.5</c:v>
                </c:pt>
                <c:pt idx="310">
                  <c:v>2.5</c:v>
                </c:pt>
                <c:pt idx="311">
                  <c:v>2.5</c:v>
                </c:pt>
                <c:pt idx="312">
                  <c:v>2.5</c:v>
                </c:pt>
                <c:pt idx="313">
                  <c:v>2.6</c:v>
                </c:pt>
                <c:pt idx="314">
                  <c:v>2.6</c:v>
                </c:pt>
                <c:pt idx="315">
                  <c:v>2.6</c:v>
                </c:pt>
                <c:pt idx="316">
                  <c:v>2.6</c:v>
                </c:pt>
                <c:pt idx="317">
                  <c:v>2.6</c:v>
                </c:pt>
                <c:pt idx="318">
                  <c:v>2.6</c:v>
                </c:pt>
                <c:pt idx="319">
                  <c:v>2.6</c:v>
                </c:pt>
                <c:pt idx="320">
                  <c:v>2.6</c:v>
                </c:pt>
                <c:pt idx="321">
                  <c:v>2.6</c:v>
                </c:pt>
                <c:pt idx="322">
                  <c:v>2.6</c:v>
                </c:pt>
                <c:pt idx="323">
                  <c:v>2.6</c:v>
                </c:pt>
                <c:pt idx="324">
                  <c:v>2.6</c:v>
                </c:pt>
                <c:pt idx="325">
                  <c:v>2.6</c:v>
                </c:pt>
                <c:pt idx="326">
                  <c:v>2.6</c:v>
                </c:pt>
                <c:pt idx="327">
                  <c:v>2.6</c:v>
                </c:pt>
                <c:pt idx="328">
                  <c:v>2.6</c:v>
                </c:pt>
                <c:pt idx="329">
                  <c:v>2.6</c:v>
                </c:pt>
                <c:pt idx="330">
                  <c:v>2.6</c:v>
                </c:pt>
                <c:pt idx="331">
                  <c:v>2.6</c:v>
                </c:pt>
                <c:pt idx="332">
                  <c:v>2.6</c:v>
                </c:pt>
                <c:pt idx="333">
                  <c:v>2.6</c:v>
                </c:pt>
                <c:pt idx="334">
                  <c:v>2.6</c:v>
                </c:pt>
                <c:pt idx="335">
                  <c:v>2.6</c:v>
                </c:pt>
                <c:pt idx="336">
                  <c:v>2.6</c:v>
                </c:pt>
                <c:pt idx="337">
                  <c:v>2.6</c:v>
                </c:pt>
                <c:pt idx="338">
                  <c:v>2.6</c:v>
                </c:pt>
                <c:pt idx="339">
                  <c:v>2.6</c:v>
                </c:pt>
                <c:pt idx="340">
                  <c:v>3.1</c:v>
                </c:pt>
                <c:pt idx="341">
                  <c:v>3.1</c:v>
                </c:pt>
                <c:pt idx="342">
                  <c:v>3.1</c:v>
                </c:pt>
                <c:pt idx="343">
                  <c:v>3.1</c:v>
                </c:pt>
                <c:pt idx="344">
                  <c:v>3.1</c:v>
                </c:pt>
                <c:pt idx="345">
                  <c:v>3.1</c:v>
                </c:pt>
                <c:pt idx="346">
                  <c:v>3.1</c:v>
                </c:pt>
                <c:pt idx="347">
                  <c:v>3.1</c:v>
                </c:pt>
                <c:pt idx="348">
                  <c:v>3.1</c:v>
                </c:pt>
                <c:pt idx="349">
                  <c:v>3.1</c:v>
                </c:pt>
                <c:pt idx="350">
                  <c:v>3.1</c:v>
                </c:pt>
                <c:pt idx="351">
                  <c:v>3.1</c:v>
                </c:pt>
                <c:pt idx="352">
                  <c:v>3.1</c:v>
                </c:pt>
                <c:pt idx="353">
                  <c:v>3.1</c:v>
                </c:pt>
                <c:pt idx="354">
                  <c:v>3.1</c:v>
                </c:pt>
                <c:pt idx="355">
                  <c:v>3.1</c:v>
                </c:pt>
                <c:pt idx="356">
                  <c:v>3.2</c:v>
                </c:pt>
                <c:pt idx="357">
                  <c:v>3.2</c:v>
                </c:pt>
                <c:pt idx="358">
                  <c:v>3.2</c:v>
                </c:pt>
                <c:pt idx="359">
                  <c:v>3.2</c:v>
                </c:pt>
                <c:pt idx="360">
                  <c:v>3.2</c:v>
                </c:pt>
                <c:pt idx="361">
                  <c:v>3.2</c:v>
                </c:pt>
                <c:pt idx="362">
                  <c:v>3.2</c:v>
                </c:pt>
                <c:pt idx="363">
                  <c:v>3.2</c:v>
                </c:pt>
                <c:pt idx="364">
                  <c:v>3.2</c:v>
                </c:pt>
                <c:pt idx="365">
                  <c:v>3.2</c:v>
                </c:pt>
                <c:pt idx="366">
                  <c:v>3.2</c:v>
                </c:pt>
                <c:pt idx="367">
                  <c:v>3.2</c:v>
                </c:pt>
                <c:pt idx="368">
                  <c:v>3.2</c:v>
                </c:pt>
                <c:pt idx="369">
                  <c:v>3.2</c:v>
                </c:pt>
                <c:pt idx="370">
                  <c:v>3.2</c:v>
                </c:pt>
                <c:pt idx="371">
                  <c:v>3.2</c:v>
                </c:pt>
                <c:pt idx="372">
                  <c:v>3.2</c:v>
                </c:pt>
                <c:pt idx="373">
                  <c:v>3.2</c:v>
                </c:pt>
                <c:pt idx="374">
                  <c:v>3.2</c:v>
                </c:pt>
                <c:pt idx="375">
                  <c:v>3.2</c:v>
                </c:pt>
                <c:pt idx="376">
                  <c:v>3.2</c:v>
                </c:pt>
                <c:pt idx="377">
                  <c:v>3.2</c:v>
                </c:pt>
                <c:pt idx="378">
                  <c:v>3.2</c:v>
                </c:pt>
                <c:pt idx="379">
                  <c:v>3.2</c:v>
                </c:pt>
                <c:pt idx="380">
                  <c:v>3.3</c:v>
                </c:pt>
                <c:pt idx="381">
                  <c:v>3.3</c:v>
                </c:pt>
                <c:pt idx="382">
                  <c:v>3.3</c:v>
                </c:pt>
                <c:pt idx="383">
                  <c:v>3.3</c:v>
                </c:pt>
                <c:pt idx="384">
                  <c:v>3.3</c:v>
                </c:pt>
                <c:pt idx="385">
                  <c:v>3.3</c:v>
                </c:pt>
                <c:pt idx="386">
                  <c:v>3.3</c:v>
                </c:pt>
                <c:pt idx="387">
                  <c:v>3.3</c:v>
                </c:pt>
                <c:pt idx="388">
                  <c:v>3.3</c:v>
                </c:pt>
                <c:pt idx="389">
                  <c:v>3.3</c:v>
                </c:pt>
                <c:pt idx="390">
                  <c:v>3.3</c:v>
                </c:pt>
                <c:pt idx="391">
                  <c:v>3.3</c:v>
                </c:pt>
                <c:pt idx="392">
                  <c:v>3.3</c:v>
                </c:pt>
                <c:pt idx="393">
                  <c:v>3.3</c:v>
                </c:pt>
                <c:pt idx="394">
                  <c:v>3.3</c:v>
                </c:pt>
                <c:pt idx="395">
                  <c:v>3.3</c:v>
                </c:pt>
                <c:pt idx="396">
                  <c:v>3.3</c:v>
                </c:pt>
                <c:pt idx="397">
                  <c:v>3.3</c:v>
                </c:pt>
                <c:pt idx="398">
                  <c:v>3.3</c:v>
                </c:pt>
                <c:pt idx="399">
                  <c:v>3.3</c:v>
                </c:pt>
                <c:pt idx="400">
                  <c:v>3.3</c:v>
                </c:pt>
                <c:pt idx="401">
                  <c:v>3.3</c:v>
                </c:pt>
                <c:pt idx="402">
                  <c:v>3.3</c:v>
                </c:pt>
                <c:pt idx="403">
                  <c:v>3.3</c:v>
                </c:pt>
                <c:pt idx="404">
                  <c:v>3.3</c:v>
                </c:pt>
                <c:pt idx="405">
                  <c:v>3.3</c:v>
                </c:pt>
                <c:pt idx="406">
                  <c:v>3.3</c:v>
                </c:pt>
                <c:pt idx="407">
                  <c:v>3.3</c:v>
                </c:pt>
                <c:pt idx="408">
                  <c:v>3.3</c:v>
                </c:pt>
                <c:pt idx="409">
                  <c:v>3.3</c:v>
                </c:pt>
                <c:pt idx="410">
                  <c:v>3.3</c:v>
                </c:pt>
                <c:pt idx="411">
                  <c:v>3.3</c:v>
                </c:pt>
                <c:pt idx="412">
                  <c:v>3.3</c:v>
                </c:pt>
                <c:pt idx="413">
                  <c:v>3.3</c:v>
                </c:pt>
                <c:pt idx="414">
                  <c:v>3.3</c:v>
                </c:pt>
                <c:pt idx="415">
                  <c:v>3.3</c:v>
                </c:pt>
                <c:pt idx="416">
                  <c:v>3.3</c:v>
                </c:pt>
                <c:pt idx="417">
                  <c:v>3.3</c:v>
                </c:pt>
                <c:pt idx="418">
                  <c:v>3.3</c:v>
                </c:pt>
                <c:pt idx="419">
                  <c:v>3.3</c:v>
                </c:pt>
                <c:pt idx="420">
                  <c:v>3.3</c:v>
                </c:pt>
                <c:pt idx="421">
                  <c:v>3.3</c:v>
                </c:pt>
                <c:pt idx="422">
                  <c:v>3.3</c:v>
                </c:pt>
                <c:pt idx="423">
                  <c:v>3.3</c:v>
                </c:pt>
                <c:pt idx="424">
                  <c:v>3.3</c:v>
                </c:pt>
                <c:pt idx="425">
                  <c:v>3.3</c:v>
                </c:pt>
                <c:pt idx="426">
                  <c:v>3.3</c:v>
                </c:pt>
                <c:pt idx="427">
                  <c:v>3.3</c:v>
                </c:pt>
                <c:pt idx="428">
                  <c:v>3.3</c:v>
                </c:pt>
                <c:pt idx="429">
                  <c:v>3.3</c:v>
                </c:pt>
                <c:pt idx="430">
                  <c:v>3.3</c:v>
                </c:pt>
                <c:pt idx="431">
                  <c:v>3.3</c:v>
                </c:pt>
                <c:pt idx="432">
                  <c:v>3.3</c:v>
                </c:pt>
                <c:pt idx="433">
                  <c:v>3.3</c:v>
                </c:pt>
                <c:pt idx="434">
                  <c:v>3.3</c:v>
                </c:pt>
                <c:pt idx="435">
                  <c:v>3.3</c:v>
                </c:pt>
                <c:pt idx="436">
                  <c:v>3.3</c:v>
                </c:pt>
                <c:pt idx="437">
                  <c:v>3.3</c:v>
                </c:pt>
                <c:pt idx="438">
                  <c:v>3.3</c:v>
                </c:pt>
                <c:pt idx="439">
                  <c:v>3.3</c:v>
                </c:pt>
                <c:pt idx="440">
                  <c:v>3.3</c:v>
                </c:pt>
                <c:pt idx="441">
                  <c:v>3.3</c:v>
                </c:pt>
                <c:pt idx="442">
                  <c:v>3.3</c:v>
                </c:pt>
                <c:pt idx="443">
                  <c:v>3.3</c:v>
                </c:pt>
                <c:pt idx="444">
                  <c:v>3.3</c:v>
                </c:pt>
                <c:pt idx="445">
                  <c:v>3.3</c:v>
                </c:pt>
                <c:pt idx="446">
                  <c:v>3.3</c:v>
                </c:pt>
                <c:pt idx="447">
                  <c:v>3.3</c:v>
                </c:pt>
                <c:pt idx="448">
                  <c:v>3.3</c:v>
                </c:pt>
                <c:pt idx="449">
                  <c:v>3.3</c:v>
                </c:pt>
                <c:pt idx="450">
                  <c:v>3.3</c:v>
                </c:pt>
                <c:pt idx="451">
                  <c:v>3.3</c:v>
                </c:pt>
                <c:pt idx="452">
                  <c:v>3.3</c:v>
                </c:pt>
                <c:pt idx="453">
                  <c:v>3.3</c:v>
                </c:pt>
                <c:pt idx="454">
                  <c:v>3.3</c:v>
                </c:pt>
                <c:pt idx="455">
                  <c:v>3.3</c:v>
                </c:pt>
                <c:pt idx="456">
                  <c:v>3.3</c:v>
                </c:pt>
                <c:pt idx="457">
                  <c:v>3.3</c:v>
                </c:pt>
                <c:pt idx="458">
                  <c:v>3.3</c:v>
                </c:pt>
                <c:pt idx="459">
                  <c:v>3.3</c:v>
                </c:pt>
                <c:pt idx="460">
                  <c:v>3.3</c:v>
                </c:pt>
                <c:pt idx="461">
                  <c:v>3.4</c:v>
                </c:pt>
                <c:pt idx="462">
                  <c:v>3.4</c:v>
                </c:pt>
                <c:pt idx="463">
                  <c:v>3.4</c:v>
                </c:pt>
                <c:pt idx="464">
                  <c:v>3.4</c:v>
                </c:pt>
                <c:pt idx="465">
                  <c:v>3.4</c:v>
                </c:pt>
                <c:pt idx="466">
                  <c:v>3.4</c:v>
                </c:pt>
                <c:pt idx="467">
                  <c:v>3.4</c:v>
                </c:pt>
                <c:pt idx="468">
                  <c:v>3.4</c:v>
                </c:pt>
                <c:pt idx="469">
                  <c:v>3.4</c:v>
                </c:pt>
                <c:pt idx="470">
                  <c:v>3.4</c:v>
                </c:pt>
                <c:pt idx="471">
                  <c:v>3.4</c:v>
                </c:pt>
                <c:pt idx="472">
                  <c:v>3.4</c:v>
                </c:pt>
                <c:pt idx="473">
                  <c:v>3.4</c:v>
                </c:pt>
                <c:pt idx="474">
                  <c:v>3.4</c:v>
                </c:pt>
                <c:pt idx="475">
                  <c:v>3.4</c:v>
                </c:pt>
                <c:pt idx="476">
                  <c:v>3.4</c:v>
                </c:pt>
                <c:pt idx="477">
                  <c:v>3.4</c:v>
                </c:pt>
                <c:pt idx="478">
                  <c:v>3.4</c:v>
                </c:pt>
                <c:pt idx="479">
                  <c:v>3.4</c:v>
                </c:pt>
                <c:pt idx="480">
                  <c:v>3.4</c:v>
                </c:pt>
                <c:pt idx="481">
                  <c:v>3.4</c:v>
                </c:pt>
                <c:pt idx="482">
                  <c:v>3.4</c:v>
                </c:pt>
                <c:pt idx="483">
                  <c:v>3.4</c:v>
                </c:pt>
                <c:pt idx="484">
                  <c:v>3.4</c:v>
                </c:pt>
                <c:pt idx="485">
                  <c:v>3.4</c:v>
                </c:pt>
                <c:pt idx="486">
                  <c:v>3.4</c:v>
                </c:pt>
                <c:pt idx="487">
                  <c:v>3.4</c:v>
                </c:pt>
                <c:pt idx="488">
                  <c:v>3.4</c:v>
                </c:pt>
                <c:pt idx="489">
                  <c:v>3.4</c:v>
                </c:pt>
                <c:pt idx="490">
                  <c:v>3.4</c:v>
                </c:pt>
                <c:pt idx="491">
                  <c:v>3.4</c:v>
                </c:pt>
                <c:pt idx="492">
                  <c:v>3.4</c:v>
                </c:pt>
                <c:pt idx="493">
                  <c:v>3.4</c:v>
                </c:pt>
                <c:pt idx="494">
                  <c:v>3.4</c:v>
                </c:pt>
                <c:pt idx="495">
                  <c:v>3.4</c:v>
                </c:pt>
                <c:pt idx="496">
                  <c:v>3.4</c:v>
                </c:pt>
                <c:pt idx="497">
                  <c:v>3.4</c:v>
                </c:pt>
                <c:pt idx="498">
                  <c:v>3.4</c:v>
                </c:pt>
                <c:pt idx="499">
                  <c:v>3.4</c:v>
                </c:pt>
                <c:pt idx="500">
                  <c:v>3.4</c:v>
                </c:pt>
                <c:pt idx="501">
                  <c:v>3.4</c:v>
                </c:pt>
                <c:pt idx="502">
                  <c:v>3.4</c:v>
                </c:pt>
                <c:pt idx="503">
                  <c:v>3.4</c:v>
                </c:pt>
                <c:pt idx="504">
                  <c:v>3.4</c:v>
                </c:pt>
                <c:pt idx="505">
                  <c:v>3.4</c:v>
                </c:pt>
                <c:pt idx="506">
                  <c:v>3.4</c:v>
                </c:pt>
                <c:pt idx="507">
                  <c:v>3.4</c:v>
                </c:pt>
                <c:pt idx="508">
                  <c:v>3.4</c:v>
                </c:pt>
                <c:pt idx="509">
                  <c:v>3.4</c:v>
                </c:pt>
                <c:pt idx="510">
                  <c:v>3.4</c:v>
                </c:pt>
                <c:pt idx="511">
                  <c:v>3.4</c:v>
                </c:pt>
                <c:pt idx="512">
                  <c:v>3.4</c:v>
                </c:pt>
                <c:pt idx="513">
                  <c:v>3.4</c:v>
                </c:pt>
                <c:pt idx="514">
                  <c:v>3.4</c:v>
                </c:pt>
                <c:pt idx="515">
                  <c:v>3.4</c:v>
                </c:pt>
                <c:pt idx="516">
                  <c:v>3.4</c:v>
                </c:pt>
                <c:pt idx="517">
                  <c:v>3.4</c:v>
                </c:pt>
                <c:pt idx="518">
                  <c:v>3.4</c:v>
                </c:pt>
                <c:pt idx="519">
                  <c:v>3.4</c:v>
                </c:pt>
                <c:pt idx="520">
                  <c:v>3.4</c:v>
                </c:pt>
                <c:pt idx="521">
                  <c:v>3.4</c:v>
                </c:pt>
                <c:pt idx="522">
                  <c:v>3.4</c:v>
                </c:pt>
                <c:pt idx="523">
                  <c:v>3.4</c:v>
                </c:pt>
                <c:pt idx="524">
                  <c:v>3.4</c:v>
                </c:pt>
                <c:pt idx="525">
                  <c:v>3.4</c:v>
                </c:pt>
                <c:pt idx="526">
                  <c:v>3.4</c:v>
                </c:pt>
                <c:pt idx="527">
                  <c:v>3.4</c:v>
                </c:pt>
                <c:pt idx="528">
                  <c:v>3.4</c:v>
                </c:pt>
                <c:pt idx="529">
                  <c:v>3.4</c:v>
                </c:pt>
                <c:pt idx="530">
                  <c:v>3.4</c:v>
                </c:pt>
                <c:pt idx="531">
                  <c:v>3.4</c:v>
                </c:pt>
                <c:pt idx="532">
                  <c:v>3.4</c:v>
                </c:pt>
                <c:pt idx="533">
                  <c:v>3.4</c:v>
                </c:pt>
                <c:pt idx="534">
                  <c:v>3.4</c:v>
                </c:pt>
                <c:pt idx="535">
                  <c:v>3.4</c:v>
                </c:pt>
                <c:pt idx="536">
                  <c:v>3.4</c:v>
                </c:pt>
                <c:pt idx="537">
                  <c:v>3.4</c:v>
                </c:pt>
                <c:pt idx="538">
                  <c:v>3.4</c:v>
                </c:pt>
                <c:pt idx="539">
                  <c:v>3.4</c:v>
                </c:pt>
                <c:pt idx="540">
                  <c:v>3.4</c:v>
                </c:pt>
                <c:pt idx="541">
                  <c:v>3.4</c:v>
                </c:pt>
                <c:pt idx="542">
                  <c:v>3.4</c:v>
                </c:pt>
                <c:pt idx="543">
                  <c:v>3.4</c:v>
                </c:pt>
                <c:pt idx="544">
                  <c:v>3.4</c:v>
                </c:pt>
                <c:pt idx="545">
                  <c:v>3.4</c:v>
                </c:pt>
                <c:pt idx="546">
                  <c:v>3.4</c:v>
                </c:pt>
                <c:pt idx="547">
                  <c:v>3.5</c:v>
                </c:pt>
                <c:pt idx="548">
                  <c:v>3.5</c:v>
                </c:pt>
                <c:pt idx="549">
                  <c:v>3.5</c:v>
                </c:pt>
                <c:pt idx="550">
                  <c:v>3.5</c:v>
                </c:pt>
                <c:pt idx="551">
                  <c:v>3.5</c:v>
                </c:pt>
                <c:pt idx="552">
                  <c:v>3.5</c:v>
                </c:pt>
                <c:pt idx="553">
                  <c:v>3.5</c:v>
                </c:pt>
                <c:pt idx="554">
                  <c:v>3.5</c:v>
                </c:pt>
                <c:pt idx="555">
                  <c:v>3.5</c:v>
                </c:pt>
                <c:pt idx="556">
                  <c:v>3.5</c:v>
                </c:pt>
                <c:pt idx="557">
                  <c:v>3.5</c:v>
                </c:pt>
                <c:pt idx="558">
                  <c:v>3.5</c:v>
                </c:pt>
                <c:pt idx="559">
                  <c:v>3.5</c:v>
                </c:pt>
                <c:pt idx="560">
                  <c:v>3.5</c:v>
                </c:pt>
                <c:pt idx="561">
                  <c:v>3.5</c:v>
                </c:pt>
                <c:pt idx="562">
                  <c:v>3.5</c:v>
                </c:pt>
                <c:pt idx="563">
                  <c:v>3.5</c:v>
                </c:pt>
                <c:pt idx="564">
                  <c:v>3.5</c:v>
                </c:pt>
                <c:pt idx="565">
                  <c:v>3.5</c:v>
                </c:pt>
                <c:pt idx="566">
                  <c:v>3.5</c:v>
                </c:pt>
                <c:pt idx="567">
                  <c:v>3.5</c:v>
                </c:pt>
                <c:pt idx="568">
                  <c:v>3.5</c:v>
                </c:pt>
                <c:pt idx="569">
                  <c:v>3.5</c:v>
                </c:pt>
                <c:pt idx="570">
                  <c:v>3.5</c:v>
                </c:pt>
                <c:pt idx="571">
                  <c:v>3.5</c:v>
                </c:pt>
                <c:pt idx="572">
                  <c:v>3.5</c:v>
                </c:pt>
                <c:pt idx="573">
                  <c:v>3.5</c:v>
                </c:pt>
                <c:pt idx="574">
                  <c:v>3.5</c:v>
                </c:pt>
                <c:pt idx="575">
                  <c:v>3.5</c:v>
                </c:pt>
                <c:pt idx="576">
                  <c:v>3.5</c:v>
                </c:pt>
                <c:pt idx="577">
                  <c:v>3.5</c:v>
                </c:pt>
                <c:pt idx="578">
                  <c:v>3.5</c:v>
                </c:pt>
                <c:pt idx="579">
                  <c:v>3.5</c:v>
                </c:pt>
                <c:pt idx="580">
                  <c:v>3.5</c:v>
                </c:pt>
                <c:pt idx="581">
                  <c:v>3.5</c:v>
                </c:pt>
                <c:pt idx="582">
                  <c:v>3.5</c:v>
                </c:pt>
                <c:pt idx="583">
                  <c:v>3.5</c:v>
                </c:pt>
                <c:pt idx="584">
                  <c:v>3.5</c:v>
                </c:pt>
                <c:pt idx="585">
                  <c:v>3.5</c:v>
                </c:pt>
                <c:pt idx="586">
                  <c:v>3.5</c:v>
                </c:pt>
                <c:pt idx="587">
                  <c:v>3.5</c:v>
                </c:pt>
                <c:pt idx="588">
                  <c:v>3.5</c:v>
                </c:pt>
                <c:pt idx="589">
                  <c:v>3.5</c:v>
                </c:pt>
                <c:pt idx="590">
                  <c:v>3.5</c:v>
                </c:pt>
                <c:pt idx="591">
                  <c:v>3.5</c:v>
                </c:pt>
                <c:pt idx="592">
                  <c:v>3.6</c:v>
                </c:pt>
                <c:pt idx="593">
                  <c:v>3.6</c:v>
                </c:pt>
                <c:pt idx="594">
                  <c:v>3.6</c:v>
                </c:pt>
                <c:pt idx="595">
                  <c:v>3.6</c:v>
                </c:pt>
                <c:pt idx="596">
                  <c:v>3.6</c:v>
                </c:pt>
                <c:pt idx="597">
                  <c:v>3.6</c:v>
                </c:pt>
                <c:pt idx="598">
                  <c:v>3.6</c:v>
                </c:pt>
                <c:pt idx="599">
                  <c:v>3.6</c:v>
                </c:pt>
                <c:pt idx="600">
                  <c:v>3.6</c:v>
                </c:pt>
                <c:pt idx="601">
                  <c:v>3.6</c:v>
                </c:pt>
                <c:pt idx="602">
                  <c:v>3.6</c:v>
                </c:pt>
                <c:pt idx="603">
                  <c:v>3.6</c:v>
                </c:pt>
                <c:pt idx="604">
                  <c:v>3.6</c:v>
                </c:pt>
                <c:pt idx="605">
                  <c:v>3.6</c:v>
                </c:pt>
                <c:pt idx="606">
                  <c:v>3.6</c:v>
                </c:pt>
                <c:pt idx="607">
                  <c:v>3.6</c:v>
                </c:pt>
                <c:pt idx="608">
                  <c:v>3.6</c:v>
                </c:pt>
                <c:pt idx="609">
                  <c:v>3.6</c:v>
                </c:pt>
                <c:pt idx="610">
                  <c:v>3.6</c:v>
                </c:pt>
                <c:pt idx="611">
                  <c:v>3.6</c:v>
                </c:pt>
                <c:pt idx="612">
                  <c:v>3.6</c:v>
                </c:pt>
                <c:pt idx="613">
                  <c:v>3.6</c:v>
                </c:pt>
                <c:pt idx="614">
                  <c:v>3.6</c:v>
                </c:pt>
                <c:pt idx="615">
                  <c:v>3.6</c:v>
                </c:pt>
                <c:pt idx="616">
                  <c:v>3.6</c:v>
                </c:pt>
                <c:pt idx="617">
                  <c:v>3.6</c:v>
                </c:pt>
                <c:pt idx="618">
                  <c:v>3.6</c:v>
                </c:pt>
                <c:pt idx="619">
                  <c:v>3.6</c:v>
                </c:pt>
                <c:pt idx="620">
                  <c:v>3.6</c:v>
                </c:pt>
                <c:pt idx="621">
                  <c:v>3.6</c:v>
                </c:pt>
                <c:pt idx="622">
                  <c:v>3.6</c:v>
                </c:pt>
                <c:pt idx="623">
                  <c:v>3.6</c:v>
                </c:pt>
                <c:pt idx="624">
                  <c:v>3.6</c:v>
                </c:pt>
                <c:pt idx="625">
                  <c:v>3.6</c:v>
                </c:pt>
                <c:pt idx="626">
                  <c:v>3.6</c:v>
                </c:pt>
                <c:pt idx="627">
                  <c:v>3.6</c:v>
                </c:pt>
                <c:pt idx="628">
                  <c:v>3.6</c:v>
                </c:pt>
                <c:pt idx="629">
                  <c:v>3.6</c:v>
                </c:pt>
                <c:pt idx="630">
                  <c:v>3.6</c:v>
                </c:pt>
                <c:pt idx="631">
                  <c:v>3.6</c:v>
                </c:pt>
                <c:pt idx="632">
                  <c:v>3.6</c:v>
                </c:pt>
                <c:pt idx="633">
                  <c:v>3.6</c:v>
                </c:pt>
                <c:pt idx="634">
                  <c:v>3.6</c:v>
                </c:pt>
                <c:pt idx="635">
                  <c:v>3.6</c:v>
                </c:pt>
                <c:pt idx="636">
                  <c:v>3.6</c:v>
                </c:pt>
                <c:pt idx="637">
                  <c:v>3.6</c:v>
                </c:pt>
                <c:pt idx="638">
                  <c:v>3.6</c:v>
                </c:pt>
                <c:pt idx="639">
                  <c:v>3.6</c:v>
                </c:pt>
                <c:pt idx="640">
                  <c:v>3.6</c:v>
                </c:pt>
                <c:pt idx="641">
                  <c:v>3.6</c:v>
                </c:pt>
                <c:pt idx="642">
                  <c:v>3.6</c:v>
                </c:pt>
                <c:pt idx="643">
                  <c:v>3.6</c:v>
                </c:pt>
                <c:pt idx="644">
                  <c:v>3.6</c:v>
                </c:pt>
                <c:pt idx="645">
                  <c:v>3.6</c:v>
                </c:pt>
                <c:pt idx="646">
                  <c:v>3.6</c:v>
                </c:pt>
                <c:pt idx="647">
                  <c:v>3.6</c:v>
                </c:pt>
                <c:pt idx="648">
                  <c:v>3.6</c:v>
                </c:pt>
                <c:pt idx="649">
                  <c:v>3.6</c:v>
                </c:pt>
                <c:pt idx="650">
                  <c:v>3.6</c:v>
                </c:pt>
                <c:pt idx="651">
                  <c:v>3.6</c:v>
                </c:pt>
                <c:pt idx="652">
                  <c:v>3.6</c:v>
                </c:pt>
                <c:pt idx="653">
                  <c:v>3.6</c:v>
                </c:pt>
                <c:pt idx="654">
                  <c:v>3.6</c:v>
                </c:pt>
                <c:pt idx="655">
                  <c:v>3.6</c:v>
                </c:pt>
                <c:pt idx="656">
                  <c:v>3.6</c:v>
                </c:pt>
                <c:pt idx="657">
                  <c:v>3.6</c:v>
                </c:pt>
                <c:pt idx="658">
                  <c:v>3.6</c:v>
                </c:pt>
                <c:pt idx="659">
                  <c:v>3.6</c:v>
                </c:pt>
                <c:pt idx="660">
                  <c:v>3.6</c:v>
                </c:pt>
                <c:pt idx="661">
                  <c:v>3.6</c:v>
                </c:pt>
                <c:pt idx="662">
                  <c:v>3.6</c:v>
                </c:pt>
                <c:pt idx="663">
                  <c:v>3.6</c:v>
                </c:pt>
                <c:pt idx="664">
                  <c:v>3.6</c:v>
                </c:pt>
                <c:pt idx="665">
                  <c:v>3.6</c:v>
                </c:pt>
                <c:pt idx="666">
                  <c:v>3.6</c:v>
                </c:pt>
                <c:pt idx="667">
                  <c:v>3.6</c:v>
                </c:pt>
                <c:pt idx="668">
                  <c:v>3.6</c:v>
                </c:pt>
                <c:pt idx="669">
                  <c:v>3.6</c:v>
                </c:pt>
                <c:pt idx="670">
                  <c:v>3.6</c:v>
                </c:pt>
                <c:pt idx="671">
                  <c:v>3.6</c:v>
                </c:pt>
                <c:pt idx="672">
                  <c:v>3.6</c:v>
                </c:pt>
                <c:pt idx="673">
                  <c:v>3.6</c:v>
                </c:pt>
                <c:pt idx="674">
                  <c:v>3.6</c:v>
                </c:pt>
                <c:pt idx="675">
                  <c:v>3.6</c:v>
                </c:pt>
                <c:pt idx="676">
                  <c:v>3.6</c:v>
                </c:pt>
                <c:pt idx="677">
                  <c:v>3.6</c:v>
                </c:pt>
                <c:pt idx="678">
                  <c:v>3.6</c:v>
                </c:pt>
                <c:pt idx="679">
                  <c:v>3.6</c:v>
                </c:pt>
                <c:pt idx="680">
                  <c:v>3.6</c:v>
                </c:pt>
                <c:pt idx="681">
                  <c:v>3.6</c:v>
                </c:pt>
                <c:pt idx="682">
                  <c:v>3.6</c:v>
                </c:pt>
                <c:pt idx="683">
                  <c:v>3.6</c:v>
                </c:pt>
                <c:pt idx="684">
                  <c:v>3.6</c:v>
                </c:pt>
                <c:pt idx="685">
                  <c:v>3.6</c:v>
                </c:pt>
                <c:pt idx="686">
                  <c:v>3.6</c:v>
                </c:pt>
                <c:pt idx="687">
                  <c:v>3.6</c:v>
                </c:pt>
                <c:pt idx="688">
                  <c:v>3.6</c:v>
                </c:pt>
                <c:pt idx="689">
                  <c:v>3.6</c:v>
                </c:pt>
                <c:pt idx="690">
                  <c:v>3.6</c:v>
                </c:pt>
                <c:pt idx="691">
                  <c:v>3.6</c:v>
                </c:pt>
                <c:pt idx="692">
                  <c:v>3.6</c:v>
                </c:pt>
                <c:pt idx="693">
                  <c:v>3.6</c:v>
                </c:pt>
                <c:pt idx="694">
                  <c:v>3.6</c:v>
                </c:pt>
                <c:pt idx="695">
                  <c:v>3.6</c:v>
                </c:pt>
                <c:pt idx="696">
                  <c:v>3.6</c:v>
                </c:pt>
                <c:pt idx="697">
                  <c:v>3.6</c:v>
                </c:pt>
                <c:pt idx="698">
                  <c:v>3.6</c:v>
                </c:pt>
                <c:pt idx="699">
                  <c:v>3.6</c:v>
                </c:pt>
                <c:pt idx="700">
                  <c:v>3.6</c:v>
                </c:pt>
                <c:pt idx="701">
                  <c:v>3.6</c:v>
                </c:pt>
                <c:pt idx="702">
                  <c:v>3.6</c:v>
                </c:pt>
                <c:pt idx="703">
                  <c:v>3.6</c:v>
                </c:pt>
                <c:pt idx="704">
                  <c:v>3.6</c:v>
                </c:pt>
                <c:pt idx="705">
                  <c:v>3.6</c:v>
                </c:pt>
                <c:pt idx="706">
                  <c:v>3.6</c:v>
                </c:pt>
                <c:pt idx="707">
                  <c:v>3.6</c:v>
                </c:pt>
                <c:pt idx="708">
                  <c:v>3.6</c:v>
                </c:pt>
                <c:pt idx="709">
                  <c:v>3.6</c:v>
                </c:pt>
                <c:pt idx="710">
                  <c:v>3.6</c:v>
                </c:pt>
                <c:pt idx="711">
                  <c:v>3.6</c:v>
                </c:pt>
                <c:pt idx="712">
                  <c:v>3.6</c:v>
                </c:pt>
                <c:pt idx="713">
                  <c:v>3.6</c:v>
                </c:pt>
                <c:pt idx="714">
                  <c:v>3.6</c:v>
                </c:pt>
                <c:pt idx="715">
                  <c:v>3.6</c:v>
                </c:pt>
                <c:pt idx="716">
                  <c:v>3.6</c:v>
                </c:pt>
                <c:pt idx="717">
                  <c:v>3.6</c:v>
                </c:pt>
                <c:pt idx="718">
                  <c:v>3.6</c:v>
                </c:pt>
                <c:pt idx="719">
                  <c:v>3.6</c:v>
                </c:pt>
                <c:pt idx="720">
                  <c:v>3.6</c:v>
                </c:pt>
                <c:pt idx="721">
                  <c:v>3.6</c:v>
                </c:pt>
                <c:pt idx="722">
                  <c:v>4.0999999999999996</c:v>
                </c:pt>
                <c:pt idx="723">
                  <c:v>4.0999999999999996</c:v>
                </c:pt>
                <c:pt idx="724">
                  <c:v>4.2</c:v>
                </c:pt>
                <c:pt idx="725">
                  <c:v>4.2</c:v>
                </c:pt>
                <c:pt idx="726">
                  <c:v>4.2</c:v>
                </c:pt>
                <c:pt idx="727">
                  <c:v>4.3</c:v>
                </c:pt>
                <c:pt idx="728">
                  <c:v>4.3</c:v>
                </c:pt>
                <c:pt idx="729">
                  <c:v>4.3</c:v>
                </c:pt>
                <c:pt idx="730">
                  <c:v>4.3</c:v>
                </c:pt>
                <c:pt idx="731">
                  <c:v>4.3</c:v>
                </c:pt>
                <c:pt idx="732">
                  <c:v>4.3</c:v>
                </c:pt>
                <c:pt idx="733">
                  <c:v>4.3</c:v>
                </c:pt>
                <c:pt idx="734">
                  <c:v>4.3</c:v>
                </c:pt>
                <c:pt idx="735">
                  <c:v>4.3</c:v>
                </c:pt>
                <c:pt idx="736">
                  <c:v>4.3</c:v>
                </c:pt>
                <c:pt idx="737">
                  <c:v>4.4000000000000004</c:v>
                </c:pt>
                <c:pt idx="738">
                  <c:v>4.4000000000000004</c:v>
                </c:pt>
                <c:pt idx="739">
                  <c:v>4.4000000000000004</c:v>
                </c:pt>
                <c:pt idx="740">
                  <c:v>4.4000000000000004</c:v>
                </c:pt>
                <c:pt idx="741">
                  <c:v>4.4000000000000004</c:v>
                </c:pt>
                <c:pt idx="742">
                  <c:v>4.4000000000000004</c:v>
                </c:pt>
                <c:pt idx="743">
                  <c:v>4.4000000000000004</c:v>
                </c:pt>
                <c:pt idx="744">
                  <c:v>4.4000000000000004</c:v>
                </c:pt>
                <c:pt idx="745">
                  <c:v>4.4000000000000004</c:v>
                </c:pt>
                <c:pt idx="746">
                  <c:v>4.4000000000000004</c:v>
                </c:pt>
                <c:pt idx="747">
                  <c:v>4.4000000000000004</c:v>
                </c:pt>
                <c:pt idx="748">
                  <c:v>4.4000000000000004</c:v>
                </c:pt>
                <c:pt idx="749">
                  <c:v>4.4000000000000004</c:v>
                </c:pt>
                <c:pt idx="750">
                  <c:v>4.5</c:v>
                </c:pt>
                <c:pt idx="751">
                  <c:v>4.5</c:v>
                </c:pt>
                <c:pt idx="752">
                  <c:v>4.5</c:v>
                </c:pt>
                <c:pt idx="753">
                  <c:v>4.5</c:v>
                </c:pt>
                <c:pt idx="754">
                  <c:v>4.5</c:v>
                </c:pt>
                <c:pt idx="755">
                  <c:v>4.5</c:v>
                </c:pt>
                <c:pt idx="756">
                  <c:v>4.5</c:v>
                </c:pt>
                <c:pt idx="757">
                  <c:v>4.5</c:v>
                </c:pt>
                <c:pt idx="758">
                  <c:v>4.5</c:v>
                </c:pt>
                <c:pt idx="759">
                  <c:v>4.5</c:v>
                </c:pt>
                <c:pt idx="760">
                  <c:v>4.5</c:v>
                </c:pt>
                <c:pt idx="761">
                  <c:v>4.5999999999999996</c:v>
                </c:pt>
                <c:pt idx="762">
                  <c:v>4.5999999999999996</c:v>
                </c:pt>
                <c:pt idx="763">
                  <c:v>4.5999999999999996</c:v>
                </c:pt>
                <c:pt idx="764">
                  <c:v>4.5999999999999996</c:v>
                </c:pt>
                <c:pt idx="765">
                  <c:v>4.5999999999999996</c:v>
                </c:pt>
                <c:pt idx="766">
                  <c:v>4.5999999999999996</c:v>
                </c:pt>
                <c:pt idx="767">
                  <c:v>4.5999999999999996</c:v>
                </c:pt>
                <c:pt idx="768">
                  <c:v>4.5999999999999996</c:v>
                </c:pt>
                <c:pt idx="769">
                  <c:v>4.5999999999999996</c:v>
                </c:pt>
                <c:pt idx="770">
                  <c:v>4.5999999999999996</c:v>
                </c:pt>
                <c:pt idx="771">
                  <c:v>4.5999999999999996</c:v>
                </c:pt>
                <c:pt idx="772">
                  <c:v>4.5999999999999996</c:v>
                </c:pt>
                <c:pt idx="773">
                  <c:v>4.5999999999999996</c:v>
                </c:pt>
                <c:pt idx="774">
                  <c:v>4.5999999999999996</c:v>
                </c:pt>
                <c:pt idx="775">
                  <c:v>4.5999999999999996</c:v>
                </c:pt>
                <c:pt idx="776">
                  <c:v>4.5999999999999996</c:v>
                </c:pt>
                <c:pt idx="777">
                  <c:v>4.5999999999999996</c:v>
                </c:pt>
                <c:pt idx="778">
                  <c:v>4.5999999999999996</c:v>
                </c:pt>
                <c:pt idx="779">
                  <c:v>4.5999999999999996</c:v>
                </c:pt>
                <c:pt idx="780">
                  <c:v>4.5999999999999996</c:v>
                </c:pt>
                <c:pt idx="781">
                  <c:v>4.5999999999999996</c:v>
                </c:pt>
                <c:pt idx="782">
                  <c:v>4.5999999999999996</c:v>
                </c:pt>
                <c:pt idx="783">
                  <c:v>4.5999999999999996</c:v>
                </c:pt>
                <c:pt idx="784">
                  <c:v>4.5999999999999996</c:v>
                </c:pt>
                <c:pt idx="785">
                  <c:v>4.5999999999999996</c:v>
                </c:pt>
                <c:pt idx="786">
                  <c:v>5.0999999999999996</c:v>
                </c:pt>
                <c:pt idx="787">
                  <c:v>5.0999999999999996</c:v>
                </c:pt>
                <c:pt idx="788">
                  <c:v>5.0999999999999996</c:v>
                </c:pt>
                <c:pt idx="789">
                  <c:v>5.0999999999999996</c:v>
                </c:pt>
                <c:pt idx="790">
                  <c:v>5.0999999999999996</c:v>
                </c:pt>
                <c:pt idx="791">
                  <c:v>5.0999999999999996</c:v>
                </c:pt>
                <c:pt idx="792">
                  <c:v>5.0999999999999996</c:v>
                </c:pt>
                <c:pt idx="793">
                  <c:v>5.2</c:v>
                </c:pt>
                <c:pt idx="794">
                  <c:v>5.2</c:v>
                </c:pt>
                <c:pt idx="795">
                  <c:v>5.2</c:v>
                </c:pt>
                <c:pt idx="796">
                  <c:v>5.3</c:v>
                </c:pt>
                <c:pt idx="797">
                  <c:v>5.3</c:v>
                </c:pt>
                <c:pt idx="798">
                  <c:v>5.3</c:v>
                </c:pt>
                <c:pt idx="799">
                  <c:v>5.3</c:v>
                </c:pt>
                <c:pt idx="800">
                  <c:v>5.3</c:v>
                </c:pt>
                <c:pt idx="801">
                  <c:v>5.3</c:v>
                </c:pt>
                <c:pt idx="802">
                  <c:v>5.3</c:v>
                </c:pt>
                <c:pt idx="803">
                  <c:v>5.3</c:v>
                </c:pt>
                <c:pt idx="804">
                  <c:v>5.3</c:v>
                </c:pt>
                <c:pt idx="805">
                  <c:v>5.3</c:v>
                </c:pt>
                <c:pt idx="806">
                  <c:v>5.3</c:v>
                </c:pt>
                <c:pt idx="807">
                  <c:v>5.3</c:v>
                </c:pt>
                <c:pt idx="808">
                  <c:v>5.3</c:v>
                </c:pt>
                <c:pt idx="809">
                  <c:v>5.3</c:v>
                </c:pt>
                <c:pt idx="810">
                  <c:v>5.3</c:v>
                </c:pt>
                <c:pt idx="811">
                  <c:v>5.3</c:v>
                </c:pt>
                <c:pt idx="812">
                  <c:v>5.3</c:v>
                </c:pt>
                <c:pt idx="813">
                  <c:v>5.3</c:v>
                </c:pt>
                <c:pt idx="814">
                  <c:v>5.3</c:v>
                </c:pt>
                <c:pt idx="815">
                  <c:v>5.3</c:v>
                </c:pt>
                <c:pt idx="816">
                  <c:v>5.3</c:v>
                </c:pt>
                <c:pt idx="817">
                  <c:v>5.4</c:v>
                </c:pt>
                <c:pt idx="818">
                  <c:v>5.4</c:v>
                </c:pt>
                <c:pt idx="819">
                  <c:v>5.4</c:v>
                </c:pt>
                <c:pt idx="820">
                  <c:v>5.4</c:v>
                </c:pt>
                <c:pt idx="821">
                  <c:v>5.4</c:v>
                </c:pt>
                <c:pt idx="822">
                  <c:v>5.4</c:v>
                </c:pt>
                <c:pt idx="823">
                  <c:v>5.4</c:v>
                </c:pt>
                <c:pt idx="824">
                  <c:v>5.4</c:v>
                </c:pt>
                <c:pt idx="825">
                  <c:v>5.4</c:v>
                </c:pt>
                <c:pt idx="826">
                  <c:v>5.4</c:v>
                </c:pt>
                <c:pt idx="827">
                  <c:v>5.4</c:v>
                </c:pt>
                <c:pt idx="828">
                  <c:v>5.4</c:v>
                </c:pt>
                <c:pt idx="829">
                  <c:v>5.4</c:v>
                </c:pt>
                <c:pt idx="830">
                  <c:v>5.4</c:v>
                </c:pt>
                <c:pt idx="831">
                  <c:v>5.4</c:v>
                </c:pt>
                <c:pt idx="832">
                  <c:v>5.4</c:v>
                </c:pt>
                <c:pt idx="833">
                  <c:v>5.4</c:v>
                </c:pt>
                <c:pt idx="834">
                  <c:v>5.4</c:v>
                </c:pt>
                <c:pt idx="835">
                  <c:v>5.4</c:v>
                </c:pt>
                <c:pt idx="836">
                  <c:v>5.5</c:v>
                </c:pt>
                <c:pt idx="837">
                  <c:v>5.5</c:v>
                </c:pt>
                <c:pt idx="838">
                  <c:v>5.5</c:v>
                </c:pt>
                <c:pt idx="839">
                  <c:v>5.5</c:v>
                </c:pt>
                <c:pt idx="840">
                  <c:v>5.5</c:v>
                </c:pt>
                <c:pt idx="841">
                  <c:v>5.5</c:v>
                </c:pt>
                <c:pt idx="842">
                  <c:v>5.5</c:v>
                </c:pt>
                <c:pt idx="843">
                  <c:v>5.5</c:v>
                </c:pt>
                <c:pt idx="844">
                  <c:v>5.5</c:v>
                </c:pt>
                <c:pt idx="845">
                  <c:v>5.5</c:v>
                </c:pt>
                <c:pt idx="846">
                  <c:v>5.5</c:v>
                </c:pt>
                <c:pt idx="847">
                  <c:v>5.5</c:v>
                </c:pt>
                <c:pt idx="848">
                  <c:v>5.5</c:v>
                </c:pt>
                <c:pt idx="849">
                  <c:v>5.5</c:v>
                </c:pt>
                <c:pt idx="850">
                  <c:v>5.5</c:v>
                </c:pt>
                <c:pt idx="851">
                  <c:v>5.5</c:v>
                </c:pt>
                <c:pt idx="852">
                  <c:v>5.5</c:v>
                </c:pt>
                <c:pt idx="853">
                  <c:v>5.5</c:v>
                </c:pt>
                <c:pt idx="854">
                  <c:v>5.6</c:v>
                </c:pt>
                <c:pt idx="855">
                  <c:v>5.6</c:v>
                </c:pt>
                <c:pt idx="856">
                  <c:v>5.6</c:v>
                </c:pt>
                <c:pt idx="857">
                  <c:v>5.6</c:v>
                </c:pt>
                <c:pt idx="858">
                  <c:v>5.6</c:v>
                </c:pt>
                <c:pt idx="859">
                  <c:v>5.6</c:v>
                </c:pt>
                <c:pt idx="860">
                  <c:v>5.6</c:v>
                </c:pt>
                <c:pt idx="861">
                  <c:v>5.6</c:v>
                </c:pt>
                <c:pt idx="862">
                  <c:v>5.6</c:v>
                </c:pt>
                <c:pt idx="863">
                  <c:v>5.6</c:v>
                </c:pt>
                <c:pt idx="864">
                  <c:v>5.6</c:v>
                </c:pt>
                <c:pt idx="865">
                  <c:v>5.6</c:v>
                </c:pt>
                <c:pt idx="866">
                  <c:v>5.6</c:v>
                </c:pt>
                <c:pt idx="867">
                  <c:v>5.6</c:v>
                </c:pt>
                <c:pt idx="868">
                  <c:v>5.6</c:v>
                </c:pt>
                <c:pt idx="869">
                  <c:v>5.6</c:v>
                </c:pt>
                <c:pt idx="870">
                  <c:v>5.6</c:v>
                </c:pt>
                <c:pt idx="871">
                  <c:v>5.6</c:v>
                </c:pt>
                <c:pt idx="872">
                  <c:v>5.6</c:v>
                </c:pt>
                <c:pt idx="873">
                  <c:v>5.6</c:v>
                </c:pt>
                <c:pt idx="874">
                  <c:v>5.6</c:v>
                </c:pt>
                <c:pt idx="875">
                  <c:v>5.6</c:v>
                </c:pt>
                <c:pt idx="876">
                  <c:v>5.6</c:v>
                </c:pt>
                <c:pt idx="877">
                  <c:v>5.6</c:v>
                </c:pt>
                <c:pt idx="878">
                  <c:v>5.6</c:v>
                </c:pt>
                <c:pt idx="879">
                  <c:v>5.6</c:v>
                </c:pt>
                <c:pt idx="880">
                  <c:v>5.6</c:v>
                </c:pt>
                <c:pt idx="881">
                  <c:v>5.6</c:v>
                </c:pt>
                <c:pt idx="882">
                  <c:v>5.6</c:v>
                </c:pt>
                <c:pt idx="883">
                  <c:v>5.6</c:v>
                </c:pt>
                <c:pt idx="884">
                  <c:v>5.6</c:v>
                </c:pt>
                <c:pt idx="885">
                  <c:v>5.6</c:v>
                </c:pt>
                <c:pt idx="886">
                  <c:v>5.6</c:v>
                </c:pt>
                <c:pt idx="887">
                  <c:v>5.6</c:v>
                </c:pt>
                <c:pt idx="888">
                  <c:v>5.6</c:v>
                </c:pt>
                <c:pt idx="889">
                  <c:v>5.6</c:v>
                </c:pt>
                <c:pt idx="890">
                  <c:v>5.6</c:v>
                </c:pt>
                <c:pt idx="891">
                  <c:v>5.6</c:v>
                </c:pt>
                <c:pt idx="892">
                  <c:v>5.6</c:v>
                </c:pt>
                <c:pt idx="893">
                  <c:v>5.6</c:v>
                </c:pt>
                <c:pt idx="894">
                  <c:v>5.6</c:v>
                </c:pt>
                <c:pt idx="895">
                  <c:v>5.6</c:v>
                </c:pt>
                <c:pt idx="896">
                  <c:v>5.6</c:v>
                </c:pt>
                <c:pt idx="897">
                  <c:v>5.6</c:v>
                </c:pt>
                <c:pt idx="898">
                  <c:v>5.6</c:v>
                </c:pt>
                <c:pt idx="899">
                  <c:v>5.6</c:v>
                </c:pt>
                <c:pt idx="900">
                  <c:v>5.6</c:v>
                </c:pt>
                <c:pt idx="901">
                  <c:v>5.6</c:v>
                </c:pt>
                <c:pt idx="902">
                  <c:v>5.6</c:v>
                </c:pt>
                <c:pt idx="903">
                  <c:v>5.6</c:v>
                </c:pt>
                <c:pt idx="904">
                  <c:v>5.6</c:v>
                </c:pt>
                <c:pt idx="905">
                  <c:v>5.6</c:v>
                </c:pt>
                <c:pt idx="906">
                  <c:v>6.1</c:v>
                </c:pt>
                <c:pt idx="907">
                  <c:v>6.1</c:v>
                </c:pt>
                <c:pt idx="908">
                  <c:v>6.1</c:v>
                </c:pt>
                <c:pt idx="909">
                  <c:v>6.3</c:v>
                </c:pt>
                <c:pt idx="910">
                  <c:v>6.3</c:v>
                </c:pt>
                <c:pt idx="911">
                  <c:v>7.1</c:v>
                </c:pt>
                <c:pt idx="912">
                  <c:v>7.1</c:v>
                </c:pt>
                <c:pt idx="913">
                  <c:v>7.1</c:v>
                </c:pt>
                <c:pt idx="914">
                  <c:v>7.1</c:v>
                </c:pt>
                <c:pt idx="915">
                  <c:v>7.1</c:v>
                </c:pt>
                <c:pt idx="916">
                  <c:v>7.2</c:v>
                </c:pt>
                <c:pt idx="917">
                  <c:v>7.2</c:v>
                </c:pt>
                <c:pt idx="918">
                  <c:v>7.3</c:v>
                </c:pt>
                <c:pt idx="919">
                  <c:v>7.3</c:v>
                </c:pt>
                <c:pt idx="920">
                  <c:v>7.3</c:v>
                </c:pt>
                <c:pt idx="921">
                  <c:v>7.3</c:v>
                </c:pt>
                <c:pt idx="922">
                  <c:v>7.3</c:v>
                </c:pt>
                <c:pt idx="923">
                  <c:v>7.4</c:v>
                </c:pt>
                <c:pt idx="924">
                  <c:v>7.4</c:v>
                </c:pt>
                <c:pt idx="925">
                  <c:v>7.4</c:v>
                </c:pt>
                <c:pt idx="926">
                  <c:v>7.4</c:v>
                </c:pt>
                <c:pt idx="927">
                  <c:v>7.4</c:v>
                </c:pt>
                <c:pt idx="928">
                  <c:v>7.4</c:v>
                </c:pt>
                <c:pt idx="929">
                  <c:v>7.4</c:v>
                </c:pt>
                <c:pt idx="930">
                  <c:v>7.4</c:v>
                </c:pt>
                <c:pt idx="931">
                  <c:v>7.5</c:v>
                </c:pt>
                <c:pt idx="932">
                  <c:v>7.5</c:v>
                </c:pt>
                <c:pt idx="933">
                  <c:v>7.5</c:v>
                </c:pt>
                <c:pt idx="934">
                  <c:v>7.5</c:v>
                </c:pt>
                <c:pt idx="935">
                  <c:v>7.5</c:v>
                </c:pt>
                <c:pt idx="936">
                  <c:v>7.5</c:v>
                </c:pt>
                <c:pt idx="937">
                  <c:v>7.5</c:v>
                </c:pt>
                <c:pt idx="938">
                  <c:v>7.5</c:v>
                </c:pt>
                <c:pt idx="939">
                  <c:v>7.5</c:v>
                </c:pt>
                <c:pt idx="940">
                  <c:v>7.5</c:v>
                </c:pt>
                <c:pt idx="941">
                  <c:v>7.5</c:v>
                </c:pt>
                <c:pt idx="942">
                  <c:v>7.5</c:v>
                </c:pt>
                <c:pt idx="943">
                  <c:v>7.5</c:v>
                </c:pt>
                <c:pt idx="944">
                  <c:v>7.5</c:v>
                </c:pt>
                <c:pt idx="945">
                  <c:v>7.5</c:v>
                </c:pt>
                <c:pt idx="946">
                  <c:v>7.6</c:v>
                </c:pt>
                <c:pt idx="947">
                  <c:v>7.6</c:v>
                </c:pt>
                <c:pt idx="948">
                  <c:v>7.6</c:v>
                </c:pt>
                <c:pt idx="949">
                  <c:v>7.6</c:v>
                </c:pt>
                <c:pt idx="950">
                  <c:v>7.6</c:v>
                </c:pt>
                <c:pt idx="951">
                  <c:v>7.6</c:v>
                </c:pt>
                <c:pt idx="952">
                  <c:v>7.6</c:v>
                </c:pt>
                <c:pt idx="953">
                  <c:v>7.6</c:v>
                </c:pt>
                <c:pt idx="954">
                  <c:v>7.6</c:v>
                </c:pt>
                <c:pt idx="955">
                  <c:v>7.6</c:v>
                </c:pt>
                <c:pt idx="956">
                  <c:v>7.6</c:v>
                </c:pt>
                <c:pt idx="957">
                  <c:v>7.6</c:v>
                </c:pt>
                <c:pt idx="958">
                  <c:v>7.6</c:v>
                </c:pt>
                <c:pt idx="959">
                  <c:v>7.6</c:v>
                </c:pt>
                <c:pt idx="960">
                  <c:v>7.6</c:v>
                </c:pt>
                <c:pt idx="961">
                  <c:v>7.6</c:v>
                </c:pt>
                <c:pt idx="962">
                  <c:v>7.6</c:v>
                </c:pt>
                <c:pt idx="963">
                  <c:v>7.6</c:v>
                </c:pt>
                <c:pt idx="964">
                  <c:v>7.6</c:v>
                </c:pt>
                <c:pt idx="965">
                  <c:v>7.6</c:v>
                </c:pt>
                <c:pt idx="966">
                  <c:v>7.6</c:v>
                </c:pt>
                <c:pt idx="967">
                  <c:v>7.6</c:v>
                </c:pt>
                <c:pt idx="968">
                  <c:v>7.6</c:v>
                </c:pt>
                <c:pt idx="969">
                  <c:v>7.6</c:v>
                </c:pt>
                <c:pt idx="970">
                  <c:v>7.6</c:v>
                </c:pt>
                <c:pt idx="971">
                  <c:v>7.6</c:v>
                </c:pt>
                <c:pt idx="972">
                  <c:v>7.6</c:v>
                </c:pt>
                <c:pt idx="973">
                  <c:v>7.6</c:v>
                </c:pt>
                <c:pt idx="974">
                  <c:v>7.6</c:v>
                </c:pt>
                <c:pt idx="975">
                  <c:v>7.6</c:v>
                </c:pt>
                <c:pt idx="976">
                  <c:v>7.6</c:v>
                </c:pt>
                <c:pt idx="977">
                  <c:v>7.6</c:v>
                </c:pt>
                <c:pt idx="978">
                  <c:v>7.6</c:v>
                </c:pt>
                <c:pt idx="979">
                  <c:v>7.6</c:v>
                </c:pt>
                <c:pt idx="980">
                  <c:v>7.6</c:v>
                </c:pt>
                <c:pt idx="981">
                  <c:v>7.6</c:v>
                </c:pt>
                <c:pt idx="982">
                  <c:v>7.6</c:v>
                </c:pt>
                <c:pt idx="983">
                  <c:v>7.6</c:v>
                </c:pt>
                <c:pt idx="984">
                  <c:v>7.6</c:v>
                </c:pt>
                <c:pt idx="985">
                  <c:v>7.6</c:v>
                </c:pt>
                <c:pt idx="986">
                  <c:v>7.6</c:v>
                </c:pt>
                <c:pt idx="987">
                  <c:v>7.6</c:v>
                </c:pt>
                <c:pt idx="988">
                  <c:v>7.6</c:v>
                </c:pt>
                <c:pt idx="989">
                  <c:v>7.6</c:v>
                </c:pt>
                <c:pt idx="990">
                  <c:v>7.6</c:v>
                </c:pt>
                <c:pt idx="991">
                  <c:v>7.6</c:v>
                </c:pt>
                <c:pt idx="992">
                  <c:v>7.6</c:v>
                </c:pt>
                <c:pt idx="993">
                  <c:v>7.6</c:v>
                </c:pt>
                <c:pt idx="994">
                  <c:v>7.6</c:v>
                </c:pt>
                <c:pt idx="995">
                  <c:v>7.6</c:v>
                </c:pt>
                <c:pt idx="996">
                  <c:v>7.6</c:v>
                </c:pt>
                <c:pt idx="997">
                  <c:v>8.1</c:v>
                </c:pt>
                <c:pt idx="998">
                  <c:v>8.1</c:v>
                </c:pt>
                <c:pt idx="999">
                  <c:v>8.2000000000000011</c:v>
                </c:pt>
                <c:pt idx="1000">
                  <c:v>8.2000000000000011</c:v>
                </c:pt>
                <c:pt idx="1001">
                  <c:v>8.2000000000000011</c:v>
                </c:pt>
                <c:pt idx="1002">
                  <c:v>8.2000000000000011</c:v>
                </c:pt>
                <c:pt idx="1003">
                  <c:v>8.3000000000000007</c:v>
                </c:pt>
                <c:pt idx="1004">
                  <c:v>8.3000000000000007</c:v>
                </c:pt>
                <c:pt idx="1005">
                  <c:v>8.3000000000000007</c:v>
                </c:pt>
                <c:pt idx="1006">
                  <c:v>8.3000000000000007</c:v>
                </c:pt>
                <c:pt idx="1007">
                  <c:v>8.3000000000000007</c:v>
                </c:pt>
                <c:pt idx="1008">
                  <c:v>8.3000000000000007</c:v>
                </c:pt>
                <c:pt idx="1009">
                  <c:v>8.4</c:v>
                </c:pt>
                <c:pt idx="1010">
                  <c:v>8.4</c:v>
                </c:pt>
                <c:pt idx="1011">
                  <c:v>8.4</c:v>
                </c:pt>
                <c:pt idx="1012">
                  <c:v>8.4</c:v>
                </c:pt>
                <c:pt idx="1013">
                  <c:v>8.4</c:v>
                </c:pt>
                <c:pt idx="1014">
                  <c:v>8.4</c:v>
                </c:pt>
                <c:pt idx="1015">
                  <c:v>8.4</c:v>
                </c:pt>
                <c:pt idx="1016">
                  <c:v>8.5</c:v>
                </c:pt>
                <c:pt idx="1017">
                  <c:v>8.5</c:v>
                </c:pt>
                <c:pt idx="1018">
                  <c:v>8.5</c:v>
                </c:pt>
                <c:pt idx="1019">
                  <c:v>8.5</c:v>
                </c:pt>
                <c:pt idx="1020">
                  <c:v>8.5</c:v>
                </c:pt>
                <c:pt idx="1021">
                  <c:v>8.5</c:v>
                </c:pt>
                <c:pt idx="1022">
                  <c:v>8.5</c:v>
                </c:pt>
                <c:pt idx="1023">
                  <c:v>8.5</c:v>
                </c:pt>
                <c:pt idx="1024">
                  <c:v>8.5</c:v>
                </c:pt>
                <c:pt idx="1025">
                  <c:v>8.5</c:v>
                </c:pt>
                <c:pt idx="1026">
                  <c:v>8.5</c:v>
                </c:pt>
                <c:pt idx="1027">
                  <c:v>8.5</c:v>
                </c:pt>
                <c:pt idx="1028">
                  <c:v>8.5</c:v>
                </c:pt>
                <c:pt idx="1029">
                  <c:v>8.5</c:v>
                </c:pt>
                <c:pt idx="1030">
                  <c:v>8.6</c:v>
                </c:pt>
                <c:pt idx="1031">
                  <c:v>8.6</c:v>
                </c:pt>
                <c:pt idx="1032">
                  <c:v>8.6</c:v>
                </c:pt>
                <c:pt idx="1033">
                  <c:v>8.6</c:v>
                </c:pt>
                <c:pt idx="1034">
                  <c:v>8.6</c:v>
                </c:pt>
                <c:pt idx="1035">
                  <c:v>8.6</c:v>
                </c:pt>
                <c:pt idx="1036">
                  <c:v>8.6</c:v>
                </c:pt>
                <c:pt idx="1037">
                  <c:v>8.6</c:v>
                </c:pt>
                <c:pt idx="1038">
                  <c:v>8.6</c:v>
                </c:pt>
                <c:pt idx="1039">
                  <c:v>8.6</c:v>
                </c:pt>
                <c:pt idx="1040">
                  <c:v>8.6</c:v>
                </c:pt>
                <c:pt idx="1041">
                  <c:v>8.6</c:v>
                </c:pt>
                <c:pt idx="1042">
                  <c:v>8.6</c:v>
                </c:pt>
                <c:pt idx="1043">
                  <c:v>8.6</c:v>
                </c:pt>
                <c:pt idx="1044">
                  <c:v>8.6</c:v>
                </c:pt>
                <c:pt idx="1045">
                  <c:v>8.6</c:v>
                </c:pt>
                <c:pt idx="1046">
                  <c:v>8.6</c:v>
                </c:pt>
                <c:pt idx="1047">
                  <c:v>8.6</c:v>
                </c:pt>
                <c:pt idx="1048">
                  <c:v>8.6</c:v>
                </c:pt>
                <c:pt idx="1049">
                  <c:v>8.6</c:v>
                </c:pt>
                <c:pt idx="1050">
                  <c:v>8.6</c:v>
                </c:pt>
                <c:pt idx="1051">
                  <c:v>8.6</c:v>
                </c:pt>
                <c:pt idx="1052">
                  <c:v>8.6</c:v>
                </c:pt>
                <c:pt idx="1053">
                  <c:v>8.6</c:v>
                </c:pt>
                <c:pt idx="1054">
                  <c:v>8.6</c:v>
                </c:pt>
                <c:pt idx="1055">
                  <c:v>8.6</c:v>
                </c:pt>
                <c:pt idx="1056">
                  <c:v>8.6</c:v>
                </c:pt>
                <c:pt idx="1057">
                  <c:v>9.1</c:v>
                </c:pt>
                <c:pt idx="1058">
                  <c:v>9.1</c:v>
                </c:pt>
                <c:pt idx="1059">
                  <c:v>9.1</c:v>
                </c:pt>
                <c:pt idx="1060">
                  <c:v>9.2000000000000011</c:v>
                </c:pt>
                <c:pt idx="1061">
                  <c:v>9.3000000000000007</c:v>
                </c:pt>
                <c:pt idx="1062">
                  <c:v>9.3000000000000007</c:v>
                </c:pt>
                <c:pt idx="1063">
                  <c:v>9.3000000000000007</c:v>
                </c:pt>
                <c:pt idx="1064">
                  <c:v>9.3000000000000007</c:v>
                </c:pt>
                <c:pt idx="1065">
                  <c:v>9.4</c:v>
                </c:pt>
                <c:pt idx="1066">
                  <c:v>9.4</c:v>
                </c:pt>
                <c:pt idx="1067">
                  <c:v>9.4</c:v>
                </c:pt>
                <c:pt idx="1068">
                  <c:v>9.4</c:v>
                </c:pt>
                <c:pt idx="1069">
                  <c:v>9.4</c:v>
                </c:pt>
                <c:pt idx="1070">
                  <c:v>9.4</c:v>
                </c:pt>
                <c:pt idx="1071">
                  <c:v>9.5</c:v>
                </c:pt>
                <c:pt idx="1072">
                  <c:v>9.5</c:v>
                </c:pt>
                <c:pt idx="1073">
                  <c:v>9.5</c:v>
                </c:pt>
                <c:pt idx="1074">
                  <c:v>9.5</c:v>
                </c:pt>
                <c:pt idx="1075">
                  <c:v>9.5</c:v>
                </c:pt>
                <c:pt idx="1076">
                  <c:v>9.5</c:v>
                </c:pt>
                <c:pt idx="1077">
                  <c:v>9.6</c:v>
                </c:pt>
                <c:pt idx="1078">
                  <c:v>9.6</c:v>
                </c:pt>
                <c:pt idx="1079">
                  <c:v>9.6</c:v>
                </c:pt>
                <c:pt idx="1080">
                  <c:v>9.6</c:v>
                </c:pt>
                <c:pt idx="1081">
                  <c:v>9.6</c:v>
                </c:pt>
                <c:pt idx="1082">
                  <c:v>9.6</c:v>
                </c:pt>
                <c:pt idx="1083">
                  <c:v>9.6</c:v>
                </c:pt>
                <c:pt idx="1084">
                  <c:v>9.6</c:v>
                </c:pt>
                <c:pt idx="1085">
                  <c:v>9.6</c:v>
                </c:pt>
                <c:pt idx="1086">
                  <c:v>9.6</c:v>
                </c:pt>
                <c:pt idx="1087">
                  <c:v>9.6</c:v>
                </c:pt>
                <c:pt idx="1088">
                  <c:v>9.6</c:v>
                </c:pt>
                <c:pt idx="1089">
                  <c:v>10.3</c:v>
                </c:pt>
                <c:pt idx="1090">
                  <c:v>10.3</c:v>
                </c:pt>
                <c:pt idx="1091">
                  <c:v>10.4</c:v>
                </c:pt>
                <c:pt idx="1092">
                  <c:v>10.4</c:v>
                </c:pt>
                <c:pt idx="1093">
                  <c:v>10.4</c:v>
                </c:pt>
                <c:pt idx="1094">
                  <c:v>10.4</c:v>
                </c:pt>
                <c:pt idx="1095">
                  <c:v>10.4</c:v>
                </c:pt>
                <c:pt idx="1096">
                  <c:v>10.5</c:v>
                </c:pt>
                <c:pt idx="1097">
                  <c:v>10.5</c:v>
                </c:pt>
                <c:pt idx="1098">
                  <c:v>10.5</c:v>
                </c:pt>
                <c:pt idx="1099">
                  <c:v>10.6</c:v>
                </c:pt>
                <c:pt idx="1100">
                  <c:v>10.6</c:v>
                </c:pt>
                <c:pt idx="1101">
                  <c:v>10.6</c:v>
                </c:pt>
                <c:pt idx="1102">
                  <c:v>10.6</c:v>
                </c:pt>
                <c:pt idx="1103">
                  <c:v>10.6</c:v>
                </c:pt>
                <c:pt idx="1104">
                  <c:v>10.6</c:v>
                </c:pt>
                <c:pt idx="1105">
                  <c:v>10.6</c:v>
                </c:pt>
                <c:pt idx="1106">
                  <c:v>10.6</c:v>
                </c:pt>
                <c:pt idx="1107">
                  <c:v>10.6</c:v>
                </c:pt>
                <c:pt idx="1108">
                  <c:v>10.6</c:v>
                </c:pt>
                <c:pt idx="1109">
                  <c:v>10.6</c:v>
                </c:pt>
                <c:pt idx="1110">
                  <c:v>10.6</c:v>
                </c:pt>
                <c:pt idx="1111">
                  <c:v>10.6</c:v>
                </c:pt>
                <c:pt idx="1112">
                  <c:v>10.6</c:v>
                </c:pt>
                <c:pt idx="1113">
                  <c:v>10.6</c:v>
                </c:pt>
                <c:pt idx="1114">
                  <c:v>10.6</c:v>
                </c:pt>
                <c:pt idx="1115">
                  <c:v>11.4</c:v>
                </c:pt>
                <c:pt idx="1116">
                  <c:v>11.6</c:v>
                </c:pt>
                <c:pt idx="1117">
                  <c:v>12.1</c:v>
                </c:pt>
                <c:pt idx="1118">
                  <c:v>12.2</c:v>
                </c:pt>
                <c:pt idx="1119">
                  <c:v>12.5</c:v>
                </c:pt>
                <c:pt idx="1120">
                  <c:v>12.6</c:v>
                </c:pt>
                <c:pt idx="1121">
                  <c:v>12.6</c:v>
                </c:pt>
                <c:pt idx="1122">
                  <c:v>12.6</c:v>
                </c:pt>
                <c:pt idx="1123">
                  <c:v>12.6</c:v>
                </c:pt>
                <c:pt idx="1124">
                  <c:v>12.6</c:v>
                </c:pt>
                <c:pt idx="1125">
                  <c:v>14.5</c:v>
                </c:pt>
              </c:numCache>
            </c:numRef>
          </c:xVal>
          <c:yVal>
            <c:numRef>
              <c:f>Sheet1!$C$2:$C$1127</c:f>
              <c:numCache>
                <c:formatCode>General</c:formatCode>
                <c:ptCount val="1126"/>
                <c:pt idx="224">
                  <c:v>100</c:v>
                </c:pt>
                <c:pt idx="225">
                  <c:v>200</c:v>
                </c:pt>
                <c:pt idx="226">
                  <c:v>200</c:v>
                </c:pt>
                <c:pt idx="227">
                  <c:v>200</c:v>
                </c:pt>
                <c:pt idx="228">
                  <c:v>200</c:v>
                </c:pt>
                <c:pt idx="229">
                  <c:v>200</c:v>
                </c:pt>
                <c:pt idx="230">
                  <c:v>200</c:v>
                </c:pt>
                <c:pt idx="231">
                  <c:v>202</c:v>
                </c:pt>
                <c:pt idx="232">
                  <c:v>202</c:v>
                </c:pt>
                <c:pt idx="233">
                  <c:v>202</c:v>
                </c:pt>
                <c:pt idx="234">
                  <c:v>202</c:v>
                </c:pt>
                <c:pt idx="235">
                  <c:v>202</c:v>
                </c:pt>
                <c:pt idx="236">
                  <c:v>206</c:v>
                </c:pt>
                <c:pt idx="237">
                  <c:v>204</c:v>
                </c:pt>
                <c:pt idx="238">
                  <c:v>204</c:v>
                </c:pt>
                <c:pt idx="239">
                  <c:v>204</c:v>
                </c:pt>
                <c:pt idx="240">
                  <c:v>204</c:v>
                </c:pt>
                <c:pt idx="241">
                  <c:v>204</c:v>
                </c:pt>
                <c:pt idx="242">
                  <c:v>204</c:v>
                </c:pt>
                <c:pt idx="243">
                  <c:v>204</c:v>
                </c:pt>
                <c:pt idx="244">
                  <c:v>204</c:v>
                </c:pt>
                <c:pt idx="245">
                  <c:v>102</c:v>
                </c:pt>
                <c:pt idx="246">
                  <c:v>204</c:v>
                </c:pt>
                <c:pt idx="247">
                  <c:v>204</c:v>
                </c:pt>
                <c:pt idx="248">
                  <c:v>109</c:v>
                </c:pt>
                <c:pt idx="249">
                  <c:v>206</c:v>
                </c:pt>
                <c:pt idx="250">
                  <c:v>206</c:v>
                </c:pt>
                <c:pt idx="251">
                  <c:v>206</c:v>
                </c:pt>
                <c:pt idx="252">
                  <c:v>206</c:v>
                </c:pt>
                <c:pt idx="253">
                  <c:v>206</c:v>
                </c:pt>
                <c:pt idx="254">
                  <c:v>206</c:v>
                </c:pt>
                <c:pt idx="255">
                  <c:v>206</c:v>
                </c:pt>
                <c:pt idx="256">
                  <c:v>206</c:v>
                </c:pt>
                <c:pt idx="257">
                  <c:v>206</c:v>
                </c:pt>
                <c:pt idx="258">
                  <c:v>113</c:v>
                </c:pt>
                <c:pt idx="259">
                  <c:v>206</c:v>
                </c:pt>
                <c:pt idx="260">
                  <c:v>206</c:v>
                </c:pt>
                <c:pt idx="261">
                  <c:v>209</c:v>
                </c:pt>
                <c:pt idx="262">
                  <c:v>209</c:v>
                </c:pt>
                <c:pt idx="263">
                  <c:v>209</c:v>
                </c:pt>
                <c:pt idx="264">
                  <c:v>209</c:v>
                </c:pt>
                <c:pt idx="265">
                  <c:v>209</c:v>
                </c:pt>
                <c:pt idx="266">
                  <c:v>105</c:v>
                </c:pt>
                <c:pt idx="267">
                  <c:v>209</c:v>
                </c:pt>
                <c:pt idx="268">
                  <c:v>209</c:v>
                </c:pt>
                <c:pt idx="269">
                  <c:v>213</c:v>
                </c:pt>
                <c:pt idx="270">
                  <c:v>213</c:v>
                </c:pt>
                <c:pt idx="271">
                  <c:v>213</c:v>
                </c:pt>
                <c:pt idx="272">
                  <c:v>107</c:v>
                </c:pt>
                <c:pt idx="273">
                  <c:v>213</c:v>
                </c:pt>
                <c:pt idx="274">
                  <c:v>213</c:v>
                </c:pt>
                <c:pt idx="275">
                  <c:v>213</c:v>
                </c:pt>
                <c:pt idx="276">
                  <c:v>55</c:v>
                </c:pt>
                <c:pt idx="277">
                  <c:v>202</c:v>
                </c:pt>
                <c:pt idx="278">
                  <c:v>51</c:v>
                </c:pt>
                <c:pt idx="279">
                  <c:v>153</c:v>
                </c:pt>
                <c:pt idx="280">
                  <c:v>204</c:v>
                </c:pt>
                <c:pt idx="281">
                  <c:v>204</c:v>
                </c:pt>
                <c:pt idx="282">
                  <c:v>204</c:v>
                </c:pt>
                <c:pt idx="283">
                  <c:v>204</c:v>
                </c:pt>
                <c:pt idx="284">
                  <c:v>204</c:v>
                </c:pt>
                <c:pt idx="285">
                  <c:v>207</c:v>
                </c:pt>
                <c:pt idx="286">
                  <c:v>207</c:v>
                </c:pt>
                <c:pt idx="287">
                  <c:v>207</c:v>
                </c:pt>
                <c:pt idx="288">
                  <c:v>104</c:v>
                </c:pt>
                <c:pt idx="289">
                  <c:v>104</c:v>
                </c:pt>
                <c:pt idx="290">
                  <c:v>207</c:v>
                </c:pt>
                <c:pt idx="291">
                  <c:v>207</c:v>
                </c:pt>
                <c:pt idx="292">
                  <c:v>104</c:v>
                </c:pt>
                <c:pt idx="293">
                  <c:v>207</c:v>
                </c:pt>
                <c:pt idx="294">
                  <c:v>210</c:v>
                </c:pt>
                <c:pt idx="295">
                  <c:v>210</c:v>
                </c:pt>
                <c:pt idx="296">
                  <c:v>210</c:v>
                </c:pt>
                <c:pt idx="297">
                  <c:v>210</c:v>
                </c:pt>
                <c:pt idx="298">
                  <c:v>210</c:v>
                </c:pt>
                <c:pt idx="299">
                  <c:v>218</c:v>
                </c:pt>
                <c:pt idx="300">
                  <c:v>210</c:v>
                </c:pt>
                <c:pt idx="301">
                  <c:v>210</c:v>
                </c:pt>
                <c:pt idx="302">
                  <c:v>214</c:v>
                </c:pt>
                <c:pt idx="303">
                  <c:v>214</c:v>
                </c:pt>
                <c:pt idx="304">
                  <c:v>214</c:v>
                </c:pt>
                <c:pt idx="305">
                  <c:v>214</c:v>
                </c:pt>
                <c:pt idx="306">
                  <c:v>214</c:v>
                </c:pt>
                <c:pt idx="307">
                  <c:v>214</c:v>
                </c:pt>
                <c:pt idx="308">
                  <c:v>214</c:v>
                </c:pt>
                <c:pt idx="309">
                  <c:v>214</c:v>
                </c:pt>
                <c:pt idx="310">
                  <c:v>214</c:v>
                </c:pt>
                <c:pt idx="311">
                  <c:v>214</c:v>
                </c:pt>
                <c:pt idx="312">
                  <c:v>214</c:v>
                </c:pt>
                <c:pt idx="313">
                  <c:v>218</c:v>
                </c:pt>
                <c:pt idx="314">
                  <c:v>218</c:v>
                </c:pt>
                <c:pt idx="315">
                  <c:v>218</c:v>
                </c:pt>
                <c:pt idx="316">
                  <c:v>55</c:v>
                </c:pt>
                <c:pt idx="317">
                  <c:v>218</c:v>
                </c:pt>
                <c:pt idx="318">
                  <c:v>218</c:v>
                </c:pt>
                <c:pt idx="319">
                  <c:v>218</c:v>
                </c:pt>
                <c:pt idx="320">
                  <c:v>218</c:v>
                </c:pt>
                <c:pt idx="321">
                  <c:v>218</c:v>
                </c:pt>
                <c:pt idx="322">
                  <c:v>218</c:v>
                </c:pt>
                <c:pt idx="323">
                  <c:v>218</c:v>
                </c:pt>
                <c:pt idx="324">
                  <c:v>218</c:v>
                </c:pt>
                <c:pt idx="325">
                  <c:v>218</c:v>
                </c:pt>
                <c:pt idx="326">
                  <c:v>218</c:v>
                </c:pt>
                <c:pt idx="327">
                  <c:v>109</c:v>
                </c:pt>
                <c:pt idx="328">
                  <c:v>218</c:v>
                </c:pt>
                <c:pt idx="329">
                  <c:v>218</c:v>
                </c:pt>
                <c:pt idx="330">
                  <c:v>218</c:v>
                </c:pt>
                <c:pt idx="331">
                  <c:v>218</c:v>
                </c:pt>
                <c:pt idx="332">
                  <c:v>218</c:v>
                </c:pt>
                <c:pt idx="333">
                  <c:v>218</c:v>
                </c:pt>
                <c:pt idx="334">
                  <c:v>218</c:v>
                </c:pt>
                <c:pt idx="335">
                  <c:v>218</c:v>
                </c:pt>
                <c:pt idx="336">
                  <c:v>218</c:v>
                </c:pt>
                <c:pt idx="337">
                  <c:v>218</c:v>
                </c:pt>
                <c:pt idx="338">
                  <c:v>55</c:v>
                </c:pt>
                <c:pt idx="339">
                  <c:v>55</c:v>
                </c:pt>
                <c:pt idx="340">
                  <c:v>206</c:v>
                </c:pt>
                <c:pt idx="341">
                  <c:v>103</c:v>
                </c:pt>
                <c:pt idx="342">
                  <c:v>233</c:v>
                </c:pt>
                <c:pt idx="343">
                  <c:v>206</c:v>
                </c:pt>
                <c:pt idx="344">
                  <c:v>206</c:v>
                </c:pt>
                <c:pt idx="345">
                  <c:v>206</c:v>
                </c:pt>
                <c:pt idx="346">
                  <c:v>206</c:v>
                </c:pt>
                <c:pt idx="347">
                  <c:v>206</c:v>
                </c:pt>
                <c:pt idx="348">
                  <c:v>206</c:v>
                </c:pt>
                <c:pt idx="349">
                  <c:v>206</c:v>
                </c:pt>
                <c:pt idx="350">
                  <c:v>206</c:v>
                </c:pt>
                <c:pt idx="351">
                  <c:v>206</c:v>
                </c:pt>
                <c:pt idx="352">
                  <c:v>206</c:v>
                </c:pt>
                <c:pt idx="353">
                  <c:v>206</c:v>
                </c:pt>
                <c:pt idx="354">
                  <c:v>206</c:v>
                </c:pt>
                <c:pt idx="355">
                  <c:v>206</c:v>
                </c:pt>
                <c:pt idx="356">
                  <c:v>219</c:v>
                </c:pt>
                <c:pt idx="357">
                  <c:v>219</c:v>
                </c:pt>
                <c:pt idx="358">
                  <c:v>219</c:v>
                </c:pt>
                <c:pt idx="359">
                  <c:v>110</c:v>
                </c:pt>
                <c:pt idx="360">
                  <c:v>219</c:v>
                </c:pt>
                <c:pt idx="361">
                  <c:v>219</c:v>
                </c:pt>
                <c:pt idx="362">
                  <c:v>219</c:v>
                </c:pt>
                <c:pt idx="363">
                  <c:v>219</c:v>
                </c:pt>
                <c:pt idx="364">
                  <c:v>219</c:v>
                </c:pt>
                <c:pt idx="365">
                  <c:v>219</c:v>
                </c:pt>
                <c:pt idx="366">
                  <c:v>219</c:v>
                </c:pt>
                <c:pt idx="367">
                  <c:v>219</c:v>
                </c:pt>
                <c:pt idx="368">
                  <c:v>219</c:v>
                </c:pt>
                <c:pt idx="369">
                  <c:v>219</c:v>
                </c:pt>
                <c:pt idx="370">
                  <c:v>219</c:v>
                </c:pt>
                <c:pt idx="371">
                  <c:v>219</c:v>
                </c:pt>
                <c:pt idx="372">
                  <c:v>219</c:v>
                </c:pt>
                <c:pt idx="373">
                  <c:v>219</c:v>
                </c:pt>
                <c:pt idx="374">
                  <c:v>219</c:v>
                </c:pt>
                <c:pt idx="375">
                  <c:v>219</c:v>
                </c:pt>
                <c:pt idx="376">
                  <c:v>219</c:v>
                </c:pt>
                <c:pt idx="377">
                  <c:v>164</c:v>
                </c:pt>
                <c:pt idx="378">
                  <c:v>164</c:v>
                </c:pt>
                <c:pt idx="379">
                  <c:v>219</c:v>
                </c:pt>
                <c:pt idx="380">
                  <c:v>233</c:v>
                </c:pt>
                <c:pt idx="381">
                  <c:v>233</c:v>
                </c:pt>
                <c:pt idx="382">
                  <c:v>233</c:v>
                </c:pt>
                <c:pt idx="383">
                  <c:v>233</c:v>
                </c:pt>
                <c:pt idx="384">
                  <c:v>233</c:v>
                </c:pt>
                <c:pt idx="385">
                  <c:v>233</c:v>
                </c:pt>
                <c:pt idx="386">
                  <c:v>233</c:v>
                </c:pt>
                <c:pt idx="387">
                  <c:v>233</c:v>
                </c:pt>
                <c:pt idx="388">
                  <c:v>116</c:v>
                </c:pt>
                <c:pt idx="389">
                  <c:v>233</c:v>
                </c:pt>
                <c:pt idx="390">
                  <c:v>233</c:v>
                </c:pt>
                <c:pt idx="391">
                  <c:v>233</c:v>
                </c:pt>
                <c:pt idx="392">
                  <c:v>233</c:v>
                </c:pt>
                <c:pt idx="393">
                  <c:v>233</c:v>
                </c:pt>
                <c:pt idx="394">
                  <c:v>233</c:v>
                </c:pt>
                <c:pt idx="395">
                  <c:v>116</c:v>
                </c:pt>
                <c:pt idx="396">
                  <c:v>233</c:v>
                </c:pt>
                <c:pt idx="397">
                  <c:v>233</c:v>
                </c:pt>
                <c:pt idx="398">
                  <c:v>233</c:v>
                </c:pt>
                <c:pt idx="399">
                  <c:v>233</c:v>
                </c:pt>
                <c:pt idx="400">
                  <c:v>233</c:v>
                </c:pt>
                <c:pt idx="401">
                  <c:v>233</c:v>
                </c:pt>
                <c:pt idx="402">
                  <c:v>233</c:v>
                </c:pt>
                <c:pt idx="403">
                  <c:v>233</c:v>
                </c:pt>
                <c:pt idx="404">
                  <c:v>233</c:v>
                </c:pt>
                <c:pt idx="405">
                  <c:v>233</c:v>
                </c:pt>
                <c:pt idx="406">
                  <c:v>233</c:v>
                </c:pt>
                <c:pt idx="407">
                  <c:v>233</c:v>
                </c:pt>
                <c:pt idx="408">
                  <c:v>233</c:v>
                </c:pt>
                <c:pt idx="409">
                  <c:v>233</c:v>
                </c:pt>
                <c:pt idx="410">
                  <c:v>233</c:v>
                </c:pt>
                <c:pt idx="411">
                  <c:v>233</c:v>
                </c:pt>
                <c:pt idx="412">
                  <c:v>233</c:v>
                </c:pt>
                <c:pt idx="413">
                  <c:v>233</c:v>
                </c:pt>
                <c:pt idx="414">
                  <c:v>233</c:v>
                </c:pt>
                <c:pt idx="415">
                  <c:v>233</c:v>
                </c:pt>
                <c:pt idx="416">
                  <c:v>233</c:v>
                </c:pt>
                <c:pt idx="417">
                  <c:v>233</c:v>
                </c:pt>
                <c:pt idx="418">
                  <c:v>233</c:v>
                </c:pt>
                <c:pt idx="419">
                  <c:v>233</c:v>
                </c:pt>
                <c:pt idx="420">
                  <c:v>233</c:v>
                </c:pt>
                <c:pt idx="421">
                  <c:v>233</c:v>
                </c:pt>
                <c:pt idx="422">
                  <c:v>233</c:v>
                </c:pt>
                <c:pt idx="423">
                  <c:v>233</c:v>
                </c:pt>
                <c:pt idx="424">
                  <c:v>233</c:v>
                </c:pt>
                <c:pt idx="425">
                  <c:v>233</c:v>
                </c:pt>
                <c:pt idx="426">
                  <c:v>233</c:v>
                </c:pt>
                <c:pt idx="427">
                  <c:v>233</c:v>
                </c:pt>
                <c:pt idx="428">
                  <c:v>233</c:v>
                </c:pt>
                <c:pt idx="429">
                  <c:v>233</c:v>
                </c:pt>
                <c:pt idx="430">
                  <c:v>233</c:v>
                </c:pt>
                <c:pt idx="431">
                  <c:v>233</c:v>
                </c:pt>
                <c:pt idx="432">
                  <c:v>233</c:v>
                </c:pt>
                <c:pt idx="433">
                  <c:v>233</c:v>
                </c:pt>
                <c:pt idx="434">
                  <c:v>233</c:v>
                </c:pt>
                <c:pt idx="435">
                  <c:v>233</c:v>
                </c:pt>
                <c:pt idx="436">
                  <c:v>233</c:v>
                </c:pt>
                <c:pt idx="437">
                  <c:v>233</c:v>
                </c:pt>
                <c:pt idx="438">
                  <c:v>233</c:v>
                </c:pt>
                <c:pt idx="439">
                  <c:v>233</c:v>
                </c:pt>
                <c:pt idx="440">
                  <c:v>233</c:v>
                </c:pt>
                <c:pt idx="441">
                  <c:v>233</c:v>
                </c:pt>
                <c:pt idx="442">
                  <c:v>233</c:v>
                </c:pt>
                <c:pt idx="443">
                  <c:v>233</c:v>
                </c:pt>
                <c:pt idx="444">
                  <c:v>209</c:v>
                </c:pt>
                <c:pt idx="445">
                  <c:v>233</c:v>
                </c:pt>
                <c:pt idx="446">
                  <c:v>233</c:v>
                </c:pt>
                <c:pt idx="447">
                  <c:v>233</c:v>
                </c:pt>
                <c:pt idx="448">
                  <c:v>233</c:v>
                </c:pt>
                <c:pt idx="449">
                  <c:v>233</c:v>
                </c:pt>
                <c:pt idx="450">
                  <c:v>233</c:v>
                </c:pt>
                <c:pt idx="451">
                  <c:v>233</c:v>
                </c:pt>
                <c:pt idx="452">
                  <c:v>233</c:v>
                </c:pt>
                <c:pt idx="453">
                  <c:v>233</c:v>
                </c:pt>
                <c:pt idx="454">
                  <c:v>233</c:v>
                </c:pt>
                <c:pt idx="455">
                  <c:v>233</c:v>
                </c:pt>
                <c:pt idx="456">
                  <c:v>148</c:v>
                </c:pt>
                <c:pt idx="457">
                  <c:v>233</c:v>
                </c:pt>
                <c:pt idx="458">
                  <c:v>233</c:v>
                </c:pt>
                <c:pt idx="459">
                  <c:v>233</c:v>
                </c:pt>
                <c:pt idx="460">
                  <c:v>233</c:v>
                </c:pt>
                <c:pt idx="461">
                  <c:v>246</c:v>
                </c:pt>
                <c:pt idx="462">
                  <c:v>246</c:v>
                </c:pt>
                <c:pt idx="463">
                  <c:v>246</c:v>
                </c:pt>
                <c:pt idx="464">
                  <c:v>246</c:v>
                </c:pt>
                <c:pt idx="465">
                  <c:v>246</c:v>
                </c:pt>
                <c:pt idx="466">
                  <c:v>246</c:v>
                </c:pt>
                <c:pt idx="467">
                  <c:v>246</c:v>
                </c:pt>
                <c:pt idx="468">
                  <c:v>246</c:v>
                </c:pt>
                <c:pt idx="469">
                  <c:v>246</c:v>
                </c:pt>
                <c:pt idx="470">
                  <c:v>246</c:v>
                </c:pt>
                <c:pt idx="471">
                  <c:v>246</c:v>
                </c:pt>
                <c:pt idx="472">
                  <c:v>246</c:v>
                </c:pt>
                <c:pt idx="473">
                  <c:v>246</c:v>
                </c:pt>
                <c:pt idx="474">
                  <c:v>246</c:v>
                </c:pt>
                <c:pt idx="475">
                  <c:v>246</c:v>
                </c:pt>
                <c:pt idx="476">
                  <c:v>246</c:v>
                </c:pt>
                <c:pt idx="477">
                  <c:v>246</c:v>
                </c:pt>
                <c:pt idx="478">
                  <c:v>246</c:v>
                </c:pt>
                <c:pt idx="479">
                  <c:v>246</c:v>
                </c:pt>
                <c:pt idx="480">
                  <c:v>246</c:v>
                </c:pt>
                <c:pt idx="481">
                  <c:v>246</c:v>
                </c:pt>
                <c:pt idx="482">
                  <c:v>246</c:v>
                </c:pt>
                <c:pt idx="483">
                  <c:v>246</c:v>
                </c:pt>
                <c:pt idx="484">
                  <c:v>123</c:v>
                </c:pt>
                <c:pt idx="485">
                  <c:v>246</c:v>
                </c:pt>
                <c:pt idx="486">
                  <c:v>246</c:v>
                </c:pt>
                <c:pt idx="487">
                  <c:v>246</c:v>
                </c:pt>
                <c:pt idx="488">
                  <c:v>246</c:v>
                </c:pt>
                <c:pt idx="489">
                  <c:v>246</c:v>
                </c:pt>
                <c:pt idx="490">
                  <c:v>246</c:v>
                </c:pt>
                <c:pt idx="491">
                  <c:v>246</c:v>
                </c:pt>
                <c:pt idx="492">
                  <c:v>246</c:v>
                </c:pt>
                <c:pt idx="493">
                  <c:v>246</c:v>
                </c:pt>
                <c:pt idx="494">
                  <c:v>246</c:v>
                </c:pt>
                <c:pt idx="495">
                  <c:v>246</c:v>
                </c:pt>
                <c:pt idx="496">
                  <c:v>246</c:v>
                </c:pt>
                <c:pt idx="497">
                  <c:v>246</c:v>
                </c:pt>
                <c:pt idx="498">
                  <c:v>246</c:v>
                </c:pt>
                <c:pt idx="499">
                  <c:v>246</c:v>
                </c:pt>
                <c:pt idx="500">
                  <c:v>246</c:v>
                </c:pt>
                <c:pt idx="501">
                  <c:v>246</c:v>
                </c:pt>
                <c:pt idx="502">
                  <c:v>246</c:v>
                </c:pt>
                <c:pt idx="503">
                  <c:v>246</c:v>
                </c:pt>
                <c:pt idx="504">
                  <c:v>246</c:v>
                </c:pt>
                <c:pt idx="505">
                  <c:v>246</c:v>
                </c:pt>
                <c:pt idx="506">
                  <c:v>246</c:v>
                </c:pt>
                <c:pt idx="507">
                  <c:v>246</c:v>
                </c:pt>
                <c:pt idx="508">
                  <c:v>246</c:v>
                </c:pt>
                <c:pt idx="509">
                  <c:v>246</c:v>
                </c:pt>
                <c:pt idx="510">
                  <c:v>246</c:v>
                </c:pt>
                <c:pt idx="511">
                  <c:v>246</c:v>
                </c:pt>
                <c:pt idx="512">
                  <c:v>246</c:v>
                </c:pt>
                <c:pt idx="513">
                  <c:v>246</c:v>
                </c:pt>
                <c:pt idx="514">
                  <c:v>246</c:v>
                </c:pt>
                <c:pt idx="515">
                  <c:v>246</c:v>
                </c:pt>
                <c:pt idx="516">
                  <c:v>246</c:v>
                </c:pt>
                <c:pt idx="517">
                  <c:v>246</c:v>
                </c:pt>
                <c:pt idx="518">
                  <c:v>246</c:v>
                </c:pt>
                <c:pt idx="519">
                  <c:v>246</c:v>
                </c:pt>
                <c:pt idx="520">
                  <c:v>246</c:v>
                </c:pt>
                <c:pt idx="521">
                  <c:v>246</c:v>
                </c:pt>
                <c:pt idx="522">
                  <c:v>246</c:v>
                </c:pt>
                <c:pt idx="523">
                  <c:v>246</c:v>
                </c:pt>
                <c:pt idx="524">
                  <c:v>246</c:v>
                </c:pt>
                <c:pt idx="525">
                  <c:v>246</c:v>
                </c:pt>
                <c:pt idx="526">
                  <c:v>246</c:v>
                </c:pt>
                <c:pt idx="527">
                  <c:v>246</c:v>
                </c:pt>
                <c:pt idx="528">
                  <c:v>246</c:v>
                </c:pt>
                <c:pt idx="529">
                  <c:v>246</c:v>
                </c:pt>
                <c:pt idx="530">
                  <c:v>246</c:v>
                </c:pt>
                <c:pt idx="531">
                  <c:v>246</c:v>
                </c:pt>
                <c:pt idx="532">
                  <c:v>246</c:v>
                </c:pt>
                <c:pt idx="533">
                  <c:v>246</c:v>
                </c:pt>
                <c:pt idx="534">
                  <c:v>246</c:v>
                </c:pt>
                <c:pt idx="535">
                  <c:v>246</c:v>
                </c:pt>
                <c:pt idx="536">
                  <c:v>246</c:v>
                </c:pt>
                <c:pt idx="537">
                  <c:v>246</c:v>
                </c:pt>
                <c:pt idx="538">
                  <c:v>246</c:v>
                </c:pt>
                <c:pt idx="539">
                  <c:v>246</c:v>
                </c:pt>
                <c:pt idx="540">
                  <c:v>246</c:v>
                </c:pt>
                <c:pt idx="541">
                  <c:v>246</c:v>
                </c:pt>
                <c:pt idx="542">
                  <c:v>246</c:v>
                </c:pt>
                <c:pt idx="543">
                  <c:v>246</c:v>
                </c:pt>
                <c:pt idx="544">
                  <c:v>123</c:v>
                </c:pt>
                <c:pt idx="545">
                  <c:v>246</c:v>
                </c:pt>
                <c:pt idx="546">
                  <c:v>246</c:v>
                </c:pt>
                <c:pt idx="547">
                  <c:v>259</c:v>
                </c:pt>
                <c:pt idx="548">
                  <c:v>259</c:v>
                </c:pt>
                <c:pt idx="549">
                  <c:v>259</c:v>
                </c:pt>
                <c:pt idx="550">
                  <c:v>259</c:v>
                </c:pt>
                <c:pt idx="551">
                  <c:v>259</c:v>
                </c:pt>
                <c:pt idx="552">
                  <c:v>259</c:v>
                </c:pt>
                <c:pt idx="553">
                  <c:v>259</c:v>
                </c:pt>
                <c:pt idx="554">
                  <c:v>259</c:v>
                </c:pt>
                <c:pt idx="555">
                  <c:v>259</c:v>
                </c:pt>
                <c:pt idx="556">
                  <c:v>259</c:v>
                </c:pt>
                <c:pt idx="557">
                  <c:v>259</c:v>
                </c:pt>
                <c:pt idx="558">
                  <c:v>259</c:v>
                </c:pt>
                <c:pt idx="559">
                  <c:v>259</c:v>
                </c:pt>
                <c:pt idx="560">
                  <c:v>259</c:v>
                </c:pt>
                <c:pt idx="561">
                  <c:v>259</c:v>
                </c:pt>
                <c:pt idx="562">
                  <c:v>130</c:v>
                </c:pt>
                <c:pt idx="563">
                  <c:v>259</c:v>
                </c:pt>
                <c:pt idx="564">
                  <c:v>259</c:v>
                </c:pt>
                <c:pt idx="565">
                  <c:v>259</c:v>
                </c:pt>
                <c:pt idx="566">
                  <c:v>259</c:v>
                </c:pt>
                <c:pt idx="567">
                  <c:v>259</c:v>
                </c:pt>
                <c:pt idx="568">
                  <c:v>259</c:v>
                </c:pt>
                <c:pt idx="569">
                  <c:v>259</c:v>
                </c:pt>
                <c:pt idx="570">
                  <c:v>259</c:v>
                </c:pt>
                <c:pt idx="571">
                  <c:v>259</c:v>
                </c:pt>
                <c:pt idx="572">
                  <c:v>259</c:v>
                </c:pt>
                <c:pt idx="573">
                  <c:v>259</c:v>
                </c:pt>
                <c:pt idx="574">
                  <c:v>259</c:v>
                </c:pt>
                <c:pt idx="575">
                  <c:v>259</c:v>
                </c:pt>
                <c:pt idx="576">
                  <c:v>259</c:v>
                </c:pt>
                <c:pt idx="577">
                  <c:v>259</c:v>
                </c:pt>
                <c:pt idx="578">
                  <c:v>259</c:v>
                </c:pt>
                <c:pt idx="579">
                  <c:v>259</c:v>
                </c:pt>
                <c:pt idx="580">
                  <c:v>259</c:v>
                </c:pt>
                <c:pt idx="581">
                  <c:v>259</c:v>
                </c:pt>
                <c:pt idx="582">
                  <c:v>259</c:v>
                </c:pt>
                <c:pt idx="583">
                  <c:v>259</c:v>
                </c:pt>
                <c:pt idx="584">
                  <c:v>259</c:v>
                </c:pt>
                <c:pt idx="585">
                  <c:v>259</c:v>
                </c:pt>
                <c:pt idx="586">
                  <c:v>259</c:v>
                </c:pt>
                <c:pt idx="587">
                  <c:v>259</c:v>
                </c:pt>
                <c:pt idx="588">
                  <c:v>259</c:v>
                </c:pt>
                <c:pt idx="589">
                  <c:v>259</c:v>
                </c:pt>
                <c:pt idx="590">
                  <c:v>259</c:v>
                </c:pt>
                <c:pt idx="591">
                  <c:v>259</c:v>
                </c:pt>
                <c:pt idx="592">
                  <c:v>271</c:v>
                </c:pt>
                <c:pt idx="593">
                  <c:v>271</c:v>
                </c:pt>
                <c:pt idx="594">
                  <c:v>271</c:v>
                </c:pt>
                <c:pt idx="595">
                  <c:v>271</c:v>
                </c:pt>
                <c:pt idx="596">
                  <c:v>271</c:v>
                </c:pt>
                <c:pt idx="597">
                  <c:v>271</c:v>
                </c:pt>
                <c:pt idx="598">
                  <c:v>271</c:v>
                </c:pt>
                <c:pt idx="599">
                  <c:v>271</c:v>
                </c:pt>
                <c:pt idx="600">
                  <c:v>271</c:v>
                </c:pt>
                <c:pt idx="601">
                  <c:v>271</c:v>
                </c:pt>
                <c:pt idx="602">
                  <c:v>271</c:v>
                </c:pt>
                <c:pt idx="603">
                  <c:v>271</c:v>
                </c:pt>
                <c:pt idx="604">
                  <c:v>271</c:v>
                </c:pt>
                <c:pt idx="605">
                  <c:v>271</c:v>
                </c:pt>
                <c:pt idx="606">
                  <c:v>271</c:v>
                </c:pt>
                <c:pt idx="607">
                  <c:v>271</c:v>
                </c:pt>
                <c:pt idx="608">
                  <c:v>271</c:v>
                </c:pt>
                <c:pt idx="609">
                  <c:v>271</c:v>
                </c:pt>
                <c:pt idx="610">
                  <c:v>271</c:v>
                </c:pt>
                <c:pt idx="611">
                  <c:v>271</c:v>
                </c:pt>
                <c:pt idx="612">
                  <c:v>271</c:v>
                </c:pt>
                <c:pt idx="613">
                  <c:v>271</c:v>
                </c:pt>
                <c:pt idx="614">
                  <c:v>271</c:v>
                </c:pt>
                <c:pt idx="615">
                  <c:v>271</c:v>
                </c:pt>
                <c:pt idx="616">
                  <c:v>271</c:v>
                </c:pt>
                <c:pt idx="617">
                  <c:v>271</c:v>
                </c:pt>
                <c:pt idx="618">
                  <c:v>271</c:v>
                </c:pt>
                <c:pt idx="619">
                  <c:v>271</c:v>
                </c:pt>
                <c:pt idx="620">
                  <c:v>271</c:v>
                </c:pt>
                <c:pt idx="621">
                  <c:v>271</c:v>
                </c:pt>
                <c:pt idx="622">
                  <c:v>271</c:v>
                </c:pt>
                <c:pt idx="623">
                  <c:v>271</c:v>
                </c:pt>
                <c:pt idx="624">
                  <c:v>271</c:v>
                </c:pt>
                <c:pt idx="625">
                  <c:v>271</c:v>
                </c:pt>
                <c:pt idx="626">
                  <c:v>271</c:v>
                </c:pt>
                <c:pt idx="627">
                  <c:v>271</c:v>
                </c:pt>
                <c:pt idx="628">
                  <c:v>271</c:v>
                </c:pt>
                <c:pt idx="629">
                  <c:v>271</c:v>
                </c:pt>
                <c:pt idx="630">
                  <c:v>271</c:v>
                </c:pt>
                <c:pt idx="631">
                  <c:v>271</c:v>
                </c:pt>
                <c:pt idx="632">
                  <c:v>271</c:v>
                </c:pt>
                <c:pt idx="633">
                  <c:v>271</c:v>
                </c:pt>
                <c:pt idx="634">
                  <c:v>271</c:v>
                </c:pt>
                <c:pt idx="635">
                  <c:v>271</c:v>
                </c:pt>
                <c:pt idx="636">
                  <c:v>271</c:v>
                </c:pt>
                <c:pt idx="637">
                  <c:v>271</c:v>
                </c:pt>
                <c:pt idx="638">
                  <c:v>271</c:v>
                </c:pt>
                <c:pt idx="639">
                  <c:v>271</c:v>
                </c:pt>
                <c:pt idx="640">
                  <c:v>271</c:v>
                </c:pt>
                <c:pt idx="641">
                  <c:v>271</c:v>
                </c:pt>
                <c:pt idx="642">
                  <c:v>271</c:v>
                </c:pt>
                <c:pt idx="643">
                  <c:v>271</c:v>
                </c:pt>
                <c:pt idx="644">
                  <c:v>271</c:v>
                </c:pt>
                <c:pt idx="645">
                  <c:v>271</c:v>
                </c:pt>
                <c:pt idx="646">
                  <c:v>271</c:v>
                </c:pt>
                <c:pt idx="647">
                  <c:v>271</c:v>
                </c:pt>
                <c:pt idx="648">
                  <c:v>271</c:v>
                </c:pt>
                <c:pt idx="649">
                  <c:v>271</c:v>
                </c:pt>
                <c:pt idx="650">
                  <c:v>271</c:v>
                </c:pt>
                <c:pt idx="651">
                  <c:v>271</c:v>
                </c:pt>
                <c:pt idx="652">
                  <c:v>271</c:v>
                </c:pt>
                <c:pt idx="653">
                  <c:v>271</c:v>
                </c:pt>
                <c:pt idx="654">
                  <c:v>271</c:v>
                </c:pt>
                <c:pt idx="655">
                  <c:v>271</c:v>
                </c:pt>
                <c:pt idx="656">
                  <c:v>271</c:v>
                </c:pt>
                <c:pt idx="657">
                  <c:v>271</c:v>
                </c:pt>
                <c:pt idx="658">
                  <c:v>271</c:v>
                </c:pt>
                <c:pt idx="659">
                  <c:v>271</c:v>
                </c:pt>
                <c:pt idx="660">
                  <c:v>271</c:v>
                </c:pt>
                <c:pt idx="661">
                  <c:v>271</c:v>
                </c:pt>
                <c:pt idx="662">
                  <c:v>271</c:v>
                </c:pt>
                <c:pt idx="663">
                  <c:v>271</c:v>
                </c:pt>
                <c:pt idx="664">
                  <c:v>271</c:v>
                </c:pt>
                <c:pt idx="665">
                  <c:v>271</c:v>
                </c:pt>
                <c:pt idx="666">
                  <c:v>271</c:v>
                </c:pt>
                <c:pt idx="667">
                  <c:v>271</c:v>
                </c:pt>
                <c:pt idx="668">
                  <c:v>271</c:v>
                </c:pt>
                <c:pt idx="669">
                  <c:v>271</c:v>
                </c:pt>
                <c:pt idx="670">
                  <c:v>271</c:v>
                </c:pt>
                <c:pt idx="671">
                  <c:v>271</c:v>
                </c:pt>
                <c:pt idx="672">
                  <c:v>271</c:v>
                </c:pt>
                <c:pt idx="673">
                  <c:v>271</c:v>
                </c:pt>
                <c:pt idx="674">
                  <c:v>271</c:v>
                </c:pt>
                <c:pt idx="675">
                  <c:v>271</c:v>
                </c:pt>
                <c:pt idx="676">
                  <c:v>271</c:v>
                </c:pt>
                <c:pt idx="677">
                  <c:v>271</c:v>
                </c:pt>
                <c:pt idx="678">
                  <c:v>271</c:v>
                </c:pt>
                <c:pt idx="679">
                  <c:v>271</c:v>
                </c:pt>
                <c:pt idx="680">
                  <c:v>271</c:v>
                </c:pt>
                <c:pt idx="681">
                  <c:v>271</c:v>
                </c:pt>
                <c:pt idx="682">
                  <c:v>271</c:v>
                </c:pt>
                <c:pt idx="683">
                  <c:v>271</c:v>
                </c:pt>
                <c:pt idx="684">
                  <c:v>271</c:v>
                </c:pt>
                <c:pt idx="685">
                  <c:v>271</c:v>
                </c:pt>
                <c:pt idx="686">
                  <c:v>271</c:v>
                </c:pt>
                <c:pt idx="687">
                  <c:v>271</c:v>
                </c:pt>
                <c:pt idx="688">
                  <c:v>271</c:v>
                </c:pt>
                <c:pt idx="689">
                  <c:v>271</c:v>
                </c:pt>
                <c:pt idx="690">
                  <c:v>271</c:v>
                </c:pt>
                <c:pt idx="691">
                  <c:v>271</c:v>
                </c:pt>
                <c:pt idx="692">
                  <c:v>271</c:v>
                </c:pt>
                <c:pt idx="693">
                  <c:v>271</c:v>
                </c:pt>
                <c:pt idx="694">
                  <c:v>271</c:v>
                </c:pt>
                <c:pt idx="695">
                  <c:v>271</c:v>
                </c:pt>
                <c:pt idx="696">
                  <c:v>271</c:v>
                </c:pt>
                <c:pt idx="697">
                  <c:v>271</c:v>
                </c:pt>
                <c:pt idx="698">
                  <c:v>271</c:v>
                </c:pt>
                <c:pt idx="699">
                  <c:v>271</c:v>
                </c:pt>
                <c:pt idx="700">
                  <c:v>271</c:v>
                </c:pt>
                <c:pt idx="701">
                  <c:v>271</c:v>
                </c:pt>
                <c:pt idx="702">
                  <c:v>271</c:v>
                </c:pt>
                <c:pt idx="703">
                  <c:v>271</c:v>
                </c:pt>
                <c:pt idx="704">
                  <c:v>271</c:v>
                </c:pt>
                <c:pt idx="705">
                  <c:v>271</c:v>
                </c:pt>
                <c:pt idx="706">
                  <c:v>271</c:v>
                </c:pt>
                <c:pt idx="707">
                  <c:v>271</c:v>
                </c:pt>
                <c:pt idx="708">
                  <c:v>271</c:v>
                </c:pt>
                <c:pt idx="709">
                  <c:v>271</c:v>
                </c:pt>
                <c:pt idx="710">
                  <c:v>271</c:v>
                </c:pt>
                <c:pt idx="711">
                  <c:v>271</c:v>
                </c:pt>
                <c:pt idx="712">
                  <c:v>271</c:v>
                </c:pt>
                <c:pt idx="713">
                  <c:v>271</c:v>
                </c:pt>
                <c:pt idx="714">
                  <c:v>271</c:v>
                </c:pt>
                <c:pt idx="715">
                  <c:v>271</c:v>
                </c:pt>
                <c:pt idx="716">
                  <c:v>271</c:v>
                </c:pt>
                <c:pt idx="717">
                  <c:v>271</c:v>
                </c:pt>
                <c:pt idx="718">
                  <c:v>271</c:v>
                </c:pt>
                <c:pt idx="719">
                  <c:v>271</c:v>
                </c:pt>
                <c:pt idx="720">
                  <c:v>271</c:v>
                </c:pt>
                <c:pt idx="721">
                  <c:v>271</c:v>
                </c:pt>
                <c:pt idx="722">
                  <c:v>206</c:v>
                </c:pt>
                <c:pt idx="723">
                  <c:v>206</c:v>
                </c:pt>
                <c:pt idx="724">
                  <c:v>105</c:v>
                </c:pt>
                <c:pt idx="725">
                  <c:v>105</c:v>
                </c:pt>
                <c:pt idx="726">
                  <c:v>209</c:v>
                </c:pt>
                <c:pt idx="727">
                  <c:v>106</c:v>
                </c:pt>
                <c:pt idx="728">
                  <c:v>212</c:v>
                </c:pt>
                <c:pt idx="729">
                  <c:v>212</c:v>
                </c:pt>
                <c:pt idx="730">
                  <c:v>212</c:v>
                </c:pt>
                <c:pt idx="731">
                  <c:v>212</c:v>
                </c:pt>
                <c:pt idx="732">
                  <c:v>212</c:v>
                </c:pt>
                <c:pt idx="733">
                  <c:v>255</c:v>
                </c:pt>
                <c:pt idx="734">
                  <c:v>255</c:v>
                </c:pt>
                <c:pt idx="735">
                  <c:v>255</c:v>
                </c:pt>
                <c:pt idx="736">
                  <c:v>53</c:v>
                </c:pt>
                <c:pt idx="737">
                  <c:v>109</c:v>
                </c:pt>
                <c:pt idx="738">
                  <c:v>217</c:v>
                </c:pt>
                <c:pt idx="739">
                  <c:v>217</c:v>
                </c:pt>
                <c:pt idx="740">
                  <c:v>217</c:v>
                </c:pt>
                <c:pt idx="741">
                  <c:v>217</c:v>
                </c:pt>
                <c:pt idx="742">
                  <c:v>217</c:v>
                </c:pt>
                <c:pt idx="743">
                  <c:v>217</c:v>
                </c:pt>
                <c:pt idx="744">
                  <c:v>109</c:v>
                </c:pt>
                <c:pt idx="745">
                  <c:v>217</c:v>
                </c:pt>
                <c:pt idx="746">
                  <c:v>109</c:v>
                </c:pt>
                <c:pt idx="747">
                  <c:v>217</c:v>
                </c:pt>
                <c:pt idx="748">
                  <c:v>217</c:v>
                </c:pt>
                <c:pt idx="749">
                  <c:v>270</c:v>
                </c:pt>
                <c:pt idx="750">
                  <c:v>222</c:v>
                </c:pt>
                <c:pt idx="751">
                  <c:v>111</c:v>
                </c:pt>
                <c:pt idx="752">
                  <c:v>236</c:v>
                </c:pt>
                <c:pt idx="753">
                  <c:v>222</c:v>
                </c:pt>
                <c:pt idx="754">
                  <c:v>222</c:v>
                </c:pt>
                <c:pt idx="755">
                  <c:v>222</c:v>
                </c:pt>
                <c:pt idx="756">
                  <c:v>222</c:v>
                </c:pt>
                <c:pt idx="757">
                  <c:v>222</c:v>
                </c:pt>
                <c:pt idx="758">
                  <c:v>222</c:v>
                </c:pt>
                <c:pt idx="759">
                  <c:v>222</c:v>
                </c:pt>
                <c:pt idx="760">
                  <c:v>111</c:v>
                </c:pt>
                <c:pt idx="761">
                  <c:v>236</c:v>
                </c:pt>
                <c:pt idx="762">
                  <c:v>236</c:v>
                </c:pt>
                <c:pt idx="763">
                  <c:v>236</c:v>
                </c:pt>
                <c:pt idx="764">
                  <c:v>236</c:v>
                </c:pt>
                <c:pt idx="765">
                  <c:v>236</c:v>
                </c:pt>
                <c:pt idx="766">
                  <c:v>236</c:v>
                </c:pt>
                <c:pt idx="767">
                  <c:v>236</c:v>
                </c:pt>
                <c:pt idx="768">
                  <c:v>236</c:v>
                </c:pt>
                <c:pt idx="769">
                  <c:v>236</c:v>
                </c:pt>
                <c:pt idx="770">
                  <c:v>109</c:v>
                </c:pt>
                <c:pt idx="771">
                  <c:v>236</c:v>
                </c:pt>
                <c:pt idx="772">
                  <c:v>236</c:v>
                </c:pt>
                <c:pt idx="773">
                  <c:v>236</c:v>
                </c:pt>
                <c:pt idx="774">
                  <c:v>236</c:v>
                </c:pt>
                <c:pt idx="775">
                  <c:v>236</c:v>
                </c:pt>
                <c:pt idx="776">
                  <c:v>236</c:v>
                </c:pt>
                <c:pt idx="777">
                  <c:v>236</c:v>
                </c:pt>
                <c:pt idx="778">
                  <c:v>236</c:v>
                </c:pt>
                <c:pt idx="779">
                  <c:v>236</c:v>
                </c:pt>
                <c:pt idx="780">
                  <c:v>236</c:v>
                </c:pt>
                <c:pt idx="781">
                  <c:v>236</c:v>
                </c:pt>
                <c:pt idx="782">
                  <c:v>236</c:v>
                </c:pt>
                <c:pt idx="783">
                  <c:v>300</c:v>
                </c:pt>
                <c:pt idx="784">
                  <c:v>300</c:v>
                </c:pt>
                <c:pt idx="785">
                  <c:v>236</c:v>
                </c:pt>
                <c:pt idx="786">
                  <c:v>256</c:v>
                </c:pt>
                <c:pt idx="787">
                  <c:v>256</c:v>
                </c:pt>
                <c:pt idx="788">
                  <c:v>128</c:v>
                </c:pt>
                <c:pt idx="789">
                  <c:v>256</c:v>
                </c:pt>
                <c:pt idx="790">
                  <c:v>256</c:v>
                </c:pt>
                <c:pt idx="791">
                  <c:v>100</c:v>
                </c:pt>
                <c:pt idx="792">
                  <c:v>104</c:v>
                </c:pt>
                <c:pt idx="793">
                  <c:v>275</c:v>
                </c:pt>
                <c:pt idx="794">
                  <c:v>275</c:v>
                </c:pt>
                <c:pt idx="795">
                  <c:v>275</c:v>
                </c:pt>
                <c:pt idx="796">
                  <c:v>296</c:v>
                </c:pt>
                <c:pt idx="797">
                  <c:v>296</c:v>
                </c:pt>
                <c:pt idx="798">
                  <c:v>296</c:v>
                </c:pt>
                <c:pt idx="799">
                  <c:v>296</c:v>
                </c:pt>
                <c:pt idx="800">
                  <c:v>255</c:v>
                </c:pt>
                <c:pt idx="801">
                  <c:v>296</c:v>
                </c:pt>
                <c:pt idx="802">
                  <c:v>220</c:v>
                </c:pt>
                <c:pt idx="803">
                  <c:v>296</c:v>
                </c:pt>
                <c:pt idx="804">
                  <c:v>296</c:v>
                </c:pt>
                <c:pt idx="805">
                  <c:v>148</c:v>
                </c:pt>
                <c:pt idx="806">
                  <c:v>148</c:v>
                </c:pt>
                <c:pt idx="807">
                  <c:v>148</c:v>
                </c:pt>
                <c:pt idx="808">
                  <c:v>296</c:v>
                </c:pt>
                <c:pt idx="809">
                  <c:v>220</c:v>
                </c:pt>
                <c:pt idx="810">
                  <c:v>148</c:v>
                </c:pt>
                <c:pt idx="811">
                  <c:v>296</c:v>
                </c:pt>
                <c:pt idx="812">
                  <c:v>296</c:v>
                </c:pt>
                <c:pt idx="813">
                  <c:v>296</c:v>
                </c:pt>
                <c:pt idx="814">
                  <c:v>296</c:v>
                </c:pt>
                <c:pt idx="815">
                  <c:v>296</c:v>
                </c:pt>
                <c:pt idx="816">
                  <c:v>148</c:v>
                </c:pt>
                <c:pt idx="817">
                  <c:v>318</c:v>
                </c:pt>
                <c:pt idx="818">
                  <c:v>318</c:v>
                </c:pt>
                <c:pt idx="819">
                  <c:v>318</c:v>
                </c:pt>
                <c:pt idx="820">
                  <c:v>159</c:v>
                </c:pt>
                <c:pt idx="821">
                  <c:v>318</c:v>
                </c:pt>
                <c:pt idx="822">
                  <c:v>270</c:v>
                </c:pt>
                <c:pt idx="823">
                  <c:v>318</c:v>
                </c:pt>
                <c:pt idx="824">
                  <c:v>318</c:v>
                </c:pt>
                <c:pt idx="825">
                  <c:v>318</c:v>
                </c:pt>
                <c:pt idx="826">
                  <c:v>318</c:v>
                </c:pt>
                <c:pt idx="827">
                  <c:v>318</c:v>
                </c:pt>
                <c:pt idx="828">
                  <c:v>159</c:v>
                </c:pt>
                <c:pt idx="829">
                  <c:v>226</c:v>
                </c:pt>
                <c:pt idx="830">
                  <c:v>226</c:v>
                </c:pt>
                <c:pt idx="831">
                  <c:v>318</c:v>
                </c:pt>
                <c:pt idx="832">
                  <c:v>113</c:v>
                </c:pt>
                <c:pt idx="833">
                  <c:v>159</c:v>
                </c:pt>
                <c:pt idx="834">
                  <c:v>270</c:v>
                </c:pt>
                <c:pt idx="835">
                  <c:v>318</c:v>
                </c:pt>
                <c:pt idx="836">
                  <c:v>340</c:v>
                </c:pt>
                <c:pt idx="837">
                  <c:v>340</c:v>
                </c:pt>
                <c:pt idx="838">
                  <c:v>340</c:v>
                </c:pt>
                <c:pt idx="839">
                  <c:v>340</c:v>
                </c:pt>
                <c:pt idx="840">
                  <c:v>233</c:v>
                </c:pt>
                <c:pt idx="841">
                  <c:v>285</c:v>
                </c:pt>
                <c:pt idx="842">
                  <c:v>340</c:v>
                </c:pt>
                <c:pt idx="843">
                  <c:v>340</c:v>
                </c:pt>
                <c:pt idx="844">
                  <c:v>340</c:v>
                </c:pt>
                <c:pt idx="845">
                  <c:v>340</c:v>
                </c:pt>
                <c:pt idx="846">
                  <c:v>340</c:v>
                </c:pt>
                <c:pt idx="847">
                  <c:v>340</c:v>
                </c:pt>
                <c:pt idx="848">
                  <c:v>170</c:v>
                </c:pt>
                <c:pt idx="849">
                  <c:v>255</c:v>
                </c:pt>
                <c:pt idx="850">
                  <c:v>233</c:v>
                </c:pt>
                <c:pt idx="851">
                  <c:v>245</c:v>
                </c:pt>
                <c:pt idx="852">
                  <c:v>340</c:v>
                </c:pt>
                <c:pt idx="853">
                  <c:v>170</c:v>
                </c:pt>
                <c:pt idx="854">
                  <c:v>363</c:v>
                </c:pt>
                <c:pt idx="855">
                  <c:v>363</c:v>
                </c:pt>
                <c:pt idx="856">
                  <c:v>363</c:v>
                </c:pt>
                <c:pt idx="857">
                  <c:v>363</c:v>
                </c:pt>
                <c:pt idx="858">
                  <c:v>363</c:v>
                </c:pt>
                <c:pt idx="859">
                  <c:v>363</c:v>
                </c:pt>
                <c:pt idx="860">
                  <c:v>363</c:v>
                </c:pt>
                <c:pt idx="861">
                  <c:v>363</c:v>
                </c:pt>
                <c:pt idx="862">
                  <c:v>363</c:v>
                </c:pt>
                <c:pt idx="863">
                  <c:v>363</c:v>
                </c:pt>
                <c:pt idx="864">
                  <c:v>363</c:v>
                </c:pt>
                <c:pt idx="865">
                  <c:v>363</c:v>
                </c:pt>
                <c:pt idx="866">
                  <c:v>363</c:v>
                </c:pt>
                <c:pt idx="867">
                  <c:v>363</c:v>
                </c:pt>
                <c:pt idx="868">
                  <c:v>245</c:v>
                </c:pt>
                <c:pt idx="869">
                  <c:v>250</c:v>
                </c:pt>
                <c:pt idx="870">
                  <c:v>250</c:v>
                </c:pt>
                <c:pt idx="871">
                  <c:v>363</c:v>
                </c:pt>
                <c:pt idx="872">
                  <c:v>363</c:v>
                </c:pt>
                <c:pt idx="873">
                  <c:v>363</c:v>
                </c:pt>
                <c:pt idx="874">
                  <c:v>363</c:v>
                </c:pt>
                <c:pt idx="875">
                  <c:v>363</c:v>
                </c:pt>
                <c:pt idx="876">
                  <c:v>363</c:v>
                </c:pt>
                <c:pt idx="877">
                  <c:v>363</c:v>
                </c:pt>
                <c:pt idx="878">
                  <c:v>363</c:v>
                </c:pt>
                <c:pt idx="879">
                  <c:v>363</c:v>
                </c:pt>
                <c:pt idx="880">
                  <c:v>363</c:v>
                </c:pt>
                <c:pt idx="881">
                  <c:v>245</c:v>
                </c:pt>
                <c:pt idx="882">
                  <c:v>300</c:v>
                </c:pt>
                <c:pt idx="883">
                  <c:v>363</c:v>
                </c:pt>
                <c:pt idx="884">
                  <c:v>300</c:v>
                </c:pt>
                <c:pt idx="885">
                  <c:v>363</c:v>
                </c:pt>
                <c:pt idx="886">
                  <c:v>363</c:v>
                </c:pt>
                <c:pt idx="887">
                  <c:v>300</c:v>
                </c:pt>
                <c:pt idx="888">
                  <c:v>363</c:v>
                </c:pt>
                <c:pt idx="889">
                  <c:v>363</c:v>
                </c:pt>
                <c:pt idx="890">
                  <c:v>363</c:v>
                </c:pt>
                <c:pt idx="891">
                  <c:v>363</c:v>
                </c:pt>
                <c:pt idx="892">
                  <c:v>363</c:v>
                </c:pt>
                <c:pt idx="893">
                  <c:v>363</c:v>
                </c:pt>
                <c:pt idx="894">
                  <c:v>182</c:v>
                </c:pt>
                <c:pt idx="895">
                  <c:v>245</c:v>
                </c:pt>
                <c:pt idx="896">
                  <c:v>250</c:v>
                </c:pt>
                <c:pt idx="897">
                  <c:v>250</c:v>
                </c:pt>
                <c:pt idx="898">
                  <c:v>182</c:v>
                </c:pt>
                <c:pt idx="899">
                  <c:v>300</c:v>
                </c:pt>
                <c:pt idx="900">
                  <c:v>300</c:v>
                </c:pt>
                <c:pt idx="901">
                  <c:v>363</c:v>
                </c:pt>
                <c:pt idx="902">
                  <c:v>363</c:v>
                </c:pt>
                <c:pt idx="903">
                  <c:v>363</c:v>
                </c:pt>
                <c:pt idx="904">
                  <c:v>182</c:v>
                </c:pt>
                <c:pt idx="905">
                  <c:v>363</c:v>
                </c:pt>
                <c:pt idx="906">
                  <c:v>107</c:v>
                </c:pt>
                <c:pt idx="907">
                  <c:v>107</c:v>
                </c:pt>
                <c:pt idx="908">
                  <c:v>107</c:v>
                </c:pt>
                <c:pt idx="909">
                  <c:v>106</c:v>
                </c:pt>
                <c:pt idx="910">
                  <c:v>116</c:v>
                </c:pt>
                <c:pt idx="911">
                  <c:v>279</c:v>
                </c:pt>
                <c:pt idx="912">
                  <c:v>279</c:v>
                </c:pt>
                <c:pt idx="913">
                  <c:v>140</c:v>
                </c:pt>
                <c:pt idx="914">
                  <c:v>225</c:v>
                </c:pt>
                <c:pt idx="915">
                  <c:v>265</c:v>
                </c:pt>
                <c:pt idx="916">
                  <c:v>237</c:v>
                </c:pt>
                <c:pt idx="917">
                  <c:v>301</c:v>
                </c:pt>
                <c:pt idx="918">
                  <c:v>323</c:v>
                </c:pt>
                <c:pt idx="919">
                  <c:v>323</c:v>
                </c:pt>
                <c:pt idx="920">
                  <c:v>380</c:v>
                </c:pt>
                <c:pt idx="921">
                  <c:v>323</c:v>
                </c:pt>
                <c:pt idx="922">
                  <c:v>241</c:v>
                </c:pt>
                <c:pt idx="923">
                  <c:v>346</c:v>
                </c:pt>
                <c:pt idx="924">
                  <c:v>346</c:v>
                </c:pt>
                <c:pt idx="925">
                  <c:v>247</c:v>
                </c:pt>
                <c:pt idx="926">
                  <c:v>346</c:v>
                </c:pt>
                <c:pt idx="927">
                  <c:v>247</c:v>
                </c:pt>
                <c:pt idx="928">
                  <c:v>247</c:v>
                </c:pt>
                <c:pt idx="929">
                  <c:v>346</c:v>
                </c:pt>
                <c:pt idx="930">
                  <c:v>346</c:v>
                </c:pt>
                <c:pt idx="931">
                  <c:v>254</c:v>
                </c:pt>
                <c:pt idx="932">
                  <c:v>254</c:v>
                </c:pt>
                <c:pt idx="933">
                  <c:v>370</c:v>
                </c:pt>
                <c:pt idx="934">
                  <c:v>370</c:v>
                </c:pt>
                <c:pt idx="935">
                  <c:v>370</c:v>
                </c:pt>
                <c:pt idx="936">
                  <c:v>370</c:v>
                </c:pt>
                <c:pt idx="937">
                  <c:v>370</c:v>
                </c:pt>
                <c:pt idx="938">
                  <c:v>370</c:v>
                </c:pt>
                <c:pt idx="939">
                  <c:v>370</c:v>
                </c:pt>
                <c:pt idx="940">
                  <c:v>370</c:v>
                </c:pt>
                <c:pt idx="941">
                  <c:v>370</c:v>
                </c:pt>
                <c:pt idx="942">
                  <c:v>370</c:v>
                </c:pt>
                <c:pt idx="943">
                  <c:v>263</c:v>
                </c:pt>
                <c:pt idx="944">
                  <c:v>185</c:v>
                </c:pt>
                <c:pt idx="945">
                  <c:v>370</c:v>
                </c:pt>
                <c:pt idx="946">
                  <c:v>395</c:v>
                </c:pt>
                <c:pt idx="947">
                  <c:v>395</c:v>
                </c:pt>
                <c:pt idx="948">
                  <c:v>395</c:v>
                </c:pt>
                <c:pt idx="949">
                  <c:v>395</c:v>
                </c:pt>
                <c:pt idx="950">
                  <c:v>395</c:v>
                </c:pt>
                <c:pt idx="951">
                  <c:v>395</c:v>
                </c:pt>
                <c:pt idx="952">
                  <c:v>395</c:v>
                </c:pt>
                <c:pt idx="953">
                  <c:v>395</c:v>
                </c:pt>
                <c:pt idx="954">
                  <c:v>395</c:v>
                </c:pt>
                <c:pt idx="955">
                  <c:v>395</c:v>
                </c:pt>
                <c:pt idx="956">
                  <c:v>395</c:v>
                </c:pt>
                <c:pt idx="957">
                  <c:v>395</c:v>
                </c:pt>
                <c:pt idx="958">
                  <c:v>395</c:v>
                </c:pt>
                <c:pt idx="959">
                  <c:v>395</c:v>
                </c:pt>
                <c:pt idx="960">
                  <c:v>395</c:v>
                </c:pt>
                <c:pt idx="961">
                  <c:v>395</c:v>
                </c:pt>
                <c:pt idx="962">
                  <c:v>395</c:v>
                </c:pt>
                <c:pt idx="963">
                  <c:v>395</c:v>
                </c:pt>
                <c:pt idx="964">
                  <c:v>395</c:v>
                </c:pt>
                <c:pt idx="965">
                  <c:v>395</c:v>
                </c:pt>
                <c:pt idx="966">
                  <c:v>395</c:v>
                </c:pt>
                <c:pt idx="967">
                  <c:v>198</c:v>
                </c:pt>
                <c:pt idx="968">
                  <c:v>263</c:v>
                </c:pt>
                <c:pt idx="969">
                  <c:v>395</c:v>
                </c:pt>
                <c:pt idx="970">
                  <c:v>395</c:v>
                </c:pt>
                <c:pt idx="971">
                  <c:v>395</c:v>
                </c:pt>
                <c:pt idx="972">
                  <c:v>395</c:v>
                </c:pt>
                <c:pt idx="973">
                  <c:v>395</c:v>
                </c:pt>
                <c:pt idx="974">
                  <c:v>395</c:v>
                </c:pt>
                <c:pt idx="975">
                  <c:v>395</c:v>
                </c:pt>
                <c:pt idx="976">
                  <c:v>395</c:v>
                </c:pt>
                <c:pt idx="977">
                  <c:v>263</c:v>
                </c:pt>
                <c:pt idx="978">
                  <c:v>263</c:v>
                </c:pt>
                <c:pt idx="979">
                  <c:v>263</c:v>
                </c:pt>
                <c:pt idx="980">
                  <c:v>198</c:v>
                </c:pt>
                <c:pt idx="981">
                  <c:v>198</c:v>
                </c:pt>
                <c:pt idx="982">
                  <c:v>395</c:v>
                </c:pt>
                <c:pt idx="983">
                  <c:v>395</c:v>
                </c:pt>
                <c:pt idx="984">
                  <c:v>198</c:v>
                </c:pt>
                <c:pt idx="985">
                  <c:v>263</c:v>
                </c:pt>
                <c:pt idx="986">
                  <c:v>395</c:v>
                </c:pt>
                <c:pt idx="987">
                  <c:v>263</c:v>
                </c:pt>
                <c:pt idx="988">
                  <c:v>395</c:v>
                </c:pt>
                <c:pt idx="989">
                  <c:v>395</c:v>
                </c:pt>
                <c:pt idx="990">
                  <c:v>263</c:v>
                </c:pt>
                <c:pt idx="991">
                  <c:v>318</c:v>
                </c:pt>
                <c:pt idx="992">
                  <c:v>460</c:v>
                </c:pt>
                <c:pt idx="993">
                  <c:v>460</c:v>
                </c:pt>
                <c:pt idx="994">
                  <c:v>296</c:v>
                </c:pt>
                <c:pt idx="995">
                  <c:v>296</c:v>
                </c:pt>
                <c:pt idx="996">
                  <c:v>395</c:v>
                </c:pt>
                <c:pt idx="997">
                  <c:v>303</c:v>
                </c:pt>
                <c:pt idx="998">
                  <c:v>152</c:v>
                </c:pt>
                <c:pt idx="999">
                  <c:v>326</c:v>
                </c:pt>
                <c:pt idx="1000">
                  <c:v>410</c:v>
                </c:pt>
                <c:pt idx="1001">
                  <c:v>326</c:v>
                </c:pt>
                <c:pt idx="1002">
                  <c:v>410</c:v>
                </c:pt>
                <c:pt idx="1003">
                  <c:v>351</c:v>
                </c:pt>
                <c:pt idx="1004">
                  <c:v>351</c:v>
                </c:pt>
                <c:pt idx="1005">
                  <c:v>351</c:v>
                </c:pt>
                <c:pt idx="1006">
                  <c:v>495</c:v>
                </c:pt>
                <c:pt idx="1007">
                  <c:v>351</c:v>
                </c:pt>
                <c:pt idx="1008">
                  <c:v>351</c:v>
                </c:pt>
                <c:pt idx="1009">
                  <c:v>377</c:v>
                </c:pt>
                <c:pt idx="1010">
                  <c:v>510</c:v>
                </c:pt>
                <c:pt idx="1011">
                  <c:v>460</c:v>
                </c:pt>
                <c:pt idx="1012">
                  <c:v>377</c:v>
                </c:pt>
                <c:pt idx="1013">
                  <c:v>470</c:v>
                </c:pt>
                <c:pt idx="1014">
                  <c:v>510</c:v>
                </c:pt>
                <c:pt idx="1015">
                  <c:v>189</c:v>
                </c:pt>
                <c:pt idx="1016">
                  <c:v>402</c:v>
                </c:pt>
                <c:pt idx="1017">
                  <c:v>402</c:v>
                </c:pt>
                <c:pt idx="1018">
                  <c:v>402</c:v>
                </c:pt>
                <c:pt idx="1019">
                  <c:v>402</c:v>
                </c:pt>
                <c:pt idx="1020">
                  <c:v>402</c:v>
                </c:pt>
                <c:pt idx="1021">
                  <c:v>530</c:v>
                </c:pt>
                <c:pt idx="1022">
                  <c:v>510</c:v>
                </c:pt>
                <c:pt idx="1023">
                  <c:v>530</c:v>
                </c:pt>
                <c:pt idx="1024">
                  <c:v>490</c:v>
                </c:pt>
                <c:pt idx="1025">
                  <c:v>490</c:v>
                </c:pt>
                <c:pt idx="1026">
                  <c:v>402</c:v>
                </c:pt>
                <c:pt idx="1027">
                  <c:v>370</c:v>
                </c:pt>
                <c:pt idx="1028">
                  <c:v>201</c:v>
                </c:pt>
                <c:pt idx="1029">
                  <c:v>402</c:v>
                </c:pt>
                <c:pt idx="1030">
                  <c:v>430</c:v>
                </c:pt>
                <c:pt idx="1031">
                  <c:v>430</c:v>
                </c:pt>
                <c:pt idx="1032">
                  <c:v>430</c:v>
                </c:pt>
                <c:pt idx="1033">
                  <c:v>430</c:v>
                </c:pt>
                <c:pt idx="1034">
                  <c:v>430</c:v>
                </c:pt>
                <c:pt idx="1035">
                  <c:v>430</c:v>
                </c:pt>
                <c:pt idx="1036">
                  <c:v>430</c:v>
                </c:pt>
                <c:pt idx="1037">
                  <c:v>430</c:v>
                </c:pt>
                <c:pt idx="1038">
                  <c:v>430</c:v>
                </c:pt>
                <c:pt idx="1039">
                  <c:v>510</c:v>
                </c:pt>
                <c:pt idx="1040">
                  <c:v>510</c:v>
                </c:pt>
                <c:pt idx="1041">
                  <c:v>510</c:v>
                </c:pt>
                <c:pt idx="1042">
                  <c:v>510</c:v>
                </c:pt>
                <c:pt idx="1043">
                  <c:v>510</c:v>
                </c:pt>
                <c:pt idx="1044">
                  <c:v>390</c:v>
                </c:pt>
                <c:pt idx="1045">
                  <c:v>510</c:v>
                </c:pt>
                <c:pt idx="1046">
                  <c:v>510</c:v>
                </c:pt>
                <c:pt idx="1047">
                  <c:v>390</c:v>
                </c:pt>
                <c:pt idx="1048">
                  <c:v>390</c:v>
                </c:pt>
                <c:pt idx="1049">
                  <c:v>510</c:v>
                </c:pt>
                <c:pt idx="1050">
                  <c:v>430</c:v>
                </c:pt>
                <c:pt idx="1051">
                  <c:v>323</c:v>
                </c:pt>
                <c:pt idx="1052">
                  <c:v>430</c:v>
                </c:pt>
                <c:pt idx="1053">
                  <c:v>390</c:v>
                </c:pt>
                <c:pt idx="1054">
                  <c:v>430</c:v>
                </c:pt>
                <c:pt idx="1055">
                  <c:v>430</c:v>
                </c:pt>
                <c:pt idx="1056">
                  <c:v>570</c:v>
                </c:pt>
                <c:pt idx="1057">
                  <c:v>173</c:v>
                </c:pt>
                <c:pt idx="1058">
                  <c:v>490</c:v>
                </c:pt>
                <c:pt idx="1059">
                  <c:v>101</c:v>
                </c:pt>
                <c:pt idx="1060">
                  <c:v>160</c:v>
                </c:pt>
                <c:pt idx="1061">
                  <c:v>200</c:v>
                </c:pt>
                <c:pt idx="1062">
                  <c:v>200</c:v>
                </c:pt>
                <c:pt idx="1063">
                  <c:v>698</c:v>
                </c:pt>
                <c:pt idx="1064">
                  <c:v>570</c:v>
                </c:pt>
                <c:pt idx="1065">
                  <c:v>610</c:v>
                </c:pt>
                <c:pt idx="1066">
                  <c:v>610</c:v>
                </c:pt>
                <c:pt idx="1067">
                  <c:v>214</c:v>
                </c:pt>
                <c:pt idx="1068">
                  <c:v>214</c:v>
                </c:pt>
                <c:pt idx="1069">
                  <c:v>214</c:v>
                </c:pt>
                <c:pt idx="1070">
                  <c:v>428</c:v>
                </c:pt>
                <c:pt idx="1071">
                  <c:v>655</c:v>
                </c:pt>
                <c:pt idx="1072">
                  <c:v>458</c:v>
                </c:pt>
                <c:pt idx="1073">
                  <c:v>229</c:v>
                </c:pt>
                <c:pt idx="1074">
                  <c:v>458</c:v>
                </c:pt>
                <c:pt idx="1075">
                  <c:v>344</c:v>
                </c:pt>
                <c:pt idx="1076">
                  <c:v>655</c:v>
                </c:pt>
                <c:pt idx="1077">
                  <c:v>698</c:v>
                </c:pt>
                <c:pt idx="1078">
                  <c:v>698</c:v>
                </c:pt>
                <c:pt idx="1079">
                  <c:v>698</c:v>
                </c:pt>
                <c:pt idx="1080">
                  <c:v>698</c:v>
                </c:pt>
                <c:pt idx="1081">
                  <c:v>698</c:v>
                </c:pt>
                <c:pt idx="1082">
                  <c:v>366</c:v>
                </c:pt>
                <c:pt idx="1083">
                  <c:v>523</c:v>
                </c:pt>
                <c:pt idx="1084">
                  <c:v>698</c:v>
                </c:pt>
                <c:pt idx="1085">
                  <c:v>698</c:v>
                </c:pt>
                <c:pt idx="1086">
                  <c:v>698</c:v>
                </c:pt>
                <c:pt idx="1087">
                  <c:v>488</c:v>
                </c:pt>
                <c:pt idx="1088">
                  <c:v>698</c:v>
                </c:pt>
                <c:pt idx="1089">
                  <c:v>490</c:v>
                </c:pt>
                <c:pt idx="1090">
                  <c:v>472</c:v>
                </c:pt>
                <c:pt idx="1091">
                  <c:v>510</c:v>
                </c:pt>
                <c:pt idx="1092">
                  <c:v>720</c:v>
                </c:pt>
                <c:pt idx="1093">
                  <c:v>660</c:v>
                </c:pt>
                <c:pt idx="1094">
                  <c:v>253</c:v>
                </c:pt>
                <c:pt idx="1095">
                  <c:v>253</c:v>
                </c:pt>
                <c:pt idx="1096">
                  <c:v>610</c:v>
                </c:pt>
                <c:pt idx="1097">
                  <c:v>540</c:v>
                </c:pt>
                <c:pt idx="1098">
                  <c:v>270</c:v>
                </c:pt>
                <c:pt idx="1099">
                  <c:v>742</c:v>
                </c:pt>
                <c:pt idx="1100">
                  <c:v>577</c:v>
                </c:pt>
                <c:pt idx="1101">
                  <c:v>500</c:v>
                </c:pt>
                <c:pt idx="1102">
                  <c:v>500</c:v>
                </c:pt>
                <c:pt idx="1103">
                  <c:v>577</c:v>
                </c:pt>
                <c:pt idx="1104">
                  <c:v>550</c:v>
                </c:pt>
                <c:pt idx="1105">
                  <c:v>550</c:v>
                </c:pt>
                <c:pt idx="1106">
                  <c:v>500</c:v>
                </c:pt>
                <c:pt idx="1107">
                  <c:v>630</c:v>
                </c:pt>
                <c:pt idx="1108">
                  <c:v>289</c:v>
                </c:pt>
                <c:pt idx="1109">
                  <c:v>600</c:v>
                </c:pt>
                <c:pt idx="1110">
                  <c:v>600</c:v>
                </c:pt>
                <c:pt idx="1111">
                  <c:v>289</c:v>
                </c:pt>
                <c:pt idx="1112">
                  <c:v>289</c:v>
                </c:pt>
                <c:pt idx="1113">
                  <c:v>630</c:v>
                </c:pt>
                <c:pt idx="1114">
                  <c:v>630</c:v>
                </c:pt>
                <c:pt idx="1115">
                  <c:v>750</c:v>
                </c:pt>
                <c:pt idx="1116">
                  <c:v>780</c:v>
                </c:pt>
                <c:pt idx="1117">
                  <c:v>810</c:v>
                </c:pt>
                <c:pt idx="1118">
                  <c:v>880</c:v>
                </c:pt>
                <c:pt idx="1119">
                  <c:v>880</c:v>
                </c:pt>
                <c:pt idx="1120">
                  <c:v>830</c:v>
                </c:pt>
                <c:pt idx="1121">
                  <c:v>800</c:v>
                </c:pt>
                <c:pt idx="1122">
                  <c:v>900</c:v>
                </c:pt>
                <c:pt idx="1123">
                  <c:v>900</c:v>
                </c:pt>
                <c:pt idx="1124">
                  <c:v>900</c:v>
                </c:pt>
                <c:pt idx="1125">
                  <c:v>1100</c:v>
                </c:pt>
              </c:numCache>
            </c:numRef>
          </c:yVal>
          <c:smooth val="0"/>
        </c:ser>
        <c:dLbls>
          <c:showLegendKey val="0"/>
          <c:showVal val="0"/>
          <c:showCatName val="0"/>
          <c:showSerName val="0"/>
          <c:showPercent val="0"/>
          <c:showBubbleSize val="0"/>
        </c:dLbls>
        <c:axId val="475642712"/>
        <c:axId val="475643104"/>
      </c:scatterChart>
      <c:valAx>
        <c:axId val="475642712"/>
        <c:scaling>
          <c:orientation val="minMax"/>
          <c:max val="17"/>
          <c:min val="1"/>
        </c:scaling>
        <c:delete val="0"/>
        <c:axPos val="b"/>
        <c:title>
          <c:tx>
            <c:rich>
              <a:bodyPr/>
              <a:lstStyle/>
              <a:p>
                <a:pPr>
                  <a:defRPr sz="1200" b="1" i="0" u="none" strike="noStrike" baseline="0">
                    <a:solidFill>
                      <a:srgbClr val="000000"/>
                    </a:solidFill>
                    <a:latin typeface="Times New Roman"/>
                    <a:ea typeface="Times New Roman"/>
                    <a:cs typeface="Times New Roman"/>
                  </a:defRPr>
                </a:pPr>
                <a:r>
                  <a:rPr lang="lv-LV"/>
                  <a:t>Mēnešalgu grupa, kvalifikācijas pakāpe</a:t>
                </a:r>
              </a:p>
            </c:rich>
          </c:tx>
          <c:overlay val="0"/>
        </c:title>
        <c:numFmt formatCode="General" sourceLinked="1"/>
        <c:majorTickMark val="out"/>
        <c:minorTickMark val="none"/>
        <c:tickLblPos val="nextTo"/>
        <c:txPr>
          <a:bodyPr rot="0" vert="horz"/>
          <a:lstStyle/>
          <a:p>
            <a:pPr>
              <a:defRPr sz="1200" b="0" i="0" u="none" strike="noStrike" baseline="0">
                <a:solidFill>
                  <a:srgbClr val="000000"/>
                </a:solidFill>
                <a:latin typeface="Times New Roman"/>
                <a:ea typeface="Times New Roman"/>
                <a:cs typeface="Times New Roman"/>
              </a:defRPr>
            </a:pPr>
            <a:endParaRPr lang="lv-LV"/>
          </a:p>
        </c:txPr>
        <c:crossAx val="475643104"/>
        <c:crosses val="autoZero"/>
        <c:crossBetween val="midCat"/>
        <c:majorUnit val="3"/>
      </c:valAx>
      <c:valAx>
        <c:axId val="475643104"/>
        <c:scaling>
          <c:orientation val="minMax"/>
          <c:max val="1800"/>
          <c:min val="0"/>
        </c:scaling>
        <c:delete val="0"/>
        <c:axPos val="l"/>
        <c:majorGridlines/>
        <c:numFmt formatCode="General" sourceLinked="1"/>
        <c:majorTickMark val="out"/>
        <c:minorTickMark val="none"/>
        <c:tickLblPos val="nextTo"/>
        <c:txPr>
          <a:bodyPr/>
          <a:lstStyle/>
          <a:p>
            <a:pPr>
              <a:defRPr lang="lv-LV"/>
            </a:pPr>
            <a:endParaRPr lang="lv-LV"/>
          </a:p>
        </c:txPr>
        <c:crossAx val="475642712"/>
        <c:crosses val="autoZero"/>
        <c:crossBetween val="midCat"/>
      </c:valAx>
    </c:plotArea>
    <c:plotVisOnly val="1"/>
    <c:dispBlanksAs val="gap"/>
    <c:showDLblsOverMax val="0"/>
  </c:chart>
  <c:txPr>
    <a:bodyPr/>
    <a:lstStyle/>
    <a:p>
      <a:pPr>
        <a:defRPr sz="1200">
          <a:latin typeface="Times New Roman" pitchFamily="18" charset="0"/>
          <a:cs typeface="Times New Roman" pitchFamily="18" charset="0"/>
        </a:defRPr>
      </a:pPr>
      <a:endParaRPr lang="lv-LV"/>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02763333828552"/>
          <c:y val="3.0831228624715063E-2"/>
          <c:w val="0.74898331104838589"/>
          <c:h val="0.78533467563129955"/>
        </c:manualLayout>
      </c:layout>
      <c:scatterChart>
        <c:scatterStyle val="lineMarker"/>
        <c:varyColors val="0"/>
        <c:ser>
          <c:idx val="0"/>
          <c:order val="0"/>
          <c:tx>
            <c:strRef>
              <c:f>Lapa1!$B$1</c:f>
              <c:strCache>
                <c:ptCount val="1"/>
                <c:pt idx="0">
                  <c:v>veca</c:v>
                </c:pt>
              </c:strCache>
            </c:strRef>
          </c:tx>
          <c:marker>
            <c:symbol val="none"/>
          </c:marker>
          <c:xVal>
            <c:numRef>
              <c:f>Lapa1!$A$2:$A$1262</c:f>
              <c:numCache>
                <c:formatCode>General</c:formatCode>
                <c:ptCount val="1261"/>
                <c:pt idx="0">
                  <c:v>1.1000000000000001</c:v>
                </c:pt>
                <c:pt idx="1">
                  <c:v>1.1000000000000001</c:v>
                </c:pt>
                <c:pt idx="2">
                  <c:v>1.2</c:v>
                </c:pt>
                <c:pt idx="3">
                  <c:v>1.3</c:v>
                </c:pt>
                <c:pt idx="4">
                  <c:v>1.4</c:v>
                </c:pt>
                <c:pt idx="5">
                  <c:v>1.5</c:v>
                </c:pt>
                <c:pt idx="6">
                  <c:v>1.6</c:v>
                </c:pt>
                <c:pt idx="7">
                  <c:v>1.6</c:v>
                </c:pt>
                <c:pt idx="8">
                  <c:v>1.5</c:v>
                </c:pt>
                <c:pt idx="9">
                  <c:v>1.4</c:v>
                </c:pt>
                <c:pt idx="10">
                  <c:v>1.3</c:v>
                </c:pt>
                <c:pt idx="11">
                  <c:v>1.2</c:v>
                </c:pt>
                <c:pt idx="12">
                  <c:v>1.1000000000000001</c:v>
                </c:pt>
                <c:pt idx="14">
                  <c:v>2.1</c:v>
                </c:pt>
                <c:pt idx="15">
                  <c:v>2.1</c:v>
                </c:pt>
                <c:pt idx="16">
                  <c:v>2.2000000000000002</c:v>
                </c:pt>
                <c:pt idx="17">
                  <c:v>2.2999999999999998</c:v>
                </c:pt>
                <c:pt idx="18">
                  <c:v>2.4</c:v>
                </c:pt>
                <c:pt idx="19">
                  <c:v>2.5</c:v>
                </c:pt>
                <c:pt idx="20">
                  <c:v>2.6</c:v>
                </c:pt>
                <c:pt idx="21">
                  <c:v>2.6</c:v>
                </c:pt>
                <c:pt idx="22">
                  <c:v>2.5</c:v>
                </c:pt>
                <c:pt idx="23">
                  <c:v>2.4</c:v>
                </c:pt>
                <c:pt idx="24">
                  <c:v>2.2999999999999998</c:v>
                </c:pt>
                <c:pt idx="25">
                  <c:v>2.2000000000000002</c:v>
                </c:pt>
                <c:pt idx="26">
                  <c:v>2.1</c:v>
                </c:pt>
                <c:pt idx="28">
                  <c:v>3.1</c:v>
                </c:pt>
                <c:pt idx="29">
                  <c:v>3.1</c:v>
                </c:pt>
                <c:pt idx="30">
                  <c:v>3.2</c:v>
                </c:pt>
                <c:pt idx="31">
                  <c:v>3.3</c:v>
                </c:pt>
                <c:pt idx="32">
                  <c:v>3.4</c:v>
                </c:pt>
                <c:pt idx="33">
                  <c:v>3.5</c:v>
                </c:pt>
                <c:pt idx="34">
                  <c:v>3.6</c:v>
                </c:pt>
                <c:pt idx="35">
                  <c:v>3.6</c:v>
                </c:pt>
                <c:pt idx="36">
                  <c:v>3.5</c:v>
                </c:pt>
                <c:pt idx="37">
                  <c:v>3.4</c:v>
                </c:pt>
                <c:pt idx="38">
                  <c:v>3.3</c:v>
                </c:pt>
                <c:pt idx="39">
                  <c:v>3.2</c:v>
                </c:pt>
                <c:pt idx="40">
                  <c:v>3.1</c:v>
                </c:pt>
                <c:pt idx="42">
                  <c:v>4.0999999999999996</c:v>
                </c:pt>
                <c:pt idx="43">
                  <c:v>4.0999999999999996</c:v>
                </c:pt>
                <c:pt idx="44">
                  <c:v>4.2</c:v>
                </c:pt>
                <c:pt idx="45">
                  <c:v>4.3</c:v>
                </c:pt>
                <c:pt idx="46">
                  <c:v>4.4000000000000004</c:v>
                </c:pt>
                <c:pt idx="47">
                  <c:v>4.5</c:v>
                </c:pt>
                <c:pt idx="48">
                  <c:v>4.5999999999999996</c:v>
                </c:pt>
                <c:pt idx="49">
                  <c:v>4.5999999999999996</c:v>
                </c:pt>
                <c:pt idx="50">
                  <c:v>4.5</c:v>
                </c:pt>
                <c:pt idx="51">
                  <c:v>4.4000000000000004</c:v>
                </c:pt>
                <c:pt idx="52">
                  <c:v>4.3</c:v>
                </c:pt>
                <c:pt idx="53">
                  <c:v>4.2</c:v>
                </c:pt>
                <c:pt idx="54">
                  <c:v>4.0999999999999996</c:v>
                </c:pt>
                <c:pt idx="56">
                  <c:v>5.0999999999999996</c:v>
                </c:pt>
                <c:pt idx="57">
                  <c:v>5.0999999999999996</c:v>
                </c:pt>
                <c:pt idx="58">
                  <c:v>5.2</c:v>
                </c:pt>
                <c:pt idx="59">
                  <c:v>5.3</c:v>
                </c:pt>
                <c:pt idx="60">
                  <c:v>5.4</c:v>
                </c:pt>
                <c:pt idx="61">
                  <c:v>5.5</c:v>
                </c:pt>
                <c:pt idx="62">
                  <c:v>5.6</c:v>
                </c:pt>
                <c:pt idx="63">
                  <c:v>5.6</c:v>
                </c:pt>
                <c:pt idx="64">
                  <c:v>5.5</c:v>
                </c:pt>
                <c:pt idx="65">
                  <c:v>5.4</c:v>
                </c:pt>
                <c:pt idx="66">
                  <c:v>5.3</c:v>
                </c:pt>
                <c:pt idx="67">
                  <c:v>5.2</c:v>
                </c:pt>
                <c:pt idx="68">
                  <c:v>5.0999999999999996</c:v>
                </c:pt>
                <c:pt idx="70">
                  <c:v>6.1</c:v>
                </c:pt>
                <c:pt idx="71">
                  <c:v>6.1</c:v>
                </c:pt>
                <c:pt idx="72">
                  <c:v>6.2</c:v>
                </c:pt>
                <c:pt idx="73">
                  <c:v>6.3</c:v>
                </c:pt>
                <c:pt idx="74">
                  <c:v>6.4</c:v>
                </c:pt>
                <c:pt idx="75">
                  <c:v>6.5</c:v>
                </c:pt>
                <c:pt idx="76">
                  <c:v>6.6</c:v>
                </c:pt>
                <c:pt idx="77">
                  <c:v>6.6</c:v>
                </c:pt>
                <c:pt idx="78">
                  <c:v>6.5</c:v>
                </c:pt>
                <c:pt idx="79">
                  <c:v>6.4</c:v>
                </c:pt>
                <c:pt idx="80">
                  <c:v>6.3</c:v>
                </c:pt>
                <c:pt idx="81">
                  <c:v>6.2</c:v>
                </c:pt>
                <c:pt idx="82">
                  <c:v>6.1</c:v>
                </c:pt>
                <c:pt idx="84">
                  <c:v>7.1</c:v>
                </c:pt>
                <c:pt idx="85">
                  <c:v>7.1</c:v>
                </c:pt>
                <c:pt idx="86">
                  <c:v>7.2</c:v>
                </c:pt>
                <c:pt idx="87">
                  <c:v>7.3</c:v>
                </c:pt>
                <c:pt idx="88">
                  <c:v>7.4</c:v>
                </c:pt>
                <c:pt idx="89">
                  <c:v>7.5</c:v>
                </c:pt>
                <c:pt idx="90">
                  <c:v>7.6</c:v>
                </c:pt>
                <c:pt idx="91">
                  <c:v>7.6</c:v>
                </c:pt>
                <c:pt idx="92">
                  <c:v>7.5</c:v>
                </c:pt>
                <c:pt idx="93">
                  <c:v>7.4</c:v>
                </c:pt>
                <c:pt idx="94">
                  <c:v>7.3</c:v>
                </c:pt>
                <c:pt idx="95">
                  <c:v>7.2</c:v>
                </c:pt>
                <c:pt idx="96">
                  <c:v>7.1</c:v>
                </c:pt>
                <c:pt idx="98">
                  <c:v>8.1</c:v>
                </c:pt>
                <c:pt idx="99">
                  <c:v>8.1</c:v>
                </c:pt>
                <c:pt idx="100">
                  <c:v>8.2000000000000011</c:v>
                </c:pt>
                <c:pt idx="101">
                  <c:v>8.3000000000000007</c:v>
                </c:pt>
                <c:pt idx="102">
                  <c:v>8.4</c:v>
                </c:pt>
                <c:pt idx="103">
                  <c:v>8.5</c:v>
                </c:pt>
                <c:pt idx="104">
                  <c:v>8.6</c:v>
                </c:pt>
                <c:pt idx="105">
                  <c:v>8.6</c:v>
                </c:pt>
                <c:pt idx="106">
                  <c:v>8.5</c:v>
                </c:pt>
                <c:pt idx="107">
                  <c:v>8.4</c:v>
                </c:pt>
                <c:pt idx="108">
                  <c:v>8.3000000000000007</c:v>
                </c:pt>
                <c:pt idx="109">
                  <c:v>8.2000000000000011</c:v>
                </c:pt>
                <c:pt idx="110">
                  <c:v>8.1</c:v>
                </c:pt>
                <c:pt idx="112">
                  <c:v>9.1</c:v>
                </c:pt>
                <c:pt idx="113">
                  <c:v>9.1</c:v>
                </c:pt>
                <c:pt idx="114">
                  <c:v>9.2000000000000011</c:v>
                </c:pt>
                <c:pt idx="115">
                  <c:v>9.3000000000000007</c:v>
                </c:pt>
                <c:pt idx="116">
                  <c:v>9.4</c:v>
                </c:pt>
                <c:pt idx="117">
                  <c:v>9.5</c:v>
                </c:pt>
                <c:pt idx="118">
                  <c:v>9.6</c:v>
                </c:pt>
                <c:pt idx="119">
                  <c:v>9.6</c:v>
                </c:pt>
                <c:pt idx="120">
                  <c:v>9.5</c:v>
                </c:pt>
                <c:pt idx="121">
                  <c:v>9.4</c:v>
                </c:pt>
                <c:pt idx="122">
                  <c:v>9.3000000000000007</c:v>
                </c:pt>
                <c:pt idx="123">
                  <c:v>9.2000000000000011</c:v>
                </c:pt>
                <c:pt idx="124">
                  <c:v>9.1</c:v>
                </c:pt>
                <c:pt idx="126">
                  <c:v>10.1</c:v>
                </c:pt>
                <c:pt idx="127">
                  <c:v>10.1</c:v>
                </c:pt>
                <c:pt idx="128">
                  <c:v>10.200000000000001</c:v>
                </c:pt>
                <c:pt idx="129">
                  <c:v>10.3</c:v>
                </c:pt>
                <c:pt idx="130">
                  <c:v>10.4</c:v>
                </c:pt>
                <c:pt idx="131">
                  <c:v>10.5</c:v>
                </c:pt>
                <c:pt idx="132">
                  <c:v>10.6</c:v>
                </c:pt>
                <c:pt idx="133">
                  <c:v>10.6</c:v>
                </c:pt>
                <c:pt idx="134">
                  <c:v>10.5</c:v>
                </c:pt>
                <c:pt idx="135">
                  <c:v>10.4</c:v>
                </c:pt>
                <c:pt idx="136">
                  <c:v>10.3</c:v>
                </c:pt>
                <c:pt idx="137">
                  <c:v>10.200000000000001</c:v>
                </c:pt>
                <c:pt idx="138">
                  <c:v>10.1</c:v>
                </c:pt>
                <c:pt idx="140">
                  <c:v>11.1</c:v>
                </c:pt>
                <c:pt idx="141">
                  <c:v>11.1</c:v>
                </c:pt>
                <c:pt idx="142">
                  <c:v>11.2</c:v>
                </c:pt>
                <c:pt idx="143">
                  <c:v>11.3</c:v>
                </c:pt>
                <c:pt idx="144">
                  <c:v>11.4</c:v>
                </c:pt>
                <c:pt idx="145">
                  <c:v>11.5</c:v>
                </c:pt>
                <c:pt idx="146">
                  <c:v>11.6</c:v>
                </c:pt>
                <c:pt idx="147">
                  <c:v>11.6</c:v>
                </c:pt>
                <c:pt idx="148">
                  <c:v>11.5</c:v>
                </c:pt>
                <c:pt idx="149">
                  <c:v>11.4</c:v>
                </c:pt>
                <c:pt idx="150">
                  <c:v>11.3</c:v>
                </c:pt>
                <c:pt idx="151">
                  <c:v>11.2</c:v>
                </c:pt>
                <c:pt idx="152">
                  <c:v>11.1</c:v>
                </c:pt>
                <c:pt idx="154">
                  <c:v>12.1</c:v>
                </c:pt>
                <c:pt idx="155">
                  <c:v>12.1</c:v>
                </c:pt>
                <c:pt idx="156">
                  <c:v>12.2</c:v>
                </c:pt>
                <c:pt idx="157">
                  <c:v>12.3</c:v>
                </c:pt>
                <c:pt idx="158">
                  <c:v>12.4</c:v>
                </c:pt>
                <c:pt idx="159">
                  <c:v>12.5</c:v>
                </c:pt>
                <c:pt idx="160">
                  <c:v>12.6</c:v>
                </c:pt>
                <c:pt idx="161">
                  <c:v>12.6</c:v>
                </c:pt>
                <c:pt idx="162">
                  <c:v>12.5</c:v>
                </c:pt>
                <c:pt idx="163">
                  <c:v>12.4</c:v>
                </c:pt>
                <c:pt idx="164">
                  <c:v>12.3</c:v>
                </c:pt>
                <c:pt idx="165">
                  <c:v>12.2</c:v>
                </c:pt>
                <c:pt idx="166">
                  <c:v>12.1</c:v>
                </c:pt>
                <c:pt idx="168">
                  <c:v>13.1</c:v>
                </c:pt>
                <c:pt idx="169">
                  <c:v>13.1</c:v>
                </c:pt>
                <c:pt idx="170">
                  <c:v>13.2</c:v>
                </c:pt>
                <c:pt idx="171">
                  <c:v>13.3</c:v>
                </c:pt>
                <c:pt idx="172">
                  <c:v>13.4</c:v>
                </c:pt>
                <c:pt idx="173">
                  <c:v>13.5</c:v>
                </c:pt>
                <c:pt idx="174">
                  <c:v>13.6</c:v>
                </c:pt>
                <c:pt idx="175">
                  <c:v>13.6</c:v>
                </c:pt>
                <c:pt idx="176">
                  <c:v>13.5</c:v>
                </c:pt>
                <c:pt idx="177">
                  <c:v>13.4</c:v>
                </c:pt>
                <c:pt idx="178">
                  <c:v>13.3</c:v>
                </c:pt>
                <c:pt idx="179">
                  <c:v>13.2</c:v>
                </c:pt>
                <c:pt idx="180">
                  <c:v>13.1</c:v>
                </c:pt>
                <c:pt idx="182">
                  <c:v>14.1</c:v>
                </c:pt>
                <c:pt idx="183">
                  <c:v>14.1</c:v>
                </c:pt>
                <c:pt idx="184">
                  <c:v>14.3</c:v>
                </c:pt>
                <c:pt idx="185">
                  <c:v>14.3</c:v>
                </c:pt>
                <c:pt idx="186">
                  <c:v>14.4</c:v>
                </c:pt>
                <c:pt idx="187">
                  <c:v>14.5</c:v>
                </c:pt>
                <c:pt idx="188">
                  <c:v>14.6</c:v>
                </c:pt>
                <c:pt idx="189">
                  <c:v>14.6</c:v>
                </c:pt>
                <c:pt idx="190">
                  <c:v>14.5</c:v>
                </c:pt>
                <c:pt idx="191">
                  <c:v>14.4</c:v>
                </c:pt>
                <c:pt idx="192">
                  <c:v>14.3</c:v>
                </c:pt>
                <c:pt idx="193">
                  <c:v>14.2</c:v>
                </c:pt>
                <c:pt idx="194">
                  <c:v>14.1</c:v>
                </c:pt>
                <c:pt idx="195">
                  <c:v>0</c:v>
                </c:pt>
                <c:pt idx="196">
                  <c:v>15.1</c:v>
                </c:pt>
                <c:pt idx="197">
                  <c:v>15.1</c:v>
                </c:pt>
                <c:pt idx="198">
                  <c:v>15.3</c:v>
                </c:pt>
                <c:pt idx="199">
                  <c:v>15.3</c:v>
                </c:pt>
                <c:pt idx="200">
                  <c:v>15.4</c:v>
                </c:pt>
                <c:pt idx="201">
                  <c:v>15.5</c:v>
                </c:pt>
                <c:pt idx="202">
                  <c:v>15.6</c:v>
                </c:pt>
                <c:pt idx="203">
                  <c:v>15.6</c:v>
                </c:pt>
                <c:pt idx="204">
                  <c:v>15.5</c:v>
                </c:pt>
                <c:pt idx="205">
                  <c:v>15.4</c:v>
                </c:pt>
                <c:pt idx="206">
                  <c:v>15.3</c:v>
                </c:pt>
                <c:pt idx="207">
                  <c:v>15.2</c:v>
                </c:pt>
                <c:pt idx="208">
                  <c:v>15.1</c:v>
                </c:pt>
                <c:pt idx="209">
                  <c:v>0</c:v>
                </c:pt>
                <c:pt idx="210">
                  <c:v>16.100000000000001</c:v>
                </c:pt>
                <c:pt idx="211">
                  <c:v>16.100000000000001</c:v>
                </c:pt>
                <c:pt idx="212">
                  <c:v>16.2</c:v>
                </c:pt>
                <c:pt idx="213">
                  <c:v>16.3</c:v>
                </c:pt>
                <c:pt idx="214">
                  <c:v>16.5</c:v>
                </c:pt>
                <c:pt idx="215">
                  <c:v>16.5</c:v>
                </c:pt>
                <c:pt idx="216">
                  <c:v>16.600000000000001</c:v>
                </c:pt>
                <c:pt idx="217">
                  <c:v>16.600000000000001</c:v>
                </c:pt>
                <c:pt idx="218">
                  <c:v>16.5</c:v>
                </c:pt>
                <c:pt idx="219">
                  <c:v>16.399999999999999</c:v>
                </c:pt>
                <c:pt idx="220">
                  <c:v>16.3</c:v>
                </c:pt>
                <c:pt idx="221">
                  <c:v>16.2</c:v>
                </c:pt>
                <c:pt idx="222">
                  <c:v>16.100000000000001</c:v>
                </c:pt>
                <c:pt idx="224">
                  <c:v>6.4</c:v>
                </c:pt>
                <c:pt idx="225">
                  <c:v>6.4</c:v>
                </c:pt>
                <c:pt idx="226">
                  <c:v>6.4</c:v>
                </c:pt>
                <c:pt idx="227">
                  <c:v>6.4</c:v>
                </c:pt>
                <c:pt idx="228">
                  <c:v>6.5</c:v>
                </c:pt>
                <c:pt idx="229">
                  <c:v>6.6</c:v>
                </c:pt>
                <c:pt idx="230">
                  <c:v>6.6</c:v>
                </c:pt>
                <c:pt idx="231">
                  <c:v>6.6</c:v>
                </c:pt>
                <c:pt idx="232">
                  <c:v>6.6</c:v>
                </c:pt>
                <c:pt idx="233">
                  <c:v>6.6</c:v>
                </c:pt>
                <c:pt idx="234">
                  <c:v>6.6</c:v>
                </c:pt>
                <c:pt idx="235">
                  <c:v>6.6</c:v>
                </c:pt>
                <c:pt idx="236">
                  <c:v>7.1</c:v>
                </c:pt>
                <c:pt idx="237">
                  <c:v>7.1</c:v>
                </c:pt>
                <c:pt idx="238">
                  <c:v>7.1</c:v>
                </c:pt>
                <c:pt idx="239">
                  <c:v>7.1</c:v>
                </c:pt>
                <c:pt idx="240">
                  <c:v>7.1</c:v>
                </c:pt>
                <c:pt idx="241">
                  <c:v>7.1</c:v>
                </c:pt>
                <c:pt idx="242">
                  <c:v>7.1</c:v>
                </c:pt>
                <c:pt idx="243">
                  <c:v>7.1</c:v>
                </c:pt>
                <c:pt idx="244">
                  <c:v>7.1</c:v>
                </c:pt>
                <c:pt idx="245">
                  <c:v>7.2</c:v>
                </c:pt>
                <c:pt idx="246">
                  <c:v>7.2</c:v>
                </c:pt>
                <c:pt idx="247">
                  <c:v>7.2</c:v>
                </c:pt>
                <c:pt idx="248">
                  <c:v>7.2</c:v>
                </c:pt>
                <c:pt idx="249">
                  <c:v>7.2</c:v>
                </c:pt>
                <c:pt idx="250">
                  <c:v>7.2</c:v>
                </c:pt>
                <c:pt idx="251">
                  <c:v>7.2</c:v>
                </c:pt>
                <c:pt idx="252">
                  <c:v>7.2</c:v>
                </c:pt>
                <c:pt idx="253">
                  <c:v>7.2</c:v>
                </c:pt>
                <c:pt idx="254">
                  <c:v>7.2</c:v>
                </c:pt>
                <c:pt idx="255">
                  <c:v>7.2</c:v>
                </c:pt>
                <c:pt idx="256">
                  <c:v>7.3</c:v>
                </c:pt>
                <c:pt idx="257">
                  <c:v>7.3</c:v>
                </c:pt>
                <c:pt idx="258">
                  <c:v>7.3</c:v>
                </c:pt>
                <c:pt idx="259">
                  <c:v>7.3</c:v>
                </c:pt>
                <c:pt idx="260">
                  <c:v>7.3</c:v>
                </c:pt>
                <c:pt idx="261">
                  <c:v>7.3</c:v>
                </c:pt>
                <c:pt idx="262">
                  <c:v>7.3</c:v>
                </c:pt>
                <c:pt idx="263">
                  <c:v>7.3</c:v>
                </c:pt>
                <c:pt idx="264">
                  <c:v>7.3</c:v>
                </c:pt>
                <c:pt idx="265">
                  <c:v>7.3</c:v>
                </c:pt>
                <c:pt idx="266">
                  <c:v>7.3</c:v>
                </c:pt>
                <c:pt idx="267">
                  <c:v>7.3</c:v>
                </c:pt>
                <c:pt idx="268">
                  <c:v>7.3</c:v>
                </c:pt>
                <c:pt idx="269">
                  <c:v>7.3</c:v>
                </c:pt>
                <c:pt idx="270">
                  <c:v>7.3</c:v>
                </c:pt>
                <c:pt idx="271">
                  <c:v>7.3</c:v>
                </c:pt>
                <c:pt idx="272">
                  <c:v>7.3</c:v>
                </c:pt>
                <c:pt idx="273">
                  <c:v>7.3</c:v>
                </c:pt>
                <c:pt idx="274">
                  <c:v>7.3</c:v>
                </c:pt>
                <c:pt idx="275">
                  <c:v>7.3</c:v>
                </c:pt>
                <c:pt idx="276">
                  <c:v>7.3</c:v>
                </c:pt>
                <c:pt idx="277">
                  <c:v>7.3</c:v>
                </c:pt>
                <c:pt idx="278">
                  <c:v>7.3</c:v>
                </c:pt>
                <c:pt idx="279">
                  <c:v>7.3</c:v>
                </c:pt>
                <c:pt idx="280">
                  <c:v>7.3</c:v>
                </c:pt>
                <c:pt idx="281">
                  <c:v>7.3</c:v>
                </c:pt>
                <c:pt idx="282">
                  <c:v>7.3</c:v>
                </c:pt>
                <c:pt idx="283">
                  <c:v>7.4</c:v>
                </c:pt>
                <c:pt idx="284">
                  <c:v>7.4</c:v>
                </c:pt>
                <c:pt idx="285">
                  <c:v>7.4</c:v>
                </c:pt>
                <c:pt idx="286">
                  <c:v>7.4</c:v>
                </c:pt>
                <c:pt idx="287">
                  <c:v>7.4</c:v>
                </c:pt>
                <c:pt idx="288">
                  <c:v>7.4</c:v>
                </c:pt>
                <c:pt idx="289">
                  <c:v>7.4</c:v>
                </c:pt>
                <c:pt idx="290">
                  <c:v>7.4</c:v>
                </c:pt>
                <c:pt idx="291">
                  <c:v>7.4</c:v>
                </c:pt>
                <c:pt idx="292">
                  <c:v>7.4</c:v>
                </c:pt>
                <c:pt idx="293">
                  <c:v>7.4</c:v>
                </c:pt>
                <c:pt idx="294">
                  <c:v>7.4</c:v>
                </c:pt>
                <c:pt idx="295">
                  <c:v>7.4</c:v>
                </c:pt>
                <c:pt idx="296">
                  <c:v>7.4</c:v>
                </c:pt>
                <c:pt idx="297">
                  <c:v>7.4</c:v>
                </c:pt>
                <c:pt idx="298">
                  <c:v>7.4</c:v>
                </c:pt>
                <c:pt idx="299">
                  <c:v>7.4</c:v>
                </c:pt>
                <c:pt idx="300">
                  <c:v>7.4</c:v>
                </c:pt>
                <c:pt idx="301">
                  <c:v>7.4</c:v>
                </c:pt>
                <c:pt idx="302">
                  <c:v>7.4</c:v>
                </c:pt>
                <c:pt idx="303">
                  <c:v>7.4</c:v>
                </c:pt>
                <c:pt idx="304">
                  <c:v>7.4</c:v>
                </c:pt>
                <c:pt idx="305">
                  <c:v>7.4</c:v>
                </c:pt>
                <c:pt idx="306">
                  <c:v>7.4</c:v>
                </c:pt>
                <c:pt idx="307">
                  <c:v>7.4</c:v>
                </c:pt>
                <c:pt idx="308">
                  <c:v>7.4</c:v>
                </c:pt>
                <c:pt idx="309">
                  <c:v>7.4</c:v>
                </c:pt>
                <c:pt idx="310">
                  <c:v>7.4</c:v>
                </c:pt>
                <c:pt idx="311">
                  <c:v>7.4</c:v>
                </c:pt>
                <c:pt idx="312">
                  <c:v>7.4</c:v>
                </c:pt>
                <c:pt idx="313">
                  <c:v>7.4</c:v>
                </c:pt>
                <c:pt idx="314">
                  <c:v>7.4</c:v>
                </c:pt>
                <c:pt idx="315">
                  <c:v>7.4</c:v>
                </c:pt>
                <c:pt idx="316">
                  <c:v>7.4</c:v>
                </c:pt>
                <c:pt idx="317">
                  <c:v>7.4</c:v>
                </c:pt>
                <c:pt idx="318">
                  <c:v>7.4</c:v>
                </c:pt>
                <c:pt idx="319">
                  <c:v>7.4</c:v>
                </c:pt>
                <c:pt idx="320">
                  <c:v>7.4</c:v>
                </c:pt>
                <c:pt idx="321">
                  <c:v>7.4</c:v>
                </c:pt>
                <c:pt idx="322">
                  <c:v>7.4</c:v>
                </c:pt>
                <c:pt idx="323">
                  <c:v>7.4</c:v>
                </c:pt>
                <c:pt idx="324">
                  <c:v>7.4</c:v>
                </c:pt>
                <c:pt idx="325">
                  <c:v>7.4</c:v>
                </c:pt>
                <c:pt idx="326">
                  <c:v>7.4</c:v>
                </c:pt>
                <c:pt idx="327">
                  <c:v>7.4</c:v>
                </c:pt>
                <c:pt idx="328">
                  <c:v>7.4</c:v>
                </c:pt>
                <c:pt idx="329">
                  <c:v>7.4</c:v>
                </c:pt>
                <c:pt idx="330">
                  <c:v>7.4</c:v>
                </c:pt>
                <c:pt idx="331">
                  <c:v>7.4</c:v>
                </c:pt>
                <c:pt idx="332">
                  <c:v>7.4</c:v>
                </c:pt>
                <c:pt idx="333">
                  <c:v>7.4</c:v>
                </c:pt>
                <c:pt idx="334">
                  <c:v>7.4</c:v>
                </c:pt>
                <c:pt idx="335">
                  <c:v>7.4</c:v>
                </c:pt>
                <c:pt idx="336">
                  <c:v>7.4</c:v>
                </c:pt>
                <c:pt idx="337">
                  <c:v>7.4</c:v>
                </c:pt>
                <c:pt idx="338">
                  <c:v>7.4</c:v>
                </c:pt>
                <c:pt idx="339">
                  <c:v>7.4</c:v>
                </c:pt>
                <c:pt idx="340">
                  <c:v>7.4</c:v>
                </c:pt>
                <c:pt idx="341">
                  <c:v>7.4</c:v>
                </c:pt>
                <c:pt idx="342">
                  <c:v>7.4</c:v>
                </c:pt>
                <c:pt idx="343">
                  <c:v>7.5</c:v>
                </c:pt>
                <c:pt idx="344">
                  <c:v>7.5</c:v>
                </c:pt>
                <c:pt idx="345">
                  <c:v>7.5</c:v>
                </c:pt>
                <c:pt idx="346">
                  <c:v>7.5</c:v>
                </c:pt>
                <c:pt idx="347">
                  <c:v>7.5</c:v>
                </c:pt>
                <c:pt idx="348">
                  <c:v>7.5</c:v>
                </c:pt>
                <c:pt idx="349">
                  <c:v>7.5</c:v>
                </c:pt>
                <c:pt idx="350">
                  <c:v>7.5</c:v>
                </c:pt>
                <c:pt idx="351">
                  <c:v>7.5</c:v>
                </c:pt>
                <c:pt idx="352">
                  <c:v>7.5</c:v>
                </c:pt>
                <c:pt idx="353">
                  <c:v>7.5</c:v>
                </c:pt>
                <c:pt idx="354">
                  <c:v>7.5</c:v>
                </c:pt>
                <c:pt idx="355">
                  <c:v>7.5</c:v>
                </c:pt>
                <c:pt idx="356">
                  <c:v>7.5</c:v>
                </c:pt>
                <c:pt idx="357">
                  <c:v>7.5</c:v>
                </c:pt>
                <c:pt idx="358">
                  <c:v>7.5</c:v>
                </c:pt>
                <c:pt idx="359">
                  <c:v>7.5</c:v>
                </c:pt>
                <c:pt idx="360">
                  <c:v>7.5</c:v>
                </c:pt>
                <c:pt idx="361">
                  <c:v>7.5</c:v>
                </c:pt>
                <c:pt idx="362">
                  <c:v>7.5</c:v>
                </c:pt>
                <c:pt idx="363">
                  <c:v>7.5</c:v>
                </c:pt>
                <c:pt idx="364">
                  <c:v>7.5</c:v>
                </c:pt>
                <c:pt idx="365">
                  <c:v>7.5</c:v>
                </c:pt>
                <c:pt idx="366">
                  <c:v>7.5</c:v>
                </c:pt>
                <c:pt idx="367">
                  <c:v>7.5</c:v>
                </c:pt>
                <c:pt idx="368">
                  <c:v>7.5</c:v>
                </c:pt>
                <c:pt idx="369">
                  <c:v>7.5</c:v>
                </c:pt>
                <c:pt idx="370">
                  <c:v>7.5</c:v>
                </c:pt>
                <c:pt idx="371">
                  <c:v>7.5</c:v>
                </c:pt>
                <c:pt idx="372">
                  <c:v>7.5</c:v>
                </c:pt>
                <c:pt idx="373">
                  <c:v>7.5</c:v>
                </c:pt>
                <c:pt idx="374">
                  <c:v>7.5</c:v>
                </c:pt>
                <c:pt idx="375">
                  <c:v>7.5</c:v>
                </c:pt>
                <c:pt idx="376">
                  <c:v>7.5</c:v>
                </c:pt>
                <c:pt idx="377">
                  <c:v>7.5</c:v>
                </c:pt>
                <c:pt idx="378">
                  <c:v>7.5</c:v>
                </c:pt>
                <c:pt idx="379">
                  <c:v>7.5</c:v>
                </c:pt>
                <c:pt idx="380">
                  <c:v>7.5</c:v>
                </c:pt>
                <c:pt idx="381">
                  <c:v>7.5</c:v>
                </c:pt>
                <c:pt idx="382">
                  <c:v>7.5</c:v>
                </c:pt>
                <c:pt idx="383">
                  <c:v>7.5</c:v>
                </c:pt>
                <c:pt idx="384">
                  <c:v>7.5</c:v>
                </c:pt>
                <c:pt idx="385">
                  <c:v>7.5</c:v>
                </c:pt>
                <c:pt idx="386">
                  <c:v>7.5</c:v>
                </c:pt>
                <c:pt idx="387">
                  <c:v>7.5</c:v>
                </c:pt>
                <c:pt idx="388">
                  <c:v>7.5</c:v>
                </c:pt>
                <c:pt idx="389">
                  <c:v>7.5</c:v>
                </c:pt>
                <c:pt idx="390">
                  <c:v>7.5</c:v>
                </c:pt>
                <c:pt idx="391">
                  <c:v>7.5</c:v>
                </c:pt>
                <c:pt idx="392">
                  <c:v>7.5</c:v>
                </c:pt>
                <c:pt idx="393">
                  <c:v>7.5</c:v>
                </c:pt>
                <c:pt idx="394">
                  <c:v>7.5</c:v>
                </c:pt>
                <c:pt idx="395">
                  <c:v>7.5</c:v>
                </c:pt>
                <c:pt idx="396">
                  <c:v>7.5</c:v>
                </c:pt>
                <c:pt idx="397">
                  <c:v>7.5</c:v>
                </c:pt>
                <c:pt idx="398">
                  <c:v>7.5</c:v>
                </c:pt>
                <c:pt idx="399">
                  <c:v>7.5</c:v>
                </c:pt>
                <c:pt idx="400">
                  <c:v>7.5</c:v>
                </c:pt>
                <c:pt idx="401">
                  <c:v>7.5</c:v>
                </c:pt>
                <c:pt idx="402">
                  <c:v>7.5</c:v>
                </c:pt>
                <c:pt idx="403">
                  <c:v>7.5</c:v>
                </c:pt>
                <c:pt idx="404">
                  <c:v>7.5</c:v>
                </c:pt>
                <c:pt idx="405">
                  <c:v>7.5</c:v>
                </c:pt>
                <c:pt idx="406">
                  <c:v>7.5</c:v>
                </c:pt>
                <c:pt idx="407">
                  <c:v>7.5</c:v>
                </c:pt>
                <c:pt idx="408">
                  <c:v>7.5</c:v>
                </c:pt>
                <c:pt idx="409">
                  <c:v>7.5</c:v>
                </c:pt>
                <c:pt idx="410">
                  <c:v>7.5</c:v>
                </c:pt>
                <c:pt idx="411">
                  <c:v>7.5</c:v>
                </c:pt>
                <c:pt idx="412">
                  <c:v>7.5</c:v>
                </c:pt>
                <c:pt idx="413">
                  <c:v>7.5</c:v>
                </c:pt>
                <c:pt idx="414">
                  <c:v>7.5</c:v>
                </c:pt>
                <c:pt idx="415">
                  <c:v>7.5</c:v>
                </c:pt>
                <c:pt idx="416">
                  <c:v>7.5</c:v>
                </c:pt>
                <c:pt idx="417">
                  <c:v>7.5</c:v>
                </c:pt>
                <c:pt idx="418">
                  <c:v>7.5</c:v>
                </c:pt>
                <c:pt idx="419">
                  <c:v>7.5</c:v>
                </c:pt>
                <c:pt idx="420">
                  <c:v>7.5</c:v>
                </c:pt>
                <c:pt idx="421">
                  <c:v>7.5</c:v>
                </c:pt>
                <c:pt idx="422">
                  <c:v>7.5</c:v>
                </c:pt>
                <c:pt idx="423">
                  <c:v>7.5</c:v>
                </c:pt>
                <c:pt idx="424">
                  <c:v>7.5</c:v>
                </c:pt>
                <c:pt idx="425">
                  <c:v>7.5</c:v>
                </c:pt>
                <c:pt idx="426">
                  <c:v>7.5</c:v>
                </c:pt>
                <c:pt idx="427">
                  <c:v>7.5</c:v>
                </c:pt>
                <c:pt idx="428">
                  <c:v>7.5</c:v>
                </c:pt>
                <c:pt idx="429">
                  <c:v>7.5</c:v>
                </c:pt>
                <c:pt idx="430">
                  <c:v>7.5</c:v>
                </c:pt>
                <c:pt idx="431">
                  <c:v>7.5</c:v>
                </c:pt>
                <c:pt idx="432">
                  <c:v>7.5</c:v>
                </c:pt>
                <c:pt idx="433">
                  <c:v>7.5</c:v>
                </c:pt>
                <c:pt idx="434">
                  <c:v>7.5</c:v>
                </c:pt>
                <c:pt idx="435">
                  <c:v>7.5</c:v>
                </c:pt>
                <c:pt idx="436">
                  <c:v>7.5</c:v>
                </c:pt>
                <c:pt idx="437">
                  <c:v>7.5</c:v>
                </c:pt>
                <c:pt idx="438">
                  <c:v>7.5</c:v>
                </c:pt>
                <c:pt idx="439">
                  <c:v>7.5</c:v>
                </c:pt>
                <c:pt idx="440">
                  <c:v>7.5</c:v>
                </c:pt>
                <c:pt idx="441">
                  <c:v>7.5</c:v>
                </c:pt>
                <c:pt idx="442">
                  <c:v>7.5</c:v>
                </c:pt>
                <c:pt idx="443">
                  <c:v>7.5</c:v>
                </c:pt>
                <c:pt idx="444">
                  <c:v>7.5</c:v>
                </c:pt>
                <c:pt idx="445">
                  <c:v>7.5</c:v>
                </c:pt>
                <c:pt idx="446">
                  <c:v>7.5</c:v>
                </c:pt>
                <c:pt idx="447">
                  <c:v>7.5</c:v>
                </c:pt>
                <c:pt idx="448">
                  <c:v>7.5</c:v>
                </c:pt>
                <c:pt idx="449">
                  <c:v>7.5</c:v>
                </c:pt>
                <c:pt idx="450">
                  <c:v>7.5</c:v>
                </c:pt>
                <c:pt idx="451">
                  <c:v>7.5</c:v>
                </c:pt>
                <c:pt idx="452">
                  <c:v>7.5</c:v>
                </c:pt>
                <c:pt idx="453">
                  <c:v>7.5</c:v>
                </c:pt>
                <c:pt idx="454">
                  <c:v>7.5</c:v>
                </c:pt>
                <c:pt idx="455">
                  <c:v>7.5</c:v>
                </c:pt>
                <c:pt idx="456">
                  <c:v>7.6</c:v>
                </c:pt>
                <c:pt idx="457">
                  <c:v>7.6</c:v>
                </c:pt>
                <c:pt idx="458">
                  <c:v>7.6</c:v>
                </c:pt>
                <c:pt idx="459">
                  <c:v>7.6</c:v>
                </c:pt>
                <c:pt idx="460">
                  <c:v>7.6</c:v>
                </c:pt>
                <c:pt idx="461">
                  <c:v>7.6</c:v>
                </c:pt>
                <c:pt idx="462">
                  <c:v>7.6</c:v>
                </c:pt>
                <c:pt idx="463">
                  <c:v>7.6</c:v>
                </c:pt>
                <c:pt idx="464">
                  <c:v>7.6</c:v>
                </c:pt>
                <c:pt idx="465">
                  <c:v>7.6</c:v>
                </c:pt>
                <c:pt idx="466">
                  <c:v>7.6</c:v>
                </c:pt>
                <c:pt idx="467">
                  <c:v>7.6</c:v>
                </c:pt>
                <c:pt idx="468">
                  <c:v>7.6</c:v>
                </c:pt>
                <c:pt idx="469">
                  <c:v>7.6</c:v>
                </c:pt>
                <c:pt idx="470">
                  <c:v>7.6</c:v>
                </c:pt>
                <c:pt idx="471">
                  <c:v>7.6</c:v>
                </c:pt>
                <c:pt idx="472">
                  <c:v>7.6</c:v>
                </c:pt>
                <c:pt idx="473">
                  <c:v>7.6</c:v>
                </c:pt>
                <c:pt idx="474">
                  <c:v>7.6</c:v>
                </c:pt>
                <c:pt idx="475">
                  <c:v>7.6</c:v>
                </c:pt>
                <c:pt idx="476">
                  <c:v>7.6</c:v>
                </c:pt>
                <c:pt idx="477">
                  <c:v>7.6</c:v>
                </c:pt>
                <c:pt idx="478">
                  <c:v>7.6</c:v>
                </c:pt>
                <c:pt idx="479">
                  <c:v>7.6</c:v>
                </c:pt>
                <c:pt idx="480">
                  <c:v>7.6</c:v>
                </c:pt>
                <c:pt idx="481">
                  <c:v>7.6</c:v>
                </c:pt>
                <c:pt idx="482">
                  <c:v>7.6</c:v>
                </c:pt>
                <c:pt idx="483">
                  <c:v>7.6</c:v>
                </c:pt>
                <c:pt idx="484">
                  <c:v>7.6</c:v>
                </c:pt>
                <c:pt idx="485">
                  <c:v>7.6</c:v>
                </c:pt>
                <c:pt idx="486">
                  <c:v>7.6</c:v>
                </c:pt>
                <c:pt idx="487">
                  <c:v>7.6</c:v>
                </c:pt>
                <c:pt idx="488">
                  <c:v>7.6</c:v>
                </c:pt>
                <c:pt idx="489">
                  <c:v>7.6</c:v>
                </c:pt>
                <c:pt idx="490">
                  <c:v>7.6</c:v>
                </c:pt>
                <c:pt idx="491">
                  <c:v>7.6</c:v>
                </c:pt>
                <c:pt idx="492">
                  <c:v>7.6</c:v>
                </c:pt>
                <c:pt idx="493">
                  <c:v>7.6</c:v>
                </c:pt>
                <c:pt idx="494">
                  <c:v>7.6</c:v>
                </c:pt>
                <c:pt idx="495">
                  <c:v>7.6</c:v>
                </c:pt>
                <c:pt idx="496">
                  <c:v>7.6</c:v>
                </c:pt>
                <c:pt idx="497">
                  <c:v>7.6</c:v>
                </c:pt>
                <c:pt idx="498">
                  <c:v>7.6</c:v>
                </c:pt>
                <c:pt idx="499">
                  <c:v>7.6</c:v>
                </c:pt>
                <c:pt idx="500">
                  <c:v>7.6</c:v>
                </c:pt>
                <c:pt idx="501">
                  <c:v>7.6</c:v>
                </c:pt>
                <c:pt idx="502">
                  <c:v>7.6</c:v>
                </c:pt>
                <c:pt idx="503">
                  <c:v>7.6</c:v>
                </c:pt>
                <c:pt idx="504">
                  <c:v>7.6</c:v>
                </c:pt>
                <c:pt idx="505">
                  <c:v>7.6</c:v>
                </c:pt>
                <c:pt idx="506">
                  <c:v>7.6</c:v>
                </c:pt>
                <c:pt idx="507">
                  <c:v>7.6</c:v>
                </c:pt>
                <c:pt idx="508">
                  <c:v>7.6</c:v>
                </c:pt>
                <c:pt idx="509">
                  <c:v>7.6</c:v>
                </c:pt>
                <c:pt idx="510">
                  <c:v>7.6</c:v>
                </c:pt>
                <c:pt idx="511">
                  <c:v>7.6</c:v>
                </c:pt>
                <c:pt idx="512">
                  <c:v>7.6</c:v>
                </c:pt>
                <c:pt idx="513">
                  <c:v>7.6</c:v>
                </c:pt>
                <c:pt idx="514">
                  <c:v>7.6</c:v>
                </c:pt>
                <c:pt idx="515">
                  <c:v>7.6</c:v>
                </c:pt>
                <c:pt idx="516">
                  <c:v>7.6</c:v>
                </c:pt>
                <c:pt idx="517">
                  <c:v>7.6</c:v>
                </c:pt>
                <c:pt idx="518">
                  <c:v>7.6</c:v>
                </c:pt>
                <c:pt idx="519">
                  <c:v>7.6</c:v>
                </c:pt>
                <c:pt idx="520">
                  <c:v>7.6</c:v>
                </c:pt>
                <c:pt idx="521">
                  <c:v>7.6</c:v>
                </c:pt>
                <c:pt idx="522">
                  <c:v>7.6</c:v>
                </c:pt>
                <c:pt idx="523">
                  <c:v>7.6</c:v>
                </c:pt>
                <c:pt idx="524">
                  <c:v>7.6</c:v>
                </c:pt>
                <c:pt idx="525">
                  <c:v>7.6</c:v>
                </c:pt>
                <c:pt idx="526">
                  <c:v>7.6</c:v>
                </c:pt>
                <c:pt idx="527">
                  <c:v>7.6</c:v>
                </c:pt>
                <c:pt idx="528">
                  <c:v>7.6</c:v>
                </c:pt>
                <c:pt idx="529">
                  <c:v>7.6</c:v>
                </c:pt>
                <c:pt idx="530">
                  <c:v>7.6</c:v>
                </c:pt>
                <c:pt idx="531">
                  <c:v>7.6</c:v>
                </c:pt>
                <c:pt idx="532">
                  <c:v>7.6</c:v>
                </c:pt>
                <c:pt idx="533">
                  <c:v>7.6</c:v>
                </c:pt>
                <c:pt idx="534">
                  <c:v>7.6</c:v>
                </c:pt>
                <c:pt idx="535">
                  <c:v>7.6</c:v>
                </c:pt>
                <c:pt idx="536">
                  <c:v>7.6</c:v>
                </c:pt>
                <c:pt idx="537">
                  <c:v>7.6</c:v>
                </c:pt>
                <c:pt idx="538">
                  <c:v>7.6</c:v>
                </c:pt>
                <c:pt idx="539">
                  <c:v>7.6</c:v>
                </c:pt>
                <c:pt idx="540">
                  <c:v>7.6</c:v>
                </c:pt>
                <c:pt idx="541">
                  <c:v>7.6</c:v>
                </c:pt>
                <c:pt idx="542">
                  <c:v>7.6</c:v>
                </c:pt>
                <c:pt idx="543">
                  <c:v>7.6</c:v>
                </c:pt>
                <c:pt idx="544">
                  <c:v>7.6</c:v>
                </c:pt>
                <c:pt idx="545">
                  <c:v>7.6</c:v>
                </c:pt>
                <c:pt idx="546">
                  <c:v>7.6</c:v>
                </c:pt>
                <c:pt idx="547">
                  <c:v>7.6</c:v>
                </c:pt>
                <c:pt idx="548">
                  <c:v>7.6</c:v>
                </c:pt>
                <c:pt idx="549">
                  <c:v>7.6</c:v>
                </c:pt>
                <c:pt idx="550">
                  <c:v>7.6</c:v>
                </c:pt>
                <c:pt idx="551">
                  <c:v>7.6</c:v>
                </c:pt>
                <c:pt idx="552">
                  <c:v>7.6</c:v>
                </c:pt>
                <c:pt idx="553">
                  <c:v>7.6</c:v>
                </c:pt>
                <c:pt idx="554">
                  <c:v>7.6</c:v>
                </c:pt>
                <c:pt idx="555">
                  <c:v>7.6</c:v>
                </c:pt>
                <c:pt idx="556">
                  <c:v>7.6</c:v>
                </c:pt>
                <c:pt idx="557">
                  <c:v>7.6</c:v>
                </c:pt>
                <c:pt idx="558">
                  <c:v>7.6</c:v>
                </c:pt>
                <c:pt idx="559">
                  <c:v>7.6</c:v>
                </c:pt>
                <c:pt idx="560">
                  <c:v>7.6</c:v>
                </c:pt>
                <c:pt idx="561">
                  <c:v>7.6</c:v>
                </c:pt>
                <c:pt idx="562">
                  <c:v>7.6</c:v>
                </c:pt>
                <c:pt idx="563">
                  <c:v>7.6</c:v>
                </c:pt>
                <c:pt idx="564">
                  <c:v>7.6</c:v>
                </c:pt>
                <c:pt idx="565">
                  <c:v>7.6</c:v>
                </c:pt>
                <c:pt idx="566">
                  <c:v>7.6</c:v>
                </c:pt>
                <c:pt idx="567">
                  <c:v>7.6</c:v>
                </c:pt>
                <c:pt idx="568">
                  <c:v>7.6</c:v>
                </c:pt>
                <c:pt idx="569">
                  <c:v>7.6</c:v>
                </c:pt>
                <c:pt idx="570">
                  <c:v>7.6</c:v>
                </c:pt>
                <c:pt idx="571">
                  <c:v>7.6</c:v>
                </c:pt>
                <c:pt idx="572">
                  <c:v>7.6</c:v>
                </c:pt>
                <c:pt idx="573">
                  <c:v>7.6</c:v>
                </c:pt>
                <c:pt idx="574">
                  <c:v>7.6</c:v>
                </c:pt>
                <c:pt idx="575">
                  <c:v>7.6</c:v>
                </c:pt>
                <c:pt idx="576">
                  <c:v>7.6</c:v>
                </c:pt>
                <c:pt idx="577">
                  <c:v>7.6</c:v>
                </c:pt>
                <c:pt idx="578">
                  <c:v>7.6</c:v>
                </c:pt>
                <c:pt idx="579">
                  <c:v>7.6</c:v>
                </c:pt>
                <c:pt idx="580">
                  <c:v>7.6</c:v>
                </c:pt>
                <c:pt idx="581">
                  <c:v>7.6</c:v>
                </c:pt>
                <c:pt idx="582">
                  <c:v>7.6</c:v>
                </c:pt>
                <c:pt idx="583">
                  <c:v>7.6</c:v>
                </c:pt>
                <c:pt idx="584">
                  <c:v>7.6</c:v>
                </c:pt>
                <c:pt idx="585">
                  <c:v>7.6</c:v>
                </c:pt>
                <c:pt idx="586">
                  <c:v>7.6</c:v>
                </c:pt>
                <c:pt idx="587">
                  <c:v>7.6</c:v>
                </c:pt>
                <c:pt idx="588">
                  <c:v>7.6</c:v>
                </c:pt>
                <c:pt idx="589">
                  <c:v>7.6</c:v>
                </c:pt>
                <c:pt idx="590">
                  <c:v>7.6</c:v>
                </c:pt>
                <c:pt idx="591">
                  <c:v>7.6</c:v>
                </c:pt>
                <c:pt idx="592">
                  <c:v>7.6</c:v>
                </c:pt>
                <c:pt idx="593">
                  <c:v>7.6</c:v>
                </c:pt>
                <c:pt idx="594">
                  <c:v>7.6</c:v>
                </c:pt>
                <c:pt idx="595">
                  <c:v>7.6</c:v>
                </c:pt>
                <c:pt idx="596">
                  <c:v>7.6</c:v>
                </c:pt>
                <c:pt idx="597">
                  <c:v>7.6</c:v>
                </c:pt>
                <c:pt idx="598">
                  <c:v>7.6</c:v>
                </c:pt>
                <c:pt idx="599">
                  <c:v>7.6</c:v>
                </c:pt>
                <c:pt idx="600">
                  <c:v>7.6</c:v>
                </c:pt>
                <c:pt idx="601">
                  <c:v>7.6</c:v>
                </c:pt>
                <c:pt idx="602">
                  <c:v>7.6</c:v>
                </c:pt>
                <c:pt idx="603">
                  <c:v>7.6</c:v>
                </c:pt>
                <c:pt idx="604">
                  <c:v>7.6</c:v>
                </c:pt>
                <c:pt idx="605">
                  <c:v>7.6</c:v>
                </c:pt>
                <c:pt idx="606">
                  <c:v>7.6</c:v>
                </c:pt>
                <c:pt idx="607">
                  <c:v>7.6</c:v>
                </c:pt>
                <c:pt idx="608">
                  <c:v>7.6</c:v>
                </c:pt>
                <c:pt idx="609">
                  <c:v>7.6</c:v>
                </c:pt>
                <c:pt idx="610">
                  <c:v>7.6</c:v>
                </c:pt>
                <c:pt idx="611">
                  <c:v>7.6</c:v>
                </c:pt>
                <c:pt idx="612">
                  <c:v>7.6</c:v>
                </c:pt>
                <c:pt idx="613">
                  <c:v>7.6</c:v>
                </c:pt>
                <c:pt idx="614">
                  <c:v>7.6</c:v>
                </c:pt>
                <c:pt idx="615">
                  <c:v>7.6</c:v>
                </c:pt>
                <c:pt idx="616">
                  <c:v>7.6</c:v>
                </c:pt>
                <c:pt idx="617">
                  <c:v>7.6</c:v>
                </c:pt>
                <c:pt idx="618">
                  <c:v>7.6</c:v>
                </c:pt>
                <c:pt idx="619">
                  <c:v>7.6</c:v>
                </c:pt>
                <c:pt idx="620">
                  <c:v>7.6</c:v>
                </c:pt>
                <c:pt idx="621">
                  <c:v>7.6</c:v>
                </c:pt>
                <c:pt idx="622">
                  <c:v>7.6</c:v>
                </c:pt>
                <c:pt idx="623">
                  <c:v>7.6</c:v>
                </c:pt>
                <c:pt idx="624">
                  <c:v>7.6</c:v>
                </c:pt>
                <c:pt idx="625">
                  <c:v>7.6</c:v>
                </c:pt>
                <c:pt idx="626">
                  <c:v>7.6</c:v>
                </c:pt>
                <c:pt idx="627">
                  <c:v>7.6</c:v>
                </c:pt>
                <c:pt idx="628">
                  <c:v>7.6</c:v>
                </c:pt>
                <c:pt idx="629">
                  <c:v>7.6</c:v>
                </c:pt>
                <c:pt idx="630">
                  <c:v>7.6</c:v>
                </c:pt>
                <c:pt idx="631">
                  <c:v>7.6</c:v>
                </c:pt>
                <c:pt idx="632">
                  <c:v>7.6</c:v>
                </c:pt>
                <c:pt idx="633">
                  <c:v>7.6</c:v>
                </c:pt>
                <c:pt idx="634">
                  <c:v>7.6</c:v>
                </c:pt>
                <c:pt idx="635">
                  <c:v>7.6</c:v>
                </c:pt>
                <c:pt idx="636">
                  <c:v>7.6</c:v>
                </c:pt>
                <c:pt idx="637">
                  <c:v>7.6</c:v>
                </c:pt>
                <c:pt idx="638">
                  <c:v>7.6</c:v>
                </c:pt>
                <c:pt idx="639">
                  <c:v>7.6</c:v>
                </c:pt>
                <c:pt idx="640">
                  <c:v>7.6</c:v>
                </c:pt>
                <c:pt idx="641">
                  <c:v>7.6</c:v>
                </c:pt>
                <c:pt idx="642">
                  <c:v>7.6</c:v>
                </c:pt>
                <c:pt idx="643">
                  <c:v>7.6</c:v>
                </c:pt>
                <c:pt idx="644">
                  <c:v>7.6</c:v>
                </c:pt>
                <c:pt idx="645">
                  <c:v>7.6</c:v>
                </c:pt>
                <c:pt idx="646">
                  <c:v>7.6</c:v>
                </c:pt>
                <c:pt idx="647">
                  <c:v>7.6</c:v>
                </c:pt>
                <c:pt idx="648">
                  <c:v>7.6</c:v>
                </c:pt>
                <c:pt idx="649">
                  <c:v>7.6</c:v>
                </c:pt>
                <c:pt idx="650">
                  <c:v>7.6</c:v>
                </c:pt>
                <c:pt idx="651">
                  <c:v>7.6</c:v>
                </c:pt>
                <c:pt idx="652">
                  <c:v>7.6</c:v>
                </c:pt>
                <c:pt idx="653">
                  <c:v>7.6</c:v>
                </c:pt>
                <c:pt idx="654">
                  <c:v>7.6</c:v>
                </c:pt>
                <c:pt idx="655">
                  <c:v>7.6</c:v>
                </c:pt>
                <c:pt idx="656">
                  <c:v>7.6</c:v>
                </c:pt>
                <c:pt idx="657">
                  <c:v>7.6</c:v>
                </c:pt>
                <c:pt idx="658">
                  <c:v>7.6</c:v>
                </c:pt>
                <c:pt idx="659">
                  <c:v>7.6</c:v>
                </c:pt>
                <c:pt idx="660">
                  <c:v>7.6</c:v>
                </c:pt>
                <c:pt idx="661">
                  <c:v>7.6</c:v>
                </c:pt>
                <c:pt idx="662">
                  <c:v>7.6</c:v>
                </c:pt>
                <c:pt idx="663">
                  <c:v>7.6</c:v>
                </c:pt>
                <c:pt idx="664">
                  <c:v>7.6</c:v>
                </c:pt>
                <c:pt idx="665">
                  <c:v>7.6</c:v>
                </c:pt>
                <c:pt idx="666">
                  <c:v>7.6</c:v>
                </c:pt>
                <c:pt idx="667">
                  <c:v>7.6</c:v>
                </c:pt>
                <c:pt idx="668">
                  <c:v>7.6</c:v>
                </c:pt>
                <c:pt idx="669">
                  <c:v>7.6</c:v>
                </c:pt>
                <c:pt idx="670">
                  <c:v>7.6</c:v>
                </c:pt>
                <c:pt idx="671">
                  <c:v>7.6</c:v>
                </c:pt>
                <c:pt idx="672">
                  <c:v>7.6</c:v>
                </c:pt>
                <c:pt idx="673">
                  <c:v>7.6</c:v>
                </c:pt>
                <c:pt idx="674">
                  <c:v>7.6</c:v>
                </c:pt>
                <c:pt idx="675">
                  <c:v>7.6</c:v>
                </c:pt>
                <c:pt idx="676">
                  <c:v>7.6</c:v>
                </c:pt>
                <c:pt idx="677">
                  <c:v>7.6</c:v>
                </c:pt>
                <c:pt idx="678">
                  <c:v>7.6</c:v>
                </c:pt>
                <c:pt idx="679">
                  <c:v>7.6</c:v>
                </c:pt>
                <c:pt idx="680">
                  <c:v>7.6</c:v>
                </c:pt>
                <c:pt idx="681">
                  <c:v>7.6</c:v>
                </c:pt>
                <c:pt idx="682">
                  <c:v>7.6</c:v>
                </c:pt>
                <c:pt idx="683">
                  <c:v>7.6</c:v>
                </c:pt>
                <c:pt idx="684">
                  <c:v>7.6</c:v>
                </c:pt>
                <c:pt idx="685">
                  <c:v>7.6</c:v>
                </c:pt>
                <c:pt idx="686">
                  <c:v>7.6</c:v>
                </c:pt>
                <c:pt idx="687">
                  <c:v>7.6</c:v>
                </c:pt>
                <c:pt idx="688">
                  <c:v>7.6</c:v>
                </c:pt>
                <c:pt idx="689">
                  <c:v>7.6</c:v>
                </c:pt>
                <c:pt idx="690">
                  <c:v>7.6</c:v>
                </c:pt>
                <c:pt idx="691">
                  <c:v>7.6</c:v>
                </c:pt>
                <c:pt idx="692">
                  <c:v>7.6</c:v>
                </c:pt>
                <c:pt idx="693">
                  <c:v>7.6</c:v>
                </c:pt>
                <c:pt idx="694">
                  <c:v>7.6</c:v>
                </c:pt>
                <c:pt idx="695">
                  <c:v>7.6</c:v>
                </c:pt>
                <c:pt idx="696">
                  <c:v>7.6</c:v>
                </c:pt>
                <c:pt idx="697">
                  <c:v>7.6</c:v>
                </c:pt>
                <c:pt idx="698">
                  <c:v>7.6</c:v>
                </c:pt>
                <c:pt idx="699">
                  <c:v>7.6</c:v>
                </c:pt>
                <c:pt idx="700">
                  <c:v>7.6</c:v>
                </c:pt>
                <c:pt idx="701">
                  <c:v>7.6</c:v>
                </c:pt>
                <c:pt idx="702">
                  <c:v>7.6</c:v>
                </c:pt>
                <c:pt idx="703">
                  <c:v>7.6</c:v>
                </c:pt>
                <c:pt idx="704">
                  <c:v>7.6</c:v>
                </c:pt>
                <c:pt idx="705">
                  <c:v>7.6</c:v>
                </c:pt>
                <c:pt idx="706">
                  <c:v>7.6</c:v>
                </c:pt>
                <c:pt idx="707">
                  <c:v>7.6</c:v>
                </c:pt>
                <c:pt idx="708">
                  <c:v>7.6</c:v>
                </c:pt>
                <c:pt idx="709">
                  <c:v>7.6</c:v>
                </c:pt>
                <c:pt idx="710">
                  <c:v>7.6</c:v>
                </c:pt>
                <c:pt idx="711">
                  <c:v>7.6</c:v>
                </c:pt>
                <c:pt idx="712">
                  <c:v>7.6</c:v>
                </c:pt>
                <c:pt idx="713">
                  <c:v>7.6</c:v>
                </c:pt>
                <c:pt idx="714">
                  <c:v>7.6</c:v>
                </c:pt>
                <c:pt idx="715">
                  <c:v>7.6</c:v>
                </c:pt>
                <c:pt idx="716">
                  <c:v>7.6</c:v>
                </c:pt>
                <c:pt idx="717">
                  <c:v>7.6</c:v>
                </c:pt>
                <c:pt idx="718">
                  <c:v>7.6</c:v>
                </c:pt>
                <c:pt idx="719">
                  <c:v>7.6</c:v>
                </c:pt>
                <c:pt idx="720">
                  <c:v>7.6</c:v>
                </c:pt>
                <c:pt idx="721">
                  <c:v>7.6</c:v>
                </c:pt>
                <c:pt idx="722">
                  <c:v>7.6</c:v>
                </c:pt>
                <c:pt idx="723">
                  <c:v>7.6</c:v>
                </c:pt>
                <c:pt idx="724">
                  <c:v>7.6</c:v>
                </c:pt>
                <c:pt idx="725">
                  <c:v>7.6</c:v>
                </c:pt>
                <c:pt idx="726">
                  <c:v>7.6</c:v>
                </c:pt>
                <c:pt idx="727">
                  <c:v>7.6</c:v>
                </c:pt>
                <c:pt idx="728">
                  <c:v>7.6</c:v>
                </c:pt>
                <c:pt idx="729">
                  <c:v>7.6</c:v>
                </c:pt>
                <c:pt idx="730">
                  <c:v>7.6</c:v>
                </c:pt>
                <c:pt idx="731">
                  <c:v>7.6</c:v>
                </c:pt>
                <c:pt idx="732">
                  <c:v>7.6</c:v>
                </c:pt>
                <c:pt idx="733">
                  <c:v>7.6</c:v>
                </c:pt>
                <c:pt idx="734">
                  <c:v>7.6</c:v>
                </c:pt>
                <c:pt idx="735">
                  <c:v>7.6</c:v>
                </c:pt>
                <c:pt idx="736">
                  <c:v>7.6</c:v>
                </c:pt>
                <c:pt idx="737">
                  <c:v>7.6</c:v>
                </c:pt>
                <c:pt idx="738">
                  <c:v>7.6</c:v>
                </c:pt>
                <c:pt idx="739">
                  <c:v>7.6</c:v>
                </c:pt>
                <c:pt idx="740">
                  <c:v>7.6</c:v>
                </c:pt>
                <c:pt idx="741">
                  <c:v>7.6</c:v>
                </c:pt>
                <c:pt idx="742">
                  <c:v>7.6</c:v>
                </c:pt>
                <c:pt idx="743">
                  <c:v>7.6</c:v>
                </c:pt>
                <c:pt idx="744">
                  <c:v>7.6</c:v>
                </c:pt>
                <c:pt idx="745">
                  <c:v>8.1</c:v>
                </c:pt>
                <c:pt idx="746">
                  <c:v>8.1</c:v>
                </c:pt>
                <c:pt idx="747">
                  <c:v>8.1</c:v>
                </c:pt>
                <c:pt idx="748">
                  <c:v>8.2000000000000011</c:v>
                </c:pt>
                <c:pt idx="749">
                  <c:v>8.3000000000000007</c:v>
                </c:pt>
                <c:pt idx="750">
                  <c:v>8.3000000000000007</c:v>
                </c:pt>
                <c:pt idx="751">
                  <c:v>8.3000000000000007</c:v>
                </c:pt>
                <c:pt idx="752">
                  <c:v>8.3000000000000007</c:v>
                </c:pt>
                <c:pt idx="753">
                  <c:v>8.3000000000000007</c:v>
                </c:pt>
                <c:pt idx="754">
                  <c:v>8.3000000000000007</c:v>
                </c:pt>
                <c:pt idx="755">
                  <c:v>8.3000000000000007</c:v>
                </c:pt>
                <c:pt idx="756">
                  <c:v>8.3000000000000007</c:v>
                </c:pt>
                <c:pt idx="757">
                  <c:v>8.4</c:v>
                </c:pt>
                <c:pt idx="758">
                  <c:v>8.4</c:v>
                </c:pt>
                <c:pt idx="759">
                  <c:v>8.4</c:v>
                </c:pt>
                <c:pt idx="760">
                  <c:v>8.4</c:v>
                </c:pt>
                <c:pt idx="761">
                  <c:v>8.4</c:v>
                </c:pt>
                <c:pt idx="762">
                  <c:v>8.4</c:v>
                </c:pt>
                <c:pt idx="763">
                  <c:v>8.4</c:v>
                </c:pt>
                <c:pt idx="764">
                  <c:v>8.5</c:v>
                </c:pt>
                <c:pt idx="765">
                  <c:v>8.5</c:v>
                </c:pt>
                <c:pt idx="766">
                  <c:v>8.5</c:v>
                </c:pt>
                <c:pt idx="767">
                  <c:v>8.5</c:v>
                </c:pt>
                <c:pt idx="768">
                  <c:v>8.5</c:v>
                </c:pt>
                <c:pt idx="769">
                  <c:v>8.5</c:v>
                </c:pt>
                <c:pt idx="770">
                  <c:v>8.5</c:v>
                </c:pt>
                <c:pt idx="771">
                  <c:v>8.5</c:v>
                </c:pt>
                <c:pt idx="772">
                  <c:v>8.5</c:v>
                </c:pt>
                <c:pt idx="773">
                  <c:v>8.5</c:v>
                </c:pt>
                <c:pt idx="774">
                  <c:v>8.5</c:v>
                </c:pt>
                <c:pt idx="775">
                  <c:v>8.5</c:v>
                </c:pt>
                <c:pt idx="776">
                  <c:v>8.5</c:v>
                </c:pt>
                <c:pt idx="777">
                  <c:v>8.5</c:v>
                </c:pt>
                <c:pt idx="778">
                  <c:v>8.5</c:v>
                </c:pt>
                <c:pt idx="779">
                  <c:v>8.5</c:v>
                </c:pt>
                <c:pt idx="780">
                  <c:v>8.5</c:v>
                </c:pt>
                <c:pt idx="781">
                  <c:v>8.5</c:v>
                </c:pt>
                <c:pt idx="782">
                  <c:v>8.5</c:v>
                </c:pt>
                <c:pt idx="783">
                  <c:v>8.5</c:v>
                </c:pt>
                <c:pt idx="784">
                  <c:v>8.5</c:v>
                </c:pt>
                <c:pt idx="785">
                  <c:v>8.5</c:v>
                </c:pt>
                <c:pt idx="786">
                  <c:v>8.5</c:v>
                </c:pt>
                <c:pt idx="787">
                  <c:v>8.5</c:v>
                </c:pt>
                <c:pt idx="788">
                  <c:v>8.5</c:v>
                </c:pt>
                <c:pt idx="789">
                  <c:v>8.5</c:v>
                </c:pt>
                <c:pt idx="790">
                  <c:v>8.5</c:v>
                </c:pt>
                <c:pt idx="791">
                  <c:v>8.5</c:v>
                </c:pt>
                <c:pt idx="792">
                  <c:v>8.5</c:v>
                </c:pt>
                <c:pt idx="793">
                  <c:v>8.5</c:v>
                </c:pt>
                <c:pt idx="794">
                  <c:v>8.5</c:v>
                </c:pt>
                <c:pt idx="795">
                  <c:v>8.6</c:v>
                </c:pt>
                <c:pt idx="796">
                  <c:v>8.6</c:v>
                </c:pt>
                <c:pt idx="797">
                  <c:v>8.6</c:v>
                </c:pt>
                <c:pt idx="798">
                  <c:v>8.6</c:v>
                </c:pt>
                <c:pt idx="799">
                  <c:v>8.6</c:v>
                </c:pt>
                <c:pt idx="800">
                  <c:v>8.6</c:v>
                </c:pt>
                <c:pt idx="801">
                  <c:v>8.6</c:v>
                </c:pt>
                <c:pt idx="802">
                  <c:v>8.6</c:v>
                </c:pt>
                <c:pt idx="803">
                  <c:v>8.6</c:v>
                </c:pt>
                <c:pt idx="804">
                  <c:v>8.6</c:v>
                </c:pt>
                <c:pt idx="805">
                  <c:v>8.6</c:v>
                </c:pt>
                <c:pt idx="806">
                  <c:v>8.6</c:v>
                </c:pt>
                <c:pt idx="807">
                  <c:v>8.6</c:v>
                </c:pt>
                <c:pt idx="808">
                  <c:v>8.6</c:v>
                </c:pt>
                <c:pt idx="809">
                  <c:v>8.6</c:v>
                </c:pt>
                <c:pt idx="810">
                  <c:v>8.6</c:v>
                </c:pt>
                <c:pt idx="811">
                  <c:v>8.6</c:v>
                </c:pt>
                <c:pt idx="812">
                  <c:v>8.6</c:v>
                </c:pt>
                <c:pt idx="813">
                  <c:v>8.6</c:v>
                </c:pt>
                <c:pt idx="814">
                  <c:v>8.6</c:v>
                </c:pt>
                <c:pt idx="815">
                  <c:v>8.6</c:v>
                </c:pt>
                <c:pt idx="816">
                  <c:v>8.6</c:v>
                </c:pt>
                <c:pt idx="817">
                  <c:v>8.6</c:v>
                </c:pt>
                <c:pt idx="818">
                  <c:v>8.6</c:v>
                </c:pt>
                <c:pt idx="819">
                  <c:v>8.6</c:v>
                </c:pt>
                <c:pt idx="820">
                  <c:v>8.6</c:v>
                </c:pt>
                <c:pt idx="821">
                  <c:v>8.6</c:v>
                </c:pt>
                <c:pt idx="822">
                  <c:v>8.6</c:v>
                </c:pt>
                <c:pt idx="823">
                  <c:v>8.6</c:v>
                </c:pt>
                <c:pt idx="824">
                  <c:v>8.6</c:v>
                </c:pt>
                <c:pt idx="825">
                  <c:v>8.6</c:v>
                </c:pt>
                <c:pt idx="826">
                  <c:v>8.6</c:v>
                </c:pt>
                <c:pt idx="827">
                  <c:v>8.6</c:v>
                </c:pt>
                <c:pt idx="828">
                  <c:v>8.6</c:v>
                </c:pt>
                <c:pt idx="829">
                  <c:v>8.6</c:v>
                </c:pt>
                <c:pt idx="830">
                  <c:v>8.6</c:v>
                </c:pt>
                <c:pt idx="831">
                  <c:v>8.6</c:v>
                </c:pt>
                <c:pt idx="832">
                  <c:v>8.6</c:v>
                </c:pt>
                <c:pt idx="833">
                  <c:v>8.6</c:v>
                </c:pt>
                <c:pt idx="834">
                  <c:v>8.6</c:v>
                </c:pt>
                <c:pt idx="835">
                  <c:v>8.6</c:v>
                </c:pt>
                <c:pt idx="836">
                  <c:v>8.6</c:v>
                </c:pt>
                <c:pt idx="837">
                  <c:v>8.6</c:v>
                </c:pt>
                <c:pt idx="838">
                  <c:v>8.6</c:v>
                </c:pt>
                <c:pt idx="839">
                  <c:v>8.6</c:v>
                </c:pt>
                <c:pt idx="840">
                  <c:v>8.6</c:v>
                </c:pt>
                <c:pt idx="841">
                  <c:v>8.6</c:v>
                </c:pt>
                <c:pt idx="842">
                  <c:v>8.6</c:v>
                </c:pt>
                <c:pt idx="843">
                  <c:v>8.6</c:v>
                </c:pt>
                <c:pt idx="844">
                  <c:v>8.6</c:v>
                </c:pt>
                <c:pt idx="845">
                  <c:v>8.6</c:v>
                </c:pt>
                <c:pt idx="846">
                  <c:v>8.6</c:v>
                </c:pt>
                <c:pt idx="847">
                  <c:v>8.6</c:v>
                </c:pt>
                <c:pt idx="848">
                  <c:v>8.6</c:v>
                </c:pt>
                <c:pt idx="849">
                  <c:v>8.6</c:v>
                </c:pt>
                <c:pt idx="850">
                  <c:v>8.6</c:v>
                </c:pt>
                <c:pt idx="851">
                  <c:v>8.6</c:v>
                </c:pt>
                <c:pt idx="852">
                  <c:v>8.6</c:v>
                </c:pt>
                <c:pt idx="853">
                  <c:v>8.6</c:v>
                </c:pt>
                <c:pt idx="854">
                  <c:v>8.6</c:v>
                </c:pt>
                <c:pt idx="855">
                  <c:v>8.6</c:v>
                </c:pt>
                <c:pt idx="856">
                  <c:v>8.6</c:v>
                </c:pt>
                <c:pt idx="857">
                  <c:v>8.6</c:v>
                </c:pt>
                <c:pt idx="858">
                  <c:v>8.6</c:v>
                </c:pt>
                <c:pt idx="859">
                  <c:v>8.6</c:v>
                </c:pt>
                <c:pt idx="860">
                  <c:v>8.6</c:v>
                </c:pt>
                <c:pt idx="861">
                  <c:v>8.6</c:v>
                </c:pt>
                <c:pt idx="862">
                  <c:v>8.6</c:v>
                </c:pt>
                <c:pt idx="863">
                  <c:v>8.6</c:v>
                </c:pt>
                <c:pt idx="864">
                  <c:v>8.6</c:v>
                </c:pt>
                <c:pt idx="865">
                  <c:v>8.6</c:v>
                </c:pt>
                <c:pt idx="866">
                  <c:v>8.6</c:v>
                </c:pt>
                <c:pt idx="867">
                  <c:v>8.6</c:v>
                </c:pt>
                <c:pt idx="868">
                  <c:v>8.6</c:v>
                </c:pt>
                <c:pt idx="869">
                  <c:v>8.6</c:v>
                </c:pt>
                <c:pt idx="870">
                  <c:v>8.6</c:v>
                </c:pt>
                <c:pt idx="871">
                  <c:v>8.6</c:v>
                </c:pt>
                <c:pt idx="872">
                  <c:v>8.6</c:v>
                </c:pt>
                <c:pt idx="873">
                  <c:v>8.6</c:v>
                </c:pt>
                <c:pt idx="874">
                  <c:v>8.6</c:v>
                </c:pt>
                <c:pt idx="875">
                  <c:v>8.6</c:v>
                </c:pt>
                <c:pt idx="876">
                  <c:v>8.6</c:v>
                </c:pt>
                <c:pt idx="877">
                  <c:v>8.6</c:v>
                </c:pt>
                <c:pt idx="878">
                  <c:v>8.6</c:v>
                </c:pt>
                <c:pt idx="879">
                  <c:v>8.6</c:v>
                </c:pt>
                <c:pt idx="880">
                  <c:v>8.6</c:v>
                </c:pt>
                <c:pt idx="881">
                  <c:v>8.6</c:v>
                </c:pt>
                <c:pt idx="882">
                  <c:v>8.6</c:v>
                </c:pt>
                <c:pt idx="883">
                  <c:v>8.6</c:v>
                </c:pt>
                <c:pt idx="884">
                  <c:v>8.6</c:v>
                </c:pt>
                <c:pt idx="885">
                  <c:v>8.6</c:v>
                </c:pt>
                <c:pt idx="886">
                  <c:v>8.6</c:v>
                </c:pt>
                <c:pt idx="887">
                  <c:v>8.6</c:v>
                </c:pt>
                <c:pt idx="888">
                  <c:v>8.6</c:v>
                </c:pt>
                <c:pt idx="889">
                  <c:v>8.6</c:v>
                </c:pt>
                <c:pt idx="890">
                  <c:v>8.6</c:v>
                </c:pt>
                <c:pt idx="891">
                  <c:v>8.6</c:v>
                </c:pt>
                <c:pt idx="892">
                  <c:v>8.6</c:v>
                </c:pt>
                <c:pt idx="893">
                  <c:v>8.6</c:v>
                </c:pt>
                <c:pt idx="894">
                  <c:v>8.6</c:v>
                </c:pt>
                <c:pt idx="895">
                  <c:v>8.6</c:v>
                </c:pt>
                <c:pt idx="896">
                  <c:v>8.6</c:v>
                </c:pt>
                <c:pt idx="897">
                  <c:v>8.6</c:v>
                </c:pt>
                <c:pt idx="898">
                  <c:v>8.6</c:v>
                </c:pt>
                <c:pt idx="899">
                  <c:v>8.6</c:v>
                </c:pt>
                <c:pt idx="900">
                  <c:v>8.6</c:v>
                </c:pt>
                <c:pt idx="901">
                  <c:v>8.6</c:v>
                </c:pt>
                <c:pt idx="902">
                  <c:v>8.6</c:v>
                </c:pt>
                <c:pt idx="903">
                  <c:v>8.6</c:v>
                </c:pt>
                <c:pt idx="904">
                  <c:v>8.6</c:v>
                </c:pt>
                <c:pt idx="905">
                  <c:v>8.6</c:v>
                </c:pt>
                <c:pt idx="906">
                  <c:v>8.6</c:v>
                </c:pt>
                <c:pt idx="907">
                  <c:v>8.6</c:v>
                </c:pt>
                <c:pt idx="908">
                  <c:v>8.6</c:v>
                </c:pt>
                <c:pt idx="909">
                  <c:v>8.6</c:v>
                </c:pt>
                <c:pt idx="910">
                  <c:v>8.6</c:v>
                </c:pt>
                <c:pt idx="911">
                  <c:v>8.6</c:v>
                </c:pt>
                <c:pt idx="912">
                  <c:v>8.6</c:v>
                </c:pt>
                <c:pt idx="913">
                  <c:v>8.6</c:v>
                </c:pt>
                <c:pt idx="914">
                  <c:v>8.6</c:v>
                </c:pt>
                <c:pt idx="915">
                  <c:v>8.6</c:v>
                </c:pt>
                <c:pt idx="916">
                  <c:v>8.6</c:v>
                </c:pt>
                <c:pt idx="917">
                  <c:v>8.6</c:v>
                </c:pt>
                <c:pt idx="918">
                  <c:v>8.6</c:v>
                </c:pt>
                <c:pt idx="919">
                  <c:v>8.6</c:v>
                </c:pt>
                <c:pt idx="920">
                  <c:v>8.6</c:v>
                </c:pt>
                <c:pt idx="921">
                  <c:v>8.6</c:v>
                </c:pt>
                <c:pt idx="922">
                  <c:v>8.6</c:v>
                </c:pt>
                <c:pt idx="923">
                  <c:v>8.6</c:v>
                </c:pt>
                <c:pt idx="924">
                  <c:v>8.6</c:v>
                </c:pt>
                <c:pt idx="925">
                  <c:v>8.6</c:v>
                </c:pt>
                <c:pt idx="926">
                  <c:v>8.6</c:v>
                </c:pt>
                <c:pt idx="927">
                  <c:v>8.6</c:v>
                </c:pt>
                <c:pt idx="928">
                  <c:v>8.6</c:v>
                </c:pt>
                <c:pt idx="929">
                  <c:v>8.6</c:v>
                </c:pt>
                <c:pt idx="930">
                  <c:v>8.6</c:v>
                </c:pt>
                <c:pt idx="931">
                  <c:v>8.6</c:v>
                </c:pt>
                <c:pt idx="932">
                  <c:v>8.6</c:v>
                </c:pt>
                <c:pt idx="933">
                  <c:v>8.6</c:v>
                </c:pt>
                <c:pt idx="934">
                  <c:v>8.6</c:v>
                </c:pt>
                <c:pt idx="935">
                  <c:v>8.6</c:v>
                </c:pt>
                <c:pt idx="936">
                  <c:v>8.6</c:v>
                </c:pt>
                <c:pt idx="937">
                  <c:v>8.6</c:v>
                </c:pt>
                <c:pt idx="938">
                  <c:v>8.6</c:v>
                </c:pt>
                <c:pt idx="939">
                  <c:v>8.6</c:v>
                </c:pt>
                <c:pt idx="940">
                  <c:v>8.6</c:v>
                </c:pt>
                <c:pt idx="941">
                  <c:v>8.6</c:v>
                </c:pt>
                <c:pt idx="942">
                  <c:v>8.6</c:v>
                </c:pt>
                <c:pt idx="943">
                  <c:v>8.6</c:v>
                </c:pt>
                <c:pt idx="944">
                  <c:v>8.6</c:v>
                </c:pt>
                <c:pt idx="945">
                  <c:v>8.6</c:v>
                </c:pt>
                <c:pt idx="946">
                  <c:v>8.6</c:v>
                </c:pt>
                <c:pt idx="947">
                  <c:v>8.6</c:v>
                </c:pt>
                <c:pt idx="948">
                  <c:v>8.6</c:v>
                </c:pt>
                <c:pt idx="949">
                  <c:v>8.6</c:v>
                </c:pt>
                <c:pt idx="950">
                  <c:v>8.6</c:v>
                </c:pt>
                <c:pt idx="951">
                  <c:v>8.6</c:v>
                </c:pt>
                <c:pt idx="952">
                  <c:v>8.6</c:v>
                </c:pt>
                <c:pt idx="953">
                  <c:v>8.6</c:v>
                </c:pt>
                <c:pt idx="954">
                  <c:v>8.6</c:v>
                </c:pt>
                <c:pt idx="955">
                  <c:v>8.6</c:v>
                </c:pt>
                <c:pt idx="956">
                  <c:v>8.6</c:v>
                </c:pt>
                <c:pt idx="957">
                  <c:v>8.6</c:v>
                </c:pt>
                <c:pt idx="958">
                  <c:v>8.6</c:v>
                </c:pt>
                <c:pt idx="959">
                  <c:v>8.6</c:v>
                </c:pt>
                <c:pt idx="960">
                  <c:v>8.6</c:v>
                </c:pt>
                <c:pt idx="961">
                  <c:v>8.6</c:v>
                </c:pt>
                <c:pt idx="962">
                  <c:v>8.6</c:v>
                </c:pt>
                <c:pt idx="963">
                  <c:v>8.6</c:v>
                </c:pt>
                <c:pt idx="964">
                  <c:v>8.6</c:v>
                </c:pt>
                <c:pt idx="965">
                  <c:v>8.6</c:v>
                </c:pt>
                <c:pt idx="966">
                  <c:v>8.6</c:v>
                </c:pt>
                <c:pt idx="967">
                  <c:v>8.6</c:v>
                </c:pt>
                <c:pt idx="968">
                  <c:v>8.6</c:v>
                </c:pt>
                <c:pt idx="969">
                  <c:v>8.6</c:v>
                </c:pt>
                <c:pt idx="970">
                  <c:v>8.6</c:v>
                </c:pt>
                <c:pt idx="971">
                  <c:v>8.6</c:v>
                </c:pt>
                <c:pt idx="972">
                  <c:v>8.6</c:v>
                </c:pt>
                <c:pt idx="973">
                  <c:v>8.6</c:v>
                </c:pt>
                <c:pt idx="974">
                  <c:v>8.6</c:v>
                </c:pt>
                <c:pt idx="975">
                  <c:v>8.6</c:v>
                </c:pt>
                <c:pt idx="976">
                  <c:v>8.6</c:v>
                </c:pt>
                <c:pt idx="977">
                  <c:v>8.6</c:v>
                </c:pt>
                <c:pt idx="978">
                  <c:v>8.6</c:v>
                </c:pt>
                <c:pt idx="979">
                  <c:v>8.6</c:v>
                </c:pt>
                <c:pt idx="980">
                  <c:v>8.6</c:v>
                </c:pt>
                <c:pt idx="981">
                  <c:v>8.6</c:v>
                </c:pt>
                <c:pt idx="982">
                  <c:v>8.6</c:v>
                </c:pt>
                <c:pt idx="983">
                  <c:v>8.6</c:v>
                </c:pt>
                <c:pt idx="984">
                  <c:v>8.6</c:v>
                </c:pt>
                <c:pt idx="985">
                  <c:v>8.6</c:v>
                </c:pt>
                <c:pt idx="986">
                  <c:v>8.6</c:v>
                </c:pt>
                <c:pt idx="987">
                  <c:v>8.6</c:v>
                </c:pt>
                <c:pt idx="988">
                  <c:v>8.6</c:v>
                </c:pt>
                <c:pt idx="989">
                  <c:v>8.6</c:v>
                </c:pt>
                <c:pt idx="990">
                  <c:v>8.6</c:v>
                </c:pt>
                <c:pt idx="991">
                  <c:v>8.6</c:v>
                </c:pt>
                <c:pt idx="992">
                  <c:v>9.1</c:v>
                </c:pt>
                <c:pt idx="993">
                  <c:v>9.1</c:v>
                </c:pt>
                <c:pt idx="994">
                  <c:v>9.3000000000000007</c:v>
                </c:pt>
                <c:pt idx="995">
                  <c:v>9.3000000000000007</c:v>
                </c:pt>
                <c:pt idx="996">
                  <c:v>9.4</c:v>
                </c:pt>
                <c:pt idx="997">
                  <c:v>9.4</c:v>
                </c:pt>
                <c:pt idx="998">
                  <c:v>9.4</c:v>
                </c:pt>
                <c:pt idx="999">
                  <c:v>9.4</c:v>
                </c:pt>
                <c:pt idx="1000">
                  <c:v>9.5</c:v>
                </c:pt>
                <c:pt idx="1001">
                  <c:v>9.5</c:v>
                </c:pt>
                <c:pt idx="1002">
                  <c:v>9.5</c:v>
                </c:pt>
                <c:pt idx="1003">
                  <c:v>9.5</c:v>
                </c:pt>
                <c:pt idx="1004">
                  <c:v>9.5</c:v>
                </c:pt>
                <c:pt idx="1005">
                  <c:v>9.5</c:v>
                </c:pt>
                <c:pt idx="1006">
                  <c:v>9.5</c:v>
                </c:pt>
                <c:pt idx="1007">
                  <c:v>9.5</c:v>
                </c:pt>
                <c:pt idx="1008">
                  <c:v>9.5</c:v>
                </c:pt>
                <c:pt idx="1009">
                  <c:v>9.5</c:v>
                </c:pt>
                <c:pt idx="1010">
                  <c:v>9.5</c:v>
                </c:pt>
                <c:pt idx="1011">
                  <c:v>9.6</c:v>
                </c:pt>
                <c:pt idx="1012">
                  <c:v>9.6</c:v>
                </c:pt>
                <c:pt idx="1013">
                  <c:v>9.6</c:v>
                </c:pt>
                <c:pt idx="1014">
                  <c:v>9.6</c:v>
                </c:pt>
                <c:pt idx="1015">
                  <c:v>9.6</c:v>
                </c:pt>
                <c:pt idx="1016">
                  <c:v>9.6</c:v>
                </c:pt>
                <c:pt idx="1017">
                  <c:v>9.6</c:v>
                </c:pt>
                <c:pt idx="1018">
                  <c:v>9.6</c:v>
                </c:pt>
                <c:pt idx="1019">
                  <c:v>9.6</c:v>
                </c:pt>
                <c:pt idx="1020">
                  <c:v>9.6</c:v>
                </c:pt>
                <c:pt idx="1021">
                  <c:v>9.6</c:v>
                </c:pt>
                <c:pt idx="1022">
                  <c:v>9.6</c:v>
                </c:pt>
                <c:pt idx="1023">
                  <c:v>9.6</c:v>
                </c:pt>
                <c:pt idx="1024">
                  <c:v>9.6</c:v>
                </c:pt>
                <c:pt idx="1025">
                  <c:v>9.6</c:v>
                </c:pt>
                <c:pt idx="1026">
                  <c:v>9.6</c:v>
                </c:pt>
                <c:pt idx="1027">
                  <c:v>9.6</c:v>
                </c:pt>
                <c:pt idx="1028">
                  <c:v>9.6</c:v>
                </c:pt>
                <c:pt idx="1029">
                  <c:v>9.6</c:v>
                </c:pt>
                <c:pt idx="1030">
                  <c:v>9.6</c:v>
                </c:pt>
                <c:pt idx="1031">
                  <c:v>9.6</c:v>
                </c:pt>
                <c:pt idx="1032">
                  <c:v>9.6</c:v>
                </c:pt>
                <c:pt idx="1033">
                  <c:v>9.6</c:v>
                </c:pt>
                <c:pt idx="1034">
                  <c:v>9.6</c:v>
                </c:pt>
                <c:pt idx="1035">
                  <c:v>9.6</c:v>
                </c:pt>
                <c:pt idx="1036">
                  <c:v>9.6</c:v>
                </c:pt>
                <c:pt idx="1037">
                  <c:v>9.6</c:v>
                </c:pt>
                <c:pt idx="1038">
                  <c:v>9.6</c:v>
                </c:pt>
                <c:pt idx="1039">
                  <c:v>9.6</c:v>
                </c:pt>
                <c:pt idx="1040">
                  <c:v>9.6</c:v>
                </c:pt>
                <c:pt idx="1041">
                  <c:v>9.6</c:v>
                </c:pt>
                <c:pt idx="1042">
                  <c:v>9.6</c:v>
                </c:pt>
                <c:pt idx="1043">
                  <c:v>9.6</c:v>
                </c:pt>
                <c:pt idx="1044">
                  <c:v>9.6</c:v>
                </c:pt>
                <c:pt idx="1045">
                  <c:v>9.6</c:v>
                </c:pt>
                <c:pt idx="1046">
                  <c:v>9.6</c:v>
                </c:pt>
                <c:pt idx="1047">
                  <c:v>9.6</c:v>
                </c:pt>
                <c:pt idx="1048">
                  <c:v>9.6</c:v>
                </c:pt>
                <c:pt idx="1049">
                  <c:v>9.6</c:v>
                </c:pt>
                <c:pt idx="1050">
                  <c:v>9.6</c:v>
                </c:pt>
                <c:pt idx="1051">
                  <c:v>9.6</c:v>
                </c:pt>
                <c:pt idx="1052">
                  <c:v>9.6</c:v>
                </c:pt>
                <c:pt idx="1053">
                  <c:v>9.6</c:v>
                </c:pt>
                <c:pt idx="1054">
                  <c:v>9.6</c:v>
                </c:pt>
                <c:pt idx="1055">
                  <c:v>9.6</c:v>
                </c:pt>
                <c:pt idx="1056">
                  <c:v>9.6</c:v>
                </c:pt>
                <c:pt idx="1057">
                  <c:v>9.6</c:v>
                </c:pt>
                <c:pt idx="1058">
                  <c:v>9.6</c:v>
                </c:pt>
                <c:pt idx="1059">
                  <c:v>9.6</c:v>
                </c:pt>
                <c:pt idx="1060">
                  <c:v>9.6</c:v>
                </c:pt>
                <c:pt idx="1061">
                  <c:v>9.6</c:v>
                </c:pt>
                <c:pt idx="1062">
                  <c:v>9.6</c:v>
                </c:pt>
                <c:pt idx="1063">
                  <c:v>10.1</c:v>
                </c:pt>
                <c:pt idx="1064">
                  <c:v>10.3</c:v>
                </c:pt>
                <c:pt idx="1065">
                  <c:v>10.3</c:v>
                </c:pt>
                <c:pt idx="1066">
                  <c:v>10.4</c:v>
                </c:pt>
                <c:pt idx="1067">
                  <c:v>10.4</c:v>
                </c:pt>
                <c:pt idx="1068">
                  <c:v>10.4</c:v>
                </c:pt>
                <c:pt idx="1069">
                  <c:v>10.5</c:v>
                </c:pt>
                <c:pt idx="1070">
                  <c:v>10.5</c:v>
                </c:pt>
                <c:pt idx="1071">
                  <c:v>10.5</c:v>
                </c:pt>
                <c:pt idx="1072">
                  <c:v>10.5</c:v>
                </c:pt>
                <c:pt idx="1073">
                  <c:v>10.5</c:v>
                </c:pt>
                <c:pt idx="1074">
                  <c:v>10.5</c:v>
                </c:pt>
                <c:pt idx="1075">
                  <c:v>10.5</c:v>
                </c:pt>
                <c:pt idx="1076">
                  <c:v>10.5</c:v>
                </c:pt>
                <c:pt idx="1077">
                  <c:v>10.5</c:v>
                </c:pt>
                <c:pt idx="1078">
                  <c:v>10.5</c:v>
                </c:pt>
                <c:pt idx="1079">
                  <c:v>10.5</c:v>
                </c:pt>
                <c:pt idx="1080">
                  <c:v>10.5</c:v>
                </c:pt>
                <c:pt idx="1081">
                  <c:v>10.5</c:v>
                </c:pt>
                <c:pt idx="1082">
                  <c:v>10.5</c:v>
                </c:pt>
                <c:pt idx="1083">
                  <c:v>10.5</c:v>
                </c:pt>
                <c:pt idx="1084">
                  <c:v>10.5</c:v>
                </c:pt>
                <c:pt idx="1085">
                  <c:v>10.6</c:v>
                </c:pt>
                <c:pt idx="1086">
                  <c:v>10.6</c:v>
                </c:pt>
                <c:pt idx="1087">
                  <c:v>10.6</c:v>
                </c:pt>
                <c:pt idx="1088">
                  <c:v>10.6</c:v>
                </c:pt>
                <c:pt idx="1089">
                  <c:v>10.6</c:v>
                </c:pt>
                <c:pt idx="1090">
                  <c:v>10.6</c:v>
                </c:pt>
                <c:pt idx="1091">
                  <c:v>10.6</c:v>
                </c:pt>
                <c:pt idx="1092">
                  <c:v>10.6</c:v>
                </c:pt>
                <c:pt idx="1093">
                  <c:v>10.6</c:v>
                </c:pt>
                <c:pt idx="1094">
                  <c:v>10.6</c:v>
                </c:pt>
                <c:pt idx="1095">
                  <c:v>10.6</c:v>
                </c:pt>
                <c:pt idx="1096">
                  <c:v>10.6</c:v>
                </c:pt>
                <c:pt idx="1097">
                  <c:v>10.6</c:v>
                </c:pt>
                <c:pt idx="1098">
                  <c:v>10.6</c:v>
                </c:pt>
                <c:pt idx="1099">
                  <c:v>10.6</c:v>
                </c:pt>
                <c:pt idx="1100">
                  <c:v>10.6</c:v>
                </c:pt>
                <c:pt idx="1101">
                  <c:v>10.6</c:v>
                </c:pt>
                <c:pt idx="1102">
                  <c:v>10.6</c:v>
                </c:pt>
                <c:pt idx="1103">
                  <c:v>10.6</c:v>
                </c:pt>
                <c:pt idx="1104">
                  <c:v>10.6</c:v>
                </c:pt>
                <c:pt idx="1105">
                  <c:v>10.6</c:v>
                </c:pt>
                <c:pt idx="1106">
                  <c:v>10.6</c:v>
                </c:pt>
                <c:pt idx="1107">
                  <c:v>10.6</c:v>
                </c:pt>
                <c:pt idx="1108">
                  <c:v>10.6</c:v>
                </c:pt>
                <c:pt idx="1109">
                  <c:v>10.6</c:v>
                </c:pt>
                <c:pt idx="1110">
                  <c:v>10.6</c:v>
                </c:pt>
                <c:pt idx="1111">
                  <c:v>10.6</c:v>
                </c:pt>
                <c:pt idx="1112">
                  <c:v>10.6</c:v>
                </c:pt>
                <c:pt idx="1113">
                  <c:v>10.6</c:v>
                </c:pt>
                <c:pt idx="1114">
                  <c:v>10.6</c:v>
                </c:pt>
                <c:pt idx="1115">
                  <c:v>10.6</c:v>
                </c:pt>
                <c:pt idx="1116">
                  <c:v>10.6</c:v>
                </c:pt>
                <c:pt idx="1117">
                  <c:v>10.6</c:v>
                </c:pt>
                <c:pt idx="1118">
                  <c:v>10.6</c:v>
                </c:pt>
                <c:pt idx="1119">
                  <c:v>10.6</c:v>
                </c:pt>
                <c:pt idx="1120">
                  <c:v>10.6</c:v>
                </c:pt>
                <c:pt idx="1121">
                  <c:v>10.6</c:v>
                </c:pt>
                <c:pt idx="1122">
                  <c:v>10.6</c:v>
                </c:pt>
                <c:pt idx="1123">
                  <c:v>10.6</c:v>
                </c:pt>
                <c:pt idx="1124">
                  <c:v>10.6</c:v>
                </c:pt>
                <c:pt idx="1125">
                  <c:v>10.6</c:v>
                </c:pt>
                <c:pt idx="1126">
                  <c:v>10.6</c:v>
                </c:pt>
                <c:pt idx="1127">
                  <c:v>10.6</c:v>
                </c:pt>
                <c:pt idx="1128">
                  <c:v>10.6</c:v>
                </c:pt>
                <c:pt idx="1129">
                  <c:v>10.6</c:v>
                </c:pt>
                <c:pt idx="1130">
                  <c:v>10.6</c:v>
                </c:pt>
                <c:pt idx="1131">
                  <c:v>10.6</c:v>
                </c:pt>
                <c:pt idx="1132">
                  <c:v>10.6</c:v>
                </c:pt>
                <c:pt idx="1133">
                  <c:v>10.6</c:v>
                </c:pt>
                <c:pt idx="1134">
                  <c:v>10.6</c:v>
                </c:pt>
                <c:pt idx="1135">
                  <c:v>10.6</c:v>
                </c:pt>
                <c:pt idx="1136">
                  <c:v>10.6</c:v>
                </c:pt>
                <c:pt idx="1137">
                  <c:v>10.6</c:v>
                </c:pt>
                <c:pt idx="1138">
                  <c:v>10.6</c:v>
                </c:pt>
                <c:pt idx="1139">
                  <c:v>10.6</c:v>
                </c:pt>
                <c:pt idx="1140">
                  <c:v>10.6</c:v>
                </c:pt>
                <c:pt idx="1141">
                  <c:v>10.6</c:v>
                </c:pt>
                <c:pt idx="1142">
                  <c:v>10.6</c:v>
                </c:pt>
                <c:pt idx="1143">
                  <c:v>10.6</c:v>
                </c:pt>
                <c:pt idx="1144">
                  <c:v>10.6</c:v>
                </c:pt>
                <c:pt idx="1145">
                  <c:v>10.6</c:v>
                </c:pt>
                <c:pt idx="1146">
                  <c:v>10.6</c:v>
                </c:pt>
                <c:pt idx="1147">
                  <c:v>10.6</c:v>
                </c:pt>
                <c:pt idx="1148">
                  <c:v>10.6</c:v>
                </c:pt>
                <c:pt idx="1149">
                  <c:v>10.6</c:v>
                </c:pt>
                <c:pt idx="1150">
                  <c:v>10.6</c:v>
                </c:pt>
                <c:pt idx="1151">
                  <c:v>10.6</c:v>
                </c:pt>
                <c:pt idx="1152">
                  <c:v>10.6</c:v>
                </c:pt>
                <c:pt idx="1153">
                  <c:v>10.6</c:v>
                </c:pt>
                <c:pt idx="1154">
                  <c:v>10.6</c:v>
                </c:pt>
                <c:pt idx="1155">
                  <c:v>10.6</c:v>
                </c:pt>
                <c:pt idx="1156">
                  <c:v>10.6</c:v>
                </c:pt>
                <c:pt idx="1157">
                  <c:v>10.6</c:v>
                </c:pt>
                <c:pt idx="1158">
                  <c:v>10.6</c:v>
                </c:pt>
                <c:pt idx="1159">
                  <c:v>10.6</c:v>
                </c:pt>
                <c:pt idx="1160">
                  <c:v>10.6</c:v>
                </c:pt>
                <c:pt idx="1161">
                  <c:v>10.6</c:v>
                </c:pt>
                <c:pt idx="1162">
                  <c:v>10.6</c:v>
                </c:pt>
                <c:pt idx="1163">
                  <c:v>10.6</c:v>
                </c:pt>
                <c:pt idx="1164">
                  <c:v>10.6</c:v>
                </c:pt>
                <c:pt idx="1165">
                  <c:v>10.6</c:v>
                </c:pt>
                <c:pt idx="1166">
                  <c:v>10.6</c:v>
                </c:pt>
                <c:pt idx="1167">
                  <c:v>10.6</c:v>
                </c:pt>
                <c:pt idx="1168">
                  <c:v>10.6</c:v>
                </c:pt>
                <c:pt idx="1169">
                  <c:v>10.6</c:v>
                </c:pt>
                <c:pt idx="1170">
                  <c:v>10.6</c:v>
                </c:pt>
                <c:pt idx="1171">
                  <c:v>10.6</c:v>
                </c:pt>
                <c:pt idx="1172">
                  <c:v>10.6</c:v>
                </c:pt>
                <c:pt idx="1173">
                  <c:v>10.6</c:v>
                </c:pt>
                <c:pt idx="1174">
                  <c:v>10.6</c:v>
                </c:pt>
                <c:pt idx="1175">
                  <c:v>10.6</c:v>
                </c:pt>
                <c:pt idx="1176">
                  <c:v>10.6</c:v>
                </c:pt>
                <c:pt idx="1177">
                  <c:v>10.6</c:v>
                </c:pt>
                <c:pt idx="1178">
                  <c:v>10.6</c:v>
                </c:pt>
                <c:pt idx="1179">
                  <c:v>10.6</c:v>
                </c:pt>
                <c:pt idx="1180">
                  <c:v>10.6</c:v>
                </c:pt>
                <c:pt idx="1181">
                  <c:v>10.6</c:v>
                </c:pt>
                <c:pt idx="1182">
                  <c:v>11.6</c:v>
                </c:pt>
                <c:pt idx="1183">
                  <c:v>11.6</c:v>
                </c:pt>
                <c:pt idx="1184">
                  <c:v>11.6</c:v>
                </c:pt>
                <c:pt idx="1185">
                  <c:v>11.6</c:v>
                </c:pt>
                <c:pt idx="1186">
                  <c:v>11.6</c:v>
                </c:pt>
                <c:pt idx="1187">
                  <c:v>11.6</c:v>
                </c:pt>
                <c:pt idx="1188">
                  <c:v>11.6</c:v>
                </c:pt>
                <c:pt idx="1189">
                  <c:v>11.6</c:v>
                </c:pt>
                <c:pt idx="1190">
                  <c:v>12.2</c:v>
                </c:pt>
                <c:pt idx="1191">
                  <c:v>12.4</c:v>
                </c:pt>
                <c:pt idx="1192">
                  <c:v>12.4</c:v>
                </c:pt>
                <c:pt idx="1193">
                  <c:v>12.5</c:v>
                </c:pt>
                <c:pt idx="1194">
                  <c:v>12.5</c:v>
                </c:pt>
                <c:pt idx="1195">
                  <c:v>12.5</c:v>
                </c:pt>
                <c:pt idx="1196">
                  <c:v>12.5</c:v>
                </c:pt>
                <c:pt idx="1197">
                  <c:v>12.5</c:v>
                </c:pt>
                <c:pt idx="1198">
                  <c:v>12.5</c:v>
                </c:pt>
                <c:pt idx="1199">
                  <c:v>12.5</c:v>
                </c:pt>
                <c:pt idx="1200">
                  <c:v>12.5</c:v>
                </c:pt>
                <c:pt idx="1201">
                  <c:v>12.5</c:v>
                </c:pt>
                <c:pt idx="1202">
                  <c:v>12.5</c:v>
                </c:pt>
                <c:pt idx="1203">
                  <c:v>12.5</c:v>
                </c:pt>
                <c:pt idx="1204">
                  <c:v>12.6</c:v>
                </c:pt>
                <c:pt idx="1205">
                  <c:v>12.6</c:v>
                </c:pt>
                <c:pt idx="1206">
                  <c:v>12.6</c:v>
                </c:pt>
                <c:pt idx="1207">
                  <c:v>12.6</c:v>
                </c:pt>
                <c:pt idx="1208">
                  <c:v>12.6</c:v>
                </c:pt>
                <c:pt idx="1209">
                  <c:v>12.6</c:v>
                </c:pt>
                <c:pt idx="1210">
                  <c:v>12.6</c:v>
                </c:pt>
                <c:pt idx="1211">
                  <c:v>12.6</c:v>
                </c:pt>
                <c:pt idx="1212">
                  <c:v>12.6</c:v>
                </c:pt>
                <c:pt idx="1213">
                  <c:v>12.6</c:v>
                </c:pt>
                <c:pt idx="1214">
                  <c:v>12.6</c:v>
                </c:pt>
                <c:pt idx="1215">
                  <c:v>12.6</c:v>
                </c:pt>
                <c:pt idx="1216">
                  <c:v>12.6</c:v>
                </c:pt>
                <c:pt idx="1217">
                  <c:v>12.6</c:v>
                </c:pt>
                <c:pt idx="1218">
                  <c:v>12.6</c:v>
                </c:pt>
                <c:pt idx="1219">
                  <c:v>12.6</c:v>
                </c:pt>
                <c:pt idx="1220">
                  <c:v>12.6</c:v>
                </c:pt>
                <c:pt idx="1221">
                  <c:v>12.6</c:v>
                </c:pt>
                <c:pt idx="1222">
                  <c:v>12.6</c:v>
                </c:pt>
                <c:pt idx="1223">
                  <c:v>12.6</c:v>
                </c:pt>
                <c:pt idx="1224">
                  <c:v>12.6</c:v>
                </c:pt>
                <c:pt idx="1225">
                  <c:v>12.6</c:v>
                </c:pt>
                <c:pt idx="1226">
                  <c:v>12.6</c:v>
                </c:pt>
                <c:pt idx="1227">
                  <c:v>12.6</c:v>
                </c:pt>
                <c:pt idx="1228">
                  <c:v>12.6</c:v>
                </c:pt>
                <c:pt idx="1229">
                  <c:v>12.6</c:v>
                </c:pt>
                <c:pt idx="1230">
                  <c:v>12.6</c:v>
                </c:pt>
                <c:pt idx="1231">
                  <c:v>12.6</c:v>
                </c:pt>
                <c:pt idx="1232">
                  <c:v>12.6</c:v>
                </c:pt>
                <c:pt idx="1233">
                  <c:v>12.6</c:v>
                </c:pt>
                <c:pt idx="1234">
                  <c:v>12.6</c:v>
                </c:pt>
                <c:pt idx="1235">
                  <c:v>12.6</c:v>
                </c:pt>
                <c:pt idx="1236">
                  <c:v>12.6</c:v>
                </c:pt>
                <c:pt idx="1237">
                  <c:v>12.6</c:v>
                </c:pt>
                <c:pt idx="1238">
                  <c:v>12.6</c:v>
                </c:pt>
                <c:pt idx="1239">
                  <c:v>12.6</c:v>
                </c:pt>
                <c:pt idx="1240">
                  <c:v>12.6</c:v>
                </c:pt>
                <c:pt idx="1241">
                  <c:v>12.6</c:v>
                </c:pt>
                <c:pt idx="1242">
                  <c:v>12.6</c:v>
                </c:pt>
                <c:pt idx="1243">
                  <c:v>12.6</c:v>
                </c:pt>
                <c:pt idx="1244">
                  <c:v>12.6</c:v>
                </c:pt>
                <c:pt idx="1245">
                  <c:v>12.6</c:v>
                </c:pt>
                <c:pt idx="1246">
                  <c:v>12.6</c:v>
                </c:pt>
                <c:pt idx="1247">
                  <c:v>12.6</c:v>
                </c:pt>
                <c:pt idx="1248">
                  <c:v>12.6</c:v>
                </c:pt>
                <c:pt idx="1249">
                  <c:v>12.6</c:v>
                </c:pt>
                <c:pt idx="1250">
                  <c:v>12.6</c:v>
                </c:pt>
                <c:pt idx="1251">
                  <c:v>12.6</c:v>
                </c:pt>
                <c:pt idx="1252">
                  <c:v>13.6</c:v>
                </c:pt>
                <c:pt idx="1253">
                  <c:v>13.6</c:v>
                </c:pt>
                <c:pt idx="1254">
                  <c:v>13.6</c:v>
                </c:pt>
                <c:pt idx="1255">
                  <c:v>13.6</c:v>
                </c:pt>
                <c:pt idx="1256">
                  <c:v>13.6</c:v>
                </c:pt>
                <c:pt idx="1257">
                  <c:v>13.6</c:v>
                </c:pt>
                <c:pt idx="1258">
                  <c:v>13.6</c:v>
                </c:pt>
                <c:pt idx="1259">
                  <c:v>13.6</c:v>
                </c:pt>
                <c:pt idx="1260">
                  <c:v>15.6</c:v>
                </c:pt>
              </c:numCache>
            </c:numRef>
          </c:xVal>
          <c:yVal>
            <c:numRef>
              <c:f>Lapa1!$B$2:$B$1262</c:f>
              <c:numCache>
                <c:formatCode>General</c:formatCode>
                <c:ptCount val="1261"/>
                <c:pt idx="0">
                  <c:v>200</c:v>
                </c:pt>
                <c:pt idx="1">
                  <c:v>200</c:v>
                </c:pt>
                <c:pt idx="2">
                  <c:v>210</c:v>
                </c:pt>
                <c:pt idx="3">
                  <c:v>212</c:v>
                </c:pt>
                <c:pt idx="4">
                  <c:v>215</c:v>
                </c:pt>
                <c:pt idx="5">
                  <c:v>219</c:v>
                </c:pt>
                <c:pt idx="6">
                  <c:v>224</c:v>
                </c:pt>
                <c:pt idx="7">
                  <c:v>213</c:v>
                </c:pt>
                <c:pt idx="8">
                  <c:v>209</c:v>
                </c:pt>
                <c:pt idx="9">
                  <c:v>206</c:v>
                </c:pt>
                <c:pt idx="10">
                  <c:v>204</c:v>
                </c:pt>
                <c:pt idx="11">
                  <c:v>202</c:v>
                </c:pt>
                <c:pt idx="12">
                  <c:v>200</c:v>
                </c:pt>
                <c:pt idx="14">
                  <c:v>202</c:v>
                </c:pt>
                <c:pt idx="15">
                  <c:v>207</c:v>
                </c:pt>
                <c:pt idx="16">
                  <c:v>218</c:v>
                </c:pt>
                <c:pt idx="17">
                  <c:v>229</c:v>
                </c:pt>
                <c:pt idx="18">
                  <c:v>241</c:v>
                </c:pt>
                <c:pt idx="19">
                  <c:v>256</c:v>
                </c:pt>
                <c:pt idx="20">
                  <c:v>260</c:v>
                </c:pt>
                <c:pt idx="21">
                  <c:v>218</c:v>
                </c:pt>
                <c:pt idx="22">
                  <c:v>214</c:v>
                </c:pt>
                <c:pt idx="23">
                  <c:v>210</c:v>
                </c:pt>
                <c:pt idx="24">
                  <c:v>207</c:v>
                </c:pt>
                <c:pt idx="25">
                  <c:v>204</c:v>
                </c:pt>
                <c:pt idx="26">
                  <c:v>202</c:v>
                </c:pt>
                <c:pt idx="28">
                  <c:v>204</c:v>
                </c:pt>
                <c:pt idx="29">
                  <c:v>229</c:v>
                </c:pt>
                <c:pt idx="30">
                  <c:v>244</c:v>
                </c:pt>
                <c:pt idx="31">
                  <c:v>259</c:v>
                </c:pt>
                <c:pt idx="32">
                  <c:v>274</c:v>
                </c:pt>
                <c:pt idx="33">
                  <c:v>288</c:v>
                </c:pt>
                <c:pt idx="34">
                  <c:v>302</c:v>
                </c:pt>
                <c:pt idx="35">
                  <c:v>221</c:v>
                </c:pt>
                <c:pt idx="36">
                  <c:v>217</c:v>
                </c:pt>
                <c:pt idx="37">
                  <c:v>213</c:v>
                </c:pt>
                <c:pt idx="38">
                  <c:v>209</c:v>
                </c:pt>
                <c:pt idx="39">
                  <c:v>206</c:v>
                </c:pt>
                <c:pt idx="40">
                  <c:v>204</c:v>
                </c:pt>
                <c:pt idx="42">
                  <c:v>206</c:v>
                </c:pt>
                <c:pt idx="43">
                  <c:v>252</c:v>
                </c:pt>
                <c:pt idx="44">
                  <c:v>271</c:v>
                </c:pt>
                <c:pt idx="45">
                  <c:v>291</c:v>
                </c:pt>
                <c:pt idx="46">
                  <c:v>312</c:v>
                </c:pt>
                <c:pt idx="47">
                  <c:v>334</c:v>
                </c:pt>
                <c:pt idx="48">
                  <c:v>358</c:v>
                </c:pt>
                <c:pt idx="49">
                  <c:v>225</c:v>
                </c:pt>
                <c:pt idx="50">
                  <c:v>220</c:v>
                </c:pt>
                <c:pt idx="51">
                  <c:v>216</c:v>
                </c:pt>
                <c:pt idx="52">
                  <c:v>212</c:v>
                </c:pt>
                <c:pt idx="53">
                  <c:v>209</c:v>
                </c:pt>
                <c:pt idx="54">
                  <c:v>206</c:v>
                </c:pt>
                <c:pt idx="56">
                  <c:v>208</c:v>
                </c:pt>
                <c:pt idx="57">
                  <c:v>285</c:v>
                </c:pt>
                <c:pt idx="58">
                  <c:v>306</c:v>
                </c:pt>
                <c:pt idx="59">
                  <c:v>329</c:v>
                </c:pt>
                <c:pt idx="60">
                  <c:v>353</c:v>
                </c:pt>
                <c:pt idx="61">
                  <c:v>378</c:v>
                </c:pt>
                <c:pt idx="62">
                  <c:v>403</c:v>
                </c:pt>
                <c:pt idx="63">
                  <c:v>229</c:v>
                </c:pt>
                <c:pt idx="64">
                  <c:v>224</c:v>
                </c:pt>
                <c:pt idx="65">
                  <c:v>219</c:v>
                </c:pt>
                <c:pt idx="66">
                  <c:v>215</c:v>
                </c:pt>
                <c:pt idx="67">
                  <c:v>211</c:v>
                </c:pt>
                <c:pt idx="68">
                  <c:v>208</c:v>
                </c:pt>
                <c:pt idx="70">
                  <c:v>210</c:v>
                </c:pt>
                <c:pt idx="71">
                  <c:v>330</c:v>
                </c:pt>
                <c:pt idx="72">
                  <c:v>355</c:v>
                </c:pt>
                <c:pt idx="73">
                  <c:v>382</c:v>
                </c:pt>
                <c:pt idx="74">
                  <c:v>409</c:v>
                </c:pt>
                <c:pt idx="75">
                  <c:v>438</c:v>
                </c:pt>
                <c:pt idx="76">
                  <c:v>467</c:v>
                </c:pt>
                <c:pt idx="77">
                  <c:v>231</c:v>
                </c:pt>
                <c:pt idx="78">
                  <c:v>226</c:v>
                </c:pt>
                <c:pt idx="79">
                  <c:v>221</c:v>
                </c:pt>
                <c:pt idx="80">
                  <c:v>217</c:v>
                </c:pt>
                <c:pt idx="81">
                  <c:v>213</c:v>
                </c:pt>
                <c:pt idx="82">
                  <c:v>210</c:v>
                </c:pt>
                <c:pt idx="84">
                  <c:v>213</c:v>
                </c:pt>
                <c:pt idx="85">
                  <c:v>372</c:v>
                </c:pt>
                <c:pt idx="86">
                  <c:v>401</c:v>
                </c:pt>
                <c:pt idx="87">
                  <c:v>431</c:v>
                </c:pt>
                <c:pt idx="88">
                  <c:v>461</c:v>
                </c:pt>
                <c:pt idx="89">
                  <c:v>494</c:v>
                </c:pt>
                <c:pt idx="90">
                  <c:v>527</c:v>
                </c:pt>
                <c:pt idx="91">
                  <c:v>237</c:v>
                </c:pt>
                <c:pt idx="92">
                  <c:v>230</c:v>
                </c:pt>
                <c:pt idx="93">
                  <c:v>224</c:v>
                </c:pt>
                <c:pt idx="94">
                  <c:v>220</c:v>
                </c:pt>
                <c:pt idx="95">
                  <c:v>216</c:v>
                </c:pt>
                <c:pt idx="96">
                  <c:v>213</c:v>
                </c:pt>
                <c:pt idx="98">
                  <c:v>217</c:v>
                </c:pt>
                <c:pt idx="99">
                  <c:v>433</c:v>
                </c:pt>
                <c:pt idx="100">
                  <c:v>466</c:v>
                </c:pt>
                <c:pt idx="101">
                  <c:v>502</c:v>
                </c:pt>
                <c:pt idx="102">
                  <c:v>538</c:v>
                </c:pt>
                <c:pt idx="103">
                  <c:v>575</c:v>
                </c:pt>
                <c:pt idx="104">
                  <c:v>614</c:v>
                </c:pt>
                <c:pt idx="105">
                  <c:v>249</c:v>
                </c:pt>
                <c:pt idx="106">
                  <c:v>238</c:v>
                </c:pt>
                <c:pt idx="107">
                  <c:v>230</c:v>
                </c:pt>
                <c:pt idx="108">
                  <c:v>225</c:v>
                </c:pt>
                <c:pt idx="109">
                  <c:v>221</c:v>
                </c:pt>
                <c:pt idx="110">
                  <c:v>217</c:v>
                </c:pt>
                <c:pt idx="112">
                  <c:v>221</c:v>
                </c:pt>
                <c:pt idx="113">
                  <c:v>493</c:v>
                </c:pt>
                <c:pt idx="114">
                  <c:v>531</c:v>
                </c:pt>
                <c:pt idx="115">
                  <c:v>571</c:v>
                </c:pt>
                <c:pt idx="116">
                  <c:v>611</c:v>
                </c:pt>
                <c:pt idx="117">
                  <c:v>655</c:v>
                </c:pt>
                <c:pt idx="118">
                  <c:v>698</c:v>
                </c:pt>
                <c:pt idx="119">
                  <c:v>262</c:v>
                </c:pt>
                <c:pt idx="120">
                  <c:v>251</c:v>
                </c:pt>
                <c:pt idx="121">
                  <c:v>240</c:v>
                </c:pt>
                <c:pt idx="122">
                  <c:v>232</c:v>
                </c:pt>
                <c:pt idx="123">
                  <c:v>226</c:v>
                </c:pt>
                <c:pt idx="124">
                  <c:v>221</c:v>
                </c:pt>
                <c:pt idx="126">
                  <c:v>228</c:v>
                </c:pt>
                <c:pt idx="127">
                  <c:v>583</c:v>
                </c:pt>
                <c:pt idx="128">
                  <c:v>628</c:v>
                </c:pt>
                <c:pt idx="129">
                  <c:v>675</c:v>
                </c:pt>
                <c:pt idx="130">
                  <c:v>722</c:v>
                </c:pt>
                <c:pt idx="131">
                  <c:v>772</c:v>
                </c:pt>
                <c:pt idx="132">
                  <c:v>825</c:v>
                </c:pt>
                <c:pt idx="133">
                  <c:v>303</c:v>
                </c:pt>
                <c:pt idx="134">
                  <c:v>276</c:v>
                </c:pt>
                <c:pt idx="135">
                  <c:v>253</c:v>
                </c:pt>
                <c:pt idx="136">
                  <c:v>242</c:v>
                </c:pt>
                <c:pt idx="137">
                  <c:v>234</c:v>
                </c:pt>
                <c:pt idx="138">
                  <c:v>228</c:v>
                </c:pt>
                <c:pt idx="140">
                  <c:v>238</c:v>
                </c:pt>
                <c:pt idx="141">
                  <c:v>686</c:v>
                </c:pt>
                <c:pt idx="142">
                  <c:v>739</c:v>
                </c:pt>
                <c:pt idx="143">
                  <c:v>793</c:v>
                </c:pt>
                <c:pt idx="144">
                  <c:v>849</c:v>
                </c:pt>
                <c:pt idx="145">
                  <c:v>910</c:v>
                </c:pt>
                <c:pt idx="146">
                  <c:v>971</c:v>
                </c:pt>
                <c:pt idx="147">
                  <c:v>355</c:v>
                </c:pt>
                <c:pt idx="148">
                  <c:v>327</c:v>
                </c:pt>
                <c:pt idx="149">
                  <c:v>297</c:v>
                </c:pt>
                <c:pt idx="150">
                  <c:v>271</c:v>
                </c:pt>
                <c:pt idx="151">
                  <c:v>247</c:v>
                </c:pt>
                <c:pt idx="152">
                  <c:v>238</c:v>
                </c:pt>
                <c:pt idx="154">
                  <c:v>281</c:v>
                </c:pt>
                <c:pt idx="155">
                  <c:v>817</c:v>
                </c:pt>
                <c:pt idx="156">
                  <c:v>880</c:v>
                </c:pt>
                <c:pt idx="157">
                  <c:v>945</c:v>
                </c:pt>
                <c:pt idx="158">
                  <c:v>1013</c:v>
                </c:pt>
                <c:pt idx="159">
                  <c:v>1083</c:v>
                </c:pt>
                <c:pt idx="160">
                  <c:v>1157</c:v>
                </c:pt>
                <c:pt idx="161">
                  <c:v>406</c:v>
                </c:pt>
                <c:pt idx="162">
                  <c:v>377</c:v>
                </c:pt>
                <c:pt idx="163">
                  <c:v>348</c:v>
                </c:pt>
                <c:pt idx="164">
                  <c:v>313</c:v>
                </c:pt>
                <c:pt idx="165">
                  <c:v>289</c:v>
                </c:pt>
                <c:pt idx="166">
                  <c:v>281</c:v>
                </c:pt>
                <c:pt idx="168">
                  <c:v>335</c:v>
                </c:pt>
                <c:pt idx="169">
                  <c:v>952</c:v>
                </c:pt>
                <c:pt idx="170">
                  <c:v>1024</c:v>
                </c:pt>
                <c:pt idx="171">
                  <c:v>1100</c:v>
                </c:pt>
                <c:pt idx="172">
                  <c:v>1179</c:v>
                </c:pt>
                <c:pt idx="173">
                  <c:v>1261</c:v>
                </c:pt>
                <c:pt idx="174">
                  <c:v>1347</c:v>
                </c:pt>
                <c:pt idx="175">
                  <c:v>484</c:v>
                </c:pt>
                <c:pt idx="176">
                  <c:v>440</c:v>
                </c:pt>
                <c:pt idx="177">
                  <c:v>411</c:v>
                </c:pt>
                <c:pt idx="178">
                  <c:v>370</c:v>
                </c:pt>
                <c:pt idx="179">
                  <c:v>345</c:v>
                </c:pt>
                <c:pt idx="180">
                  <c:v>335</c:v>
                </c:pt>
                <c:pt idx="184">
                  <c:v>507</c:v>
                </c:pt>
                <c:pt idx="185">
                  <c:v>1301</c:v>
                </c:pt>
                <c:pt idx="186">
                  <c:v>1393</c:v>
                </c:pt>
                <c:pt idx="187">
                  <c:v>1491</c:v>
                </c:pt>
                <c:pt idx="188">
                  <c:v>1591</c:v>
                </c:pt>
                <c:pt idx="189">
                  <c:v>572</c:v>
                </c:pt>
                <c:pt idx="190">
                  <c:v>548</c:v>
                </c:pt>
                <c:pt idx="191">
                  <c:v>527</c:v>
                </c:pt>
                <c:pt idx="192">
                  <c:v>507</c:v>
                </c:pt>
                <c:pt idx="198">
                  <c:v>657</c:v>
                </c:pt>
                <c:pt idx="199">
                  <c:v>1479</c:v>
                </c:pt>
                <c:pt idx="200">
                  <c:v>1536</c:v>
                </c:pt>
                <c:pt idx="201">
                  <c:v>1594</c:v>
                </c:pt>
                <c:pt idx="202">
                  <c:v>1653</c:v>
                </c:pt>
                <c:pt idx="203">
                  <c:v>738</c:v>
                </c:pt>
                <c:pt idx="204">
                  <c:v>710</c:v>
                </c:pt>
                <c:pt idx="205">
                  <c:v>683</c:v>
                </c:pt>
                <c:pt idx="206">
                  <c:v>657</c:v>
                </c:pt>
                <c:pt idx="214">
                  <c:v>877</c:v>
                </c:pt>
                <c:pt idx="215">
                  <c:v>1669</c:v>
                </c:pt>
                <c:pt idx="216">
                  <c:v>1715</c:v>
                </c:pt>
                <c:pt idx="217">
                  <c:v>912</c:v>
                </c:pt>
                <c:pt idx="218">
                  <c:v>877</c:v>
                </c:pt>
              </c:numCache>
            </c:numRef>
          </c:yVal>
          <c:smooth val="0"/>
        </c:ser>
        <c:ser>
          <c:idx val="1"/>
          <c:order val="1"/>
          <c:tx>
            <c:strRef>
              <c:f>Lapa1!$C$1</c:f>
              <c:strCache>
                <c:ptCount val="1"/>
                <c:pt idx="0">
                  <c:v>punkti</c:v>
                </c:pt>
              </c:strCache>
            </c:strRef>
          </c:tx>
          <c:spPr>
            <a:ln>
              <a:noFill/>
            </a:ln>
          </c:spPr>
          <c:marker>
            <c:symbol val="circle"/>
            <c:size val="2"/>
            <c:spPr>
              <a:solidFill>
                <a:schemeClr val="accent2">
                  <a:lumMod val="75000"/>
                </a:schemeClr>
              </a:solidFill>
              <a:ln>
                <a:solidFill>
                  <a:srgbClr val="002060"/>
                </a:solidFill>
              </a:ln>
            </c:spPr>
          </c:marker>
          <c:xVal>
            <c:numRef>
              <c:f>Lapa1!$A$2:$A$1262</c:f>
              <c:numCache>
                <c:formatCode>General</c:formatCode>
                <c:ptCount val="1261"/>
                <c:pt idx="0">
                  <c:v>1.1000000000000001</c:v>
                </c:pt>
                <c:pt idx="1">
                  <c:v>1.1000000000000001</c:v>
                </c:pt>
                <c:pt idx="2">
                  <c:v>1.2</c:v>
                </c:pt>
                <c:pt idx="3">
                  <c:v>1.3</c:v>
                </c:pt>
                <c:pt idx="4">
                  <c:v>1.4</c:v>
                </c:pt>
                <c:pt idx="5">
                  <c:v>1.5</c:v>
                </c:pt>
                <c:pt idx="6">
                  <c:v>1.6</c:v>
                </c:pt>
                <c:pt idx="7">
                  <c:v>1.6</c:v>
                </c:pt>
                <c:pt idx="8">
                  <c:v>1.5</c:v>
                </c:pt>
                <c:pt idx="9">
                  <c:v>1.4</c:v>
                </c:pt>
                <c:pt idx="10">
                  <c:v>1.3</c:v>
                </c:pt>
                <c:pt idx="11">
                  <c:v>1.2</c:v>
                </c:pt>
                <c:pt idx="12">
                  <c:v>1.1000000000000001</c:v>
                </c:pt>
                <c:pt idx="14">
                  <c:v>2.1</c:v>
                </c:pt>
                <c:pt idx="15">
                  <c:v>2.1</c:v>
                </c:pt>
                <c:pt idx="16">
                  <c:v>2.2000000000000002</c:v>
                </c:pt>
                <c:pt idx="17">
                  <c:v>2.2999999999999998</c:v>
                </c:pt>
                <c:pt idx="18">
                  <c:v>2.4</c:v>
                </c:pt>
                <c:pt idx="19">
                  <c:v>2.5</c:v>
                </c:pt>
                <c:pt idx="20">
                  <c:v>2.6</c:v>
                </c:pt>
                <c:pt idx="21">
                  <c:v>2.6</c:v>
                </c:pt>
                <c:pt idx="22">
                  <c:v>2.5</c:v>
                </c:pt>
                <c:pt idx="23">
                  <c:v>2.4</c:v>
                </c:pt>
                <c:pt idx="24">
                  <c:v>2.2999999999999998</c:v>
                </c:pt>
                <c:pt idx="25">
                  <c:v>2.2000000000000002</c:v>
                </c:pt>
                <c:pt idx="26">
                  <c:v>2.1</c:v>
                </c:pt>
                <c:pt idx="28">
                  <c:v>3.1</c:v>
                </c:pt>
                <c:pt idx="29">
                  <c:v>3.1</c:v>
                </c:pt>
                <c:pt idx="30">
                  <c:v>3.2</c:v>
                </c:pt>
                <c:pt idx="31">
                  <c:v>3.3</c:v>
                </c:pt>
                <c:pt idx="32">
                  <c:v>3.4</c:v>
                </c:pt>
                <c:pt idx="33">
                  <c:v>3.5</c:v>
                </c:pt>
                <c:pt idx="34">
                  <c:v>3.6</c:v>
                </c:pt>
                <c:pt idx="35">
                  <c:v>3.6</c:v>
                </c:pt>
                <c:pt idx="36">
                  <c:v>3.5</c:v>
                </c:pt>
                <c:pt idx="37">
                  <c:v>3.4</c:v>
                </c:pt>
                <c:pt idx="38">
                  <c:v>3.3</c:v>
                </c:pt>
                <c:pt idx="39">
                  <c:v>3.2</c:v>
                </c:pt>
                <c:pt idx="40">
                  <c:v>3.1</c:v>
                </c:pt>
                <c:pt idx="42">
                  <c:v>4.0999999999999996</c:v>
                </c:pt>
                <c:pt idx="43">
                  <c:v>4.0999999999999996</c:v>
                </c:pt>
                <c:pt idx="44">
                  <c:v>4.2</c:v>
                </c:pt>
                <c:pt idx="45">
                  <c:v>4.3</c:v>
                </c:pt>
                <c:pt idx="46">
                  <c:v>4.4000000000000004</c:v>
                </c:pt>
                <c:pt idx="47">
                  <c:v>4.5</c:v>
                </c:pt>
                <c:pt idx="48">
                  <c:v>4.5999999999999996</c:v>
                </c:pt>
                <c:pt idx="49">
                  <c:v>4.5999999999999996</c:v>
                </c:pt>
                <c:pt idx="50">
                  <c:v>4.5</c:v>
                </c:pt>
                <c:pt idx="51">
                  <c:v>4.4000000000000004</c:v>
                </c:pt>
                <c:pt idx="52">
                  <c:v>4.3</c:v>
                </c:pt>
                <c:pt idx="53">
                  <c:v>4.2</c:v>
                </c:pt>
                <c:pt idx="54">
                  <c:v>4.0999999999999996</c:v>
                </c:pt>
                <c:pt idx="56">
                  <c:v>5.0999999999999996</c:v>
                </c:pt>
                <c:pt idx="57">
                  <c:v>5.0999999999999996</c:v>
                </c:pt>
                <c:pt idx="58">
                  <c:v>5.2</c:v>
                </c:pt>
                <c:pt idx="59">
                  <c:v>5.3</c:v>
                </c:pt>
                <c:pt idx="60">
                  <c:v>5.4</c:v>
                </c:pt>
                <c:pt idx="61">
                  <c:v>5.5</c:v>
                </c:pt>
                <c:pt idx="62">
                  <c:v>5.6</c:v>
                </c:pt>
                <c:pt idx="63">
                  <c:v>5.6</c:v>
                </c:pt>
                <c:pt idx="64">
                  <c:v>5.5</c:v>
                </c:pt>
                <c:pt idx="65">
                  <c:v>5.4</c:v>
                </c:pt>
                <c:pt idx="66">
                  <c:v>5.3</c:v>
                </c:pt>
                <c:pt idx="67">
                  <c:v>5.2</c:v>
                </c:pt>
                <c:pt idx="68">
                  <c:v>5.0999999999999996</c:v>
                </c:pt>
                <c:pt idx="70">
                  <c:v>6.1</c:v>
                </c:pt>
                <c:pt idx="71">
                  <c:v>6.1</c:v>
                </c:pt>
                <c:pt idx="72">
                  <c:v>6.2</c:v>
                </c:pt>
                <c:pt idx="73">
                  <c:v>6.3</c:v>
                </c:pt>
                <c:pt idx="74">
                  <c:v>6.4</c:v>
                </c:pt>
                <c:pt idx="75">
                  <c:v>6.5</c:v>
                </c:pt>
                <c:pt idx="76">
                  <c:v>6.6</c:v>
                </c:pt>
                <c:pt idx="77">
                  <c:v>6.6</c:v>
                </c:pt>
                <c:pt idx="78">
                  <c:v>6.5</c:v>
                </c:pt>
                <c:pt idx="79">
                  <c:v>6.4</c:v>
                </c:pt>
                <c:pt idx="80">
                  <c:v>6.3</c:v>
                </c:pt>
                <c:pt idx="81">
                  <c:v>6.2</c:v>
                </c:pt>
                <c:pt idx="82">
                  <c:v>6.1</c:v>
                </c:pt>
                <c:pt idx="84">
                  <c:v>7.1</c:v>
                </c:pt>
                <c:pt idx="85">
                  <c:v>7.1</c:v>
                </c:pt>
                <c:pt idx="86">
                  <c:v>7.2</c:v>
                </c:pt>
                <c:pt idx="87">
                  <c:v>7.3</c:v>
                </c:pt>
                <c:pt idx="88">
                  <c:v>7.4</c:v>
                </c:pt>
                <c:pt idx="89">
                  <c:v>7.5</c:v>
                </c:pt>
                <c:pt idx="90">
                  <c:v>7.6</c:v>
                </c:pt>
                <c:pt idx="91">
                  <c:v>7.6</c:v>
                </c:pt>
                <c:pt idx="92">
                  <c:v>7.5</c:v>
                </c:pt>
                <c:pt idx="93">
                  <c:v>7.4</c:v>
                </c:pt>
                <c:pt idx="94">
                  <c:v>7.3</c:v>
                </c:pt>
                <c:pt idx="95">
                  <c:v>7.2</c:v>
                </c:pt>
                <c:pt idx="96">
                  <c:v>7.1</c:v>
                </c:pt>
                <c:pt idx="98">
                  <c:v>8.1</c:v>
                </c:pt>
                <c:pt idx="99">
                  <c:v>8.1</c:v>
                </c:pt>
                <c:pt idx="100">
                  <c:v>8.2000000000000011</c:v>
                </c:pt>
                <c:pt idx="101">
                  <c:v>8.3000000000000007</c:v>
                </c:pt>
                <c:pt idx="102">
                  <c:v>8.4</c:v>
                </c:pt>
                <c:pt idx="103">
                  <c:v>8.5</c:v>
                </c:pt>
                <c:pt idx="104">
                  <c:v>8.6</c:v>
                </c:pt>
                <c:pt idx="105">
                  <c:v>8.6</c:v>
                </c:pt>
                <c:pt idx="106">
                  <c:v>8.5</c:v>
                </c:pt>
                <c:pt idx="107">
                  <c:v>8.4</c:v>
                </c:pt>
                <c:pt idx="108">
                  <c:v>8.3000000000000007</c:v>
                </c:pt>
                <c:pt idx="109">
                  <c:v>8.2000000000000011</c:v>
                </c:pt>
                <c:pt idx="110">
                  <c:v>8.1</c:v>
                </c:pt>
                <c:pt idx="112">
                  <c:v>9.1</c:v>
                </c:pt>
                <c:pt idx="113">
                  <c:v>9.1</c:v>
                </c:pt>
                <c:pt idx="114">
                  <c:v>9.2000000000000011</c:v>
                </c:pt>
                <c:pt idx="115">
                  <c:v>9.3000000000000007</c:v>
                </c:pt>
                <c:pt idx="116">
                  <c:v>9.4</c:v>
                </c:pt>
                <c:pt idx="117">
                  <c:v>9.5</c:v>
                </c:pt>
                <c:pt idx="118">
                  <c:v>9.6</c:v>
                </c:pt>
                <c:pt idx="119">
                  <c:v>9.6</c:v>
                </c:pt>
                <c:pt idx="120">
                  <c:v>9.5</c:v>
                </c:pt>
                <c:pt idx="121">
                  <c:v>9.4</c:v>
                </c:pt>
                <c:pt idx="122">
                  <c:v>9.3000000000000007</c:v>
                </c:pt>
                <c:pt idx="123">
                  <c:v>9.2000000000000011</c:v>
                </c:pt>
                <c:pt idx="124">
                  <c:v>9.1</c:v>
                </c:pt>
                <c:pt idx="126">
                  <c:v>10.1</c:v>
                </c:pt>
                <c:pt idx="127">
                  <c:v>10.1</c:v>
                </c:pt>
                <c:pt idx="128">
                  <c:v>10.200000000000001</c:v>
                </c:pt>
                <c:pt idx="129">
                  <c:v>10.3</c:v>
                </c:pt>
                <c:pt idx="130">
                  <c:v>10.4</c:v>
                </c:pt>
                <c:pt idx="131">
                  <c:v>10.5</c:v>
                </c:pt>
                <c:pt idx="132">
                  <c:v>10.6</c:v>
                </c:pt>
                <c:pt idx="133">
                  <c:v>10.6</c:v>
                </c:pt>
                <c:pt idx="134">
                  <c:v>10.5</c:v>
                </c:pt>
                <c:pt idx="135">
                  <c:v>10.4</c:v>
                </c:pt>
                <c:pt idx="136">
                  <c:v>10.3</c:v>
                </c:pt>
                <c:pt idx="137">
                  <c:v>10.200000000000001</c:v>
                </c:pt>
                <c:pt idx="138">
                  <c:v>10.1</c:v>
                </c:pt>
                <c:pt idx="140">
                  <c:v>11.1</c:v>
                </c:pt>
                <c:pt idx="141">
                  <c:v>11.1</c:v>
                </c:pt>
                <c:pt idx="142">
                  <c:v>11.2</c:v>
                </c:pt>
                <c:pt idx="143">
                  <c:v>11.3</c:v>
                </c:pt>
                <c:pt idx="144">
                  <c:v>11.4</c:v>
                </c:pt>
                <c:pt idx="145">
                  <c:v>11.5</c:v>
                </c:pt>
                <c:pt idx="146">
                  <c:v>11.6</c:v>
                </c:pt>
                <c:pt idx="147">
                  <c:v>11.6</c:v>
                </c:pt>
                <c:pt idx="148">
                  <c:v>11.5</c:v>
                </c:pt>
                <c:pt idx="149">
                  <c:v>11.4</c:v>
                </c:pt>
                <c:pt idx="150">
                  <c:v>11.3</c:v>
                </c:pt>
                <c:pt idx="151">
                  <c:v>11.2</c:v>
                </c:pt>
                <c:pt idx="152">
                  <c:v>11.1</c:v>
                </c:pt>
                <c:pt idx="154">
                  <c:v>12.1</c:v>
                </c:pt>
                <c:pt idx="155">
                  <c:v>12.1</c:v>
                </c:pt>
                <c:pt idx="156">
                  <c:v>12.2</c:v>
                </c:pt>
                <c:pt idx="157">
                  <c:v>12.3</c:v>
                </c:pt>
                <c:pt idx="158">
                  <c:v>12.4</c:v>
                </c:pt>
                <c:pt idx="159">
                  <c:v>12.5</c:v>
                </c:pt>
                <c:pt idx="160">
                  <c:v>12.6</c:v>
                </c:pt>
                <c:pt idx="161">
                  <c:v>12.6</c:v>
                </c:pt>
                <c:pt idx="162">
                  <c:v>12.5</c:v>
                </c:pt>
                <c:pt idx="163">
                  <c:v>12.4</c:v>
                </c:pt>
                <c:pt idx="164">
                  <c:v>12.3</c:v>
                </c:pt>
                <c:pt idx="165">
                  <c:v>12.2</c:v>
                </c:pt>
                <c:pt idx="166">
                  <c:v>12.1</c:v>
                </c:pt>
                <c:pt idx="168">
                  <c:v>13.1</c:v>
                </c:pt>
                <c:pt idx="169">
                  <c:v>13.1</c:v>
                </c:pt>
                <c:pt idx="170">
                  <c:v>13.2</c:v>
                </c:pt>
                <c:pt idx="171">
                  <c:v>13.3</c:v>
                </c:pt>
                <c:pt idx="172">
                  <c:v>13.4</c:v>
                </c:pt>
                <c:pt idx="173">
                  <c:v>13.5</c:v>
                </c:pt>
                <c:pt idx="174">
                  <c:v>13.6</c:v>
                </c:pt>
                <c:pt idx="175">
                  <c:v>13.6</c:v>
                </c:pt>
                <c:pt idx="176">
                  <c:v>13.5</c:v>
                </c:pt>
                <c:pt idx="177">
                  <c:v>13.4</c:v>
                </c:pt>
                <c:pt idx="178">
                  <c:v>13.3</c:v>
                </c:pt>
                <c:pt idx="179">
                  <c:v>13.2</c:v>
                </c:pt>
                <c:pt idx="180">
                  <c:v>13.1</c:v>
                </c:pt>
                <c:pt idx="182">
                  <c:v>14.1</c:v>
                </c:pt>
                <c:pt idx="183">
                  <c:v>14.1</c:v>
                </c:pt>
                <c:pt idx="184">
                  <c:v>14.3</c:v>
                </c:pt>
                <c:pt idx="185">
                  <c:v>14.3</c:v>
                </c:pt>
                <c:pt idx="186">
                  <c:v>14.4</c:v>
                </c:pt>
                <c:pt idx="187">
                  <c:v>14.5</c:v>
                </c:pt>
                <c:pt idx="188">
                  <c:v>14.6</c:v>
                </c:pt>
                <c:pt idx="189">
                  <c:v>14.6</c:v>
                </c:pt>
                <c:pt idx="190">
                  <c:v>14.5</c:v>
                </c:pt>
                <c:pt idx="191">
                  <c:v>14.4</c:v>
                </c:pt>
                <c:pt idx="192">
                  <c:v>14.3</c:v>
                </c:pt>
                <c:pt idx="193">
                  <c:v>14.2</c:v>
                </c:pt>
                <c:pt idx="194">
                  <c:v>14.1</c:v>
                </c:pt>
                <c:pt idx="195">
                  <c:v>0</c:v>
                </c:pt>
                <c:pt idx="196">
                  <c:v>15.1</c:v>
                </c:pt>
                <c:pt idx="197">
                  <c:v>15.1</c:v>
                </c:pt>
                <c:pt idx="198">
                  <c:v>15.3</c:v>
                </c:pt>
                <c:pt idx="199">
                  <c:v>15.3</c:v>
                </c:pt>
                <c:pt idx="200">
                  <c:v>15.4</c:v>
                </c:pt>
                <c:pt idx="201">
                  <c:v>15.5</c:v>
                </c:pt>
                <c:pt idx="202">
                  <c:v>15.6</c:v>
                </c:pt>
                <c:pt idx="203">
                  <c:v>15.6</c:v>
                </c:pt>
                <c:pt idx="204">
                  <c:v>15.5</c:v>
                </c:pt>
                <c:pt idx="205">
                  <c:v>15.4</c:v>
                </c:pt>
                <c:pt idx="206">
                  <c:v>15.3</c:v>
                </c:pt>
                <c:pt idx="207">
                  <c:v>15.2</c:v>
                </c:pt>
                <c:pt idx="208">
                  <c:v>15.1</c:v>
                </c:pt>
                <c:pt idx="209">
                  <c:v>0</c:v>
                </c:pt>
                <c:pt idx="210">
                  <c:v>16.100000000000001</c:v>
                </c:pt>
                <c:pt idx="211">
                  <c:v>16.100000000000001</c:v>
                </c:pt>
                <c:pt idx="212">
                  <c:v>16.2</c:v>
                </c:pt>
                <c:pt idx="213">
                  <c:v>16.3</c:v>
                </c:pt>
                <c:pt idx="214">
                  <c:v>16.5</c:v>
                </c:pt>
                <c:pt idx="215">
                  <c:v>16.5</c:v>
                </c:pt>
                <c:pt idx="216">
                  <c:v>16.600000000000001</c:v>
                </c:pt>
                <c:pt idx="217">
                  <c:v>16.600000000000001</c:v>
                </c:pt>
                <c:pt idx="218">
                  <c:v>16.5</c:v>
                </c:pt>
                <c:pt idx="219">
                  <c:v>16.399999999999999</c:v>
                </c:pt>
                <c:pt idx="220">
                  <c:v>16.3</c:v>
                </c:pt>
                <c:pt idx="221">
                  <c:v>16.2</c:v>
                </c:pt>
                <c:pt idx="222">
                  <c:v>16.100000000000001</c:v>
                </c:pt>
                <c:pt idx="224">
                  <c:v>6.4</c:v>
                </c:pt>
                <c:pt idx="225">
                  <c:v>6.4</c:v>
                </c:pt>
                <c:pt idx="226">
                  <c:v>6.4</c:v>
                </c:pt>
                <c:pt idx="227">
                  <c:v>6.4</c:v>
                </c:pt>
                <c:pt idx="228">
                  <c:v>6.5</c:v>
                </c:pt>
                <c:pt idx="229">
                  <c:v>6.6</c:v>
                </c:pt>
                <c:pt idx="230">
                  <c:v>6.6</c:v>
                </c:pt>
                <c:pt idx="231">
                  <c:v>6.6</c:v>
                </c:pt>
                <c:pt idx="232">
                  <c:v>6.6</c:v>
                </c:pt>
                <c:pt idx="233">
                  <c:v>6.6</c:v>
                </c:pt>
                <c:pt idx="234">
                  <c:v>6.6</c:v>
                </c:pt>
                <c:pt idx="235">
                  <c:v>6.6</c:v>
                </c:pt>
                <c:pt idx="236">
                  <c:v>7.1</c:v>
                </c:pt>
                <c:pt idx="237">
                  <c:v>7.1</c:v>
                </c:pt>
                <c:pt idx="238">
                  <c:v>7.1</c:v>
                </c:pt>
                <c:pt idx="239">
                  <c:v>7.1</c:v>
                </c:pt>
                <c:pt idx="240">
                  <c:v>7.1</c:v>
                </c:pt>
                <c:pt idx="241">
                  <c:v>7.1</c:v>
                </c:pt>
                <c:pt idx="242">
                  <c:v>7.1</c:v>
                </c:pt>
                <c:pt idx="243">
                  <c:v>7.1</c:v>
                </c:pt>
                <c:pt idx="244">
                  <c:v>7.1</c:v>
                </c:pt>
                <c:pt idx="245">
                  <c:v>7.2</c:v>
                </c:pt>
                <c:pt idx="246">
                  <c:v>7.2</c:v>
                </c:pt>
                <c:pt idx="247">
                  <c:v>7.2</c:v>
                </c:pt>
                <c:pt idx="248">
                  <c:v>7.2</c:v>
                </c:pt>
                <c:pt idx="249">
                  <c:v>7.2</c:v>
                </c:pt>
                <c:pt idx="250">
                  <c:v>7.2</c:v>
                </c:pt>
                <c:pt idx="251">
                  <c:v>7.2</c:v>
                </c:pt>
                <c:pt idx="252">
                  <c:v>7.2</c:v>
                </c:pt>
                <c:pt idx="253">
                  <c:v>7.2</c:v>
                </c:pt>
                <c:pt idx="254">
                  <c:v>7.2</c:v>
                </c:pt>
                <c:pt idx="255">
                  <c:v>7.2</c:v>
                </c:pt>
                <c:pt idx="256">
                  <c:v>7.3</c:v>
                </c:pt>
                <c:pt idx="257">
                  <c:v>7.3</c:v>
                </c:pt>
                <c:pt idx="258">
                  <c:v>7.3</c:v>
                </c:pt>
                <c:pt idx="259">
                  <c:v>7.3</c:v>
                </c:pt>
                <c:pt idx="260">
                  <c:v>7.3</c:v>
                </c:pt>
                <c:pt idx="261">
                  <c:v>7.3</c:v>
                </c:pt>
                <c:pt idx="262">
                  <c:v>7.3</c:v>
                </c:pt>
                <c:pt idx="263">
                  <c:v>7.3</c:v>
                </c:pt>
                <c:pt idx="264">
                  <c:v>7.3</c:v>
                </c:pt>
                <c:pt idx="265">
                  <c:v>7.3</c:v>
                </c:pt>
                <c:pt idx="266">
                  <c:v>7.3</c:v>
                </c:pt>
                <c:pt idx="267">
                  <c:v>7.3</c:v>
                </c:pt>
                <c:pt idx="268">
                  <c:v>7.3</c:v>
                </c:pt>
                <c:pt idx="269">
                  <c:v>7.3</c:v>
                </c:pt>
                <c:pt idx="270">
                  <c:v>7.3</c:v>
                </c:pt>
                <c:pt idx="271">
                  <c:v>7.3</c:v>
                </c:pt>
                <c:pt idx="272">
                  <c:v>7.3</c:v>
                </c:pt>
                <c:pt idx="273">
                  <c:v>7.3</c:v>
                </c:pt>
                <c:pt idx="274">
                  <c:v>7.3</c:v>
                </c:pt>
                <c:pt idx="275">
                  <c:v>7.3</c:v>
                </c:pt>
                <c:pt idx="276">
                  <c:v>7.3</c:v>
                </c:pt>
                <c:pt idx="277">
                  <c:v>7.3</c:v>
                </c:pt>
                <c:pt idx="278">
                  <c:v>7.3</c:v>
                </c:pt>
                <c:pt idx="279">
                  <c:v>7.3</c:v>
                </c:pt>
                <c:pt idx="280">
                  <c:v>7.3</c:v>
                </c:pt>
                <c:pt idx="281">
                  <c:v>7.3</c:v>
                </c:pt>
                <c:pt idx="282">
                  <c:v>7.3</c:v>
                </c:pt>
                <c:pt idx="283">
                  <c:v>7.4</c:v>
                </c:pt>
                <c:pt idx="284">
                  <c:v>7.4</c:v>
                </c:pt>
                <c:pt idx="285">
                  <c:v>7.4</c:v>
                </c:pt>
                <c:pt idx="286">
                  <c:v>7.4</c:v>
                </c:pt>
                <c:pt idx="287">
                  <c:v>7.4</c:v>
                </c:pt>
                <c:pt idx="288">
                  <c:v>7.4</c:v>
                </c:pt>
                <c:pt idx="289">
                  <c:v>7.4</c:v>
                </c:pt>
                <c:pt idx="290">
                  <c:v>7.4</c:v>
                </c:pt>
                <c:pt idx="291">
                  <c:v>7.4</c:v>
                </c:pt>
                <c:pt idx="292">
                  <c:v>7.4</c:v>
                </c:pt>
                <c:pt idx="293">
                  <c:v>7.4</c:v>
                </c:pt>
                <c:pt idx="294">
                  <c:v>7.4</c:v>
                </c:pt>
                <c:pt idx="295">
                  <c:v>7.4</c:v>
                </c:pt>
                <c:pt idx="296">
                  <c:v>7.4</c:v>
                </c:pt>
                <c:pt idx="297">
                  <c:v>7.4</c:v>
                </c:pt>
                <c:pt idx="298">
                  <c:v>7.4</c:v>
                </c:pt>
                <c:pt idx="299">
                  <c:v>7.4</c:v>
                </c:pt>
                <c:pt idx="300">
                  <c:v>7.4</c:v>
                </c:pt>
                <c:pt idx="301">
                  <c:v>7.4</c:v>
                </c:pt>
                <c:pt idx="302">
                  <c:v>7.4</c:v>
                </c:pt>
                <c:pt idx="303">
                  <c:v>7.4</c:v>
                </c:pt>
                <c:pt idx="304">
                  <c:v>7.4</c:v>
                </c:pt>
                <c:pt idx="305">
                  <c:v>7.4</c:v>
                </c:pt>
                <c:pt idx="306">
                  <c:v>7.4</c:v>
                </c:pt>
                <c:pt idx="307">
                  <c:v>7.4</c:v>
                </c:pt>
                <c:pt idx="308">
                  <c:v>7.4</c:v>
                </c:pt>
                <c:pt idx="309">
                  <c:v>7.4</c:v>
                </c:pt>
                <c:pt idx="310">
                  <c:v>7.4</c:v>
                </c:pt>
                <c:pt idx="311">
                  <c:v>7.4</c:v>
                </c:pt>
                <c:pt idx="312">
                  <c:v>7.4</c:v>
                </c:pt>
                <c:pt idx="313">
                  <c:v>7.4</c:v>
                </c:pt>
                <c:pt idx="314">
                  <c:v>7.4</c:v>
                </c:pt>
                <c:pt idx="315">
                  <c:v>7.4</c:v>
                </c:pt>
                <c:pt idx="316">
                  <c:v>7.4</c:v>
                </c:pt>
                <c:pt idx="317">
                  <c:v>7.4</c:v>
                </c:pt>
                <c:pt idx="318">
                  <c:v>7.4</c:v>
                </c:pt>
                <c:pt idx="319">
                  <c:v>7.4</c:v>
                </c:pt>
                <c:pt idx="320">
                  <c:v>7.4</c:v>
                </c:pt>
                <c:pt idx="321">
                  <c:v>7.4</c:v>
                </c:pt>
                <c:pt idx="322">
                  <c:v>7.4</c:v>
                </c:pt>
                <c:pt idx="323">
                  <c:v>7.4</c:v>
                </c:pt>
                <c:pt idx="324">
                  <c:v>7.4</c:v>
                </c:pt>
                <c:pt idx="325">
                  <c:v>7.4</c:v>
                </c:pt>
                <c:pt idx="326">
                  <c:v>7.4</c:v>
                </c:pt>
                <c:pt idx="327">
                  <c:v>7.4</c:v>
                </c:pt>
                <c:pt idx="328">
                  <c:v>7.4</c:v>
                </c:pt>
                <c:pt idx="329">
                  <c:v>7.4</c:v>
                </c:pt>
                <c:pt idx="330">
                  <c:v>7.4</c:v>
                </c:pt>
                <c:pt idx="331">
                  <c:v>7.4</c:v>
                </c:pt>
                <c:pt idx="332">
                  <c:v>7.4</c:v>
                </c:pt>
                <c:pt idx="333">
                  <c:v>7.4</c:v>
                </c:pt>
                <c:pt idx="334">
                  <c:v>7.4</c:v>
                </c:pt>
                <c:pt idx="335">
                  <c:v>7.4</c:v>
                </c:pt>
                <c:pt idx="336">
                  <c:v>7.4</c:v>
                </c:pt>
                <c:pt idx="337">
                  <c:v>7.4</c:v>
                </c:pt>
                <c:pt idx="338">
                  <c:v>7.4</c:v>
                </c:pt>
                <c:pt idx="339">
                  <c:v>7.4</c:v>
                </c:pt>
                <c:pt idx="340">
                  <c:v>7.4</c:v>
                </c:pt>
                <c:pt idx="341">
                  <c:v>7.4</c:v>
                </c:pt>
                <c:pt idx="342">
                  <c:v>7.4</c:v>
                </c:pt>
                <c:pt idx="343">
                  <c:v>7.5</c:v>
                </c:pt>
                <c:pt idx="344">
                  <c:v>7.5</c:v>
                </c:pt>
                <c:pt idx="345">
                  <c:v>7.5</c:v>
                </c:pt>
                <c:pt idx="346">
                  <c:v>7.5</c:v>
                </c:pt>
                <c:pt idx="347">
                  <c:v>7.5</c:v>
                </c:pt>
                <c:pt idx="348">
                  <c:v>7.5</c:v>
                </c:pt>
                <c:pt idx="349">
                  <c:v>7.5</c:v>
                </c:pt>
                <c:pt idx="350">
                  <c:v>7.5</c:v>
                </c:pt>
                <c:pt idx="351">
                  <c:v>7.5</c:v>
                </c:pt>
                <c:pt idx="352">
                  <c:v>7.5</c:v>
                </c:pt>
                <c:pt idx="353">
                  <c:v>7.5</c:v>
                </c:pt>
                <c:pt idx="354">
                  <c:v>7.5</c:v>
                </c:pt>
                <c:pt idx="355">
                  <c:v>7.5</c:v>
                </c:pt>
                <c:pt idx="356">
                  <c:v>7.5</c:v>
                </c:pt>
                <c:pt idx="357">
                  <c:v>7.5</c:v>
                </c:pt>
                <c:pt idx="358">
                  <c:v>7.5</c:v>
                </c:pt>
                <c:pt idx="359">
                  <c:v>7.5</c:v>
                </c:pt>
                <c:pt idx="360">
                  <c:v>7.5</c:v>
                </c:pt>
                <c:pt idx="361">
                  <c:v>7.5</c:v>
                </c:pt>
                <c:pt idx="362">
                  <c:v>7.5</c:v>
                </c:pt>
                <c:pt idx="363">
                  <c:v>7.5</c:v>
                </c:pt>
                <c:pt idx="364">
                  <c:v>7.5</c:v>
                </c:pt>
                <c:pt idx="365">
                  <c:v>7.5</c:v>
                </c:pt>
                <c:pt idx="366">
                  <c:v>7.5</c:v>
                </c:pt>
                <c:pt idx="367">
                  <c:v>7.5</c:v>
                </c:pt>
                <c:pt idx="368">
                  <c:v>7.5</c:v>
                </c:pt>
                <c:pt idx="369">
                  <c:v>7.5</c:v>
                </c:pt>
                <c:pt idx="370">
                  <c:v>7.5</c:v>
                </c:pt>
                <c:pt idx="371">
                  <c:v>7.5</c:v>
                </c:pt>
                <c:pt idx="372">
                  <c:v>7.5</c:v>
                </c:pt>
                <c:pt idx="373">
                  <c:v>7.5</c:v>
                </c:pt>
                <c:pt idx="374">
                  <c:v>7.5</c:v>
                </c:pt>
                <c:pt idx="375">
                  <c:v>7.5</c:v>
                </c:pt>
                <c:pt idx="376">
                  <c:v>7.5</c:v>
                </c:pt>
                <c:pt idx="377">
                  <c:v>7.5</c:v>
                </c:pt>
                <c:pt idx="378">
                  <c:v>7.5</c:v>
                </c:pt>
                <c:pt idx="379">
                  <c:v>7.5</c:v>
                </c:pt>
                <c:pt idx="380">
                  <c:v>7.5</c:v>
                </c:pt>
                <c:pt idx="381">
                  <c:v>7.5</c:v>
                </c:pt>
                <c:pt idx="382">
                  <c:v>7.5</c:v>
                </c:pt>
                <c:pt idx="383">
                  <c:v>7.5</c:v>
                </c:pt>
                <c:pt idx="384">
                  <c:v>7.5</c:v>
                </c:pt>
                <c:pt idx="385">
                  <c:v>7.5</c:v>
                </c:pt>
                <c:pt idx="386">
                  <c:v>7.5</c:v>
                </c:pt>
                <c:pt idx="387">
                  <c:v>7.5</c:v>
                </c:pt>
                <c:pt idx="388">
                  <c:v>7.5</c:v>
                </c:pt>
                <c:pt idx="389">
                  <c:v>7.5</c:v>
                </c:pt>
                <c:pt idx="390">
                  <c:v>7.5</c:v>
                </c:pt>
                <c:pt idx="391">
                  <c:v>7.5</c:v>
                </c:pt>
                <c:pt idx="392">
                  <c:v>7.5</c:v>
                </c:pt>
                <c:pt idx="393">
                  <c:v>7.5</c:v>
                </c:pt>
                <c:pt idx="394">
                  <c:v>7.5</c:v>
                </c:pt>
                <c:pt idx="395">
                  <c:v>7.5</c:v>
                </c:pt>
                <c:pt idx="396">
                  <c:v>7.5</c:v>
                </c:pt>
                <c:pt idx="397">
                  <c:v>7.5</c:v>
                </c:pt>
                <c:pt idx="398">
                  <c:v>7.5</c:v>
                </c:pt>
                <c:pt idx="399">
                  <c:v>7.5</c:v>
                </c:pt>
                <c:pt idx="400">
                  <c:v>7.5</c:v>
                </c:pt>
                <c:pt idx="401">
                  <c:v>7.5</c:v>
                </c:pt>
                <c:pt idx="402">
                  <c:v>7.5</c:v>
                </c:pt>
                <c:pt idx="403">
                  <c:v>7.5</c:v>
                </c:pt>
                <c:pt idx="404">
                  <c:v>7.5</c:v>
                </c:pt>
                <c:pt idx="405">
                  <c:v>7.5</c:v>
                </c:pt>
                <c:pt idx="406">
                  <c:v>7.5</c:v>
                </c:pt>
                <c:pt idx="407">
                  <c:v>7.5</c:v>
                </c:pt>
                <c:pt idx="408">
                  <c:v>7.5</c:v>
                </c:pt>
                <c:pt idx="409">
                  <c:v>7.5</c:v>
                </c:pt>
                <c:pt idx="410">
                  <c:v>7.5</c:v>
                </c:pt>
                <c:pt idx="411">
                  <c:v>7.5</c:v>
                </c:pt>
                <c:pt idx="412">
                  <c:v>7.5</c:v>
                </c:pt>
                <c:pt idx="413">
                  <c:v>7.5</c:v>
                </c:pt>
                <c:pt idx="414">
                  <c:v>7.5</c:v>
                </c:pt>
                <c:pt idx="415">
                  <c:v>7.5</c:v>
                </c:pt>
                <c:pt idx="416">
                  <c:v>7.5</c:v>
                </c:pt>
                <c:pt idx="417">
                  <c:v>7.5</c:v>
                </c:pt>
                <c:pt idx="418">
                  <c:v>7.5</c:v>
                </c:pt>
                <c:pt idx="419">
                  <c:v>7.5</c:v>
                </c:pt>
                <c:pt idx="420">
                  <c:v>7.5</c:v>
                </c:pt>
                <c:pt idx="421">
                  <c:v>7.5</c:v>
                </c:pt>
                <c:pt idx="422">
                  <c:v>7.5</c:v>
                </c:pt>
                <c:pt idx="423">
                  <c:v>7.5</c:v>
                </c:pt>
                <c:pt idx="424">
                  <c:v>7.5</c:v>
                </c:pt>
                <c:pt idx="425">
                  <c:v>7.5</c:v>
                </c:pt>
                <c:pt idx="426">
                  <c:v>7.5</c:v>
                </c:pt>
                <c:pt idx="427">
                  <c:v>7.5</c:v>
                </c:pt>
                <c:pt idx="428">
                  <c:v>7.5</c:v>
                </c:pt>
                <c:pt idx="429">
                  <c:v>7.5</c:v>
                </c:pt>
                <c:pt idx="430">
                  <c:v>7.5</c:v>
                </c:pt>
                <c:pt idx="431">
                  <c:v>7.5</c:v>
                </c:pt>
                <c:pt idx="432">
                  <c:v>7.5</c:v>
                </c:pt>
                <c:pt idx="433">
                  <c:v>7.5</c:v>
                </c:pt>
                <c:pt idx="434">
                  <c:v>7.5</c:v>
                </c:pt>
                <c:pt idx="435">
                  <c:v>7.5</c:v>
                </c:pt>
                <c:pt idx="436">
                  <c:v>7.5</c:v>
                </c:pt>
                <c:pt idx="437">
                  <c:v>7.5</c:v>
                </c:pt>
                <c:pt idx="438">
                  <c:v>7.5</c:v>
                </c:pt>
                <c:pt idx="439">
                  <c:v>7.5</c:v>
                </c:pt>
                <c:pt idx="440">
                  <c:v>7.5</c:v>
                </c:pt>
                <c:pt idx="441">
                  <c:v>7.5</c:v>
                </c:pt>
                <c:pt idx="442">
                  <c:v>7.5</c:v>
                </c:pt>
                <c:pt idx="443">
                  <c:v>7.5</c:v>
                </c:pt>
                <c:pt idx="444">
                  <c:v>7.5</c:v>
                </c:pt>
                <c:pt idx="445">
                  <c:v>7.5</c:v>
                </c:pt>
                <c:pt idx="446">
                  <c:v>7.5</c:v>
                </c:pt>
                <c:pt idx="447">
                  <c:v>7.5</c:v>
                </c:pt>
                <c:pt idx="448">
                  <c:v>7.5</c:v>
                </c:pt>
                <c:pt idx="449">
                  <c:v>7.5</c:v>
                </c:pt>
                <c:pt idx="450">
                  <c:v>7.5</c:v>
                </c:pt>
                <c:pt idx="451">
                  <c:v>7.5</c:v>
                </c:pt>
                <c:pt idx="452">
                  <c:v>7.5</c:v>
                </c:pt>
                <c:pt idx="453">
                  <c:v>7.5</c:v>
                </c:pt>
                <c:pt idx="454">
                  <c:v>7.5</c:v>
                </c:pt>
                <c:pt idx="455">
                  <c:v>7.5</c:v>
                </c:pt>
                <c:pt idx="456">
                  <c:v>7.6</c:v>
                </c:pt>
                <c:pt idx="457">
                  <c:v>7.6</c:v>
                </c:pt>
                <c:pt idx="458">
                  <c:v>7.6</c:v>
                </c:pt>
                <c:pt idx="459">
                  <c:v>7.6</c:v>
                </c:pt>
                <c:pt idx="460">
                  <c:v>7.6</c:v>
                </c:pt>
                <c:pt idx="461">
                  <c:v>7.6</c:v>
                </c:pt>
                <c:pt idx="462">
                  <c:v>7.6</c:v>
                </c:pt>
                <c:pt idx="463">
                  <c:v>7.6</c:v>
                </c:pt>
                <c:pt idx="464">
                  <c:v>7.6</c:v>
                </c:pt>
                <c:pt idx="465">
                  <c:v>7.6</c:v>
                </c:pt>
                <c:pt idx="466">
                  <c:v>7.6</c:v>
                </c:pt>
                <c:pt idx="467">
                  <c:v>7.6</c:v>
                </c:pt>
                <c:pt idx="468">
                  <c:v>7.6</c:v>
                </c:pt>
                <c:pt idx="469">
                  <c:v>7.6</c:v>
                </c:pt>
                <c:pt idx="470">
                  <c:v>7.6</c:v>
                </c:pt>
                <c:pt idx="471">
                  <c:v>7.6</c:v>
                </c:pt>
                <c:pt idx="472">
                  <c:v>7.6</c:v>
                </c:pt>
                <c:pt idx="473">
                  <c:v>7.6</c:v>
                </c:pt>
                <c:pt idx="474">
                  <c:v>7.6</c:v>
                </c:pt>
                <c:pt idx="475">
                  <c:v>7.6</c:v>
                </c:pt>
                <c:pt idx="476">
                  <c:v>7.6</c:v>
                </c:pt>
                <c:pt idx="477">
                  <c:v>7.6</c:v>
                </c:pt>
                <c:pt idx="478">
                  <c:v>7.6</c:v>
                </c:pt>
                <c:pt idx="479">
                  <c:v>7.6</c:v>
                </c:pt>
                <c:pt idx="480">
                  <c:v>7.6</c:v>
                </c:pt>
                <c:pt idx="481">
                  <c:v>7.6</c:v>
                </c:pt>
                <c:pt idx="482">
                  <c:v>7.6</c:v>
                </c:pt>
                <c:pt idx="483">
                  <c:v>7.6</c:v>
                </c:pt>
                <c:pt idx="484">
                  <c:v>7.6</c:v>
                </c:pt>
                <c:pt idx="485">
                  <c:v>7.6</c:v>
                </c:pt>
                <c:pt idx="486">
                  <c:v>7.6</c:v>
                </c:pt>
                <c:pt idx="487">
                  <c:v>7.6</c:v>
                </c:pt>
                <c:pt idx="488">
                  <c:v>7.6</c:v>
                </c:pt>
                <c:pt idx="489">
                  <c:v>7.6</c:v>
                </c:pt>
                <c:pt idx="490">
                  <c:v>7.6</c:v>
                </c:pt>
                <c:pt idx="491">
                  <c:v>7.6</c:v>
                </c:pt>
                <c:pt idx="492">
                  <c:v>7.6</c:v>
                </c:pt>
                <c:pt idx="493">
                  <c:v>7.6</c:v>
                </c:pt>
                <c:pt idx="494">
                  <c:v>7.6</c:v>
                </c:pt>
                <c:pt idx="495">
                  <c:v>7.6</c:v>
                </c:pt>
                <c:pt idx="496">
                  <c:v>7.6</c:v>
                </c:pt>
                <c:pt idx="497">
                  <c:v>7.6</c:v>
                </c:pt>
                <c:pt idx="498">
                  <c:v>7.6</c:v>
                </c:pt>
                <c:pt idx="499">
                  <c:v>7.6</c:v>
                </c:pt>
                <c:pt idx="500">
                  <c:v>7.6</c:v>
                </c:pt>
                <c:pt idx="501">
                  <c:v>7.6</c:v>
                </c:pt>
                <c:pt idx="502">
                  <c:v>7.6</c:v>
                </c:pt>
                <c:pt idx="503">
                  <c:v>7.6</c:v>
                </c:pt>
                <c:pt idx="504">
                  <c:v>7.6</c:v>
                </c:pt>
                <c:pt idx="505">
                  <c:v>7.6</c:v>
                </c:pt>
                <c:pt idx="506">
                  <c:v>7.6</c:v>
                </c:pt>
                <c:pt idx="507">
                  <c:v>7.6</c:v>
                </c:pt>
                <c:pt idx="508">
                  <c:v>7.6</c:v>
                </c:pt>
                <c:pt idx="509">
                  <c:v>7.6</c:v>
                </c:pt>
                <c:pt idx="510">
                  <c:v>7.6</c:v>
                </c:pt>
                <c:pt idx="511">
                  <c:v>7.6</c:v>
                </c:pt>
                <c:pt idx="512">
                  <c:v>7.6</c:v>
                </c:pt>
                <c:pt idx="513">
                  <c:v>7.6</c:v>
                </c:pt>
                <c:pt idx="514">
                  <c:v>7.6</c:v>
                </c:pt>
                <c:pt idx="515">
                  <c:v>7.6</c:v>
                </c:pt>
                <c:pt idx="516">
                  <c:v>7.6</c:v>
                </c:pt>
                <c:pt idx="517">
                  <c:v>7.6</c:v>
                </c:pt>
                <c:pt idx="518">
                  <c:v>7.6</c:v>
                </c:pt>
                <c:pt idx="519">
                  <c:v>7.6</c:v>
                </c:pt>
                <c:pt idx="520">
                  <c:v>7.6</c:v>
                </c:pt>
                <c:pt idx="521">
                  <c:v>7.6</c:v>
                </c:pt>
                <c:pt idx="522">
                  <c:v>7.6</c:v>
                </c:pt>
                <c:pt idx="523">
                  <c:v>7.6</c:v>
                </c:pt>
                <c:pt idx="524">
                  <c:v>7.6</c:v>
                </c:pt>
                <c:pt idx="525">
                  <c:v>7.6</c:v>
                </c:pt>
                <c:pt idx="526">
                  <c:v>7.6</c:v>
                </c:pt>
                <c:pt idx="527">
                  <c:v>7.6</c:v>
                </c:pt>
                <c:pt idx="528">
                  <c:v>7.6</c:v>
                </c:pt>
                <c:pt idx="529">
                  <c:v>7.6</c:v>
                </c:pt>
                <c:pt idx="530">
                  <c:v>7.6</c:v>
                </c:pt>
                <c:pt idx="531">
                  <c:v>7.6</c:v>
                </c:pt>
                <c:pt idx="532">
                  <c:v>7.6</c:v>
                </c:pt>
                <c:pt idx="533">
                  <c:v>7.6</c:v>
                </c:pt>
                <c:pt idx="534">
                  <c:v>7.6</c:v>
                </c:pt>
                <c:pt idx="535">
                  <c:v>7.6</c:v>
                </c:pt>
                <c:pt idx="536">
                  <c:v>7.6</c:v>
                </c:pt>
                <c:pt idx="537">
                  <c:v>7.6</c:v>
                </c:pt>
                <c:pt idx="538">
                  <c:v>7.6</c:v>
                </c:pt>
                <c:pt idx="539">
                  <c:v>7.6</c:v>
                </c:pt>
                <c:pt idx="540">
                  <c:v>7.6</c:v>
                </c:pt>
                <c:pt idx="541">
                  <c:v>7.6</c:v>
                </c:pt>
                <c:pt idx="542">
                  <c:v>7.6</c:v>
                </c:pt>
                <c:pt idx="543">
                  <c:v>7.6</c:v>
                </c:pt>
                <c:pt idx="544">
                  <c:v>7.6</c:v>
                </c:pt>
                <c:pt idx="545">
                  <c:v>7.6</c:v>
                </c:pt>
                <c:pt idx="546">
                  <c:v>7.6</c:v>
                </c:pt>
                <c:pt idx="547">
                  <c:v>7.6</c:v>
                </c:pt>
                <c:pt idx="548">
                  <c:v>7.6</c:v>
                </c:pt>
                <c:pt idx="549">
                  <c:v>7.6</c:v>
                </c:pt>
                <c:pt idx="550">
                  <c:v>7.6</c:v>
                </c:pt>
                <c:pt idx="551">
                  <c:v>7.6</c:v>
                </c:pt>
                <c:pt idx="552">
                  <c:v>7.6</c:v>
                </c:pt>
                <c:pt idx="553">
                  <c:v>7.6</c:v>
                </c:pt>
                <c:pt idx="554">
                  <c:v>7.6</c:v>
                </c:pt>
                <c:pt idx="555">
                  <c:v>7.6</c:v>
                </c:pt>
                <c:pt idx="556">
                  <c:v>7.6</c:v>
                </c:pt>
                <c:pt idx="557">
                  <c:v>7.6</c:v>
                </c:pt>
                <c:pt idx="558">
                  <c:v>7.6</c:v>
                </c:pt>
                <c:pt idx="559">
                  <c:v>7.6</c:v>
                </c:pt>
                <c:pt idx="560">
                  <c:v>7.6</c:v>
                </c:pt>
                <c:pt idx="561">
                  <c:v>7.6</c:v>
                </c:pt>
                <c:pt idx="562">
                  <c:v>7.6</c:v>
                </c:pt>
                <c:pt idx="563">
                  <c:v>7.6</c:v>
                </c:pt>
                <c:pt idx="564">
                  <c:v>7.6</c:v>
                </c:pt>
                <c:pt idx="565">
                  <c:v>7.6</c:v>
                </c:pt>
                <c:pt idx="566">
                  <c:v>7.6</c:v>
                </c:pt>
                <c:pt idx="567">
                  <c:v>7.6</c:v>
                </c:pt>
                <c:pt idx="568">
                  <c:v>7.6</c:v>
                </c:pt>
                <c:pt idx="569">
                  <c:v>7.6</c:v>
                </c:pt>
                <c:pt idx="570">
                  <c:v>7.6</c:v>
                </c:pt>
                <c:pt idx="571">
                  <c:v>7.6</c:v>
                </c:pt>
                <c:pt idx="572">
                  <c:v>7.6</c:v>
                </c:pt>
                <c:pt idx="573">
                  <c:v>7.6</c:v>
                </c:pt>
                <c:pt idx="574">
                  <c:v>7.6</c:v>
                </c:pt>
                <c:pt idx="575">
                  <c:v>7.6</c:v>
                </c:pt>
                <c:pt idx="576">
                  <c:v>7.6</c:v>
                </c:pt>
                <c:pt idx="577">
                  <c:v>7.6</c:v>
                </c:pt>
                <c:pt idx="578">
                  <c:v>7.6</c:v>
                </c:pt>
                <c:pt idx="579">
                  <c:v>7.6</c:v>
                </c:pt>
                <c:pt idx="580">
                  <c:v>7.6</c:v>
                </c:pt>
                <c:pt idx="581">
                  <c:v>7.6</c:v>
                </c:pt>
                <c:pt idx="582">
                  <c:v>7.6</c:v>
                </c:pt>
                <c:pt idx="583">
                  <c:v>7.6</c:v>
                </c:pt>
                <c:pt idx="584">
                  <c:v>7.6</c:v>
                </c:pt>
                <c:pt idx="585">
                  <c:v>7.6</c:v>
                </c:pt>
                <c:pt idx="586">
                  <c:v>7.6</c:v>
                </c:pt>
                <c:pt idx="587">
                  <c:v>7.6</c:v>
                </c:pt>
                <c:pt idx="588">
                  <c:v>7.6</c:v>
                </c:pt>
                <c:pt idx="589">
                  <c:v>7.6</c:v>
                </c:pt>
                <c:pt idx="590">
                  <c:v>7.6</c:v>
                </c:pt>
                <c:pt idx="591">
                  <c:v>7.6</c:v>
                </c:pt>
                <c:pt idx="592">
                  <c:v>7.6</c:v>
                </c:pt>
                <c:pt idx="593">
                  <c:v>7.6</c:v>
                </c:pt>
                <c:pt idx="594">
                  <c:v>7.6</c:v>
                </c:pt>
                <c:pt idx="595">
                  <c:v>7.6</c:v>
                </c:pt>
                <c:pt idx="596">
                  <c:v>7.6</c:v>
                </c:pt>
                <c:pt idx="597">
                  <c:v>7.6</c:v>
                </c:pt>
                <c:pt idx="598">
                  <c:v>7.6</c:v>
                </c:pt>
                <c:pt idx="599">
                  <c:v>7.6</c:v>
                </c:pt>
                <c:pt idx="600">
                  <c:v>7.6</c:v>
                </c:pt>
                <c:pt idx="601">
                  <c:v>7.6</c:v>
                </c:pt>
                <c:pt idx="602">
                  <c:v>7.6</c:v>
                </c:pt>
                <c:pt idx="603">
                  <c:v>7.6</c:v>
                </c:pt>
                <c:pt idx="604">
                  <c:v>7.6</c:v>
                </c:pt>
                <c:pt idx="605">
                  <c:v>7.6</c:v>
                </c:pt>
                <c:pt idx="606">
                  <c:v>7.6</c:v>
                </c:pt>
                <c:pt idx="607">
                  <c:v>7.6</c:v>
                </c:pt>
                <c:pt idx="608">
                  <c:v>7.6</c:v>
                </c:pt>
                <c:pt idx="609">
                  <c:v>7.6</c:v>
                </c:pt>
                <c:pt idx="610">
                  <c:v>7.6</c:v>
                </c:pt>
                <c:pt idx="611">
                  <c:v>7.6</c:v>
                </c:pt>
                <c:pt idx="612">
                  <c:v>7.6</c:v>
                </c:pt>
                <c:pt idx="613">
                  <c:v>7.6</c:v>
                </c:pt>
                <c:pt idx="614">
                  <c:v>7.6</c:v>
                </c:pt>
                <c:pt idx="615">
                  <c:v>7.6</c:v>
                </c:pt>
                <c:pt idx="616">
                  <c:v>7.6</c:v>
                </c:pt>
                <c:pt idx="617">
                  <c:v>7.6</c:v>
                </c:pt>
                <c:pt idx="618">
                  <c:v>7.6</c:v>
                </c:pt>
                <c:pt idx="619">
                  <c:v>7.6</c:v>
                </c:pt>
                <c:pt idx="620">
                  <c:v>7.6</c:v>
                </c:pt>
                <c:pt idx="621">
                  <c:v>7.6</c:v>
                </c:pt>
                <c:pt idx="622">
                  <c:v>7.6</c:v>
                </c:pt>
                <c:pt idx="623">
                  <c:v>7.6</c:v>
                </c:pt>
                <c:pt idx="624">
                  <c:v>7.6</c:v>
                </c:pt>
                <c:pt idx="625">
                  <c:v>7.6</c:v>
                </c:pt>
                <c:pt idx="626">
                  <c:v>7.6</c:v>
                </c:pt>
                <c:pt idx="627">
                  <c:v>7.6</c:v>
                </c:pt>
                <c:pt idx="628">
                  <c:v>7.6</c:v>
                </c:pt>
                <c:pt idx="629">
                  <c:v>7.6</c:v>
                </c:pt>
                <c:pt idx="630">
                  <c:v>7.6</c:v>
                </c:pt>
                <c:pt idx="631">
                  <c:v>7.6</c:v>
                </c:pt>
                <c:pt idx="632">
                  <c:v>7.6</c:v>
                </c:pt>
                <c:pt idx="633">
                  <c:v>7.6</c:v>
                </c:pt>
                <c:pt idx="634">
                  <c:v>7.6</c:v>
                </c:pt>
                <c:pt idx="635">
                  <c:v>7.6</c:v>
                </c:pt>
                <c:pt idx="636">
                  <c:v>7.6</c:v>
                </c:pt>
                <c:pt idx="637">
                  <c:v>7.6</c:v>
                </c:pt>
                <c:pt idx="638">
                  <c:v>7.6</c:v>
                </c:pt>
                <c:pt idx="639">
                  <c:v>7.6</c:v>
                </c:pt>
                <c:pt idx="640">
                  <c:v>7.6</c:v>
                </c:pt>
                <c:pt idx="641">
                  <c:v>7.6</c:v>
                </c:pt>
                <c:pt idx="642">
                  <c:v>7.6</c:v>
                </c:pt>
                <c:pt idx="643">
                  <c:v>7.6</c:v>
                </c:pt>
                <c:pt idx="644">
                  <c:v>7.6</c:v>
                </c:pt>
                <c:pt idx="645">
                  <c:v>7.6</c:v>
                </c:pt>
                <c:pt idx="646">
                  <c:v>7.6</c:v>
                </c:pt>
                <c:pt idx="647">
                  <c:v>7.6</c:v>
                </c:pt>
                <c:pt idx="648">
                  <c:v>7.6</c:v>
                </c:pt>
                <c:pt idx="649">
                  <c:v>7.6</c:v>
                </c:pt>
                <c:pt idx="650">
                  <c:v>7.6</c:v>
                </c:pt>
                <c:pt idx="651">
                  <c:v>7.6</c:v>
                </c:pt>
                <c:pt idx="652">
                  <c:v>7.6</c:v>
                </c:pt>
                <c:pt idx="653">
                  <c:v>7.6</c:v>
                </c:pt>
                <c:pt idx="654">
                  <c:v>7.6</c:v>
                </c:pt>
                <c:pt idx="655">
                  <c:v>7.6</c:v>
                </c:pt>
                <c:pt idx="656">
                  <c:v>7.6</c:v>
                </c:pt>
                <c:pt idx="657">
                  <c:v>7.6</c:v>
                </c:pt>
                <c:pt idx="658">
                  <c:v>7.6</c:v>
                </c:pt>
                <c:pt idx="659">
                  <c:v>7.6</c:v>
                </c:pt>
                <c:pt idx="660">
                  <c:v>7.6</c:v>
                </c:pt>
                <c:pt idx="661">
                  <c:v>7.6</c:v>
                </c:pt>
                <c:pt idx="662">
                  <c:v>7.6</c:v>
                </c:pt>
                <c:pt idx="663">
                  <c:v>7.6</c:v>
                </c:pt>
                <c:pt idx="664">
                  <c:v>7.6</c:v>
                </c:pt>
                <c:pt idx="665">
                  <c:v>7.6</c:v>
                </c:pt>
                <c:pt idx="666">
                  <c:v>7.6</c:v>
                </c:pt>
                <c:pt idx="667">
                  <c:v>7.6</c:v>
                </c:pt>
                <c:pt idx="668">
                  <c:v>7.6</c:v>
                </c:pt>
                <c:pt idx="669">
                  <c:v>7.6</c:v>
                </c:pt>
                <c:pt idx="670">
                  <c:v>7.6</c:v>
                </c:pt>
                <c:pt idx="671">
                  <c:v>7.6</c:v>
                </c:pt>
                <c:pt idx="672">
                  <c:v>7.6</c:v>
                </c:pt>
                <c:pt idx="673">
                  <c:v>7.6</c:v>
                </c:pt>
                <c:pt idx="674">
                  <c:v>7.6</c:v>
                </c:pt>
                <c:pt idx="675">
                  <c:v>7.6</c:v>
                </c:pt>
                <c:pt idx="676">
                  <c:v>7.6</c:v>
                </c:pt>
                <c:pt idx="677">
                  <c:v>7.6</c:v>
                </c:pt>
                <c:pt idx="678">
                  <c:v>7.6</c:v>
                </c:pt>
                <c:pt idx="679">
                  <c:v>7.6</c:v>
                </c:pt>
                <c:pt idx="680">
                  <c:v>7.6</c:v>
                </c:pt>
                <c:pt idx="681">
                  <c:v>7.6</c:v>
                </c:pt>
                <c:pt idx="682">
                  <c:v>7.6</c:v>
                </c:pt>
                <c:pt idx="683">
                  <c:v>7.6</c:v>
                </c:pt>
                <c:pt idx="684">
                  <c:v>7.6</c:v>
                </c:pt>
                <c:pt idx="685">
                  <c:v>7.6</c:v>
                </c:pt>
                <c:pt idx="686">
                  <c:v>7.6</c:v>
                </c:pt>
                <c:pt idx="687">
                  <c:v>7.6</c:v>
                </c:pt>
                <c:pt idx="688">
                  <c:v>7.6</c:v>
                </c:pt>
                <c:pt idx="689">
                  <c:v>7.6</c:v>
                </c:pt>
                <c:pt idx="690">
                  <c:v>7.6</c:v>
                </c:pt>
                <c:pt idx="691">
                  <c:v>7.6</c:v>
                </c:pt>
                <c:pt idx="692">
                  <c:v>7.6</c:v>
                </c:pt>
                <c:pt idx="693">
                  <c:v>7.6</c:v>
                </c:pt>
                <c:pt idx="694">
                  <c:v>7.6</c:v>
                </c:pt>
                <c:pt idx="695">
                  <c:v>7.6</c:v>
                </c:pt>
                <c:pt idx="696">
                  <c:v>7.6</c:v>
                </c:pt>
                <c:pt idx="697">
                  <c:v>7.6</c:v>
                </c:pt>
                <c:pt idx="698">
                  <c:v>7.6</c:v>
                </c:pt>
                <c:pt idx="699">
                  <c:v>7.6</c:v>
                </c:pt>
                <c:pt idx="700">
                  <c:v>7.6</c:v>
                </c:pt>
                <c:pt idx="701">
                  <c:v>7.6</c:v>
                </c:pt>
                <c:pt idx="702">
                  <c:v>7.6</c:v>
                </c:pt>
                <c:pt idx="703">
                  <c:v>7.6</c:v>
                </c:pt>
                <c:pt idx="704">
                  <c:v>7.6</c:v>
                </c:pt>
                <c:pt idx="705">
                  <c:v>7.6</c:v>
                </c:pt>
                <c:pt idx="706">
                  <c:v>7.6</c:v>
                </c:pt>
                <c:pt idx="707">
                  <c:v>7.6</c:v>
                </c:pt>
                <c:pt idx="708">
                  <c:v>7.6</c:v>
                </c:pt>
                <c:pt idx="709">
                  <c:v>7.6</c:v>
                </c:pt>
                <c:pt idx="710">
                  <c:v>7.6</c:v>
                </c:pt>
                <c:pt idx="711">
                  <c:v>7.6</c:v>
                </c:pt>
                <c:pt idx="712">
                  <c:v>7.6</c:v>
                </c:pt>
                <c:pt idx="713">
                  <c:v>7.6</c:v>
                </c:pt>
                <c:pt idx="714">
                  <c:v>7.6</c:v>
                </c:pt>
                <c:pt idx="715">
                  <c:v>7.6</c:v>
                </c:pt>
                <c:pt idx="716">
                  <c:v>7.6</c:v>
                </c:pt>
                <c:pt idx="717">
                  <c:v>7.6</c:v>
                </c:pt>
                <c:pt idx="718">
                  <c:v>7.6</c:v>
                </c:pt>
                <c:pt idx="719">
                  <c:v>7.6</c:v>
                </c:pt>
                <c:pt idx="720">
                  <c:v>7.6</c:v>
                </c:pt>
                <c:pt idx="721">
                  <c:v>7.6</c:v>
                </c:pt>
                <c:pt idx="722">
                  <c:v>7.6</c:v>
                </c:pt>
                <c:pt idx="723">
                  <c:v>7.6</c:v>
                </c:pt>
                <c:pt idx="724">
                  <c:v>7.6</c:v>
                </c:pt>
                <c:pt idx="725">
                  <c:v>7.6</c:v>
                </c:pt>
                <c:pt idx="726">
                  <c:v>7.6</c:v>
                </c:pt>
                <c:pt idx="727">
                  <c:v>7.6</c:v>
                </c:pt>
                <c:pt idx="728">
                  <c:v>7.6</c:v>
                </c:pt>
                <c:pt idx="729">
                  <c:v>7.6</c:v>
                </c:pt>
                <c:pt idx="730">
                  <c:v>7.6</c:v>
                </c:pt>
                <c:pt idx="731">
                  <c:v>7.6</c:v>
                </c:pt>
                <c:pt idx="732">
                  <c:v>7.6</c:v>
                </c:pt>
                <c:pt idx="733">
                  <c:v>7.6</c:v>
                </c:pt>
                <c:pt idx="734">
                  <c:v>7.6</c:v>
                </c:pt>
                <c:pt idx="735">
                  <c:v>7.6</c:v>
                </c:pt>
                <c:pt idx="736">
                  <c:v>7.6</c:v>
                </c:pt>
                <c:pt idx="737">
                  <c:v>7.6</c:v>
                </c:pt>
                <c:pt idx="738">
                  <c:v>7.6</c:v>
                </c:pt>
                <c:pt idx="739">
                  <c:v>7.6</c:v>
                </c:pt>
                <c:pt idx="740">
                  <c:v>7.6</c:v>
                </c:pt>
                <c:pt idx="741">
                  <c:v>7.6</c:v>
                </c:pt>
                <c:pt idx="742">
                  <c:v>7.6</c:v>
                </c:pt>
                <c:pt idx="743">
                  <c:v>7.6</c:v>
                </c:pt>
                <c:pt idx="744">
                  <c:v>7.6</c:v>
                </c:pt>
                <c:pt idx="745">
                  <c:v>8.1</c:v>
                </c:pt>
                <c:pt idx="746">
                  <c:v>8.1</c:v>
                </c:pt>
                <c:pt idx="747">
                  <c:v>8.1</c:v>
                </c:pt>
                <c:pt idx="748">
                  <c:v>8.2000000000000011</c:v>
                </c:pt>
                <c:pt idx="749">
                  <c:v>8.3000000000000007</c:v>
                </c:pt>
                <c:pt idx="750">
                  <c:v>8.3000000000000007</c:v>
                </c:pt>
                <c:pt idx="751">
                  <c:v>8.3000000000000007</c:v>
                </c:pt>
                <c:pt idx="752">
                  <c:v>8.3000000000000007</c:v>
                </c:pt>
                <c:pt idx="753">
                  <c:v>8.3000000000000007</c:v>
                </c:pt>
                <c:pt idx="754">
                  <c:v>8.3000000000000007</c:v>
                </c:pt>
                <c:pt idx="755">
                  <c:v>8.3000000000000007</c:v>
                </c:pt>
                <c:pt idx="756">
                  <c:v>8.3000000000000007</c:v>
                </c:pt>
                <c:pt idx="757">
                  <c:v>8.4</c:v>
                </c:pt>
                <c:pt idx="758">
                  <c:v>8.4</c:v>
                </c:pt>
                <c:pt idx="759">
                  <c:v>8.4</c:v>
                </c:pt>
                <c:pt idx="760">
                  <c:v>8.4</c:v>
                </c:pt>
                <c:pt idx="761">
                  <c:v>8.4</c:v>
                </c:pt>
                <c:pt idx="762">
                  <c:v>8.4</c:v>
                </c:pt>
                <c:pt idx="763">
                  <c:v>8.4</c:v>
                </c:pt>
                <c:pt idx="764">
                  <c:v>8.5</c:v>
                </c:pt>
                <c:pt idx="765">
                  <c:v>8.5</c:v>
                </c:pt>
                <c:pt idx="766">
                  <c:v>8.5</c:v>
                </c:pt>
                <c:pt idx="767">
                  <c:v>8.5</c:v>
                </c:pt>
                <c:pt idx="768">
                  <c:v>8.5</c:v>
                </c:pt>
                <c:pt idx="769">
                  <c:v>8.5</c:v>
                </c:pt>
                <c:pt idx="770">
                  <c:v>8.5</c:v>
                </c:pt>
                <c:pt idx="771">
                  <c:v>8.5</c:v>
                </c:pt>
                <c:pt idx="772">
                  <c:v>8.5</c:v>
                </c:pt>
                <c:pt idx="773">
                  <c:v>8.5</c:v>
                </c:pt>
                <c:pt idx="774">
                  <c:v>8.5</c:v>
                </c:pt>
                <c:pt idx="775">
                  <c:v>8.5</c:v>
                </c:pt>
                <c:pt idx="776">
                  <c:v>8.5</c:v>
                </c:pt>
                <c:pt idx="777">
                  <c:v>8.5</c:v>
                </c:pt>
                <c:pt idx="778">
                  <c:v>8.5</c:v>
                </c:pt>
                <c:pt idx="779">
                  <c:v>8.5</c:v>
                </c:pt>
                <c:pt idx="780">
                  <c:v>8.5</c:v>
                </c:pt>
                <c:pt idx="781">
                  <c:v>8.5</c:v>
                </c:pt>
                <c:pt idx="782">
                  <c:v>8.5</c:v>
                </c:pt>
                <c:pt idx="783">
                  <c:v>8.5</c:v>
                </c:pt>
                <c:pt idx="784">
                  <c:v>8.5</c:v>
                </c:pt>
                <c:pt idx="785">
                  <c:v>8.5</c:v>
                </c:pt>
                <c:pt idx="786">
                  <c:v>8.5</c:v>
                </c:pt>
                <c:pt idx="787">
                  <c:v>8.5</c:v>
                </c:pt>
                <c:pt idx="788">
                  <c:v>8.5</c:v>
                </c:pt>
                <c:pt idx="789">
                  <c:v>8.5</c:v>
                </c:pt>
                <c:pt idx="790">
                  <c:v>8.5</c:v>
                </c:pt>
                <c:pt idx="791">
                  <c:v>8.5</c:v>
                </c:pt>
                <c:pt idx="792">
                  <c:v>8.5</c:v>
                </c:pt>
                <c:pt idx="793">
                  <c:v>8.5</c:v>
                </c:pt>
                <c:pt idx="794">
                  <c:v>8.5</c:v>
                </c:pt>
                <c:pt idx="795">
                  <c:v>8.6</c:v>
                </c:pt>
                <c:pt idx="796">
                  <c:v>8.6</c:v>
                </c:pt>
                <c:pt idx="797">
                  <c:v>8.6</c:v>
                </c:pt>
                <c:pt idx="798">
                  <c:v>8.6</c:v>
                </c:pt>
                <c:pt idx="799">
                  <c:v>8.6</c:v>
                </c:pt>
                <c:pt idx="800">
                  <c:v>8.6</c:v>
                </c:pt>
                <c:pt idx="801">
                  <c:v>8.6</c:v>
                </c:pt>
                <c:pt idx="802">
                  <c:v>8.6</c:v>
                </c:pt>
                <c:pt idx="803">
                  <c:v>8.6</c:v>
                </c:pt>
                <c:pt idx="804">
                  <c:v>8.6</c:v>
                </c:pt>
                <c:pt idx="805">
                  <c:v>8.6</c:v>
                </c:pt>
                <c:pt idx="806">
                  <c:v>8.6</c:v>
                </c:pt>
                <c:pt idx="807">
                  <c:v>8.6</c:v>
                </c:pt>
                <c:pt idx="808">
                  <c:v>8.6</c:v>
                </c:pt>
                <c:pt idx="809">
                  <c:v>8.6</c:v>
                </c:pt>
                <c:pt idx="810">
                  <c:v>8.6</c:v>
                </c:pt>
                <c:pt idx="811">
                  <c:v>8.6</c:v>
                </c:pt>
                <c:pt idx="812">
                  <c:v>8.6</c:v>
                </c:pt>
                <c:pt idx="813">
                  <c:v>8.6</c:v>
                </c:pt>
                <c:pt idx="814">
                  <c:v>8.6</c:v>
                </c:pt>
                <c:pt idx="815">
                  <c:v>8.6</c:v>
                </c:pt>
                <c:pt idx="816">
                  <c:v>8.6</c:v>
                </c:pt>
                <c:pt idx="817">
                  <c:v>8.6</c:v>
                </c:pt>
                <c:pt idx="818">
                  <c:v>8.6</c:v>
                </c:pt>
                <c:pt idx="819">
                  <c:v>8.6</c:v>
                </c:pt>
                <c:pt idx="820">
                  <c:v>8.6</c:v>
                </c:pt>
                <c:pt idx="821">
                  <c:v>8.6</c:v>
                </c:pt>
                <c:pt idx="822">
                  <c:v>8.6</c:v>
                </c:pt>
                <c:pt idx="823">
                  <c:v>8.6</c:v>
                </c:pt>
                <c:pt idx="824">
                  <c:v>8.6</c:v>
                </c:pt>
                <c:pt idx="825">
                  <c:v>8.6</c:v>
                </c:pt>
                <c:pt idx="826">
                  <c:v>8.6</c:v>
                </c:pt>
                <c:pt idx="827">
                  <c:v>8.6</c:v>
                </c:pt>
                <c:pt idx="828">
                  <c:v>8.6</c:v>
                </c:pt>
                <c:pt idx="829">
                  <c:v>8.6</c:v>
                </c:pt>
                <c:pt idx="830">
                  <c:v>8.6</c:v>
                </c:pt>
                <c:pt idx="831">
                  <c:v>8.6</c:v>
                </c:pt>
                <c:pt idx="832">
                  <c:v>8.6</c:v>
                </c:pt>
                <c:pt idx="833">
                  <c:v>8.6</c:v>
                </c:pt>
                <c:pt idx="834">
                  <c:v>8.6</c:v>
                </c:pt>
                <c:pt idx="835">
                  <c:v>8.6</c:v>
                </c:pt>
                <c:pt idx="836">
                  <c:v>8.6</c:v>
                </c:pt>
                <c:pt idx="837">
                  <c:v>8.6</c:v>
                </c:pt>
                <c:pt idx="838">
                  <c:v>8.6</c:v>
                </c:pt>
                <c:pt idx="839">
                  <c:v>8.6</c:v>
                </c:pt>
                <c:pt idx="840">
                  <c:v>8.6</c:v>
                </c:pt>
                <c:pt idx="841">
                  <c:v>8.6</c:v>
                </c:pt>
                <c:pt idx="842">
                  <c:v>8.6</c:v>
                </c:pt>
                <c:pt idx="843">
                  <c:v>8.6</c:v>
                </c:pt>
                <c:pt idx="844">
                  <c:v>8.6</c:v>
                </c:pt>
                <c:pt idx="845">
                  <c:v>8.6</c:v>
                </c:pt>
                <c:pt idx="846">
                  <c:v>8.6</c:v>
                </c:pt>
                <c:pt idx="847">
                  <c:v>8.6</c:v>
                </c:pt>
                <c:pt idx="848">
                  <c:v>8.6</c:v>
                </c:pt>
                <c:pt idx="849">
                  <c:v>8.6</c:v>
                </c:pt>
                <c:pt idx="850">
                  <c:v>8.6</c:v>
                </c:pt>
                <c:pt idx="851">
                  <c:v>8.6</c:v>
                </c:pt>
                <c:pt idx="852">
                  <c:v>8.6</c:v>
                </c:pt>
                <c:pt idx="853">
                  <c:v>8.6</c:v>
                </c:pt>
                <c:pt idx="854">
                  <c:v>8.6</c:v>
                </c:pt>
                <c:pt idx="855">
                  <c:v>8.6</c:v>
                </c:pt>
                <c:pt idx="856">
                  <c:v>8.6</c:v>
                </c:pt>
                <c:pt idx="857">
                  <c:v>8.6</c:v>
                </c:pt>
                <c:pt idx="858">
                  <c:v>8.6</c:v>
                </c:pt>
                <c:pt idx="859">
                  <c:v>8.6</c:v>
                </c:pt>
                <c:pt idx="860">
                  <c:v>8.6</c:v>
                </c:pt>
                <c:pt idx="861">
                  <c:v>8.6</c:v>
                </c:pt>
                <c:pt idx="862">
                  <c:v>8.6</c:v>
                </c:pt>
                <c:pt idx="863">
                  <c:v>8.6</c:v>
                </c:pt>
                <c:pt idx="864">
                  <c:v>8.6</c:v>
                </c:pt>
                <c:pt idx="865">
                  <c:v>8.6</c:v>
                </c:pt>
                <c:pt idx="866">
                  <c:v>8.6</c:v>
                </c:pt>
                <c:pt idx="867">
                  <c:v>8.6</c:v>
                </c:pt>
                <c:pt idx="868">
                  <c:v>8.6</c:v>
                </c:pt>
                <c:pt idx="869">
                  <c:v>8.6</c:v>
                </c:pt>
                <c:pt idx="870">
                  <c:v>8.6</c:v>
                </c:pt>
                <c:pt idx="871">
                  <c:v>8.6</c:v>
                </c:pt>
                <c:pt idx="872">
                  <c:v>8.6</c:v>
                </c:pt>
                <c:pt idx="873">
                  <c:v>8.6</c:v>
                </c:pt>
                <c:pt idx="874">
                  <c:v>8.6</c:v>
                </c:pt>
                <c:pt idx="875">
                  <c:v>8.6</c:v>
                </c:pt>
                <c:pt idx="876">
                  <c:v>8.6</c:v>
                </c:pt>
                <c:pt idx="877">
                  <c:v>8.6</c:v>
                </c:pt>
                <c:pt idx="878">
                  <c:v>8.6</c:v>
                </c:pt>
                <c:pt idx="879">
                  <c:v>8.6</c:v>
                </c:pt>
                <c:pt idx="880">
                  <c:v>8.6</c:v>
                </c:pt>
                <c:pt idx="881">
                  <c:v>8.6</c:v>
                </c:pt>
                <c:pt idx="882">
                  <c:v>8.6</c:v>
                </c:pt>
                <c:pt idx="883">
                  <c:v>8.6</c:v>
                </c:pt>
                <c:pt idx="884">
                  <c:v>8.6</c:v>
                </c:pt>
                <c:pt idx="885">
                  <c:v>8.6</c:v>
                </c:pt>
                <c:pt idx="886">
                  <c:v>8.6</c:v>
                </c:pt>
                <c:pt idx="887">
                  <c:v>8.6</c:v>
                </c:pt>
                <c:pt idx="888">
                  <c:v>8.6</c:v>
                </c:pt>
                <c:pt idx="889">
                  <c:v>8.6</c:v>
                </c:pt>
                <c:pt idx="890">
                  <c:v>8.6</c:v>
                </c:pt>
                <c:pt idx="891">
                  <c:v>8.6</c:v>
                </c:pt>
                <c:pt idx="892">
                  <c:v>8.6</c:v>
                </c:pt>
                <c:pt idx="893">
                  <c:v>8.6</c:v>
                </c:pt>
                <c:pt idx="894">
                  <c:v>8.6</c:v>
                </c:pt>
                <c:pt idx="895">
                  <c:v>8.6</c:v>
                </c:pt>
                <c:pt idx="896">
                  <c:v>8.6</c:v>
                </c:pt>
                <c:pt idx="897">
                  <c:v>8.6</c:v>
                </c:pt>
                <c:pt idx="898">
                  <c:v>8.6</c:v>
                </c:pt>
                <c:pt idx="899">
                  <c:v>8.6</c:v>
                </c:pt>
                <c:pt idx="900">
                  <c:v>8.6</c:v>
                </c:pt>
                <c:pt idx="901">
                  <c:v>8.6</c:v>
                </c:pt>
                <c:pt idx="902">
                  <c:v>8.6</c:v>
                </c:pt>
                <c:pt idx="903">
                  <c:v>8.6</c:v>
                </c:pt>
                <c:pt idx="904">
                  <c:v>8.6</c:v>
                </c:pt>
                <c:pt idx="905">
                  <c:v>8.6</c:v>
                </c:pt>
                <c:pt idx="906">
                  <c:v>8.6</c:v>
                </c:pt>
                <c:pt idx="907">
                  <c:v>8.6</c:v>
                </c:pt>
                <c:pt idx="908">
                  <c:v>8.6</c:v>
                </c:pt>
                <c:pt idx="909">
                  <c:v>8.6</c:v>
                </c:pt>
                <c:pt idx="910">
                  <c:v>8.6</c:v>
                </c:pt>
                <c:pt idx="911">
                  <c:v>8.6</c:v>
                </c:pt>
                <c:pt idx="912">
                  <c:v>8.6</c:v>
                </c:pt>
                <c:pt idx="913">
                  <c:v>8.6</c:v>
                </c:pt>
                <c:pt idx="914">
                  <c:v>8.6</c:v>
                </c:pt>
                <c:pt idx="915">
                  <c:v>8.6</c:v>
                </c:pt>
                <c:pt idx="916">
                  <c:v>8.6</c:v>
                </c:pt>
                <c:pt idx="917">
                  <c:v>8.6</c:v>
                </c:pt>
                <c:pt idx="918">
                  <c:v>8.6</c:v>
                </c:pt>
                <c:pt idx="919">
                  <c:v>8.6</c:v>
                </c:pt>
                <c:pt idx="920">
                  <c:v>8.6</c:v>
                </c:pt>
                <c:pt idx="921">
                  <c:v>8.6</c:v>
                </c:pt>
                <c:pt idx="922">
                  <c:v>8.6</c:v>
                </c:pt>
                <c:pt idx="923">
                  <c:v>8.6</c:v>
                </c:pt>
                <c:pt idx="924">
                  <c:v>8.6</c:v>
                </c:pt>
                <c:pt idx="925">
                  <c:v>8.6</c:v>
                </c:pt>
                <c:pt idx="926">
                  <c:v>8.6</c:v>
                </c:pt>
                <c:pt idx="927">
                  <c:v>8.6</c:v>
                </c:pt>
                <c:pt idx="928">
                  <c:v>8.6</c:v>
                </c:pt>
                <c:pt idx="929">
                  <c:v>8.6</c:v>
                </c:pt>
                <c:pt idx="930">
                  <c:v>8.6</c:v>
                </c:pt>
                <c:pt idx="931">
                  <c:v>8.6</c:v>
                </c:pt>
                <c:pt idx="932">
                  <c:v>8.6</c:v>
                </c:pt>
                <c:pt idx="933">
                  <c:v>8.6</c:v>
                </c:pt>
                <c:pt idx="934">
                  <c:v>8.6</c:v>
                </c:pt>
                <c:pt idx="935">
                  <c:v>8.6</c:v>
                </c:pt>
                <c:pt idx="936">
                  <c:v>8.6</c:v>
                </c:pt>
                <c:pt idx="937">
                  <c:v>8.6</c:v>
                </c:pt>
                <c:pt idx="938">
                  <c:v>8.6</c:v>
                </c:pt>
                <c:pt idx="939">
                  <c:v>8.6</c:v>
                </c:pt>
                <c:pt idx="940">
                  <c:v>8.6</c:v>
                </c:pt>
                <c:pt idx="941">
                  <c:v>8.6</c:v>
                </c:pt>
                <c:pt idx="942">
                  <c:v>8.6</c:v>
                </c:pt>
                <c:pt idx="943">
                  <c:v>8.6</c:v>
                </c:pt>
                <c:pt idx="944">
                  <c:v>8.6</c:v>
                </c:pt>
                <c:pt idx="945">
                  <c:v>8.6</c:v>
                </c:pt>
                <c:pt idx="946">
                  <c:v>8.6</c:v>
                </c:pt>
                <c:pt idx="947">
                  <c:v>8.6</c:v>
                </c:pt>
                <c:pt idx="948">
                  <c:v>8.6</c:v>
                </c:pt>
                <c:pt idx="949">
                  <c:v>8.6</c:v>
                </c:pt>
                <c:pt idx="950">
                  <c:v>8.6</c:v>
                </c:pt>
                <c:pt idx="951">
                  <c:v>8.6</c:v>
                </c:pt>
                <c:pt idx="952">
                  <c:v>8.6</c:v>
                </c:pt>
                <c:pt idx="953">
                  <c:v>8.6</c:v>
                </c:pt>
                <c:pt idx="954">
                  <c:v>8.6</c:v>
                </c:pt>
                <c:pt idx="955">
                  <c:v>8.6</c:v>
                </c:pt>
                <c:pt idx="956">
                  <c:v>8.6</c:v>
                </c:pt>
                <c:pt idx="957">
                  <c:v>8.6</c:v>
                </c:pt>
                <c:pt idx="958">
                  <c:v>8.6</c:v>
                </c:pt>
                <c:pt idx="959">
                  <c:v>8.6</c:v>
                </c:pt>
                <c:pt idx="960">
                  <c:v>8.6</c:v>
                </c:pt>
                <c:pt idx="961">
                  <c:v>8.6</c:v>
                </c:pt>
                <c:pt idx="962">
                  <c:v>8.6</c:v>
                </c:pt>
                <c:pt idx="963">
                  <c:v>8.6</c:v>
                </c:pt>
                <c:pt idx="964">
                  <c:v>8.6</c:v>
                </c:pt>
                <c:pt idx="965">
                  <c:v>8.6</c:v>
                </c:pt>
                <c:pt idx="966">
                  <c:v>8.6</c:v>
                </c:pt>
                <c:pt idx="967">
                  <c:v>8.6</c:v>
                </c:pt>
                <c:pt idx="968">
                  <c:v>8.6</c:v>
                </c:pt>
                <c:pt idx="969">
                  <c:v>8.6</c:v>
                </c:pt>
                <c:pt idx="970">
                  <c:v>8.6</c:v>
                </c:pt>
                <c:pt idx="971">
                  <c:v>8.6</c:v>
                </c:pt>
                <c:pt idx="972">
                  <c:v>8.6</c:v>
                </c:pt>
                <c:pt idx="973">
                  <c:v>8.6</c:v>
                </c:pt>
                <c:pt idx="974">
                  <c:v>8.6</c:v>
                </c:pt>
                <c:pt idx="975">
                  <c:v>8.6</c:v>
                </c:pt>
                <c:pt idx="976">
                  <c:v>8.6</c:v>
                </c:pt>
                <c:pt idx="977">
                  <c:v>8.6</c:v>
                </c:pt>
                <c:pt idx="978">
                  <c:v>8.6</c:v>
                </c:pt>
                <c:pt idx="979">
                  <c:v>8.6</c:v>
                </c:pt>
                <c:pt idx="980">
                  <c:v>8.6</c:v>
                </c:pt>
                <c:pt idx="981">
                  <c:v>8.6</c:v>
                </c:pt>
                <c:pt idx="982">
                  <c:v>8.6</c:v>
                </c:pt>
                <c:pt idx="983">
                  <c:v>8.6</c:v>
                </c:pt>
                <c:pt idx="984">
                  <c:v>8.6</c:v>
                </c:pt>
                <c:pt idx="985">
                  <c:v>8.6</c:v>
                </c:pt>
                <c:pt idx="986">
                  <c:v>8.6</c:v>
                </c:pt>
                <c:pt idx="987">
                  <c:v>8.6</c:v>
                </c:pt>
                <c:pt idx="988">
                  <c:v>8.6</c:v>
                </c:pt>
                <c:pt idx="989">
                  <c:v>8.6</c:v>
                </c:pt>
                <c:pt idx="990">
                  <c:v>8.6</c:v>
                </c:pt>
                <c:pt idx="991">
                  <c:v>8.6</c:v>
                </c:pt>
                <c:pt idx="992">
                  <c:v>9.1</c:v>
                </c:pt>
                <c:pt idx="993">
                  <c:v>9.1</c:v>
                </c:pt>
                <c:pt idx="994">
                  <c:v>9.3000000000000007</c:v>
                </c:pt>
                <c:pt idx="995">
                  <c:v>9.3000000000000007</c:v>
                </c:pt>
                <c:pt idx="996">
                  <c:v>9.4</c:v>
                </c:pt>
                <c:pt idx="997">
                  <c:v>9.4</c:v>
                </c:pt>
                <c:pt idx="998">
                  <c:v>9.4</c:v>
                </c:pt>
                <c:pt idx="999">
                  <c:v>9.4</c:v>
                </c:pt>
                <c:pt idx="1000">
                  <c:v>9.5</c:v>
                </c:pt>
                <c:pt idx="1001">
                  <c:v>9.5</c:v>
                </c:pt>
                <c:pt idx="1002">
                  <c:v>9.5</c:v>
                </c:pt>
                <c:pt idx="1003">
                  <c:v>9.5</c:v>
                </c:pt>
                <c:pt idx="1004">
                  <c:v>9.5</c:v>
                </c:pt>
                <c:pt idx="1005">
                  <c:v>9.5</c:v>
                </c:pt>
                <c:pt idx="1006">
                  <c:v>9.5</c:v>
                </c:pt>
                <c:pt idx="1007">
                  <c:v>9.5</c:v>
                </c:pt>
                <c:pt idx="1008">
                  <c:v>9.5</c:v>
                </c:pt>
                <c:pt idx="1009">
                  <c:v>9.5</c:v>
                </c:pt>
                <c:pt idx="1010">
                  <c:v>9.5</c:v>
                </c:pt>
                <c:pt idx="1011">
                  <c:v>9.6</c:v>
                </c:pt>
                <c:pt idx="1012">
                  <c:v>9.6</c:v>
                </c:pt>
                <c:pt idx="1013">
                  <c:v>9.6</c:v>
                </c:pt>
                <c:pt idx="1014">
                  <c:v>9.6</c:v>
                </c:pt>
                <c:pt idx="1015">
                  <c:v>9.6</c:v>
                </c:pt>
                <c:pt idx="1016">
                  <c:v>9.6</c:v>
                </c:pt>
                <c:pt idx="1017">
                  <c:v>9.6</c:v>
                </c:pt>
                <c:pt idx="1018">
                  <c:v>9.6</c:v>
                </c:pt>
                <c:pt idx="1019">
                  <c:v>9.6</c:v>
                </c:pt>
                <c:pt idx="1020">
                  <c:v>9.6</c:v>
                </c:pt>
                <c:pt idx="1021">
                  <c:v>9.6</c:v>
                </c:pt>
                <c:pt idx="1022">
                  <c:v>9.6</c:v>
                </c:pt>
                <c:pt idx="1023">
                  <c:v>9.6</c:v>
                </c:pt>
                <c:pt idx="1024">
                  <c:v>9.6</c:v>
                </c:pt>
                <c:pt idx="1025">
                  <c:v>9.6</c:v>
                </c:pt>
                <c:pt idx="1026">
                  <c:v>9.6</c:v>
                </c:pt>
                <c:pt idx="1027">
                  <c:v>9.6</c:v>
                </c:pt>
                <c:pt idx="1028">
                  <c:v>9.6</c:v>
                </c:pt>
                <c:pt idx="1029">
                  <c:v>9.6</c:v>
                </c:pt>
                <c:pt idx="1030">
                  <c:v>9.6</c:v>
                </c:pt>
                <c:pt idx="1031">
                  <c:v>9.6</c:v>
                </c:pt>
                <c:pt idx="1032">
                  <c:v>9.6</c:v>
                </c:pt>
                <c:pt idx="1033">
                  <c:v>9.6</c:v>
                </c:pt>
                <c:pt idx="1034">
                  <c:v>9.6</c:v>
                </c:pt>
                <c:pt idx="1035">
                  <c:v>9.6</c:v>
                </c:pt>
                <c:pt idx="1036">
                  <c:v>9.6</c:v>
                </c:pt>
                <c:pt idx="1037">
                  <c:v>9.6</c:v>
                </c:pt>
                <c:pt idx="1038">
                  <c:v>9.6</c:v>
                </c:pt>
                <c:pt idx="1039">
                  <c:v>9.6</c:v>
                </c:pt>
                <c:pt idx="1040">
                  <c:v>9.6</c:v>
                </c:pt>
                <c:pt idx="1041">
                  <c:v>9.6</c:v>
                </c:pt>
                <c:pt idx="1042">
                  <c:v>9.6</c:v>
                </c:pt>
                <c:pt idx="1043">
                  <c:v>9.6</c:v>
                </c:pt>
                <c:pt idx="1044">
                  <c:v>9.6</c:v>
                </c:pt>
                <c:pt idx="1045">
                  <c:v>9.6</c:v>
                </c:pt>
                <c:pt idx="1046">
                  <c:v>9.6</c:v>
                </c:pt>
                <c:pt idx="1047">
                  <c:v>9.6</c:v>
                </c:pt>
                <c:pt idx="1048">
                  <c:v>9.6</c:v>
                </c:pt>
                <c:pt idx="1049">
                  <c:v>9.6</c:v>
                </c:pt>
                <c:pt idx="1050">
                  <c:v>9.6</c:v>
                </c:pt>
                <c:pt idx="1051">
                  <c:v>9.6</c:v>
                </c:pt>
                <c:pt idx="1052">
                  <c:v>9.6</c:v>
                </c:pt>
                <c:pt idx="1053">
                  <c:v>9.6</c:v>
                </c:pt>
                <c:pt idx="1054">
                  <c:v>9.6</c:v>
                </c:pt>
                <c:pt idx="1055">
                  <c:v>9.6</c:v>
                </c:pt>
                <c:pt idx="1056">
                  <c:v>9.6</c:v>
                </c:pt>
                <c:pt idx="1057">
                  <c:v>9.6</c:v>
                </c:pt>
                <c:pt idx="1058">
                  <c:v>9.6</c:v>
                </c:pt>
                <c:pt idx="1059">
                  <c:v>9.6</c:v>
                </c:pt>
                <c:pt idx="1060">
                  <c:v>9.6</c:v>
                </c:pt>
                <c:pt idx="1061">
                  <c:v>9.6</c:v>
                </c:pt>
                <c:pt idx="1062">
                  <c:v>9.6</c:v>
                </c:pt>
                <c:pt idx="1063">
                  <c:v>10.1</c:v>
                </c:pt>
                <c:pt idx="1064">
                  <c:v>10.3</c:v>
                </c:pt>
                <c:pt idx="1065">
                  <c:v>10.3</c:v>
                </c:pt>
                <c:pt idx="1066">
                  <c:v>10.4</c:v>
                </c:pt>
                <c:pt idx="1067">
                  <c:v>10.4</c:v>
                </c:pt>
                <c:pt idx="1068">
                  <c:v>10.4</c:v>
                </c:pt>
                <c:pt idx="1069">
                  <c:v>10.5</c:v>
                </c:pt>
                <c:pt idx="1070">
                  <c:v>10.5</c:v>
                </c:pt>
                <c:pt idx="1071">
                  <c:v>10.5</c:v>
                </c:pt>
                <c:pt idx="1072">
                  <c:v>10.5</c:v>
                </c:pt>
                <c:pt idx="1073">
                  <c:v>10.5</c:v>
                </c:pt>
                <c:pt idx="1074">
                  <c:v>10.5</c:v>
                </c:pt>
                <c:pt idx="1075">
                  <c:v>10.5</c:v>
                </c:pt>
                <c:pt idx="1076">
                  <c:v>10.5</c:v>
                </c:pt>
                <c:pt idx="1077">
                  <c:v>10.5</c:v>
                </c:pt>
                <c:pt idx="1078">
                  <c:v>10.5</c:v>
                </c:pt>
                <c:pt idx="1079">
                  <c:v>10.5</c:v>
                </c:pt>
                <c:pt idx="1080">
                  <c:v>10.5</c:v>
                </c:pt>
                <c:pt idx="1081">
                  <c:v>10.5</c:v>
                </c:pt>
                <c:pt idx="1082">
                  <c:v>10.5</c:v>
                </c:pt>
                <c:pt idx="1083">
                  <c:v>10.5</c:v>
                </c:pt>
                <c:pt idx="1084">
                  <c:v>10.5</c:v>
                </c:pt>
                <c:pt idx="1085">
                  <c:v>10.6</c:v>
                </c:pt>
                <c:pt idx="1086">
                  <c:v>10.6</c:v>
                </c:pt>
                <c:pt idx="1087">
                  <c:v>10.6</c:v>
                </c:pt>
                <c:pt idx="1088">
                  <c:v>10.6</c:v>
                </c:pt>
                <c:pt idx="1089">
                  <c:v>10.6</c:v>
                </c:pt>
                <c:pt idx="1090">
                  <c:v>10.6</c:v>
                </c:pt>
                <c:pt idx="1091">
                  <c:v>10.6</c:v>
                </c:pt>
                <c:pt idx="1092">
                  <c:v>10.6</c:v>
                </c:pt>
                <c:pt idx="1093">
                  <c:v>10.6</c:v>
                </c:pt>
                <c:pt idx="1094">
                  <c:v>10.6</c:v>
                </c:pt>
                <c:pt idx="1095">
                  <c:v>10.6</c:v>
                </c:pt>
                <c:pt idx="1096">
                  <c:v>10.6</c:v>
                </c:pt>
                <c:pt idx="1097">
                  <c:v>10.6</c:v>
                </c:pt>
                <c:pt idx="1098">
                  <c:v>10.6</c:v>
                </c:pt>
                <c:pt idx="1099">
                  <c:v>10.6</c:v>
                </c:pt>
                <c:pt idx="1100">
                  <c:v>10.6</c:v>
                </c:pt>
                <c:pt idx="1101">
                  <c:v>10.6</c:v>
                </c:pt>
                <c:pt idx="1102">
                  <c:v>10.6</c:v>
                </c:pt>
                <c:pt idx="1103">
                  <c:v>10.6</c:v>
                </c:pt>
                <c:pt idx="1104">
                  <c:v>10.6</c:v>
                </c:pt>
                <c:pt idx="1105">
                  <c:v>10.6</c:v>
                </c:pt>
                <c:pt idx="1106">
                  <c:v>10.6</c:v>
                </c:pt>
                <c:pt idx="1107">
                  <c:v>10.6</c:v>
                </c:pt>
                <c:pt idx="1108">
                  <c:v>10.6</c:v>
                </c:pt>
                <c:pt idx="1109">
                  <c:v>10.6</c:v>
                </c:pt>
                <c:pt idx="1110">
                  <c:v>10.6</c:v>
                </c:pt>
                <c:pt idx="1111">
                  <c:v>10.6</c:v>
                </c:pt>
                <c:pt idx="1112">
                  <c:v>10.6</c:v>
                </c:pt>
                <c:pt idx="1113">
                  <c:v>10.6</c:v>
                </c:pt>
                <c:pt idx="1114">
                  <c:v>10.6</c:v>
                </c:pt>
                <c:pt idx="1115">
                  <c:v>10.6</c:v>
                </c:pt>
                <c:pt idx="1116">
                  <c:v>10.6</c:v>
                </c:pt>
                <c:pt idx="1117">
                  <c:v>10.6</c:v>
                </c:pt>
                <c:pt idx="1118">
                  <c:v>10.6</c:v>
                </c:pt>
                <c:pt idx="1119">
                  <c:v>10.6</c:v>
                </c:pt>
                <c:pt idx="1120">
                  <c:v>10.6</c:v>
                </c:pt>
                <c:pt idx="1121">
                  <c:v>10.6</c:v>
                </c:pt>
                <c:pt idx="1122">
                  <c:v>10.6</c:v>
                </c:pt>
                <c:pt idx="1123">
                  <c:v>10.6</c:v>
                </c:pt>
                <c:pt idx="1124">
                  <c:v>10.6</c:v>
                </c:pt>
                <c:pt idx="1125">
                  <c:v>10.6</c:v>
                </c:pt>
                <c:pt idx="1126">
                  <c:v>10.6</c:v>
                </c:pt>
                <c:pt idx="1127">
                  <c:v>10.6</c:v>
                </c:pt>
                <c:pt idx="1128">
                  <c:v>10.6</c:v>
                </c:pt>
                <c:pt idx="1129">
                  <c:v>10.6</c:v>
                </c:pt>
                <c:pt idx="1130">
                  <c:v>10.6</c:v>
                </c:pt>
                <c:pt idx="1131">
                  <c:v>10.6</c:v>
                </c:pt>
                <c:pt idx="1132">
                  <c:v>10.6</c:v>
                </c:pt>
                <c:pt idx="1133">
                  <c:v>10.6</c:v>
                </c:pt>
                <c:pt idx="1134">
                  <c:v>10.6</c:v>
                </c:pt>
                <c:pt idx="1135">
                  <c:v>10.6</c:v>
                </c:pt>
                <c:pt idx="1136">
                  <c:v>10.6</c:v>
                </c:pt>
                <c:pt idx="1137">
                  <c:v>10.6</c:v>
                </c:pt>
                <c:pt idx="1138">
                  <c:v>10.6</c:v>
                </c:pt>
                <c:pt idx="1139">
                  <c:v>10.6</c:v>
                </c:pt>
                <c:pt idx="1140">
                  <c:v>10.6</c:v>
                </c:pt>
                <c:pt idx="1141">
                  <c:v>10.6</c:v>
                </c:pt>
                <c:pt idx="1142">
                  <c:v>10.6</c:v>
                </c:pt>
                <c:pt idx="1143">
                  <c:v>10.6</c:v>
                </c:pt>
                <c:pt idx="1144">
                  <c:v>10.6</c:v>
                </c:pt>
                <c:pt idx="1145">
                  <c:v>10.6</c:v>
                </c:pt>
                <c:pt idx="1146">
                  <c:v>10.6</c:v>
                </c:pt>
                <c:pt idx="1147">
                  <c:v>10.6</c:v>
                </c:pt>
                <c:pt idx="1148">
                  <c:v>10.6</c:v>
                </c:pt>
                <c:pt idx="1149">
                  <c:v>10.6</c:v>
                </c:pt>
                <c:pt idx="1150">
                  <c:v>10.6</c:v>
                </c:pt>
                <c:pt idx="1151">
                  <c:v>10.6</c:v>
                </c:pt>
                <c:pt idx="1152">
                  <c:v>10.6</c:v>
                </c:pt>
                <c:pt idx="1153">
                  <c:v>10.6</c:v>
                </c:pt>
                <c:pt idx="1154">
                  <c:v>10.6</c:v>
                </c:pt>
                <c:pt idx="1155">
                  <c:v>10.6</c:v>
                </c:pt>
                <c:pt idx="1156">
                  <c:v>10.6</c:v>
                </c:pt>
                <c:pt idx="1157">
                  <c:v>10.6</c:v>
                </c:pt>
                <c:pt idx="1158">
                  <c:v>10.6</c:v>
                </c:pt>
                <c:pt idx="1159">
                  <c:v>10.6</c:v>
                </c:pt>
                <c:pt idx="1160">
                  <c:v>10.6</c:v>
                </c:pt>
                <c:pt idx="1161">
                  <c:v>10.6</c:v>
                </c:pt>
                <c:pt idx="1162">
                  <c:v>10.6</c:v>
                </c:pt>
                <c:pt idx="1163">
                  <c:v>10.6</c:v>
                </c:pt>
                <c:pt idx="1164">
                  <c:v>10.6</c:v>
                </c:pt>
                <c:pt idx="1165">
                  <c:v>10.6</c:v>
                </c:pt>
                <c:pt idx="1166">
                  <c:v>10.6</c:v>
                </c:pt>
                <c:pt idx="1167">
                  <c:v>10.6</c:v>
                </c:pt>
                <c:pt idx="1168">
                  <c:v>10.6</c:v>
                </c:pt>
                <c:pt idx="1169">
                  <c:v>10.6</c:v>
                </c:pt>
                <c:pt idx="1170">
                  <c:v>10.6</c:v>
                </c:pt>
                <c:pt idx="1171">
                  <c:v>10.6</c:v>
                </c:pt>
                <c:pt idx="1172">
                  <c:v>10.6</c:v>
                </c:pt>
                <c:pt idx="1173">
                  <c:v>10.6</c:v>
                </c:pt>
                <c:pt idx="1174">
                  <c:v>10.6</c:v>
                </c:pt>
                <c:pt idx="1175">
                  <c:v>10.6</c:v>
                </c:pt>
                <c:pt idx="1176">
                  <c:v>10.6</c:v>
                </c:pt>
                <c:pt idx="1177">
                  <c:v>10.6</c:v>
                </c:pt>
                <c:pt idx="1178">
                  <c:v>10.6</c:v>
                </c:pt>
                <c:pt idx="1179">
                  <c:v>10.6</c:v>
                </c:pt>
                <c:pt idx="1180">
                  <c:v>10.6</c:v>
                </c:pt>
                <c:pt idx="1181">
                  <c:v>10.6</c:v>
                </c:pt>
                <c:pt idx="1182">
                  <c:v>11.6</c:v>
                </c:pt>
                <c:pt idx="1183">
                  <c:v>11.6</c:v>
                </c:pt>
                <c:pt idx="1184">
                  <c:v>11.6</c:v>
                </c:pt>
                <c:pt idx="1185">
                  <c:v>11.6</c:v>
                </c:pt>
                <c:pt idx="1186">
                  <c:v>11.6</c:v>
                </c:pt>
                <c:pt idx="1187">
                  <c:v>11.6</c:v>
                </c:pt>
                <c:pt idx="1188">
                  <c:v>11.6</c:v>
                </c:pt>
                <c:pt idx="1189">
                  <c:v>11.6</c:v>
                </c:pt>
                <c:pt idx="1190">
                  <c:v>12.2</c:v>
                </c:pt>
                <c:pt idx="1191">
                  <c:v>12.4</c:v>
                </c:pt>
                <c:pt idx="1192">
                  <c:v>12.4</c:v>
                </c:pt>
                <c:pt idx="1193">
                  <c:v>12.5</c:v>
                </c:pt>
                <c:pt idx="1194">
                  <c:v>12.5</c:v>
                </c:pt>
                <c:pt idx="1195">
                  <c:v>12.5</c:v>
                </c:pt>
                <c:pt idx="1196">
                  <c:v>12.5</c:v>
                </c:pt>
                <c:pt idx="1197">
                  <c:v>12.5</c:v>
                </c:pt>
                <c:pt idx="1198">
                  <c:v>12.5</c:v>
                </c:pt>
                <c:pt idx="1199">
                  <c:v>12.5</c:v>
                </c:pt>
                <c:pt idx="1200">
                  <c:v>12.5</c:v>
                </c:pt>
                <c:pt idx="1201">
                  <c:v>12.5</c:v>
                </c:pt>
                <c:pt idx="1202">
                  <c:v>12.5</c:v>
                </c:pt>
                <c:pt idx="1203">
                  <c:v>12.5</c:v>
                </c:pt>
                <c:pt idx="1204">
                  <c:v>12.6</c:v>
                </c:pt>
                <c:pt idx="1205">
                  <c:v>12.6</c:v>
                </c:pt>
                <c:pt idx="1206">
                  <c:v>12.6</c:v>
                </c:pt>
                <c:pt idx="1207">
                  <c:v>12.6</c:v>
                </c:pt>
                <c:pt idx="1208">
                  <c:v>12.6</c:v>
                </c:pt>
                <c:pt idx="1209">
                  <c:v>12.6</c:v>
                </c:pt>
                <c:pt idx="1210">
                  <c:v>12.6</c:v>
                </c:pt>
                <c:pt idx="1211">
                  <c:v>12.6</c:v>
                </c:pt>
                <c:pt idx="1212">
                  <c:v>12.6</c:v>
                </c:pt>
                <c:pt idx="1213">
                  <c:v>12.6</c:v>
                </c:pt>
                <c:pt idx="1214">
                  <c:v>12.6</c:v>
                </c:pt>
                <c:pt idx="1215">
                  <c:v>12.6</c:v>
                </c:pt>
                <c:pt idx="1216">
                  <c:v>12.6</c:v>
                </c:pt>
                <c:pt idx="1217">
                  <c:v>12.6</c:v>
                </c:pt>
                <c:pt idx="1218">
                  <c:v>12.6</c:v>
                </c:pt>
                <c:pt idx="1219">
                  <c:v>12.6</c:v>
                </c:pt>
                <c:pt idx="1220">
                  <c:v>12.6</c:v>
                </c:pt>
                <c:pt idx="1221">
                  <c:v>12.6</c:v>
                </c:pt>
                <c:pt idx="1222">
                  <c:v>12.6</c:v>
                </c:pt>
                <c:pt idx="1223">
                  <c:v>12.6</c:v>
                </c:pt>
                <c:pt idx="1224">
                  <c:v>12.6</c:v>
                </c:pt>
                <c:pt idx="1225">
                  <c:v>12.6</c:v>
                </c:pt>
                <c:pt idx="1226">
                  <c:v>12.6</c:v>
                </c:pt>
                <c:pt idx="1227">
                  <c:v>12.6</c:v>
                </c:pt>
                <c:pt idx="1228">
                  <c:v>12.6</c:v>
                </c:pt>
                <c:pt idx="1229">
                  <c:v>12.6</c:v>
                </c:pt>
                <c:pt idx="1230">
                  <c:v>12.6</c:v>
                </c:pt>
                <c:pt idx="1231">
                  <c:v>12.6</c:v>
                </c:pt>
                <c:pt idx="1232">
                  <c:v>12.6</c:v>
                </c:pt>
                <c:pt idx="1233">
                  <c:v>12.6</c:v>
                </c:pt>
                <c:pt idx="1234">
                  <c:v>12.6</c:v>
                </c:pt>
                <c:pt idx="1235">
                  <c:v>12.6</c:v>
                </c:pt>
                <c:pt idx="1236">
                  <c:v>12.6</c:v>
                </c:pt>
                <c:pt idx="1237">
                  <c:v>12.6</c:v>
                </c:pt>
                <c:pt idx="1238">
                  <c:v>12.6</c:v>
                </c:pt>
                <c:pt idx="1239">
                  <c:v>12.6</c:v>
                </c:pt>
                <c:pt idx="1240">
                  <c:v>12.6</c:v>
                </c:pt>
                <c:pt idx="1241">
                  <c:v>12.6</c:v>
                </c:pt>
                <c:pt idx="1242">
                  <c:v>12.6</c:v>
                </c:pt>
                <c:pt idx="1243">
                  <c:v>12.6</c:v>
                </c:pt>
                <c:pt idx="1244">
                  <c:v>12.6</c:v>
                </c:pt>
                <c:pt idx="1245">
                  <c:v>12.6</c:v>
                </c:pt>
                <c:pt idx="1246">
                  <c:v>12.6</c:v>
                </c:pt>
                <c:pt idx="1247">
                  <c:v>12.6</c:v>
                </c:pt>
                <c:pt idx="1248">
                  <c:v>12.6</c:v>
                </c:pt>
                <c:pt idx="1249">
                  <c:v>12.6</c:v>
                </c:pt>
                <c:pt idx="1250">
                  <c:v>12.6</c:v>
                </c:pt>
                <c:pt idx="1251">
                  <c:v>12.6</c:v>
                </c:pt>
                <c:pt idx="1252">
                  <c:v>13.6</c:v>
                </c:pt>
                <c:pt idx="1253">
                  <c:v>13.6</c:v>
                </c:pt>
                <c:pt idx="1254">
                  <c:v>13.6</c:v>
                </c:pt>
                <c:pt idx="1255">
                  <c:v>13.6</c:v>
                </c:pt>
                <c:pt idx="1256">
                  <c:v>13.6</c:v>
                </c:pt>
                <c:pt idx="1257">
                  <c:v>13.6</c:v>
                </c:pt>
                <c:pt idx="1258">
                  <c:v>13.6</c:v>
                </c:pt>
                <c:pt idx="1259">
                  <c:v>13.6</c:v>
                </c:pt>
                <c:pt idx="1260">
                  <c:v>15.6</c:v>
                </c:pt>
              </c:numCache>
            </c:numRef>
          </c:xVal>
          <c:yVal>
            <c:numRef>
              <c:f>Lapa1!$C$2:$C$1262</c:f>
              <c:numCache>
                <c:formatCode>General</c:formatCode>
                <c:ptCount val="1261"/>
                <c:pt idx="224">
                  <c:v>300</c:v>
                </c:pt>
                <c:pt idx="225">
                  <c:v>328</c:v>
                </c:pt>
                <c:pt idx="226">
                  <c:v>312</c:v>
                </c:pt>
                <c:pt idx="227">
                  <c:v>312</c:v>
                </c:pt>
                <c:pt idx="228">
                  <c:v>328</c:v>
                </c:pt>
                <c:pt idx="229">
                  <c:v>420</c:v>
                </c:pt>
                <c:pt idx="230">
                  <c:v>420</c:v>
                </c:pt>
                <c:pt idx="231">
                  <c:v>420</c:v>
                </c:pt>
                <c:pt idx="232">
                  <c:v>344</c:v>
                </c:pt>
                <c:pt idx="233">
                  <c:v>344</c:v>
                </c:pt>
                <c:pt idx="234">
                  <c:v>344</c:v>
                </c:pt>
                <c:pt idx="235">
                  <c:v>344</c:v>
                </c:pt>
                <c:pt idx="236">
                  <c:v>304</c:v>
                </c:pt>
                <c:pt idx="237">
                  <c:v>304</c:v>
                </c:pt>
                <c:pt idx="238">
                  <c:v>304</c:v>
                </c:pt>
                <c:pt idx="239">
                  <c:v>304</c:v>
                </c:pt>
                <c:pt idx="240">
                  <c:v>304</c:v>
                </c:pt>
                <c:pt idx="241">
                  <c:v>304</c:v>
                </c:pt>
                <c:pt idx="242">
                  <c:v>278</c:v>
                </c:pt>
                <c:pt idx="243">
                  <c:v>278</c:v>
                </c:pt>
                <c:pt idx="244">
                  <c:v>304</c:v>
                </c:pt>
                <c:pt idx="245">
                  <c:v>280</c:v>
                </c:pt>
                <c:pt idx="246">
                  <c:v>280</c:v>
                </c:pt>
                <c:pt idx="247">
                  <c:v>284</c:v>
                </c:pt>
                <c:pt idx="248">
                  <c:v>329</c:v>
                </c:pt>
                <c:pt idx="249">
                  <c:v>329</c:v>
                </c:pt>
                <c:pt idx="250">
                  <c:v>329</c:v>
                </c:pt>
                <c:pt idx="251">
                  <c:v>284</c:v>
                </c:pt>
                <c:pt idx="252">
                  <c:v>269</c:v>
                </c:pt>
                <c:pt idx="253">
                  <c:v>329</c:v>
                </c:pt>
                <c:pt idx="254">
                  <c:v>329</c:v>
                </c:pt>
                <c:pt idx="255">
                  <c:v>329</c:v>
                </c:pt>
                <c:pt idx="256">
                  <c:v>396</c:v>
                </c:pt>
                <c:pt idx="257">
                  <c:v>298</c:v>
                </c:pt>
                <c:pt idx="258">
                  <c:v>298</c:v>
                </c:pt>
                <c:pt idx="259">
                  <c:v>298</c:v>
                </c:pt>
                <c:pt idx="260">
                  <c:v>343</c:v>
                </c:pt>
                <c:pt idx="261">
                  <c:v>343</c:v>
                </c:pt>
                <c:pt idx="262">
                  <c:v>298</c:v>
                </c:pt>
                <c:pt idx="263">
                  <c:v>343</c:v>
                </c:pt>
                <c:pt idx="264">
                  <c:v>343</c:v>
                </c:pt>
                <c:pt idx="265">
                  <c:v>298</c:v>
                </c:pt>
                <c:pt idx="266">
                  <c:v>343</c:v>
                </c:pt>
                <c:pt idx="267">
                  <c:v>343</c:v>
                </c:pt>
                <c:pt idx="268">
                  <c:v>343</c:v>
                </c:pt>
                <c:pt idx="269">
                  <c:v>343</c:v>
                </c:pt>
                <c:pt idx="270">
                  <c:v>343</c:v>
                </c:pt>
                <c:pt idx="271">
                  <c:v>343</c:v>
                </c:pt>
                <c:pt idx="272">
                  <c:v>265</c:v>
                </c:pt>
                <c:pt idx="273">
                  <c:v>343</c:v>
                </c:pt>
                <c:pt idx="274">
                  <c:v>298</c:v>
                </c:pt>
                <c:pt idx="275">
                  <c:v>343</c:v>
                </c:pt>
                <c:pt idx="276">
                  <c:v>293</c:v>
                </c:pt>
                <c:pt idx="277">
                  <c:v>343</c:v>
                </c:pt>
                <c:pt idx="278">
                  <c:v>343</c:v>
                </c:pt>
                <c:pt idx="279">
                  <c:v>298</c:v>
                </c:pt>
                <c:pt idx="280">
                  <c:v>343</c:v>
                </c:pt>
                <c:pt idx="281">
                  <c:v>343</c:v>
                </c:pt>
                <c:pt idx="282">
                  <c:v>343</c:v>
                </c:pt>
                <c:pt idx="283">
                  <c:v>400</c:v>
                </c:pt>
                <c:pt idx="284">
                  <c:v>315</c:v>
                </c:pt>
                <c:pt idx="285">
                  <c:v>366</c:v>
                </c:pt>
                <c:pt idx="286">
                  <c:v>366</c:v>
                </c:pt>
                <c:pt idx="287">
                  <c:v>316</c:v>
                </c:pt>
                <c:pt idx="288">
                  <c:v>316</c:v>
                </c:pt>
                <c:pt idx="289">
                  <c:v>366</c:v>
                </c:pt>
                <c:pt idx="290">
                  <c:v>315</c:v>
                </c:pt>
                <c:pt idx="291">
                  <c:v>366</c:v>
                </c:pt>
                <c:pt idx="292">
                  <c:v>366</c:v>
                </c:pt>
                <c:pt idx="293">
                  <c:v>366</c:v>
                </c:pt>
                <c:pt idx="294">
                  <c:v>366</c:v>
                </c:pt>
                <c:pt idx="295">
                  <c:v>366</c:v>
                </c:pt>
                <c:pt idx="296">
                  <c:v>366</c:v>
                </c:pt>
                <c:pt idx="297">
                  <c:v>316</c:v>
                </c:pt>
                <c:pt idx="298">
                  <c:v>366</c:v>
                </c:pt>
                <c:pt idx="299">
                  <c:v>366</c:v>
                </c:pt>
                <c:pt idx="300">
                  <c:v>366</c:v>
                </c:pt>
                <c:pt idx="301">
                  <c:v>366</c:v>
                </c:pt>
                <c:pt idx="302">
                  <c:v>366</c:v>
                </c:pt>
                <c:pt idx="303">
                  <c:v>366</c:v>
                </c:pt>
                <c:pt idx="304">
                  <c:v>366</c:v>
                </c:pt>
                <c:pt idx="305">
                  <c:v>366</c:v>
                </c:pt>
                <c:pt idx="306">
                  <c:v>366</c:v>
                </c:pt>
                <c:pt idx="307">
                  <c:v>315</c:v>
                </c:pt>
                <c:pt idx="308">
                  <c:v>316</c:v>
                </c:pt>
                <c:pt idx="309">
                  <c:v>316</c:v>
                </c:pt>
                <c:pt idx="310">
                  <c:v>366</c:v>
                </c:pt>
                <c:pt idx="311">
                  <c:v>315</c:v>
                </c:pt>
                <c:pt idx="312">
                  <c:v>366</c:v>
                </c:pt>
                <c:pt idx="313">
                  <c:v>366</c:v>
                </c:pt>
                <c:pt idx="314">
                  <c:v>366</c:v>
                </c:pt>
                <c:pt idx="315">
                  <c:v>414</c:v>
                </c:pt>
                <c:pt idx="316">
                  <c:v>366</c:v>
                </c:pt>
                <c:pt idx="317">
                  <c:v>414</c:v>
                </c:pt>
                <c:pt idx="318">
                  <c:v>366</c:v>
                </c:pt>
                <c:pt idx="319">
                  <c:v>366</c:v>
                </c:pt>
                <c:pt idx="320">
                  <c:v>366</c:v>
                </c:pt>
                <c:pt idx="321">
                  <c:v>366</c:v>
                </c:pt>
                <c:pt idx="322">
                  <c:v>366</c:v>
                </c:pt>
                <c:pt idx="323">
                  <c:v>315</c:v>
                </c:pt>
                <c:pt idx="324">
                  <c:v>366</c:v>
                </c:pt>
                <c:pt idx="325">
                  <c:v>366</c:v>
                </c:pt>
                <c:pt idx="326">
                  <c:v>366</c:v>
                </c:pt>
                <c:pt idx="327">
                  <c:v>255</c:v>
                </c:pt>
                <c:pt idx="328">
                  <c:v>315</c:v>
                </c:pt>
                <c:pt idx="329">
                  <c:v>316</c:v>
                </c:pt>
                <c:pt idx="330">
                  <c:v>366</c:v>
                </c:pt>
                <c:pt idx="331">
                  <c:v>316</c:v>
                </c:pt>
                <c:pt idx="332">
                  <c:v>366</c:v>
                </c:pt>
                <c:pt idx="333">
                  <c:v>316</c:v>
                </c:pt>
                <c:pt idx="334">
                  <c:v>260</c:v>
                </c:pt>
                <c:pt idx="335">
                  <c:v>332</c:v>
                </c:pt>
                <c:pt idx="336">
                  <c:v>316</c:v>
                </c:pt>
                <c:pt idx="337">
                  <c:v>316</c:v>
                </c:pt>
                <c:pt idx="338">
                  <c:v>316</c:v>
                </c:pt>
                <c:pt idx="339">
                  <c:v>366</c:v>
                </c:pt>
                <c:pt idx="340">
                  <c:v>316</c:v>
                </c:pt>
                <c:pt idx="341">
                  <c:v>316</c:v>
                </c:pt>
                <c:pt idx="342">
                  <c:v>316</c:v>
                </c:pt>
                <c:pt idx="343">
                  <c:v>320</c:v>
                </c:pt>
                <c:pt idx="344">
                  <c:v>320</c:v>
                </c:pt>
                <c:pt idx="345">
                  <c:v>320</c:v>
                </c:pt>
                <c:pt idx="346">
                  <c:v>320</c:v>
                </c:pt>
                <c:pt idx="347">
                  <c:v>432</c:v>
                </c:pt>
                <c:pt idx="348">
                  <c:v>320</c:v>
                </c:pt>
                <c:pt idx="349">
                  <c:v>390</c:v>
                </c:pt>
                <c:pt idx="350">
                  <c:v>390</c:v>
                </c:pt>
                <c:pt idx="351">
                  <c:v>390</c:v>
                </c:pt>
                <c:pt idx="352">
                  <c:v>340</c:v>
                </c:pt>
                <c:pt idx="353">
                  <c:v>320</c:v>
                </c:pt>
                <c:pt idx="354">
                  <c:v>390</c:v>
                </c:pt>
                <c:pt idx="355">
                  <c:v>390</c:v>
                </c:pt>
                <c:pt idx="356">
                  <c:v>390</c:v>
                </c:pt>
                <c:pt idx="357">
                  <c:v>390</c:v>
                </c:pt>
                <c:pt idx="358">
                  <c:v>390</c:v>
                </c:pt>
                <c:pt idx="359">
                  <c:v>390</c:v>
                </c:pt>
                <c:pt idx="360">
                  <c:v>320</c:v>
                </c:pt>
                <c:pt idx="361">
                  <c:v>320</c:v>
                </c:pt>
                <c:pt idx="362">
                  <c:v>390</c:v>
                </c:pt>
                <c:pt idx="363">
                  <c:v>390</c:v>
                </c:pt>
                <c:pt idx="364">
                  <c:v>390</c:v>
                </c:pt>
                <c:pt idx="365">
                  <c:v>390</c:v>
                </c:pt>
                <c:pt idx="366">
                  <c:v>390</c:v>
                </c:pt>
                <c:pt idx="367">
                  <c:v>390</c:v>
                </c:pt>
                <c:pt idx="368">
                  <c:v>390</c:v>
                </c:pt>
                <c:pt idx="369">
                  <c:v>390</c:v>
                </c:pt>
                <c:pt idx="370">
                  <c:v>390</c:v>
                </c:pt>
                <c:pt idx="371">
                  <c:v>390</c:v>
                </c:pt>
                <c:pt idx="372">
                  <c:v>390</c:v>
                </c:pt>
                <c:pt idx="373">
                  <c:v>390</c:v>
                </c:pt>
                <c:pt idx="374">
                  <c:v>320</c:v>
                </c:pt>
                <c:pt idx="375">
                  <c:v>390</c:v>
                </c:pt>
                <c:pt idx="376">
                  <c:v>390</c:v>
                </c:pt>
                <c:pt idx="377">
                  <c:v>390</c:v>
                </c:pt>
                <c:pt idx="378">
                  <c:v>390</c:v>
                </c:pt>
                <c:pt idx="379">
                  <c:v>390</c:v>
                </c:pt>
                <c:pt idx="380">
                  <c:v>390</c:v>
                </c:pt>
                <c:pt idx="381">
                  <c:v>340</c:v>
                </c:pt>
                <c:pt idx="382">
                  <c:v>390</c:v>
                </c:pt>
                <c:pt idx="383">
                  <c:v>390</c:v>
                </c:pt>
                <c:pt idx="384">
                  <c:v>390</c:v>
                </c:pt>
                <c:pt idx="385">
                  <c:v>390</c:v>
                </c:pt>
                <c:pt idx="386">
                  <c:v>390</c:v>
                </c:pt>
                <c:pt idx="387">
                  <c:v>414</c:v>
                </c:pt>
                <c:pt idx="388">
                  <c:v>390</c:v>
                </c:pt>
                <c:pt idx="389">
                  <c:v>390</c:v>
                </c:pt>
                <c:pt idx="390">
                  <c:v>320</c:v>
                </c:pt>
                <c:pt idx="391">
                  <c:v>320</c:v>
                </c:pt>
                <c:pt idx="392">
                  <c:v>390</c:v>
                </c:pt>
                <c:pt idx="393">
                  <c:v>390</c:v>
                </c:pt>
                <c:pt idx="394">
                  <c:v>390</c:v>
                </c:pt>
                <c:pt idx="395">
                  <c:v>390</c:v>
                </c:pt>
                <c:pt idx="396">
                  <c:v>390</c:v>
                </c:pt>
                <c:pt idx="397">
                  <c:v>390</c:v>
                </c:pt>
                <c:pt idx="398">
                  <c:v>390</c:v>
                </c:pt>
                <c:pt idx="399">
                  <c:v>320</c:v>
                </c:pt>
                <c:pt idx="400">
                  <c:v>390</c:v>
                </c:pt>
                <c:pt idx="401">
                  <c:v>390</c:v>
                </c:pt>
                <c:pt idx="402">
                  <c:v>340</c:v>
                </c:pt>
                <c:pt idx="403">
                  <c:v>340</c:v>
                </c:pt>
                <c:pt idx="404">
                  <c:v>340</c:v>
                </c:pt>
                <c:pt idx="405">
                  <c:v>390</c:v>
                </c:pt>
                <c:pt idx="406">
                  <c:v>390</c:v>
                </c:pt>
                <c:pt idx="407">
                  <c:v>320</c:v>
                </c:pt>
                <c:pt idx="408">
                  <c:v>320</c:v>
                </c:pt>
                <c:pt idx="409">
                  <c:v>390</c:v>
                </c:pt>
                <c:pt idx="410">
                  <c:v>414</c:v>
                </c:pt>
                <c:pt idx="411">
                  <c:v>414</c:v>
                </c:pt>
                <c:pt idx="412">
                  <c:v>414</c:v>
                </c:pt>
                <c:pt idx="413">
                  <c:v>390</c:v>
                </c:pt>
                <c:pt idx="414">
                  <c:v>390</c:v>
                </c:pt>
                <c:pt idx="415">
                  <c:v>390</c:v>
                </c:pt>
                <c:pt idx="416">
                  <c:v>414</c:v>
                </c:pt>
                <c:pt idx="417">
                  <c:v>390</c:v>
                </c:pt>
                <c:pt idx="418">
                  <c:v>340</c:v>
                </c:pt>
                <c:pt idx="419">
                  <c:v>414</c:v>
                </c:pt>
                <c:pt idx="420">
                  <c:v>390</c:v>
                </c:pt>
                <c:pt idx="421">
                  <c:v>320</c:v>
                </c:pt>
                <c:pt idx="422">
                  <c:v>390</c:v>
                </c:pt>
                <c:pt idx="423">
                  <c:v>320</c:v>
                </c:pt>
                <c:pt idx="424">
                  <c:v>390</c:v>
                </c:pt>
                <c:pt idx="425">
                  <c:v>390</c:v>
                </c:pt>
                <c:pt idx="426">
                  <c:v>320</c:v>
                </c:pt>
                <c:pt idx="427">
                  <c:v>320</c:v>
                </c:pt>
                <c:pt idx="428">
                  <c:v>390</c:v>
                </c:pt>
                <c:pt idx="429">
                  <c:v>390</c:v>
                </c:pt>
                <c:pt idx="430">
                  <c:v>390</c:v>
                </c:pt>
                <c:pt idx="431">
                  <c:v>390</c:v>
                </c:pt>
                <c:pt idx="432">
                  <c:v>390</c:v>
                </c:pt>
                <c:pt idx="433">
                  <c:v>390</c:v>
                </c:pt>
                <c:pt idx="434">
                  <c:v>390</c:v>
                </c:pt>
                <c:pt idx="435">
                  <c:v>390</c:v>
                </c:pt>
                <c:pt idx="436">
                  <c:v>390</c:v>
                </c:pt>
                <c:pt idx="437">
                  <c:v>390</c:v>
                </c:pt>
                <c:pt idx="438">
                  <c:v>340</c:v>
                </c:pt>
                <c:pt idx="439">
                  <c:v>390</c:v>
                </c:pt>
                <c:pt idx="440">
                  <c:v>340</c:v>
                </c:pt>
                <c:pt idx="441">
                  <c:v>340</c:v>
                </c:pt>
                <c:pt idx="442">
                  <c:v>390</c:v>
                </c:pt>
                <c:pt idx="443">
                  <c:v>340</c:v>
                </c:pt>
                <c:pt idx="444">
                  <c:v>340</c:v>
                </c:pt>
                <c:pt idx="445">
                  <c:v>390</c:v>
                </c:pt>
                <c:pt idx="446">
                  <c:v>390</c:v>
                </c:pt>
                <c:pt idx="447">
                  <c:v>320</c:v>
                </c:pt>
                <c:pt idx="448">
                  <c:v>340</c:v>
                </c:pt>
                <c:pt idx="449">
                  <c:v>340</c:v>
                </c:pt>
                <c:pt idx="450">
                  <c:v>340</c:v>
                </c:pt>
                <c:pt idx="451">
                  <c:v>340</c:v>
                </c:pt>
                <c:pt idx="452">
                  <c:v>340</c:v>
                </c:pt>
                <c:pt idx="453">
                  <c:v>390</c:v>
                </c:pt>
                <c:pt idx="454">
                  <c:v>390</c:v>
                </c:pt>
                <c:pt idx="455">
                  <c:v>340</c:v>
                </c:pt>
                <c:pt idx="456">
                  <c:v>480</c:v>
                </c:pt>
                <c:pt idx="457">
                  <c:v>332</c:v>
                </c:pt>
                <c:pt idx="458">
                  <c:v>332</c:v>
                </c:pt>
                <c:pt idx="459">
                  <c:v>198</c:v>
                </c:pt>
                <c:pt idx="460">
                  <c:v>412</c:v>
                </c:pt>
                <c:pt idx="461">
                  <c:v>332</c:v>
                </c:pt>
                <c:pt idx="462">
                  <c:v>332</c:v>
                </c:pt>
                <c:pt idx="463">
                  <c:v>364</c:v>
                </c:pt>
                <c:pt idx="464">
                  <c:v>364</c:v>
                </c:pt>
                <c:pt idx="465">
                  <c:v>364</c:v>
                </c:pt>
                <c:pt idx="466">
                  <c:v>414</c:v>
                </c:pt>
                <c:pt idx="467">
                  <c:v>364</c:v>
                </c:pt>
                <c:pt idx="468">
                  <c:v>364</c:v>
                </c:pt>
                <c:pt idx="469">
                  <c:v>414</c:v>
                </c:pt>
                <c:pt idx="470">
                  <c:v>364</c:v>
                </c:pt>
                <c:pt idx="471">
                  <c:v>332</c:v>
                </c:pt>
                <c:pt idx="472">
                  <c:v>332</c:v>
                </c:pt>
                <c:pt idx="473">
                  <c:v>332</c:v>
                </c:pt>
                <c:pt idx="474">
                  <c:v>332</c:v>
                </c:pt>
                <c:pt idx="475">
                  <c:v>414</c:v>
                </c:pt>
                <c:pt idx="476">
                  <c:v>414</c:v>
                </c:pt>
                <c:pt idx="477">
                  <c:v>414</c:v>
                </c:pt>
                <c:pt idx="478">
                  <c:v>414</c:v>
                </c:pt>
                <c:pt idx="479">
                  <c:v>414</c:v>
                </c:pt>
                <c:pt idx="480">
                  <c:v>414</c:v>
                </c:pt>
                <c:pt idx="481">
                  <c:v>414</c:v>
                </c:pt>
                <c:pt idx="482">
                  <c:v>414</c:v>
                </c:pt>
                <c:pt idx="483">
                  <c:v>414</c:v>
                </c:pt>
                <c:pt idx="484">
                  <c:v>414</c:v>
                </c:pt>
                <c:pt idx="485">
                  <c:v>414</c:v>
                </c:pt>
                <c:pt idx="486">
                  <c:v>414</c:v>
                </c:pt>
                <c:pt idx="487">
                  <c:v>414</c:v>
                </c:pt>
                <c:pt idx="488">
                  <c:v>414</c:v>
                </c:pt>
                <c:pt idx="489">
                  <c:v>414</c:v>
                </c:pt>
                <c:pt idx="490">
                  <c:v>414</c:v>
                </c:pt>
                <c:pt idx="491">
                  <c:v>414</c:v>
                </c:pt>
                <c:pt idx="492">
                  <c:v>414</c:v>
                </c:pt>
                <c:pt idx="493">
                  <c:v>414</c:v>
                </c:pt>
                <c:pt idx="494">
                  <c:v>414</c:v>
                </c:pt>
                <c:pt idx="495">
                  <c:v>332</c:v>
                </c:pt>
                <c:pt idx="496">
                  <c:v>332</c:v>
                </c:pt>
                <c:pt idx="497">
                  <c:v>332</c:v>
                </c:pt>
                <c:pt idx="498">
                  <c:v>414</c:v>
                </c:pt>
                <c:pt idx="499">
                  <c:v>414</c:v>
                </c:pt>
                <c:pt idx="500">
                  <c:v>414</c:v>
                </c:pt>
                <c:pt idx="501">
                  <c:v>414</c:v>
                </c:pt>
                <c:pt idx="502">
                  <c:v>414</c:v>
                </c:pt>
                <c:pt idx="503">
                  <c:v>414</c:v>
                </c:pt>
                <c:pt idx="504">
                  <c:v>414</c:v>
                </c:pt>
                <c:pt idx="505">
                  <c:v>414</c:v>
                </c:pt>
                <c:pt idx="506">
                  <c:v>414</c:v>
                </c:pt>
                <c:pt idx="507">
                  <c:v>414</c:v>
                </c:pt>
                <c:pt idx="508">
                  <c:v>414</c:v>
                </c:pt>
                <c:pt idx="509">
                  <c:v>414</c:v>
                </c:pt>
                <c:pt idx="510">
                  <c:v>414</c:v>
                </c:pt>
                <c:pt idx="511">
                  <c:v>332</c:v>
                </c:pt>
                <c:pt idx="512">
                  <c:v>332</c:v>
                </c:pt>
                <c:pt idx="513">
                  <c:v>332</c:v>
                </c:pt>
                <c:pt idx="514">
                  <c:v>332</c:v>
                </c:pt>
                <c:pt idx="515">
                  <c:v>332</c:v>
                </c:pt>
                <c:pt idx="516">
                  <c:v>414</c:v>
                </c:pt>
                <c:pt idx="517">
                  <c:v>414</c:v>
                </c:pt>
                <c:pt idx="518">
                  <c:v>414</c:v>
                </c:pt>
                <c:pt idx="519">
                  <c:v>414</c:v>
                </c:pt>
                <c:pt idx="520">
                  <c:v>414</c:v>
                </c:pt>
                <c:pt idx="521">
                  <c:v>414</c:v>
                </c:pt>
                <c:pt idx="522">
                  <c:v>414</c:v>
                </c:pt>
                <c:pt idx="523">
                  <c:v>414</c:v>
                </c:pt>
                <c:pt idx="524">
                  <c:v>414</c:v>
                </c:pt>
                <c:pt idx="525">
                  <c:v>414</c:v>
                </c:pt>
                <c:pt idx="526">
                  <c:v>414</c:v>
                </c:pt>
                <c:pt idx="527">
                  <c:v>414</c:v>
                </c:pt>
                <c:pt idx="528">
                  <c:v>414</c:v>
                </c:pt>
                <c:pt idx="529">
                  <c:v>414</c:v>
                </c:pt>
                <c:pt idx="530">
                  <c:v>414</c:v>
                </c:pt>
                <c:pt idx="531">
                  <c:v>414</c:v>
                </c:pt>
                <c:pt idx="532">
                  <c:v>364</c:v>
                </c:pt>
                <c:pt idx="533">
                  <c:v>414</c:v>
                </c:pt>
                <c:pt idx="534">
                  <c:v>414</c:v>
                </c:pt>
                <c:pt idx="535">
                  <c:v>414</c:v>
                </c:pt>
                <c:pt idx="536">
                  <c:v>332</c:v>
                </c:pt>
                <c:pt idx="537">
                  <c:v>332</c:v>
                </c:pt>
                <c:pt idx="538">
                  <c:v>332</c:v>
                </c:pt>
                <c:pt idx="539">
                  <c:v>332</c:v>
                </c:pt>
                <c:pt idx="540">
                  <c:v>332</c:v>
                </c:pt>
                <c:pt idx="541">
                  <c:v>332</c:v>
                </c:pt>
                <c:pt idx="542">
                  <c:v>414</c:v>
                </c:pt>
                <c:pt idx="543">
                  <c:v>414</c:v>
                </c:pt>
                <c:pt idx="544">
                  <c:v>414</c:v>
                </c:pt>
                <c:pt idx="545">
                  <c:v>414</c:v>
                </c:pt>
                <c:pt idx="546">
                  <c:v>414</c:v>
                </c:pt>
                <c:pt idx="547">
                  <c:v>414</c:v>
                </c:pt>
                <c:pt idx="548">
                  <c:v>414</c:v>
                </c:pt>
                <c:pt idx="549">
                  <c:v>414</c:v>
                </c:pt>
                <c:pt idx="550">
                  <c:v>414</c:v>
                </c:pt>
                <c:pt idx="551">
                  <c:v>414</c:v>
                </c:pt>
                <c:pt idx="552">
                  <c:v>414</c:v>
                </c:pt>
                <c:pt idx="553">
                  <c:v>414</c:v>
                </c:pt>
                <c:pt idx="554">
                  <c:v>414</c:v>
                </c:pt>
                <c:pt idx="555">
                  <c:v>414</c:v>
                </c:pt>
                <c:pt idx="556">
                  <c:v>414</c:v>
                </c:pt>
                <c:pt idx="557">
                  <c:v>414</c:v>
                </c:pt>
                <c:pt idx="558">
                  <c:v>414</c:v>
                </c:pt>
                <c:pt idx="559">
                  <c:v>414</c:v>
                </c:pt>
                <c:pt idx="560">
                  <c:v>414</c:v>
                </c:pt>
                <c:pt idx="561">
                  <c:v>414</c:v>
                </c:pt>
                <c:pt idx="562">
                  <c:v>414</c:v>
                </c:pt>
                <c:pt idx="563">
                  <c:v>414</c:v>
                </c:pt>
                <c:pt idx="564">
                  <c:v>414</c:v>
                </c:pt>
                <c:pt idx="565">
                  <c:v>414</c:v>
                </c:pt>
                <c:pt idx="566">
                  <c:v>414</c:v>
                </c:pt>
                <c:pt idx="567">
                  <c:v>332</c:v>
                </c:pt>
                <c:pt idx="568">
                  <c:v>332</c:v>
                </c:pt>
                <c:pt idx="569">
                  <c:v>332</c:v>
                </c:pt>
                <c:pt idx="570">
                  <c:v>414</c:v>
                </c:pt>
                <c:pt idx="571">
                  <c:v>414</c:v>
                </c:pt>
                <c:pt idx="572">
                  <c:v>414</c:v>
                </c:pt>
                <c:pt idx="573">
                  <c:v>414</c:v>
                </c:pt>
                <c:pt idx="574">
                  <c:v>414</c:v>
                </c:pt>
                <c:pt idx="575">
                  <c:v>414</c:v>
                </c:pt>
                <c:pt idx="576">
                  <c:v>414</c:v>
                </c:pt>
                <c:pt idx="577">
                  <c:v>414</c:v>
                </c:pt>
                <c:pt idx="578">
                  <c:v>414</c:v>
                </c:pt>
                <c:pt idx="579">
                  <c:v>414</c:v>
                </c:pt>
                <c:pt idx="580">
                  <c:v>414</c:v>
                </c:pt>
                <c:pt idx="581">
                  <c:v>414</c:v>
                </c:pt>
                <c:pt idx="582">
                  <c:v>414</c:v>
                </c:pt>
                <c:pt idx="583">
                  <c:v>414</c:v>
                </c:pt>
                <c:pt idx="584">
                  <c:v>414</c:v>
                </c:pt>
                <c:pt idx="585">
                  <c:v>414</c:v>
                </c:pt>
                <c:pt idx="586">
                  <c:v>414</c:v>
                </c:pt>
                <c:pt idx="587">
                  <c:v>414</c:v>
                </c:pt>
                <c:pt idx="588">
                  <c:v>332</c:v>
                </c:pt>
                <c:pt idx="589">
                  <c:v>332</c:v>
                </c:pt>
                <c:pt idx="590">
                  <c:v>332</c:v>
                </c:pt>
                <c:pt idx="591">
                  <c:v>332</c:v>
                </c:pt>
                <c:pt idx="592">
                  <c:v>364</c:v>
                </c:pt>
                <c:pt idx="593">
                  <c:v>364</c:v>
                </c:pt>
                <c:pt idx="594">
                  <c:v>364</c:v>
                </c:pt>
                <c:pt idx="595">
                  <c:v>364</c:v>
                </c:pt>
                <c:pt idx="596">
                  <c:v>364</c:v>
                </c:pt>
                <c:pt idx="597">
                  <c:v>364</c:v>
                </c:pt>
                <c:pt idx="598">
                  <c:v>364</c:v>
                </c:pt>
                <c:pt idx="599">
                  <c:v>364</c:v>
                </c:pt>
                <c:pt idx="600">
                  <c:v>414</c:v>
                </c:pt>
                <c:pt idx="601">
                  <c:v>364</c:v>
                </c:pt>
                <c:pt idx="602">
                  <c:v>364</c:v>
                </c:pt>
                <c:pt idx="603">
                  <c:v>414</c:v>
                </c:pt>
                <c:pt idx="604">
                  <c:v>364</c:v>
                </c:pt>
                <c:pt idx="605">
                  <c:v>364</c:v>
                </c:pt>
                <c:pt idx="606">
                  <c:v>364</c:v>
                </c:pt>
                <c:pt idx="607">
                  <c:v>414</c:v>
                </c:pt>
                <c:pt idx="608">
                  <c:v>364</c:v>
                </c:pt>
                <c:pt idx="609">
                  <c:v>364</c:v>
                </c:pt>
                <c:pt idx="610">
                  <c:v>364</c:v>
                </c:pt>
                <c:pt idx="611">
                  <c:v>364</c:v>
                </c:pt>
                <c:pt idx="612">
                  <c:v>364</c:v>
                </c:pt>
                <c:pt idx="613">
                  <c:v>364</c:v>
                </c:pt>
                <c:pt idx="614">
                  <c:v>414</c:v>
                </c:pt>
                <c:pt idx="615">
                  <c:v>332</c:v>
                </c:pt>
                <c:pt idx="616">
                  <c:v>332</c:v>
                </c:pt>
                <c:pt idx="617">
                  <c:v>414</c:v>
                </c:pt>
                <c:pt idx="618">
                  <c:v>414</c:v>
                </c:pt>
                <c:pt idx="619">
                  <c:v>414</c:v>
                </c:pt>
                <c:pt idx="620">
                  <c:v>414</c:v>
                </c:pt>
                <c:pt idx="621">
                  <c:v>414</c:v>
                </c:pt>
                <c:pt idx="622">
                  <c:v>414</c:v>
                </c:pt>
                <c:pt idx="623">
                  <c:v>414</c:v>
                </c:pt>
                <c:pt idx="624">
                  <c:v>414</c:v>
                </c:pt>
                <c:pt idx="625">
                  <c:v>414</c:v>
                </c:pt>
                <c:pt idx="626">
                  <c:v>414</c:v>
                </c:pt>
                <c:pt idx="627">
                  <c:v>414</c:v>
                </c:pt>
                <c:pt idx="628">
                  <c:v>414</c:v>
                </c:pt>
                <c:pt idx="629">
                  <c:v>414</c:v>
                </c:pt>
                <c:pt idx="630">
                  <c:v>414</c:v>
                </c:pt>
                <c:pt idx="631">
                  <c:v>414</c:v>
                </c:pt>
                <c:pt idx="632">
                  <c:v>414</c:v>
                </c:pt>
                <c:pt idx="633">
                  <c:v>414</c:v>
                </c:pt>
                <c:pt idx="634">
                  <c:v>414</c:v>
                </c:pt>
                <c:pt idx="635">
                  <c:v>332</c:v>
                </c:pt>
                <c:pt idx="636">
                  <c:v>332</c:v>
                </c:pt>
                <c:pt idx="637">
                  <c:v>332</c:v>
                </c:pt>
                <c:pt idx="638">
                  <c:v>332</c:v>
                </c:pt>
                <c:pt idx="639">
                  <c:v>382</c:v>
                </c:pt>
                <c:pt idx="640">
                  <c:v>414</c:v>
                </c:pt>
                <c:pt idx="641">
                  <c:v>414</c:v>
                </c:pt>
                <c:pt idx="642">
                  <c:v>414</c:v>
                </c:pt>
                <c:pt idx="643">
                  <c:v>414</c:v>
                </c:pt>
                <c:pt idx="644">
                  <c:v>414</c:v>
                </c:pt>
                <c:pt idx="645">
                  <c:v>414</c:v>
                </c:pt>
                <c:pt idx="646">
                  <c:v>414</c:v>
                </c:pt>
                <c:pt idx="647">
                  <c:v>414</c:v>
                </c:pt>
                <c:pt idx="648">
                  <c:v>414</c:v>
                </c:pt>
                <c:pt idx="649">
                  <c:v>414</c:v>
                </c:pt>
                <c:pt idx="650">
                  <c:v>414</c:v>
                </c:pt>
                <c:pt idx="651">
                  <c:v>414</c:v>
                </c:pt>
                <c:pt idx="652">
                  <c:v>414</c:v>
                </c:pt>
                <c:pt idx="653">
                  <c:v>414</c:v>
                </c:pt>
                <c:pt idx="654">
                  <c:v>414</c:v>
                </c:pt>
                <c:pt idx="655">
                  <c:v>414</c:v>
                </c:pt>
                <c:pt idx="656">
                  <c:v>414</c:v>
                </c:pt>
                <c:pt idx="657">
                  <c:v>414</c:v>
                </c:pt>
                <c:pt idx="658">
                  <c:v>414</c:v>
                </c:pt>
                <c:pt idx="659">
                  <c:v>414</c:v>
                </c:pt>
                <c:pt idx="660">
                  <c:v>414</c:v>
                </c:pt>
                <c:pt idx="661">
                  <c:v>332</c:v>
                </c:pt>
                <c:pt idx="662">
                  <c:v>332</c:v>
                </c:pt>
                <c:pt idx="663">
                  <c:v>332</c:v>
                </c:pt>
                <c:pt idx="664">
                  <c:v>332</c:v>
                </c:pt>
                <c:pt idx="665">
                  <c:v>414</c:v>
                </c:pt>
                <c:pt idx="666">
                  <c:v>414</c:v>
                </c:pt>
                <c:pt idx="667">
                  <c:v>414</c:v>
                </c:pt>
                <c:pt idx="668">
                  <c:v>414</c:v>
                </c:pt>
                <c:pt idx="669">
                  <c:v>414</c:v>
                </c:pt>
                <c:pt idx="670">
                  <c:v>414</c:v>
                </c:pt>
                <c:pt idx="671">
                  <c:v>414</c:v>
                </c:pt>
                <c:pt idx="672">
                  <c:v>414</c:v>
                </c:pt>
                <c:pt idx="673">
                  <c:v>414</c:v>
                </c:pt>
                <c:pt idx="674">
                  <c:v>364</c:v>
                </c:pt>
                <c:pt idx="675">
                  <c:v>414</c:v>
                </c:pt>
                <c:pt idx="676">
                  <c:v>414</c:v>
                </c:pt>
                <c:pt idx="677">
                  <c:v>414</c:v>
                </c:pt>
                <c:pt idx="678">
                  <c:v>414</c:v>
                </c:pt>
                <c:pt idx="679">
                  <c:v>414</c:v>
                </c:pt>
                <c:pt idx="680">
                  <c:v>414</c:v>
                </c:pt>
                <c:pt idx="681">
                  <c:v>414</c:v>
                </c:pt>
                <c:pt idx="682">
                  <c:v>414</c:v>
                </c:pt>
                <c:pt idx="683">
                  <c:v>414</c:v>
                </c:pt>
                <c:pt idx="684">
                  <c:v>332</c:v>
                </c:pt>
                <c:pt idx="685">
                  <c:v>332</c:v>
                </c:pt>
                <c:pt idx="686">
                  <c:v>414</c:v>
                </c:pt>
                <c:pt idx="687">
                  <c:v>414</c:v>
                </c:pt>
                <c:pt idx="688">
                  <c:v>414</c:v>
                </c:pt>
                <c:pt idx="689">
                  <c:v>414</c:v>
                </c:pt>
                <c:pt idx="690">
                  <c:v>414</c:v>
                </c:pt>
                <c:pt idx="691">
                  <c:v>414</c:v>
                </c:pt>
                <c:pt idx="692">
                  <c:v>414</c:v>
                </c:pt>
                <c:pt idx="693">
                  <c:v>414</c:v>
                </c:pt>
                <c:pt idx="694">
                  <c:v>414</c:v>
                </c:pt>
                <c:pt idx="695">
                  <c:v>414</c:v>
                </c:pt>
                <c:pt idx="696">
                  <c:v>414</c:v>
                </c:pt>
                <c:pt idx="697">
                  <c:v>414</c:v>
                </c:pt>
                <c:pt idx="698">
                  <c:v>332</c:v>
                </c:pt>
                <c:pt idx="699">
                  <c:v>332</c:v>
                </c:pt>
                <c:pt idx="700">
                  <c:v>332</c:v>
                </c:pt>
                <c:pt idx="701">
                  <c:v>364</c:v>
                </c:pt>
                <c:pt idx="702">
                  <c:v>414</c:v>
                </c:pt>
                <c:pt idx="703">
                  <c:v>364</c:v>
                </c:pt>
                <c:pt idx="704">
                  <c:v>364</c:v>
                </c:pt>
                <c:pt idx="705">
                  <c:v>364</c:v>
                </c:pt>
                <c:pt idx="706">
                  <c:v>364</c:v>
                </c:pt>
                <c:pt idx="707">
                  <c:v>414</c:v>
                </c:pt>
                <c:pt idx="708">
                  <c:v>414</c:v>
                </c:pt>
                <c:pt idx="709">
                  <c:v>414</c:v>
                </c:pt>
                <c:pt idx="710">
                  <c:v>414</c:v>
                </c:pt>
                <c:pt idx="711">
                  <c:v>332</c:v>
                </c:pt>
                <c:pt idx="712">
                  <c:v>332</c:v>
                </c:pt>
                <c:pt idx="713">
                  <c:v>272</c:v>
                </c:pt>
                <c:pt idx="714">
                  <c:v>332</c:v>
                </c:pt>
                <c:pt idx="715">
                  <c:v>364</c:v>
                </c:pt>
                <c:pt idx="716">
                  <c:v>364</c:v>
                </c:pt>
                <c:pt idx="717">
                  <c:v>414</c:v>
                </c:pt>
                <c:pt idx="718">
                  <c:v>414</c:v>
                </c:pt>
                <c:pt idx="719">
                  <c:v>364</c:v>
                </c:pt>
                <c:pt idx="720">
                  <c:v>364</c:v>
                </c:pt>
                <c:pt idx="721">
                  <c:v>364</c:v>
                </c:pt>
                <c:pt idx="722">
                  <c:v>364</c:v>
                </c:pt>
                <c:pt idx="723">
                  <c:v>364</c:v>
                </c:pt>
                <c:pt idx="724">
                  <c:v>364</c:v>
                </c:pt>
                <c:pt idx="725">
                  <c:v>414</c:v>
                </c:pt>
                <c:pt idx="726">
                  <c:v>364</c:v>
                </c:pt>
                <c:pt idx="727">
                  <c:v>414</c:v>
                </c:pt>
                <c:pt idx="728">
                  <c:v>414</c:v>
                </c:pt>
                <c:pt idx="729">
                  <c:v>414</c:v>
                </c:pt>
                <c:pt idx="730">
                  <c:v>364</c:v>
                </c:pt>
                <c:pt idx="731">
                  <c:v>414</c:v>
                </c:pt>
                <c:pt idx="732">
                  <c:v>364</c:v>
                </c:pt>
                <c:pt idx="733">
                  <c:v>364</c:v>
                </c:pt>
                <c:pt idx="734">
                  <c:v>414</c:v>
                </c:pt>
                <c:pt idx="735">
                  <c:v>332</c:v>
                </c:pt>
                <c:pt idx="736">
                  <c:v>332</c:v>
                </c:pt>
                <c:pt idx="737">
                  <c:v>364</c:v>
                </c:pt>
                <c:pt idx="738">
                  <c:v>364</c:v>
                </c:pt>
                <c:pt idx="739">
                  <c:v>364</c:v>
                </c:pt>
                <c:pt idx="740">
                  <c:v>414</c:v>
                </c:pt>
                <c:pt idx="741">
                  <c:v>364</c:v>
                </c:pt>
                <c:pt idx="742">
                  <c:v>364</c:v>
                </c:pt>
                <c:pt idx="743">
                  <c:v>364</c:v>
                </c:pt>
                <c:pt idx="744">
                  <c:v>364</c:v>
                </c:pt>
                <c:pt idx="745">
                  <c:v>432</c:v>
                </c:pt>
                <c:pt idx="746">
                  <c:v>432</c:v>
                </c:pt>
                <c:pt idx="747">
                  <c:v>388</c:v>
                </c:pt>
                <c:pt idx="748">
                  <c:v>380</c:v>
                </c:pt>
                <c:pt idx="749">
                  <c:v>384</c:v>
                </c:pt>
                <c:pt idx="750">
                  <c:v>454</c:v>
                </c:pt>
                <c:pt idx="751">
                  <c:v>454</c:v>
                </c:pt>
                <c:pt idx="752">
                  <c:v>454</c:v>
                </c:pt>
                <c:pt idx="753">
                  <c:v>454</c:v>
                </c:pt>
                <c:pt idx="754">
                  <c:v>454</c:v>
                </c:pt>
                <c:pt idx="755">
                  <c:v>421</c:v>
                </c:pt>
                <c:pt idx="756">
                  <c:v>384</c:v>
                </c:pt>
                <c:pt idx="757">
                  <c:v>480</c:v>
                </c:pt>
                <c:pt idx="758">
                  <c:v>424</c:v>
                </c:pt>
                <c:pt idx="759">
                  <c:v>464</c:v>
                </c:pt>
                <c:pt idx="760">
                  <c:v>470</c:v>
                </c:pt>
                <c:pt idx="761">
                  <c:v>470</c:v>
                </c:pt>
                <c:pt idx="762">
                  <c:v>400</c:v>
                </c:pt>
                <c:pt idx="763">
                  <c:v>316</c:v>
                </c:pt>
                <c:pt idx="764">
                  <c:v>440</c:v>
                </c:pt>
                <c:pt idx="765">
                  <c:v>456</c:v>
                </c:pt>
                <c:pt idx="766">
                  <c:v>372</c:v>
                </c:pt>
                <c:pt idx="767">
                  <c:v>408</c:v>
                </c:pt>
                <c:pt idx="768">
                  <c:v>510</c:v>
                </c:pt>
                <c:pt idx="769">
                  <c:v>510</c:v>
                </c:pt>
                <c:pt idx="770">
                  <c:v>510</c:v>
                </c:pt>
                <c:pt idx="771">
                  <c:v>510</c:v>
                </c:pt>
                <c:pt idx="772">
                  <c:v>510</c:v>
                </c:pt>
                <c:pt idx="773">
                  <c:v>510</c:v>
                </c:pt>
                <c:pt idx="774">
                  <c:v>510</c:v>
                </c:pt>
                <c:pt idx="775">
                  <c:v>510</c:v>
                </c:pt>
                <c:pt idx="776">
                  <c:v>510</c:v>
                </c:pt>
                <c:pt idx="777">
                  <c:v>510</c:v>
                </c:pt>
                <c:pt idx="778">
                  <c:v>510</c:v>
                </c:pt>
                <c:pt idx="779">
                  <c:v>512</c:v>
                </c:pt>
                <c:pt idx="780">
                  <c:v>512</c:v>
                </c:pt>
                <c:pt idx="781">
                  <c:v>432</c:v>
                </c:pt>
                <c:pt idx="782">
                  <c:v>440</c:v>
                </c:pt>
                <c:pt idx="783">
                  <c:v>476</c:v>
                </c:pt>
                <c:pt idx="784">
                  <c:v>440</c:v>
                </c:pt>
                <c:pt idx="785">
                  <c:v>440</c:v>
                </c:pt>
                <c:pt idx="786">
                  <c:v>440</c:v>
                </c:pt>
                <c:pt idx="787">
                  <c:v>440</c:v>
                </c:pt>
                <c:pt idx="788">
                  <c:v>440</c:v>
                </c:pt>
                <c:pt idx="789">
                  <c:v>440</c:v>
                </c:pt>
                <c:pt idx="790">
                  <c:v>440</c:v>
                </c:pt>
                <c:pt idx="791">
                  <c:v>440</c:v>
                </c:pt>
                <c:pt idx="792">
                  <c:v>440</c:v>
                </c:pt>
                <c:pt idx="793">
                  <c:v>440</c:v>
                </c:pt>
                <c:pt idx="794">
                  <c:v>440</c:v>
                </c:pt>
                <c:pt idx="795">
                  <c:v>448</c:v>
                </c:pt>
                <c:pt idx="796">
                  <c:v>448</c:v>
                </c:pt>
                <c:pt idx="797">
                  <c:v>496</c:v>
                </c:pt>
                <c:pt idx="798">
                  <c:v>448</c:v>
                </c:pt>
                <c:pt idx="799">
                  <c:v>480</c:v>
                </c:pt>
                <c:pt idx="800">
                  <c:v>480</c:v>
                </c:pt>
                <c:pt idx="801">
                  <c:v>535</c:v>
                </c:pt>
                <c:pt idx="802">
                  <c:v>535</c:v>
                </c:pt>
                <c:pt idx="803">
                  <c:v>535</c:v>
                </c:pt>
                <c:pt idx="804">
                  <c:v>535</c:v>
                </c:pt>
                <c:pt idx="805">
                  <c:v>535</c:v>
                </c:pt>
                <c:pt idx="806">
                  <c:v>535</c:v>
                </c:pt>
                <c:pt idx="807">
                  <c:v>535</c:v>
                </c:pt>
                <c:pt idx="808">
                  <c:v>510</c:v>
                </c:pt>
                <c:pt idx="809">
                  <c:v>535</c:v>
                </c:pt>
                <c:pt idx="810">
                  <c:v>535</c:v>
                </c:pt>
                <c:pt idx="811">
                  <c:v>535</c:v>
                </c:pt>
                <c:pt idx="812">
                  <c:v>535</c:v>
                </c:pt>
                <c:pt idx="813">
                  <c:v>535</c:v>
                </c:pt>
                <c:pt idx="814">
                  <c:v>535</c:v>
                </c:pt>
                <c:pt idx="815">
                  <c:v>535</c:v>
                </c:pt>
                <c:pt idx="816">
                  <c:v>480</c:v>
                </c:pt>
                <c:pt idx="817">
                  <c:v>480</c:v>
                </c:pt>
                <c:pt idx="818">
                  <c:v>552</c:v>
                </c:pt>
                <c:pt idx="819">
                  <c:v>552</c:v>
                </c:pt>
                <c:pt idx="820">
                  <c:v>552</c:v>
                </c:pt>
                <c:pt idx="821">
                  <c:v>552</c:v>
                </c:pt>
                <c:pt idx="822">
                  <c:v>552</c:v>
                </c:pt>
                <c:pt idx="823">
                  <c:v>614</c:v>
                </c:pt>
                <c:pt idx="824">
                  <c:v>614</c:v>
                </c:pt>
                <c:pt idx="825">
                  <c:v>364</c:v>
                </c:pt>
                <c:pt idx="826">
                  <c:v>500</c:v>
                </c:pt>
                <c:pt idx="827">
                  <c:v>484</c:v>
                </c:pt>
                <c:pt idx="828">
                  <c:v>484</c:v>
                </c:pt>
                <c:pt idx="829">
                  <c:v>455</c:v>
                </c:pt>
                <c:pt idx="830">
                  <c:v>455</c:v>
                </c:pt>
                <c:pt idx="831">
                  <c:v>455</c:v>
                </c:pt>
                <c:pt idx="832">
                  <c:v>400</c:v>
                </c:pt>
                <c:pt idx="833">
                  <c:v>480</c:v>
                </c:pt>
                <c:pt idx="834">
                  <c:v>480</c:v>
                </c:pt>
                <c:pt idx="835">
                  <c:v>516</c:v>
                </c:pt>
                <c:pt idx="836">
                  <c:v>480</c:v>
                </c:pt>
                <c:pt idx="837">
                  <c:v>516</c:v>
                </c:pt>
                <c:pt idx="838">
                  <c:v>480</c:v>
                </c:pt>
                <c:pt idx="839">
                  <c:v>480</c:v>
                </c:pt>
                <c:pt idx="840">
                  <c:v>480</c:v>
                </c:pt>
                <c:pt idx="841">
                  <c:v>516</c:v>
                </c:pt>
                <c:pt idx="842">
                  <c:v>512</c:v>
                </c:pt>
                <c:pt idx="843">
                  <c:v>480</c:v>
                </c:pt>
                <c:pt idx="844">
                  <c:v>480</c:v>
                </c:pt>
                <c:pt idx="845">
                  <c:v>480</c:v>
                </c:pt>
                <c:pt idx="846">
                  <c:v>480</c:v>
                </c:pt>
                <c:pt idx="847">
                  <c:v>480</c:v>
                </c:pt>
                <c:pt idx="848">
                  <c:v>480</c:v>
                </c:pt>
                <c:pt idx="849">
                  <c:v>480</c:v>
                </c:pt>
                <c:pt idx="850">
                  <c:v>480</c:v>
                </c:pt>
                <c:pt idx="851">
                  <c:v>480</c:v>
                </c:pt>
                <c:pt idx="852">
                  <c:v>480</c:v>
                </c:pt>
                <c:pt idx="853">
                  <c:v>480</c:v>
                </c:pt>
                <c:pt idx="854">
                  <c:v>480</c:v>
                </c:pt>
                <c:pt idx="855">
                  <c:v>480</c:v>
                </c:pt>
                <c:pt idx="856">
                  <c:v>480</c:v>
                </c:pt>
                <c:pt idx="857">
                  <c:v>480</c:v>
                </c:pt>
                <c:pt idx="858">
                  <c:v>480</c:v>
                </c:pt>
                <c:pt idx="859">
                  <c:v>480</c:v>
                </c:pt>
                <c:pt idx="860">
                  <c:v>480</c:v>
                </c:pt>
                <c:pt idx="861">
                  <c:v>480</c:v>
                </c:pt>
                <c:pt idx="862">
                  <c:v>480</c:v>
                </c:pt>
                <c:pt idx="863">
                  <c:v>480</c:v>
                </c:pt>
                <c:pt idx="864">
                  <c:v>480</c:v>
                </c:pt>
                <c:pt idx="865">
                  <c:v>480</c:v>
                </c:pt>
                <c:pt idx="866">
                  <c:v>480</c:v>
                </c:pt>
                <c:pt idx="867">
                  <c:v>480</c:v>
                </c:pt>
                <c:pt idx="868">
                  <c:v>480</c:v>
                </c:pt>
                <c:pt idx="869">
                  <c:v>480</c:v>
                </c:pt>
                <c:pt idx="870">
                  <c:v>480</c:v>
                </c:pt>
                <c:pt idx="871">
                  <c:v>480</c:v>
                </c:pt>
                <c:pt idx="872">
                  <c:v>480</c:v>
                </c:pt>
                <c:pt idx="873">
                  <c:v>480</c:v>
                </c:pt>
                <c:pt idx="874">
                  <c:v>480</c:v>
                </c:pt>
                <c:pt idx="875">
                  <c:v>480</c:v>
                </c:pt>
                <c:pt idx="876">
                  <c:v>480</c:v>
                </c:pt>
                <c:pt idx="877">
                  <c:v>480</c:v>
                </c:pt>
                <c:pt idx="878">
                  <c:v>480</c:v>
                </c:pt>
                <c:pt idx="879">
                  <c:v>480</c:v>
                </c:pt>
                <c:pt idx="880">
                  <c:v>480</c:v>
                </c:pt>
                <c:pt idx="881">
                  <c:v>480</c:v>
                </c:pt>
                <c:pt idx="882">
                  <c:v>480</c:v>
                </c:pt>
                <c:pt idx="883">
                  <c:v>480</c:v>
                </c:pt>
                <c:pt idx="884">
                  <c:v>480</c:v>
                </c:pt>
                <c:pt idx="885">
                  <c:v>480</c:v>
                </c:pt>
                <c:pt idx="886">
                  <c:v>480</c:v>
                </c:pt>
                <c:pt idx="887">
                  <c:v>480</c:v>
                </c:pt>
                <c:pt idx="888">
                  <c:v>480</c:v>
                </c:pt>
                <c:pt idx="889">
                  <c:v>480</c:v>
                </c:pt>
                <c:pt idx="890">
                  <c:v>480</c:v>
                </c:pt>
                <c:pt idx="891">
                  <c:v>480</c:v>
                </c:pt>
                <c:pt idx="892">
                  <c:v>480</c:v>
                </c:pt>
                <c:pt idx="893">
                  <c:v>480</c:v>
                </c:pt>
                <c:pt idx="894">
                  <c:v>480</c:v>
                </c:pt>
                <c:pt idx="895">
                  <c:v>480</c:v>
                </c:pt>
                <c:pt idx="896">
                  <c:v>480</c:v>
                </c:pt>
                <c:pt idx="897">
                  <c:v>480</c:v>
                </c:pt>
                <c:pt idx="898">
                  <c:v>480</c:v>
                </c:pt>
                <c:pt idx="899">
                  <c:v>480</c:v>
                </c:pt>
                <c:pt idx="900">
                  <c:v>480</c:v>
                </c:pt>
                <c:pt idx="901">
                  <c:v>480</c:v>
                </c:pt>
                <c:pt idx="902">
                  <c:v>480</c:v>
                </c:pt>
                <c:pt idx="903">
                  <c:v>480</c:v>
                </c:pt>
                <c:pt idx="904">
                  <c:v>480</c:v>
                </c:pt>
                <c:pt idx="905">
                  <c:v>480</c:v>
                </c:pt>
                <c:pt idx="906">
                  <c:v>480</c:v>
                </c:pt>
                <c:pt idx="907">
                  <c:v>480</c:v>
                </c:pt>
                <c:pt idx="908">
                  <c:v>480</c:v>
                </c:pt>
                <c:pt idx="909">
                  <c:v>480</c:v>
                </c:pt>
                <c:pt idx="910">
                  <c:v>480</c:v>
                </c:pt>
                <c:pt idx="911">
                  <c:v>240</c:v>
                </c:pt>
                <c:pt idx="912">
                  <c:v>480</c:v>
                </c:pt>
                <c:pt idx="913">
                  <c:v>480</c:v>
                </c:pt>
                <c:pt idx="914">
                  <c:v>480</c:v>
                </c:pt>
                <c:pt idx="915">
                  <c:v>480</c:v>
                </c:pt>
                <c:pt idx="916">
                  <c:v>480</c:v>
                </c:pt>
                <c:pt idx="917">
                  <c:v>480</c:v>
                </c:pt>
                <c:pt idx="918">
                  <c:v>480</c:v>
                </c:pt>
                <c:pt idx="919">
                  <c:v>480</c:v>
                </c:pt>
                <c:pt idx="920">
                  <c:v>480</c:v>
                </c:pt>
                <c:pt idx="921">
                  <c:v>480</c:v>
                </c:pt>
                <c:pt idx="922">
                  <c:v>480</c:v>
                </c:pt>
                <c:pt idx="923">
                  <c:v>480</c:v>
                </c:pt>
                <c:pt idx="924">
                  <c:v>480</c:v>
                </c:pt>
                <c:pt idx="925">
                  <c:v>480</c:v>
                </c:pt>
                <c:pt idx="926">
                  <c:v>480</c:v>
                </c:pt>
                <c:pt idx="927">
                  <c:v>480</c:v>
                </c:pt>
                <c:pt idx="928">
                  <c:v>480</c:v>
                </c:pt>
                <c:pt idx="929">
                  <c:v>480</c:v>
                </c:pt>
                <c:pt idx="930">
                  <c:v>480</c:v>
                </c:pt>
                <c:pt idx="931">
                  <c:v>480</c:v>
                </c:pt>
                <c:pt idx="932">
                  <c:v>480</c:v>
                </c:pt>
                <c:pt idx="933">
                  <c:v>480</c:v>
                </c:pt>
                <c:pt idx="934">
                  <c:v>480</c:v>
                </c:pt>
                <c:pt idx="935">
                  <c:v>480</c:v>
                </c:pt>
                <c:pt idx="936">
                  <c:v>480</c:v>
                </c:pt>
                <c:pt idx="937">
                  <c:v>480</c:v>
                </c:pt>
                <c:pt idx="938">
                  <c:v>480</c:v>
                </c:pt>
                <c:pt idx="939">
                  <c:v>480</c:v>
                </c:pt>
                <c:pt idx="940">
                  <c:v>480</c:v>
                </c:pt>
                <c:pt idx="941">
                  <c:v>480</c:v>
                </c:pt>
                <c:pt idx="942">
                  <c:v>480</c:v>
                </c:pt>
                <c:pt idx="943">
                  <c:v>480</c:v>
                </c:pt>
                <c:pt idx="944">
                  <c:v>480</c:v>
                </c:pt>
                <c:pt idx="945">
                  <c:v>480</c:v>
                </c:pt>
                <c:pt idx="946">
                  <c:v>480</c:v>
                </c:pt>
                <c:pt idx="947">
                  <c:v>480</c:v>
                </c:pt>
                <c:pt idx="948">
                  <c:v>480</c:v>
                </c:pt>
                <c:pt idx="949">
                  <c:v>480</c:v>
                </c:pt>
                <c:pt idx="950">
                  <c:v>480</c:v>
                </c:pt>
                <c:pt idx="951">
                  <c:v>480</c:v>
                </c:pt>
                <c:pt idx="952">
                  <c:v>480</c:v>
                </c:pt>
                <c:pt idx="953">
                  <c:v>480</c:v>
                </c:pt>
                <c:pt idx="954">
                  <c:v>480</c:v>
                </c:pt>
                <c:pt idx="955">
                  <c:v>240</c:v>
                </c:pt>
                <c:pt idx="956">
                  <c:v>480</c:v>
                </c:pt>
                <c:pt idx="957">
                  <c:v>240</c:v>
                </c:pt>
                <c:pt idx="958">
                  <c:v>480</c:v>
                </c:pt>
                <c:pt idx="959">
                  <c:v>480</c:v>
                </c:pt>
                <c:pt idx="960">
                  <c:v>480</c:v>
                </c:pt>
                <c:pt idx="961">
                  <c:v>480</c:v>
                </c:pt>
                <c:pt idx="962">
                  <c:v>480</c:v>
                </c:pt>
                <c:pt idx="963">
                  <c:v>480</c:v>
                </c:pt>
                <c:pt idx="964">
                  <c:v>480</c:v>
                </c:pt>
                <c:pt idx="965">
                  <c:v>480</c:v>
                </c:pt>
                <c:pt idx="966">
                  <c:v>480</c:v>
                </c:pt>
                <c:pt idx="967">
                  <c:v>480</c:v>
                </c:pt>
                <c:pt idx="968">
                  <c:v>480</c:v>
                </c:pt>
                <c:pt idx="969">
                  <c:v>480</c:v>
                </c:pt>
                <c:pt idx="970">
                  <c:v>480</c:v>
                </c:pt>
                <c:pt idx="971">
                  <c:v>480</c:v>
                </c:pt>
                <c:pt idx="972">
                  <c:v>480</c:v>
                </c:pt>
                <c:pt idx="973">
                  <c:v>480</c:v>
                </c:pt>
                <c:pt idx="974">
                  <c:v>480</c:v>
                </c:pt>
                <c:pt idx="975">
                  <c:v>480</c:v>
                </c:pt>
                <c:pt idx="976">
                  <c:v>364</c:v>
                </c:pt>
                <c:pt idx="977">
                  <c:v>480</c:v>
                </c:pt>
                <c:pt idx="978">
                  <c:v>480</c:v>
                </c:pt>
                <c:pt idx="979">
                  <c:v>480</c:v>
                </c:pt>
                <c:pt idx="980">
                  <c:v>480</c:v>
                </c:pt>
                <c:pt idx="981">
                  <c:v>480</c:v>
                </c:pt>
                <c:pt idx="982">
                  <c:v>480</c:v>
                </c:pt>
                <c:pt idx="983">
                  <c:v>480</c:v>
                </c:pt>
                <c:pt idx="984">
                  <c:v>480</c:v>
                </c:pt>
                <c:pt idx="985">
                  <c:v>480</c:v>
                </c:pt>
                <c:pt idx="986">
                  <c:v>480</c:v>
                </c:pt>
                <c:pt idx="987">
                  <c:v>480</c:v>
                </c:pt>
                <c:pt idx="988">
                  <c:v>480</c:v>
                </c:pt>
                <c:pt idx="989">
                  <c:v>480</c:v>
                </c:pt>
                <c:pt idx="990">
                  <c:v>480</c:v>
                </c:pt>
                <c:pt idx="991">
                  <c:v>480</c:v>
                </c:pt>
                <c:pt idx="992">
                  <c:v>360</c:v>
                </c:pt>
                <c:pt idx="993">
                  <c:v>490</c:v>
                </c:pt>
                <c:pt idx="994">
                  <c:v>570</c:v>
                </c:pt>
                <c:pt idx="995">
                  <c:v>540</c:v>
                </c:pt>
                <c:pt idx="996">
                  <c:v>316</c:v>
                </c:pt>
                <c:pt idx="997">
                  <c:v>610</c:v>
                </c:pt>
                <c:pt idx="998">
                  <c:v>520</c:v>
                </c:pt>
                <c:pt idx="999">
                  <c:v>80</c:v>
                </c:pt>
                <c:pt idx="1000">
                  <c:v>548</c:v>
                </c:pt>
                <c:pt idx="1001">
                  <c:v>548</c:v>
                </c:pt>
                <c:pt idx="1002">
                  <c:v>535</c:v>
                </c:pt>
                <c:pt idx="1003">
                  <c:v>456</c:v>
                </c:pt>
                <c:pt idx="1004">
                  <c:v>536</c:v>
                </c:pt>
                <c:pt idx="1005">
                  <c:v>536</c:v>
                </c:pt>
                <c:pt idx="1006">
                  <c:v>520</c:v>
                </c:pt>
                <c:pt idx="1007">
                  <c:v>655</c:v>
                </c:pt>
                <c:pt idx="1008">
                  <c:v>524</c:v>
                </c:pt>
                <c:pt idx="1009">
                  <c:v>575</c:v>
                </c:pt>
                <c:pt idx="1010">
                  <c:v>540</c:v>
                </c:pt>
                <c:pt idx="1011">
                  <c:v>698</c:v>
                </c:pt>
                <c:pt idx="1012">
                  <c:v>622</c:v>
                </c:pt>
                <c:pt idx="1013">
                  <c:v>555</c:v>
                </c:pt>
                <c:pt idx="1014">
                  <c:v>620</c:v>
                </c:pt>
                <c:pt idx="1015">
                  <c:v>698</c:v>
                </c:pt>
                <c:pt idx="1016">
                  <c:v>500</c:v>
                </c:pt>
                <c:pt idx="1017">
                  <c:v>484</c:v>
                </c:pt>
                <c:pt idx="1018">
                  <c:v>484</c:v>
                </c:pt>
                <c:pt idx="1019">
                  <c:v>484</c:v>
                </c:pt>
                <c:pt idx="1020">
                  <c:v>484</c:v>
                </c:pt>
                <c:pt idx="1021">
                  <c:v>540</c:v>
                </c:pt>
                <c:pt idx="1022">
                  <c:v>640</c:v>
                </c:pt>
                <c:pt idx="1023">
                  <c:v>484</c:v>
                </c:pt>
                <c:pt idx="1024">
                  <c:v>484</c:v>
                </c:pt>
                <c:pt idx="1025">
                  <c:v>524</c:v>
                </c:pt>
                <c:pt idx="1026">
                  <c:v>524</c:v>
                </c:pt>
                <c:pt idx="1027">
                  <c:v>524</c:v>
                </c:pt>
                <c:pt idx="1028">
                  <c:v>560</c:v>
                </c:pt>
                <c:pt idx="1029">
                  <c:v>528</c:v>
                </c:pt>
                <c:pt idx="1030">
                  <c:v>528</c:v>
                </c:pt>
                <c:pt idx="1031">
                  <c:v>544</c:v>
                </c:pt>
                <c:pt idx="1032">
                  <c:v>544</c:v>
                </c:pt>
                <c:pt idx="1033">
                  <c:v>544</c:v>
                </c:pt>
                <c:pt idx="1034">
                  <c:v>544</c:v>
                </c:pt>
                <c:pt idx="1035">
                  <c:v>544</c:v>
                </c:pt>
                <c:pt idx="1036">
                  <c:v>560</c:v>
                </c:pt>
                <c:pt idx="1037">
                  <c:v>560</c:v>
                </c:pt>
                <c:pt idx="1038">
                  <c:v>560</c:v>
                </c:pt>
                <c:pt idx="1039">
                  <c:v>695</c:v>
                </c:pt>
                <c:pt idx="1040">
                  <c:v>520</c:v>
                </c:pt>
                <c:pt idx="1041">
                  <c:v>520</c:v>
                </c:pt>
                <c:pt idx="1042">
                  <c:v>520</c:v>
                </c:pt>
                <c:pt idx="1043">
                  <c:v>520</c:v>
                </c:pt>
                <c:pt idx="1044">
                  <c:v>520</c:v>
                </c:pt>
                <c:pt idx="1045">
                  <c:v>520</c:v>
                </c:pt>
                <c:pt idx="1046">
                  <c:v>520</c:v>
                </c:pt>
                <c:pt idx="1047">
                  <c:v>544</c:v>
                </c:pt>
                <c:pt idx="1048">
                  <c:v>544</c:v>
                </c:pt>
                <c:pt idx="1049">
                  <c:v>544</c:v>
                </c:pt>
                <c:pt idx="1050">
                  <c:v>544</c:v>
                </c:pt>
                <c:pt idx="1051">
                  <c:v>544</c:v>
                </c:pt>
                <c:pt idx="1052">
                  <c:v>544</c:v>
                </c:pt>
                <c:pt idx="1053">
                  <c:v>544</c:v>
                </c:pt>
                <c:pt idx="1054">
                  <c:v>544</c:v>
                </c:pt>
                <c:pt idx="1055">
                  <c:v>544</c:v>
                </c:pt>
                <c:pt idx="1056">
                  <c:v>544</c:v>
                </c:pt>
                <c:pt idx="1057">
                  <c:v>544</c:v>
                </c:pt>
                <c:pt idx="1058">
                  <c:v>544</c:v>
                </c:pt>
                <c:pt idx="1059">
                  <c:v>544</c:v>
                </c:pt>
                <c:pt idx="1060">
                  <c:v>544</c:v>
                </c:pt>
                <c:pt idx="1061">
                  <c:v>544</c:v>
                </c:pt>
                <c:pt idx="1062">
                  <c:v>544</c:v>
                </c:pt>
                <c:pt idx="1063">
                  <c:v>400</c:v>
                </c:pt>
                <c:pt idx="1064">
                  <c:v>560</c:v>
                </c:pt>
                <c:pt idx="1065">
                  <c:v>650</c:v>
                </c:pt>
                <c:pt idx="1066">
                  <c:v>580</c:v>
                </c:pt>
                <c:pt idx="1067">
                  <c:v>540</c:v>
                </c:pt>
                <c:pt idx="1068">
                  <c:v>520</c:v>
                </c:pt>
                <c:pt idx="1069">
                  <c:v>584</c:v>
                </c:pt>
                <c:pt idx="1070">
                  <c:v>584</c:v>
                </c:pt>
                <c:pt idx="1071">
                  <c:v>632</c:v>
                </c:pt>
                <c:pt idx="1072">
                  <c:v>128</c:v>
                </c:pt>
                <c:pt idx="1073">
                  <c:v>772</c:v>
                </c:pt>
                <c:pt idx="1074">
                  <c:v>599</c:v>
                </c:pt>
                <c:pt idx="1075">
                  <c:v>599</c:v>
                </c:pt>
                <c:pt idx="1076">
                  <c:v>599</c:v>
                </c:pt>
                <c:pt idx="1077">
                  <c:v>589</c:v>
                </c:pt>
                <c:pt idx="1078">
                  <c:v>589</c:v>
                </c:pt>
                <c:pt idx="1079">
                  <c:v>589</c:v>
                </c:pt>
                <c:pt idx="1080">
                  <c:v>580</c:v>
                </c:pt>
                <c:pt idx="1081">
                  <c:v>732</c:v>
                </c:pt>
                <c:pt idx="1082">
                  <c:v>740</c:v>
                </c:pt>
                <c:pt idx="1083">
                  <c:v>584</c:v>
                </c:pt>
                <c:pt idx="1084">
                  <c:v>584</c:v>
                </c:pt>
                <c:pt idx="1085">
                  <c:v>768</c:v>
                </c:pt>
                <c:pt idx="1086">
                  <c:v>608</c:v>
                </c:pt>
                <c:pt idx="1087">
                  <c:v>720</c:v>
                </c:pt>
                <c:pt idx="1088">
                  <c:v>680</c:v>
                </c:pt>
                <c:pt idx="1089">
                  <c:v>600</c:v>
                </c:pt>
                <c:pt idx="1090">
                  <c:v>640</c:v>
                </c:pt>
                <c:pt idx="1091">
                  <c:v>624</c:v>
                </c:pt>
                <c:pt idx="1092">
                  <c:v>651</c:v>
                </c:pt>
                <c:pt idx="1093">
                  <c:v>572</c:v>
                </c:pt>
                <c:pt idx="1094">
                  <c:v>704</c:v>
                </c:pt>
                <c:pt idx="1095">
                  <c:v>576</c:v>
                </c:pt>
                <c:pt idx="1096">
                  <c:v>825</c:v>
                </c:pt>
                <c:pt idx="1097">
                  <c:v>640</c:v>
                </c:pt>
                <c:pt idx="1098">
                  <c:v>640</c:v>
                </c:pt>
                <c:pt idx="1099">
                  <c:v>640</c:v>
                </c:pt>
                <c:pt idx="1100">
                  <c:v>640</c:v>
                </c:pt>
                <c:pt idx="1101">
                  <c:v>640</c:v>
                </c:pt>
                <c:pt idx="1102">
                  <c:v>640</c:v>
                </c:pt>
                <c:pt idx="1103">
                  <c:v>240</c:v>
                </c:pt>
                <c:pt idx="1104">
                  <c:v>615</c:v>
                </c:pt>
                <c:pt idx="1105">
                  <c:v>528</c:v>
                </c:pt>
                <c:pt idx="1106">
                  <c:v>500</c:v>
                </c:pt>
                <c:pt idx="1107">
                  <c:v>550</c:v>
                </c:pt>
                <c:pt idx="1108">
                  <c:v>640</c:v>
                </c:pt>
                <c:pt idx="1109">
                  <c:v>640</c:v>
                </c:pt>
                <c:pt idx="1110">
                  <c:v>640</c:v>
                </c:pt>
                <c:pt idx="1111">
                  <c:v>608</c:v>
                </c:pt>
                <c:pt idx="1112">
                  <c:v>640</c:v>
                </c:pt>
                <c:pt idx="1113">
                  <c:v>640</c:v>
                </c:pt>
                <c:pt idx="1114">
                  <c:v>640</c:v>
                </c:pt>
                <c:pt idx="1115">
                  <c:v>640</c:v>
                </c:pt>
                <c:pt idx="1116">
                  <c:v>640</c:v>
                </c:pt>
                <c:pt idx="1117">
                  <c:v>640</c:v>
                </c:pt>
                <c:pt idx="1118">
                  <c:v>640</c:v>
                </c:pt>
                <c:pt idx="1119">
                  <c:v>640</c:v>
                </c:pt>
                <c:pt idx="1120">
                  <c:v>640</c:v>
                </c:pt>
                <c:pt idx="1121">
                  <c:v>640</c:v>
                </c:pt>
                <c:pt idx="1122">
                  <c:v>640</c:v>
                </c:pt>
                <c:pt idx="1123">
                  <c:v>608</c:v>
                </c:pt>
                <c:pt idx="1124">
                  <c:v>640</c:v>
                </c:pt>
                <c:pt idx="1125">
                  <c:v>640</c:v>
                </c:pt>
                <c:pt idx="1126">
                  <c:v>640</c:v>
                </c:pt>
                <c:pt idx="1127">
                  <c:v>640</c:v>
                </c:pt>
                <c:pt idx="1128">
                  <c:v>640</c:v>
                </c:pt>
                <c:pt idx="1129">
                  <c:v>640</c:v>
                </c:pt>
                <c:pt idx="1130">
                  <c:v>680</c:v>
                </c:pt>
                <c:pt idx="1131">
                  <c:v>740</c:v>
                </c:pt>
                <c:pt idx="1132">
                  <c:v>600</c:v>
                </c:pt>
                <c:pt idx="1133">
                  <c:v>600</c:v>
                </c:pt>
                <c:pt idx="1134">
                  <c:v>600</c:v>
                </c:pt>
                <c:pt idx="1135">
                  <c:v>600</c:v>
                </c:pt>
                <c:pt idx="1136">
                  <c:v>600</c:v>
                </c:pt>
                <c:pt idx="1137">
                  <c:v>624</c:v>
                </c:pt>
                <c:pt idx="1138">
                  <c:v>608</c:v>
                </c:pt>
                <c:pt idx="1139">
                  <c:v>640</c:v>
                </c:pt>
                <c:pt idx="1140">
                  <c:v>584</c:v>
                </c:pt>
                <c:pt idx="1141">
                  <c:v>608</c:v>
                </c:pt>
                <c:pt idx="1142">
                  <c:v>608</c:v>
                </c:pt>
                <c:pt idx="1143">
                  <c:v>584</c:v>
                </c:pt>
                <c:pt idx="1144">
                  <c:v>584</c:v>
                </c:pt>
                <c:pt idx="1145">
                  <c:v>584</c:v>
                </c:pt>
                <c:pt idx="1146">
                  <c:v>578</c:v>
                </c:pt>
                <c:pt idx="1147">
                  <c:v>544</c:v>
                </c:pt>
                <c:pt idx="1148">
                  <c:v>480</c:v>
                </c:pt>
                <c:pt idx="1149">
                  <c:v>592</c:v>
                </c:pt>
                <c:pt idx="1150">
                  <c:v>648</c:v>
                </c:pt>
                <c:pt idx="1151">
                  <c:v>592</c:v>
                </c:pt>
                <c:pt idx="1152">
                  <c:v>648</c:v>
                </c:pt>
                <c:pt idx="1153">
                  <c:v>648</c:v>
                </c:pt>
                <c:pt idx="1154">
                  <c:v>592</c:v>
                </c:pt>
                <c:pt idx="1155">
                  <c:v>648</c:v>
                </c:pt>
                <c:pt idx="1156">
                  <c:v>648</c:v>
                </c:pt>
                <c:pt idx="1157">
                  <c:v>592</c:v>
                </c:pt>
                <c:pt idx="1158">
                  <c:v>648</c:v>
                </c:pt>
                <c:pt idx="1159">
                  <c:v>648</c:v>
                </c:pt>
                <c:pt idx="1160">
                  <c:v>648</c:v>
                </c:pt>
                <c:pt idx="1161">
                  <c:v>592</c:v>
                </c:pt>
                <c:pt idx="1162">
                  <c:v>608</c:v>
                </c:pt>
                <c:pt idx="1163">
                  <c:v>648</c:v>
                </c:pt>
                <c:pt idx="1164">
                  <c:v>592</c:v>
                </c:pt>
                <c:pt idx="1165">
                  <c:v>592</c:v>
                </c:pt>
                <c:pt idx="1166">
                  <c:v>648</c:v>
                </c:pt>
                <c:pt idx="1167">
                  <c:v>592</c:v>
                </c:pt>
                <c:pt idx="1168">
                  <c:v>564</c:v>
                </c:pt>
                <c:pt idx="1169">
                  <c:v>608</c:v>
                </c:pt>
                <c:pt idx="1170">
                  <c:v>648</c:v>
                </c:pt>
                <c:pt idx="1171">
                  <c:v>592</c:v>
                </c:pt>
                <c:pt idx="1172">
                  <c:v>608</c:v>
                </c:pt>
                <c:pt idx="1173">
                  <c:v>592</c:v>
                </c:pt>
                <c:pt idx="1174">
                  <c:v>648</c:v>
                </c:pt>
                <c:pt idx="1175">
                  <c:v>592</c:v>
                </c:pt>
                <c:pt idx="1176">
                  <c:v>648</c:v>
                </c:pt>
                <c:pt idx="1177">
                  <c:v>648</c:v>
                </c:pt>
                <c:pt idx="1178">
                  <c:v>480</c:v>
                </c:pt>
                <c:pt idx="1179">
                  <c:v>648</c:v>
                </c:pt>
                <c:pt idx="1180">
                  <c:v>592</c:v>
                </c:pt>
                <c:pt idx="1181">
                  <c:v>648</c:v>
                </c:pt>
                <c:pt idx="1182">
                  <c:v>880</c:v>
                </c:pt>
                <c:pt idx="1183">
                  <c:v>742</c:v>
                </c:pt>
                <c:pt idx="1184">
                  <c:v>742</c:v>
                </c:pt>
                <c:pt idx="1185">
                  <c:v>680</c:v>
                </c:pt>
                <c:pt idx="1186">
                  <c:v>640</c:v>
                </c:pt>
                <c:pt idx="1187">
                  <c:v>878</c:v>
                </c:pt>
                <c:pt idx="1188">
                  <c:v>878</c:v>
                </c:pt>
                <c:pt idx="1189">
                  <c:v>878</c:v>
                </c:pt>
                <c:pt idx="1190">
                  <c:v>520</c:v>
                </c:pt>
                <c:pt idx="1191">
                  <c:v>400</c:v>
                </c:pt>
                <c:pt idx="1192">
                  <c:v>740</c:v>
                </c:pt>
                <c:pt idx="1193">
                  <c:v>760</c:v>
                </c:pt>
                <c:pt idx="1194">
                  <c:v>840</c:v>
                </c:pt>
                <c:pt idx="1195">
                  <c:v>800</c:v>
                </c:pt>
                <c:pt idx="1196">
                  <c:v>800</c:v>
                </c:pt>
                <c:pt idx="1197">
                  <c:v>800</c:v>
                </c:pt>
                <c:pt idx="1198">
                  <c:v>700</c:v>
                </c:pt>
                <c:pt idx="1199">
                  <c:v>900</c:v>
                </c:pt>
                <c:pt idx="1200">
                  <c:v>660</c:v>
                </c:pt>
                <c:pt idx="1201">
                  <c:v>800</c:v>
                </c:pt>
                <c:pt idx="1202">
                  <c:v>740</c:v>
                </c:pt>
                <c:pt idx="1203">
                  <c:v>1083</c:v>
                </c:pt>
                <c:pt idx="1204">
                  <c:v>880</c:v>
                </c:pt>
                <c:pt idx="1205">
                  <c:v>760</c:v>
                </c:pt>
                <c:pt idx="1206">
                  <c:v>760</c:v>
                </c:pt>
                <c:pt idx="1207">
                  <c:v>760</c:v>
                </c:pt>
                <c:pt idx="1208">
                  <c:v>768</c:v>
                </c:pt>
                <c:pt idx="1209">
                  <c:v>760</c:v>
                </c:pt>
                <c:pt idx="1210">
                  <c:v>680</c:v>
                </c:pt>
                <c:pt idx="1211">
                  <c:v>680</c:v>
                </c:pt>
                <c:pt idx="1212">
                  <c:v>640</c:v>
                </c:pt>
                <c:pt idx="1213">
                  <c:v>640</c:v>
                </c:pt>
                <c:pt idx="1214">
                  <c:v>800</c:v>
                </c:pt>
                <c:pt idx="1215">
                  <c:v>800</c:v>
                </c:pt>
                <c:pt idx="1216">
                  <c:v>960</c:v>
                </c:pt>
                <c:pt idx="1217">
                  <c:v>960</c:v>
                </c:pt>
                <c:pt idx="1218">
                  <c:v>720</c:v>
                </c:pt>
                <c:pt idx="1219">
                  <c:v>800</c:v>
                </c:pt>
                <c:pt idx="1220">
                  <c:v>820</c:v>
                </c:pt>
                <c:pt idx="1221">
                  <c:v>720</c:v>
                </c:pt>
                <c:pt idx="1222">
                  <c:v>700</c:v>
                </c:pt>
                <c:pt idx="1223">
                  <c:v>672</c:v>
                </c:pt>
                <c:pt idx="1224">
                  <c:v>776</c:v>
                </c:pt>
                <c:pt idx="1225">
                  <c:v>796</c:v>
                </c:pt>
                <c:pt idx="1226">
                  <c:v>1157</c:v>
                </c:pt>
                <c:pt idx="1227">
                  <c:v>680</c:v>
                </c:pt>
                <c:pt idx="1228">
                  <c:v>720</c:v>
                </c:pt>
                <c:pt idx="1229">
                  <c:v>1100</c:v>
                </c:pt>
                <c:pt idx="1230">
                  <c:v>720</c:v>
                </c:pt>
                <c:pt idx="1231">
                  <c:v>120</c:v>
                </c:pt>
                <c:pt idx="1232">
                  <c:v>600</c:v>
                </c:pt>
                <c:pt idx="1233">
                  <c:v>700</c:v>
                </c:pt>
                <c:pt idx="1234">
                  <c:v>700</c:v>
                </c:pt>
                <c:pt idx="1235">
                  <c:v>670</c:v>
                </c:pt>
                <c:pt idx="1236">
                  <c:v>670</c:v>
                </c:pt>
                <c:pt idx="1237">
                  <c:v>760</c:v>
                </c:pt>
                <c:pt idx="1238">
                  <c:v>652</c:v>
                </c:pt>
                <c:pt idx="1239">
                  <c:v>652</c:v>
                </c:pt>
                <c:pt idx="1240">
                  <c:v>652</c:v>
                </c:pt>
                <c:pt idx="1241">
                  <c:v>706</c:v>
                </c:pt>
                <c:pt idx="1242">
                  <c:v>706</c:v>
                </c:pt>
                <c:pt idx="1243">
                  <c:v>706</c:v>
                </c:pt>
                <c:pt idx="1244">
                  <c:v>706</c:v>
                </c:pt>
                <c:pt idx="1245">
                  <c:v>706</c:v>
                </c:pt>
                <c:pt idx="1246">
                  <c:v>706</c:v>
                </c:pt>
                <c:pt idx="1247">
                  <c:v>706</c:v>
                </c:pt>
                <c:pt idx="1248">
                  <c:v>652</c:v>
                </c:pt>
                <c:pt idx="1249">
                  <c:v>706</c:v>
                </c:pt>
                <c:pt idx="1250">
                  <c:v>706</c:v>
                </c:pt>
                <c:pt idx="1251">
                  <c:v>706</c:v>
                </c:pt>
                <c:pt idx="1252">
                  <c:v>984</c:v>
                </c:pt>
                <c:pt idx="1253">
                  <c:v>984</c:v>
                </c:pt>
                <c:pt idx="1254">
                  <c:v>920</c:v>
                </c:pt>
                <c:pt idx="1255">
                  <c:v>269</c:v>
                </c:pt>
                <c:pt idx="1256">
                  <c:v>1300</c:v>
                </c:pt>
                <c:pt idx="1257">
                  <c:v>1300</c:v>
                </c:pt>
                <c:pt idx="1258">
                  <c:v>1030</c:v>
                </c:pt>
                <c:pt idx="1259">
                  <c:v>1030</c:v>
                </c:pt>
                <c:pt idx="1260">
                  <c:v>1653</c:v>
                </c:pt>
              </c:numCache>
            </c:numRef>
          </c:yVal>
          <c:smooth val="0"/>
        </c:ser>
        <c:dLbls>
          <c:showLegendKey val="0"/>
          <c:showVal val="0"/>
          <c:showCatName val="0"/>
          <c:showSerName val="0"/>
          <c:showPercent val="0"/>
          <c:showBubbleSize val="0"/>
        </c:dLbls>
        <c:axId val="475643888"/>
        <c:axId val="475644280"/>
      </c:scatterChart>
      <c:valAx>
        <c:axId val="475643888"/>
        <c:scaling>
          <c:orientation val="minMax"/>
          <c:max val="17"/>
          <c:min val="1"/>
        </c:scaling>
        <c:delete val="0"/>
        <c:axPos val="b"/>
        <c:title>
          <c:tx>
            <c:rich>
              <a:bodyPr/>
              <a:lstStyle/>
              <a:p>
                <a:pPr>
                  <a:defRPr sz="1198" b="1" i="0" u="none" strike="noStrike" baseline="0">
                    <a:solidFill>
                      <a:srgbClr val="000000"/>
                    </a:solidFill>
                    <a:latin typeface="Times New Roman"/>
                    <a:ea typeface="Times New Roman"/>
                    <a:cs typeface="Times New Roman"/>
                  </a:defRPr>
                </a:pPr>
                <a:r>
                  <a:rPr lang="lv-LV"/>
                  <a:t>Mēnešalgu grupa, kvalifikācijas pakāpe</a:t>
                </a:r>
              </a:p>
            </c:rich>
          </c:tx>
          <c:overlay val="0"/>
        </c:title>
        <c:numFmt formatCode="General" sourceLinked="1"/>
        <c:majorTickMark val="out"/>
        <c:minorTickMark val="none"/>
        <c:tickLblPos val="nextTo"/>
        <c:txPr>
          <a:bodyPr rot="0" vert="horz"/>
          <a:lstStyle/>
          <a:p>
            <a:pPr>
              <a:defRPr sz="1198" b="0" i="0" u="none" strike="noStrike" baseline="0">
                <a:solidFill>
                  <a:srgbClr val="000000"/>
                </a:solidFill>
                <a:latin typeface="Times New Roman"/>
                <a:ea typeface="Times New Roman"/>
                <a:cs typeface="Times New Roman"/>
              </a:defRPr>
            </a:pPr>
            <a:endParaRPr lang="lv-LV"/>
          </a:p>
        </c:txPr>
        <c:crossAx val="475644280"/>
        <c:crosses val="autoZero"/>
        <c:crossBetween val="midCat"/>
        <c:majorUnit val="3"/>
      </c:valAx>
      <c:valAx>
        <c:axId val="475644280"/>
        <c:scaling>
          <c:orientation val="minMax"/>
          <c:max val="1800"/>
          <c:min val="0"/>
        </c:scaling>
        <c:delete val="0"/>
        <c:axPos val="l"/>
        <c:majorGridlines/>
        <c:numFmt formatCode="General" sourceLinked="1"/>
        <c:majorTickMark val="out"/>
        <c:minorTickMark val="none"/>
        <c:tickLblPos val="nextTo"/>
        <c:txPr>
          <a:bodyPr/>
          <a:lstStyle/>
          <a:p>
            <a:pPr>
              <a:defRPr lang="lv-LV"/>
            </a:pPr>
            <a:endParaRPr lang="lv-LV"/>
          </a:p>
        </c:txPr>
        <c:crossAx val="475643888"/>
        <c:crosses val="autoZero"/>
        <c:crossBetween val="midCat"/>
      </c:valAx>
    </c:plotArea>
    <c:plotVisOnly val="1"/>
    <c:dispBlanksAs val="gap"/>
    <c:showDLblsOverMax val="0"/>
  </c:chart>
  <c:txPr>
    <a:bodyPr/>
    <a:lstStyle/>
    <a:p>
      <a:pPr>
        <a:defRPr sz="1198">
          <a:latin typeface="Times New Roman" pitchFamily="18" charset="0"/>
          <a:cs typeface="Times New Roman" pitchFamily="18" charset="0"/>
        </a:defRPr>
      </a:pPr>
      <a:endParaRPr lang="lv-LV"/>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 (2)'!$G$1</c:f>
              <c:strCache>
                <c:ptCount val="1"/>
                <c:pt idx="0">
                  <c:v>Vieta</c:v>
                </c:pt>
              </c:strCache>
            </c:strRef>
          </c:tx>
          <c:invertIfNegative val="0"/>
          <c:cat>
            <c:strRef>
              <c:f>'t (2)'!$A$2:$A$16</c:f>
              <c:strCache>
                <c:ptCount val="15"/>
                <c:pt idx="0">
                  <c:v>Valsts kanceleja</c:v>
                </c:pt>
                <c:pt idx="1">
                  <c:v>Pārresoru koordinācijas centrs</c:v>
                </c:pt>
                <c:pt idx="2">
                  <c:v>Aizsardzības ministrija</c:v>
                </c:pt>
                <c:pt idx="3">
                  <c:v>Ārlietu ministrija</c:v>
                </c:pt>
                <c:pt idx="4">
                  <c:v>Ekonomikas ministrija</c:v>
                </c:pt>
                <c:pt idx="5">
                  <c:v>Finanšu ministrija</c:v>
                </c:pt>
                <c:pt idx="6">
                  <c:v>Iekšlietu ministrija</c:v>
                </c:pt>
                <c:pt idx="7">
                  <c:v>Izglītības un zinātnes ministrija</c:v>
                </c:pt>
                <c:pt idx="8">
                  <c:v>Zemkopības ministrija</c:v>
                </c:pt>
                <c:pt idx="9">
                  <c:v>Satiksmes ministrija</c:v>
                </c:pt>
                <c:pt idx="10">
                  <c:v>Labklājības ministrija</c:v>
                </c:pt>
                <c:pt idx="11">
                  <c:v>Tieslietu ministrija</c:v>
                </c:pt>
                <c:pt idx="12">
                  <c:v>Vides aizsardzības un reģionālās attīstības ministrija</c:v>
                </c:pt>
                <c:pt idx="13">
                  <c:v>Kultūras ministrija</c:v>
                </c:pt>
                <c:pt idx="14">
                  <c:v>Veselības ministrija</c:v>
                </c:pt>
              </c:strCache>
            </c:strRef>
          </c:cat>
          <c:val>
            <c:numRef>
              <c:f>'t (2)'!$G$2:$G$16</c:f>
              <c:numCache>
                <c:formatCode>General</c:formatCode>
                <c:ptCount val="15"/>
                <c:pt idx="0">
                  <c:v>0.63552631578947372</c:v>
                </c:pt>
                <c:pt idx="1">
                  <c:v>0.43253813062182245</c:v>
                </c:pt>
                <c:pt idx="2">
                  <c:v>0.88568136721500357</c:v>
                </c:pt>
                <c:pt idx="3">
                  <c:v>0.37783345903140675</c:v>
                </c:pt>
                <c:pt idx="4">
                  <c:v>0.71178384997099953</c:v>
                </c:pt>
                <c:pt idx="5">
                  <c:v>0.62814792782074158</c:v>
                </c:pt>
                <c:pt idx="6">
                  <c:v>0.58501726563499168</c:v>
                </c:pt>
                <c:pt idx="7">
                  <c:v>0.78734026592167206</c:v>
                </c:pt>
                <c:pt idx="8">
                  <c:v>0.97958914187621438</c:v>
                </c:pt>
                <c:pt idx="9">
                  <c:v>0.70257810130421594</c:v>
                </c:pt>
                <c:pt idx="10">
                  <c:v>0.94460692413448322</c:v>
                </c:pt>
                <c:pt idx="11">
                  <c:v>0.86027137095195205</c:v>
                </c:pt>
                <c:pt idx="12">
                  <c:v>0.63926382024899409</c:v>
                </c:pt>
                <c:pt idx="13">
                  <c:v>0.59526211623865599</c:v>
                </c:pt>
                <c:pt idx="14">
                  <c:v>0.61272030026109658</c:v>
                </c:pt>
              </c:numCache>
            </c:numRef>
          </c:val>
        </c:ser>
        <c:ser>
          <c:idx val="1"/>
          <c:order val="1"/>
          <c:tx>
            <c:strRef>
              <c:f>'t (2)'!$H$1</c:f>
              <c:strCache>
                <c:ptCount val="1"/>
                <c:pt idx="0">
                  <c:v>Vieta ar piemaksām (motivēšanai)</c:v>
                </c:pt>
              </c:strCache>
            </c:strRef>
          </c:tx>
          <c:invertIfNegative val="0"/>
          <c:cat>
            <c:strRef>
              <c:f>'t (2)'!$A$2:$A$16</c:f>
              <c:strCache>
                <c:ptCount val="15"/>
                <c:pt idx="0">
                  <c:v>Valsts kanceleja</c:v>
                </c:pt>
                <c:pt idx="1">
                  <c:v>Pārresoru koordinācijas centrs</c:v>
                </c:pt>
                <c:pt idx="2">
                  <c:v>Aizsardzības ministrija</c:v>
                </c:pt>
                <c:pt idx="3">
                  <c:v>Ārlietu ministrija</c:v>
                </c:pt>
                <c:pt idx="4">
                  <c:v>Ekonomikas ministrija</c:v>
                </c:pt>
                <c:pt idx="5">
                  <c:v>Finanšu ministrija</c:v>
                </c:pt>
                <c:pt idx="6">
                  <c:v>Iekšlietu ministrija</c:v>
                </c:pt>
                <c:pt idx="7">
                  <c:v>Izglītības un zinātnes ministrija</c:v>
                </c:pt>
                <c:pt idx="8">
                  <c:v>Zemkopības ministrija</c:v>
                </c:pt>
                <c:pt idx="9">
                  <c:v>Satiksmes ministrija</c:v>
                </c:pt>
                <c:pt idx="10">
                  <c:v>Labklājības ministrija</c:v>
                </c:pt>
                <c:pt idx="11">
                  <c:v>Tieslietu ministrija</c:v>
                </c:pt>
                <c:pt idx="12">
                  <c:v>Vides aizsardzības un reģionālās attīstības ministrija</c:v>
                </c:pt>
                <c:pt idx="13">
                  <c:v>Kultūras ministrija</c:v>
                </c:pt>
                <c:pt idx="14">
                  <c:v>Veselības ministrija</c:v>
                </c:pt>
              </c:strCache>
            </c:strRef>
          </c:cat>
          <c:val>
            <c:numRef>
              <c:f>'t (2)'!$H$2:$H$16</c:f>
              <c:numCache>
                <c:formatCode>General</c:formatCode>
                <c:ptCount val="15"/>
                <c:pt idx="0">
                  <c:v>0.90203007518796996</c:v>
                </c:pt>
                <c:pt idx="1">
                  <c:v>0.54860296354234572</c:v>
                </c:pt>
                <c:pt idx="2">
                  <c:v>1.0105329037672375</c:v>
                </c:pt>
                <c:pt idx="3">
                  <c:v>0.73200124800229849</c:v>
                </c:pt>
                <c:pt idx="4">
                  <c:v>0.76244513186254526</c:v>
                </c:pt>
                <c:pt idx="5">
                  <c:v>0.84493687619803004</c:v>
                </c:pt>
                <c:pt idx="6">
                  <c:v>0.71025706612098738</c:v>
                </c:pt>
                <c:pt idx="7">
                  <c:v>0.82608170796902725</c:v>
                </c:pt>
                <c:pt idx="8">
                  <c:v>1.0415888526280708</c:v>
                </c:pt>
                <c:pt idx="9">
                  <c:v>0.85140026286523118</c:v>
                </c:pt>
                <c:pt idx="10">
                  <c:v>0.94460692413448322</c:v>
                </c:pt>
                <c:pt idx="11">
                  <c:v>0.90692916160864623</c:v>
                </c:pt>
                <c:pt idx="12">
                  <c:v>0.65923465391990066</c:v>
                </c:pt>
                <c:pt idx="13">
                  <c:v>0.64108820879191575</c:v>
                </c:pt>
                <c:pt idx="14">
                  <c:v>0.73686357702349869</c:v>
                </c:pt>
              </c:numCache>
            </c:numRef>
          </c:val>
        </c:ser>
        <c:dLbls>
          <c:showLegendKey val="0"/>
          <c:showVal val="0"/>
          <c:showCatName val="0"/>
          <c:showSerName val="0"/>
          <c:showPercent val="0"/>
          <c:showBubbleSize val="0"/>
        </c:dLbls>
        <c:gapWidth val="150"/>
        <c:axId val="475645064"/>
        <c:axId val="475645456"/>
      </c:barChart>
      <c:lineChart>
        <c:grouping val="standard"/>
        <c:varyColors val="0"/>
        <c:ser>
          <c:idx val="2"/>
          <c:order val="2"/>
          <c:tx>
            <c:strRef>
              <c:f>'t (2)'!$I$1</c:f>
              <c:strCache>
                <c:ptCount val="1"/>
                <c:pt idx="0">
                  <c:v>Vidējā vieta</c:v>
                </c:pt>
              </c:strCache>
            </c:strRef>
          </c:tx>
          <c:spPr>
            <a:ln>
              <a:solidFill>
                <a:srgbClr val="0070C0"/>
              </a:solidFill>
              <a:prstDash val="dash"/>
            </a:ln>
          </c:spPr>
          <c:marker>
            <c:symbol val="none"/>
          </c:marker>
          <c:cat>
            <c:strRef>
              <c:f>'t (2)'!$A$2:$A$16</c:f>
              <c:strCache>
                <c:ptCount val="15"/>
                <c:pt idx="0">
                  <c:v>Valsts kanceleja</c:v>
                </c:pt>
                <c:pt idx="1">
                  <c:v>Pārresoru koordinācijas centrs</c:v>
                </c:pt>
                <c:pt idx="2">
                  <c:v>Aizsardzības ministrija</c:v>
                </c:pt>
                <c:pt idx="3">
                  <c:v>Ārlietu ministrija</c:v>
                </c:pt>
                <c:pt idx="4">
                  <c:v>Ekonomikas ministrija</c:v>
                </c:pt>
                <c:pt idx="5">
                  <c:v>Finanšu ministrija</c:v>
                </c:pt>
                <c:pt idx="6">
                  <c:v>Iekšlietu ministrija</c:v>
                </c:pt>
                <c:pt idx="7">
                  <c:v>Izglītības un zinātnes ministrija</c:v>
                </c:pt>
                <c:pt idx="8">
                  <c:v>Zemkopības ministrija</c:v>
                </c:pt>
                <c:pt idx="9">
                  <c:v>Satiksmes ministrija</c:v>
                </c:pt>
                <c:pt idx="10">
                  <c:v>Labklājības ministrija</c:v>
                </c:pt>
                <c:pt idx="11">
                  <c:v>Tieslietu ministrija</c:v>
                </c:pt>
                <c:pt idx="12">
                  <c:v>Vides aizsardzības un reģionālās attīstības ministrija</c:v>
                </c:pt>
                <c:pt idx="13">
                  <c:v>Kultūras ministrija</c:v>
                </c:pt>
                <c:pt idx="14">
                  <c:v>Veselības ministrija</c:v>
                </c:pt>
              </c:strCache>
            </c:strRef>
          </c:cat>
          <c:val>
            <c:numRef>
              <c:f>'t (2)'!$I$2:$I$16</c:f>
              <c:numCache>
                <c:formatCode>0.00</c:formatCode>
                <c:ptCount val="15"/>
                <c:pt idx="0">
                  <c:v>0.67337791491081689</c:v>
                </c:pt>
                <c:pt idx="1">
                  <c:v>0.67337791491081689</c:v>
                </c:pt>
                <c:pt idx="2">
                  <c:v>0.67337791491081689</c:v>
                </c:pt>
                <c:pt idx="3">
                  <c:v>0.67337791491081689</c:v>
                </c:pt>
                <c:pt idx="4">
                  <c:v>0.67337791491081689</c:v>
                </c:pt>
                <c:pt idx="5">
                  <c:v>0.67337791491081689</c:v>
                </c:pt>
                <c:pt idx="6">
                  <c:v>0.67337791491081689</c:v>
                </c:pt>
                <c:pt idx="7">
                  <c:v>0.67337791491081689</c:v>
                </c:pt>
                <c:pt idx="8">
                  <c:v>0.67337791491081689</c:v>
                </c:pt>
                <c:pt idx="9">
                  <c:v>0.67337791491081689</c:v>
                </c:pt>
                <c:pt idx="10">
                  <c:v>0.67337791491081689</c:v>
                </c:pt>
                <c:pt idx="11">
                  <c:v>0.67337791491081689</c:v>
                </c:pt>
                <c:pt idx="12">
                  <c:v>0.67337791491081689</c:v>
                </c:pt>
                <c:pt idx="13">
                  <c:v>0.67337791491081689</c:v>
                </c:pt>
                <c:pt idx="14">
                  <c:v>0.67337791491081689</c:v>
                </c:pt>
              </c:numCache>
            </c:numRef>
          </c:val>
          <c:smooth val="0"/>
        </c:ser>
        <c:ser>
          <c:idx val="3"/>
          <c:order val="3"/>
          <c:tx>
            <c:strRef>
              <c:f>'t (2)'!$J$1</c:f>
              <c:strCache>
                <c:ptCount val="1"/>
                <c:pt idx="0">
                  <c:v>Vidējā vieta ar piemaksām</c:v>
                </c:pt>
              </c:strCache>
            </c:strRef>
          </c:tx>
          <c:spPr>
            <a:ln>
              <a:solidFill>
                <a:srgbClr val="C00000"/>
              </a:solidFill>
              <a:prstDash val="dash"/>
            </a:ln>
          </c:spPr>
          <c:marker>
            <c:symbol val="none"/>
          </c:marker>
          <c:cat>
            <c:strRef>
              <c:f>'t (2)'!$A$2:$A$16</c:f>
              <c:strCache>
                <c:ptCount val="15"/>
                <c:pt idx="0">
                  <c:v>Valsts kanceleja</c:v>
                </c:pt>
                <c:pt idx="1">
                  <c:v>Pārresoru koordinācijas centrs</c:v>
                </c:pt>
                <c:pt idx="2">
                  <c:v>Aizsardzības ministrija</c:v>
                </c:pt>
                <c:pt idx="3">
                  <c:v>Ārlietu ministrija</c:v>
                </c:pt>
                <c:pt idx="4">
                  <c:v>Ekonomikas ministrija</c:v>
                </c:pt>
                <c:pt idx="5">
                  <c:v>Finanšu ministrija</c:v>
                </c:pt>
                <c:pt idx="6">
                  <c:v>Iekšlietu ministrija</c:v>
                </c:pt>
                <c:pt idx="7">
                  <c:v>Izglītības un zinātnes ministrija</c:v>
                </c:pt>
                <c:pt idx="8">
                  <c:v>Zemkopības ministrija</c:v>
                </c:pt>
                <c:pt idx="9">
                  <c:v>Satiksmes ministrija</c:v>
                </c:pt>
                <c:pt idx="10">
                  <c:v>Labklājības ministrija</c:v>
                </c:pt>
                <c:pt idx="11">
                  <c:v>Tieslietu ministrija</c:v>
                </c:pt>
                <c:pt idx="12">
                  <c:v>Vides aizsardzības un reģionālās attīstības ministrija</c:v>
                </c:pt>
                <c:pt idx="13">
                  <c:v>Kultūras ministrija</c:v>
                </c:pt>
                <c:pt idx="14">
                  <c:v>Veselības ministrija</c:v>
                </c:pt>
              </c:strCache>
            </c:strRef>
          </c:cat>
          <c:val>
            <c:numRef>
              <c:f>'t (2)'!$J$2:$J$16</c:f>
              <c:numCache>
                <c:formatCode>0.00</c:formatCode>
                <c:ptCount val="15"/>
                <c:pt idx="0">
                  <c:v>0.82401437851475645</c:v>
                </c:pt>
                <c:pt idx="1">
                  <c:v>0.82401437851475645</c:v>
                </c:pt>
                <c:pt idx="2">
                  <c:v>0.82401437851475645</c:v>
                </c:pt>
                <c:pt idx="3">
                  <c:v>0.82401437851475645</c:v>
                </c:pt>
                <c:pt idx="4">
                  <c:v>0.82401437851475645</c:v>
                </c:pt>
                <c:pt idx="5">
                  <c:v>0.82401437851475645</c:v>
                </c:pt>
                <c:pt idx="6">
                  <c:v>0.82401437851475645</c:v>
                </c:pt>
                <c:pt idx="7">
                  <c:v>0.82401437851475645</c:v>
                </c:pt>
                <c:pt idx="8">
                  <c:v>0.82401437851475645</c:v>
                </c:pt>
                <c:pt idx="9">
                  <c:v>0.82401437851475645</c:v>
                </c:pt>
                <c:pt idx="10">
                  <c:v>0.82401437851475645</c:v>
                </c:pt>
                <c:pt idx="11">
                  <c:v>0.82401437851475645</c:v>
                </c:pt>
                <c:pt idx="12">
                  <c:v>0.82401437851475645</c:v>
                </c:pt>
                <c:pt idx="13">
                  <c:v>0.82401437851475645</c:v>
                </c:pt>
                <c:pt idx="14">
                  <c:v>0.82401437851475645</c:v>
                </c:pt>
              </c:numCache>
            </c:numRef>
          </c:val>
          <c:smooth val="0"/>
        </c:ser>
        <c:dLbls>
          <c:showLegendKey val="0"/>
          <c:showVal val="0"/>
          <c:showCatName val="0"/>
          <c:showSerName val="0"/>
          <c:showPercent val="0"/>
          <c:showBubbleSize val="0"/>
        </c:dLbls>
        <c:marker val="1"/>
        <c:smooth val="0"/>
        <c:axId val="475645064"/>
        <c:axId val="475645456"/>
      </c:lineChart>
      <c:catAx>
        <c:axId val="475645064"/>
        <c:scaling>
          <c:orientation val="minMax"/>
        </c:scaling>
        <c:delete val="0"/>
        <c:axPos val="b"/>
        <c:numFmt formatCode="General" sourceLinked="0"/>
        <c:majorTickMark val="out"/>
        <c:minorTickMark val="none"/>
        <c:tickLblPos val="nextTo"/>
        <c:crossAx val="475645456"/>
        <c:crosses val="autoZero"/>
        <c:auto val="1"/>
        <c:lblAlgn val="ctr"/>
        <c:lblOffset val="100"/>
        <c:noMultiLvlLbl val="0"/>
      </c:catAx>
      <c:valAx>
        <c:axId val="475645456"/>
        <c:scaling>
          <c:orientation val="minMax"/>
        </c:scaling>
        <c:delete val="0"/>
        <c:axPos val="l"/>
        <c:title>
          <c:tx>
            <c:rich>
              <a:bodyPr rot="-5400000" vert="horz"/>
              <a:lstStyle/>
              <a:p>
                <a:pPr>
                  <a:defRPr/>
                </a:pPr>
                <a:r>
                  <a:rPr lang="en-US"/>
                  <a:t>Vieta skalā</a:t>
                </a:r>
              </a:p>
            </c:rich>
          </c:tx>
          <c:overlay val="0"/>
        </c:title>
        <c:numFmt formatCode="General" sourceLinked="1"/>
        <c:majorTickMark val="out"/>
        <c:minorTickMark val="none"/>
        <c:tickLblPos val="nextTo"/>
        <c:crossAx val="475645064"/>
        <c:crosses val="autoZero"/>
        <c:crossBetween val="between"/>
      </c:valAx>
    </c:plotArea>
    <c:legend>
      <c:legendPos val="t"/>
      <c:layout>
        <c:manualLayout>
          <c:xMode val="edge"/>
          <c:yMode val="edge"/>
          <c:x val="0.16551879123217703"/>
          <c:y val="1.9642228626261415E-2"/>
          <c:w val="0.73351292622811004"/>
          <c:h val="0.14011464391707859"/>
        </c:manualLayout>
      </c:layout>
      <c:overlay val="0"/>
      <c:txPr>
        <a:bodyPr/>
        <a:lstStyle/>
        <a:p>
          <a:pPr>
            <a:defRPr sz="1100"/>
          </a:pPr>
          <a:endParaRPr lang="lv-LV"/>
        </a:p>
      </c:txPr>
    </c:legend>
    <c:plotVisOnly val="1"/>
    <c:dispBlanksAs val="gap"/>
    <c:showDLblsOverMax val="0"/>
  </c:chart>
  <c:txPr>
    <a:bodyPr/>
    <a:lstStyle/>
    <a:p>
      <a:pPr>
        <a:defRPr sz="1200">
          <a:latin typeface="Times New Roman" pitchFamily="18" charset="0"/>
          <a:cs typeface="Times New Roman" pitchFamily="18" charset="0"/>
        </a:defRPr>
      </a:pPr>
      <a:endParaRPr lang="lv-LV"/>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ndard"/>
        <c:varyColors val="0"/>
        <c:ser>
          <c:idx val="0"/>
          <c:order val="0"/>
          <c:tx>
            <c:strRef>
              <c:f>'2012'!$B$2</c:f>
              <c:strCache>
                <c:ptCount val="1"/>
                <c:pt idx="0">
                  <c:v>mediāna 2012.g. privātajā sektorā</c:v>
                </c:pt>
              </c:strCache>
            </c:strRef>
          </c:tx>
          <c:spPr>
            <a:solidFill>
              <a:srgbClr val="FFC000"/>
            </a:solidFill>
            <a:ln w="31715">
              <a:solidFill>
                <a:schemeClr val="accent6">
                  <a:lumMod val="50000"/>
                </a:schemeClr>
              </a:solidFill>
            </a:ln>
          </c:spPr>
          <c:cat>
            <c:numRef>
              <c:f>'2012'!$A$3:$A$18</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'2012'!$B$3:$B$18</c:f>
              <c:numCache>
                <c:formatCode>0</c:formatCode>
                <c:ptCount val="16"/>
                <c:pt idx="0" formatCode="General">
                  <c:v>145</c:v>
                </c:pt>
                <c:pt idx="1">
                  <c:v>211.80800000000011</c:v>
                </c:pt>
                <c:pt idx="2">
                  <c:v>274.108</c:v>
                </c:pt>
                <c:pt idx="3">
                  <c:v>345.30799999999999</c:v>
                </c:pt>
                <c:pt idx="4">
                  <c:v>429.85800000000006</c:v>
                </c:pt>
                <c:pt idx="5">
                  <c:v>532.20799999999997</c:v>
                </c:pt>
                <c:pt idx="6">
                  <c:v>652.35800000000006</c:v>
                </c:pt>
                <c:pt idx="7">
                  <c:v>794.75800000000004</c:v>
                </c:pt>
                <c:pt idx="8">
                  <c:v>963.85799999999927</c:v>
                </c:pt>
                <c:pt idx="9">
                  <c:v>1168.558</c:v>
                </c:pt>
                <c:pt idx="10">
                  <c:v>1413.308</c:v>
                </c:pt>
                <c:pt idx="11">
                  <c:v>1698.1080000000002</c:v>
                </c:pt>
                <c:pt idx="12">
                  <c:v>2040.7580000000003</c:v>
                </c:pt>
                <c:pt idx="13">
                  <c:v>2450.1579999999999</c:v>
                </c:pt>
                <c:pt idx="14">
                  <c:v>2939.6579999999999</c:v>
                </c:pt>
                <c:pt idx="15">
                  <c:v>3834.1079999999997</c:v>
                </c:pt>
              </c:numCache>
            </c:numRef>
          </c:val>
        </c:ser>
        <c:ser>
          <c:idx val="1"/>
          <c:order val="1"/>
          <c:tx>
            <c:strRef>
              <c:f>'2012'!$C$2</c:f>
              <c:strCache>
                <c:ptCount val="1"/>
                <c:pt idx="0">
                  <c:v>max mēnešalga skalā 6.kval.pakāpē 2012.g.</c:v>
                </c:pt>
              </c:strCache>
            </c:strRef>
          </c:tx>
          <c:spPr>
            <a:solidFill>
              <a:schemeClr val="accent6">
                <a:lumMod val="20000"/>
                <a:lumOff val="80000"/>
              </a:schemeClr>
            </a:solidFill>
            <a:ln w="31715">
              <a:solidFill>
                <a:srgbClr val="C00000"/>
              </a:solidFill>
            </a:ln>
          </c:spPr>
          <c:cat>
            <c:numRef>
              <c:f>'2012'!$A$3:$A$18</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'2012'!$C$3:$C$18</c:f>
              <c:numCache>
                <c:formatCode>General</c:formatCode>
                <c:ptCount val="16"/>
                <c:pt idx="0">
                  <c:v>224</c:v>
                </c:pt>
                <c:pt idx="1">
                  <c:v>270</c:v>
                </c:pt>
                <c:pt idx="2">
                  <c:v>302</c:v>
                </c:pt>
                <c:pt idx="3">
                  <c:v>358</c:v>
                </c:pt>
                <c:pt idx="4">
                  <c:v>403</c:v>
                </c:pt>
                <c:pt idx="5">
                  <c:v>467</c:v>
                </c:pt>
                <c:pt idx="6">
                  <c:v>527</c:v>
                </c:pt>
                <c:pt idx="7">
                  <c:v>614</c:v>
                </c:pt>
                <c:pt idx="8">
                  <c:v>698</c:v>
                </c:pt>
                <c:pt idx="9">
                  <c:v>825</c:v>
                </c:pt>
                <c:pt idx="10">
                  <c:v>971</c:v>
                </c:pt>
                <c:pt idx="11">
                  <c:v>1157</c:v>
                </c:pt>
                <c:pt idx="12">
                  <c:v>1347</c:v>
                </c:pt>
                <c:pt idx="13">
                  <c:v>1591</c:v>
                </c:pt>
                <c:pt idx="14">
                  <c:v>1653</c:v>
                </c:pt>
                <c:pt idx="15">
                  <c:v>1715</c:v>
                </c:pt>
              </c:numCache>
            </c:numRef>
          </c:val>
        </c:ser>
        <c:ser>
          <c:idx val="2"/>
          <c:order val="2"/>
          <c:tx>
            <c:strRef>
              <c:f>'2012'!$D$2</c:f>
              <c:strCache>
                <c:ptCount val="1"/>
                <c:pt idx="0">
                  <c:v>valsts pārvaldes mediāna 2012</c:v>
                </c:pt>
              </c:strCache>
            </c:strRef>
          </c:tx>
          <c:spPr>
            <a:solidFill>
              <a:schemeClr val="tx2">
                <a:lumMod val="20000"/>
                <a:lumOff val="80000"/>
              </a:schemeClr>
            </a:solidFill>
            <a:ln w="31715">
              <a:solidFill>
                <a:schemeClr val="tx2">
                  <a:lumMod val="75000"/>
                </a:schemeClr>
              </a:solidFill>
            </a:ln>
          </c:spPr>
          <c:cat>
            <c:numRef>
              <c:f>'2012'!$A$3:$A$18</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'2012'!$D$3:$D$18</c:f>
              <c:numCache>
                <c:formatCode>General</c:formatCode>
                <c:ptCount val="16"/>
                <c:pt idx="0">
                  <c:v>204</c:v>
                </c:pt>
                <c:pt idx="1">
                  <c:v>213</c:v>
                </c:pt>
                <c:pt idx="2">
                  <c:v>213</c:v>
                </c:pt>
                <c:pt idx="3">
                  <c:v>236</c:v>
                </c:pt>
                <c:pt idx="4">
                  <c:v>245</c:v>
                </c:pt>
                <c:pt idx="5">
                  <c:v>324</c:v>
                </c:pt>
                <c:pt idx="6">
                  <c:v>350</c:v>
                </c:pt>
                <c:pt idx="7">
                  <c:v>430</c:v>
                </c:pt>
                <c:pt idx="8">
                  <c:v>505</c:v>
                </c:pt>
                <c:pt idx="9">
                  <c:v>611</c:v>
                </c:pt>
                <c:pt idx="10">
                  <c:v>740</c:v>
                </c:pt>
                <c:pt idx="11">
                  <c:v>860</c:v>
                </c:pt>
                <c:pt idx="12">
                  <c:v>1155</c:v>
                </c:pt>
                <c:pt idx="13">
                  <c:v>1313</c:v>
                </c:pt>
                <c:pt idx="14">
                  <c:v>1594</c:v>
                </c:pt>
                <c:pt idx="15">
                  <c:v>1715</c:v>
                </c:pt>
              </c:numCache>
            </c:numRef>
          </c:val>
        </c:ser>
        <c:ser>
          <c:idx val="3"/>
          <c:order val="3"/>
          <c:tx>
            <c:strRef>
              <c:f>'2012'!$E$2</c:f>
              <c:strCache>
                <c:ptCount val="1"/>
                <c:pt idx="0">
                  <c:v>valsts pārvaldes max mēnešalgu apmērs % no privātā sektora</c:v>
                </c:pt>
              </c:strCache>
            </c:strRef>
          </c:tx>
          <c:dLbls>
            <c:dLbl>
              <c:idx val="0"/>
              <c:layout>
                <c:manualLayout>
                  <c:x val="1.6076361451037201E-2"/>
                  <c:y val="7.226738934056010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0190903627593134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6841236065524881E-17"/>
                  <c:y val="-1.084010840108405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0095451813796493E-3"/>
                  <c:y val="-1.80668473351400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0095451813796493E-3"/>
                  <c:y val="-2.529358626919602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3.6133694670280041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4.3360433604336369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7.3682472131049515E-17"/>
                  <c:y val="-6.1427280939476338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6.8654019873532063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0095451813796493E-3"/>
                  <c:y val="-8.6720867208672711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0095451813796493E-3"/>
                  <c:y val="-0.1228545618789521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2.0095451813796493E-3"/>
                  <c:y val="-0.15898825654923335"/>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0"/>
                  <c:y val="-0.19873532068654021"/>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6.0286355441389475E-3"/>
                  <c:y val="-0.22764227642276424"/>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bg1"/>
              </a:solidFill>
              <a:ln>
                <a:solidFill>
                  <a:schemeClr val="tx2">
                    <a:lumMod val="75000"/>
                  </a:schemeClr>
                </a:solidFill>
              </a:ln>
            </c:spPr>
            <c:txPr>
              <a:bodyPr/>
              <a:lstStyle/>
              <a:p>
                <a:pPr>
                  <a:defRPr lang="lv-LV"/>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'2012'!$A$3:$A$18</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'2012'!$E$3:$E$18</c:f>
              <c:numCache>
                <c:formatCode>0%</c:formatCode>
                <c:ptCount val="16"/>
                <c:pt idx="0">
                  <c:v>1</c:v>
                </c:pt>
                <c:pt idx="1">
                  <c:v>1</c:v>
                </c:pt>
                <c:pt idx="2">
                  <c:v>0.77706597399565169</c:v>
                </c:pt>
                <c:pt idx="3">
                  <c:v>0.68344782049648489</c:v>
                </c:pt>
                <c:pt idx="4">
                  <c:v>0.56995565977601903</c:v>
                </c:pt>
                <c:pt idx="5">
                  <c:v>0.60878453536962995</c:v>
                </c:pt>
                <c:pt idx="6">
                  <c:v>0.53651522630212245</c:v>
                </c:pt>
                <c:pt idx="7">
                  <c:v>0.54104519866424761</c:v>
                </c:pt>
                <c:pt idx="8">
                  <c:v>0.52393609847093658</c:v>
                </c:pt>
                <c:pt idx="9">
                  <c:v>0.52286664418882078</c:v>
                </c:pt>
                <c:pt idx="10">
                  <c:v>0.52359429084106179</c:v>
                </c:pt>
                <c:pt idx="11">
                  <c:v>0.50644599754550412</c:v>
                </c:pt>
                <c:pt idx="12">
                  <c:v>0.56596617531329041</c:v>
                </c:pt>
                <c:pt idx="13">
                  <c:v>0.53588380830950544</c:v>
                </c:pt>
                <c:pt idx="14">
                  <c:v>0.5422399476401677</c:v>
                </c:pt>
                <c:pt idx="15">
                  <c:v>0.44730091066813976</c:v>
                </c:pt>
              </c:numCache>
            </c:numRef>
          </c:val>
        </c:ser>
        <c:dLbls>
          <c:showLegendKey val="0"/>
          <c:showVal val="0"/>
          <c:showCatName val="0"/>
          <c:showSerName val="0"/>
          <c:showPercent val="0"/>
          <c:showBubbleSize val="0"/>
        </c:dLbls>
        <c:axId val="475646240"/>
        <c:axId val="475646632"/>
      </c:areaChart>
      <c:catAx>
        <c:axId val="475646240"/>
        <c:scaling>
          <c:orientation val="minMax"/>
        </c:scaling>
        <c:delete val="0"/>
        <c:axPos val="b"/>
        <c:numFmt formatCode="General" sourceLinked="1"/>
        <c:majorTickMark val="out"/>
        <c:minorTickMark val="none"/>
        <c:tickLblPos val="nextTo"/>
        <c:txPr>
          <a:bodyPr/>
          <a:lstStyle/>
          <a:p>
            <a:pPr>
              <a:defRPr lang="lv-LV"/>
            </a:pPr>
            <a:endParaRPr lang="lv-LV"/>
          </a:p>
        </c:txPr>
        <c:crossAx val="475646632"/>
        <c:crosses val="autoZero"/>
        <c:auto val="1"/>
        <c:lblAlgn val="ctr"/>
        <c:lblOffset val="100"/>
        <c:noMultiLvlLbl val="0"/>
      </c:catAx>
      <c:valAx>
        <c:axId val="475646632"/>
        <c:scaling>
          <c:orientation val="minMax"/>
          <c:max val="4000"/>
        </c:scaling>
        <c:delete val="0"/>
        <c:axPos val="l"/>
        <c:numFmt formatCode="General" sourceLinked="1"/>
        <c:majorTickMark val="out"/>
        <c:minorTickMark val="none"/>
        <c:tickLblPos val="nextTo"/>
        <c:txPr>
          <a:bodyPr/>
          <a:lstStyle/>
          <a:p>
            <a:pPr>
              <a:defRPr lang="lv-LV"/>
            </a:pPr>
            <a:endParaRPr lang="lv-LV"/>
          </a:p>
        </c:txPr>
        <c:crossAx val="475646240"/>
        <c:crosses val="autoZero"/>
        <c:crossBetween val="midCat"/>
      </c:valAx>
    </c:plotArea>
    <c:legend>
      <c:legendPos val="b"/>
      <c:legendEntry>
        <c:idx val="3"/>
        <c:delete val="1"/>
      </c:legendEntry>
      <c:layout>
        <c:manualLayout>
          <c:xMode val="edge"/>
          <c:yMode val="edge"/>
          <c:x val="5.5307912532113557E-3"/>
          <c:y val="0.84583263856723789"/>
          <c:w val="0.48253286796034039"/>
          <c:h val="0.12526046008954783"/>
        </c:manualLayout>
      </c:layout>
      <c:overlay val="0"/>
      <c:txPr>
        <a:bodyPr/>
        <a:lstStyle/>
        <a:p>
          <a:pPr>
            <a:defRPr lang="lv-LV"/>
          </a:pPr>
          <a:endParaRPr lang="lv-LV"/>
        </a:p>
      </c:txPr>
    </c:legend>
    <c:plotVisOnly val="1"/>
    <c:dispBlanksAs val="zero"/>
    <c:showDLblsOverMax val="0"/>
  </c:chart>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ndard"/>
        <c:varyColors val="0"/>
        <c:ser>
          <c:idx val="0"/>
          <c:order val="0"/>
          <c:tx>
            <c:strRef>
              <c:f>'2007'!$B$1</c:f>
              <c:strCache>
                <c:ptCount val="1"/>
                <c:pt idx="0">
                  <c:v>mediāna 2007.g. privātajā sektorā</c:v>
                </c:pt>
              </c:strCache>
            </c:strRef>
          </c:tx>
          <c:spPr>
            <a:solidFill>
              <a:srgbClr val="FFC000"/>
            </a:solidFill>
            <a:ln w="31736">
              <a:solidFill>
                <a:schemeClr val="accent6">
                  <a:lumMod val="50000"/>
                </a:schemeClr>
              </a:solidFill>
            </a:ln>
          </c:spPr>
          <c:cat>
            <c:numRef>
              <c:f>'2007'!$A$2:$A$17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'2007'!$B$2:$B$17</c:f>
              <c:numCache>
                <c:formatCode>0</c:formatCode>
                <c:ptCount val="16"/>
                <c:pt idx="0">
                  <c:v>244.3295</c:v>
                </c:pt>
                <c:pt idx="1">
                  <c:v>290.30899999999974</c:v>
                </c:pt>
                <c:pt idx="2">
                  <c:v>333.22319999999962</c:v>
                </c:pt>
                <c:pt idx="3">
                  <c:v>382.26800000000003</c:v>
                </c:pt>
                <c:pt idx="4">
                  <c:v>440.50870000000003</c:v>
                </c:pt>
                <c:pt idx="5">
                  <c:v>511.01060000000001</c:v>
                </c:pt>
                <c:pt idx="6">
                  <c:v>593.77370000000064</c:v>
                </c:pt>
                <c:pt idx="7">
                  <c:v>691.8632999999993</c:v>
                </c:pt>
                <c:pt idx="8">
                  <c:v>808.3447000000001</c:v>
                </c:pt>
                <c:pt idx="9">
                  <c:v>949.34850000000006</c:v>
                </c:pt>
                <c:pt idx="10">
                  <c:v>1117.94</c:v>
                </c:pt>
                <c:pt idx="11">
                  <c:v>1314.1191999999999</c:v>
                </c:pt>
                <c:pt idx="12">
                  <c:v>1550.1472999999999</c:v>
                </c:pt>
                <c:pt idx="13">
                  <c:v>1832.1548999999998</c:v>
                </c:pt>
                <c:pt idx="14">
                  <c:v>2169.3379000000018</c:v>
                </c:pt>
                <c:pt idx="15">
                  <c:v>2785.4632000000001</c:v>
                </c:pt>
              </c:numCache>
            </c:numRef>
          </c:val>
        </c:ser>
        <c:ser>
          <c:idx val="1"/>
          <c:order val="1"/>
          <c:tx>
            <c:strRef>
              <c:f>'2007'!$C$1</c:f>
              <c:strCache>
                <c:ptCount val="1"/>
                <c:pt idx="0">
                  <c:v>max mēnešalga skalā 6.kval.pakāpē 2007.g.</c:v>
                </c:pt>
              </c:strCache>
            </c:strRef>
          </c:tx>
          <c:spPr>
            <a:solidFill>
              <a:schemeClr val="accent6">
                <a:lumMod val="20000"/>
                <a:lumOff val="80000"/>
              </a:schemeClr>
            </a:solidFill>
            <a:ln w="31736">
              <a:solidFill>
                <a:srgbClr val="C00000"/>
              </a:solidFill>
            </a:ln>
          </c:spPr>
          <c:cat>
            <c:numRef>
              <c:f>'2007'!$A$2:$A$17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'2007'!$C$2:$C$17</c:f>
              <c:numCache>
                <c:formatCode>General</c:formatCode>
                <c:ptCount val="16"/>
                <c:pt idx="0">
                  <c:v>181</c:v>
                </c:pt>
                <c:pt idx="1">
                  <c:v>232</c:v>
                </c:pt>
                <c:pt idx="2">
                  <c:v>275</c:v>
                </c:pt>
                <c:pt idx="3">
                  <c:v>324</c:v>
                </c:pt>
                <c:pt idx="4">
                  <c:v>384</c:v>
                </c:pt>
                <c:pt idx="5">
                  <c:v>455</c:v>
                </c:pt>
                <c:pt idx="6">
                  <c:v>551</c:v>
                </c:pt>
                <c:pt idx="7">
                  <c:v>680</c:v>
                </c:pt>
                <c:pt idx="8">
                  <c:v>780</c:v>
                </c:pt>
                <c:pt idx="9">
                  <c:v>921</c:v>
                </c:pt>
                <c:pt idx="10">
                  <c:v>1098</c:v>
                </c:pt>
                <c:pt idx="11">
                  <c:v>1315</c:v>
                </c:pt>
                <c:pt idx="12">
                  <c:v>1528</c:v>
                </c:pt>
                <c:pt idx="13">
                  <c:v>1807</c:v>
                </c:pt>
                <c:pt idx="14">
                  <c:v>2061</c:v>
                </c:pt>
                <c:pt idx="15">
                  <c:v>2386</c:v>
                </c:pt>
              </c:numCache>
            </c:numRef>
          </c:val>
        </c:ser>
        <c:ser>
          <c:idx val="2"/>
          <c:order val="2"/>
          <c:tx>
            <c:strRef>
              <c:f>'2007'!$D$1</c:f>
              <c:strCache>
                <c:ptCount val="1"/>
                <c:pt idx="0">
                  <c:v>valsts pārvaldes mediāna 2007</c:v>
                </c:pt>
              </c:strCache>
            </c:strRef>
          </c:tx>
          <c:spPr>
            <a:solidFill>
              <a:schemeClr val="tx2">
                <a:lumMod val="20000"/>
                <a:lumOff val="80000"/>
              </a:schemeClr>
            </a:solidFill>
            <a:ln w="31736">
              <a:solidFill>
                <a:schemeClr val="tx2">
                  <a:lumMod val="75000"/>
                </a:schemeClr>
              </a:solidFill>
            </a:ln>
          </c:spPr>
          <c:cat>
            <c:numRef>
              <c:f>'2007'!$A$2:$A$17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'2007'!$D$2:$D$17</c:f>
              <c:numCache>
                <c:formatCode>General</c:formatCode>
                <c:ptCount val="16"/>
                <c:pt idx="0">
                  <c:v>155</c:v>
                </c:pt>
                <c:pt idx="1">
                  <c:v>175</c:v>
                </c:pt>
                <c:pt idx="2">
                  <c:v>180</c:v>
                </c:pt>
                <c:pt idx="3">
                  <c:v>216</c:v>
                </c:pt>
                <c:pt idx="4">
                  <c:v>240</c:v>
                </c:pt>
                <c:pt idx="5">
                  <c:v>300</c:v>
                </c:pt>
                <c:pt idx="6">
                  <c:v>320</c:v>
                </c:pt>
                <c:pt idx="7">
                  <c:v>390</c:v>
                </c:pt>
                <c:pt idx="8">
                  <c:v>433</c:v>
                </c:pt>
                <c:pt idx="9">
                  <c:v>500</c:v>
                </c:pt>
                <c:pt idx="10">
                  <c:v>610</c:v>
                </c:pt>
                <c:pt idx="11">
                  <c:v>742</c:v>
                </c:pt>
                <c:pt idx="12">
                  <c:v>1050</c:v>
                </c:pt>
                <c:pt idx="13">
                  <c:v>1455</c:v>
                </c:pt>
                <c:pt idx="14">
                  <c:v>1750</c:v>
                </c:pt>
                <c:pt idx="15">
                  <c:v>2377</c:v>
                </c:pt>
              </c:numCache>
            </c:numRef>
          </c:val>
        </c:ser>
        <c:ser>
          <c:idx val="3"/>
          <c:order val="3"/>
          <c:tx>
            <c:strRef>
              <c:f>'2007'!$E$1</c:f>
              <c:strCache>
                <c:ptCount val="1"/>
                <c:pt idx="0">
                  <c:v>valsts pārvaldes max mēnešalgu apmērs % no privātā sektora</c:v>
                </c:pt>
              </c:strCache>
            </c:strRef>
          </c:tx>
          <c:dLbls>
            <c:dLbl>
              <c:idx val="0"/>
              <c:layout>
                <c:manualLayout>
                  <c:x val="0"/>
                  <c:y val="-9.5351573263418865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271354310178917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271354310178917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907031465268378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6593056981135878E-17"/>
                  <c:y val="-1.907031465268378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9960079840319516E-3"/>
                  <c:y val="-3.814062930536753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9960079840319516E-3"/>
                  <c:y val="-4.4497400856262512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9960079840319516E-3"/>
                  <c:y val="-5.721094395805153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6.6746101284393219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5.9880239520958348E-3"/>
                  <c:y val="-8.263803016162976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0.10170834481431344"/>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9960079840319516E-3"/>
                  <c:y val="-0.13349220256878641"/>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3.9920159680638719E-3"/>
                  <c:y val="-0.19070314652683829"/>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5.9880239520958348E-3"/>
                  <c:y val="-0.28605471979025837"/>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5.9880239520958348E-3"/>
                  <c:y val="-0.38140629305367768"/>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0"/>
                  <c:y val="-0.48629302364343613"/>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bg1"/>
              </a:solidFill>
              <a:ln>
                <a:solidFill>
                  <a:schemeClr val="tx2">
                    <a:lumMod val="75000"/>
                  </a:schemeClr>
                </a:solidFill>
              </a:ln>
            </c:spPr>
            <c:txPr>
              <a:bodyPr/>
              <a:lstStyle/>
              <a:p>
                <a:pPr>
                  <a:defRPr lang="lv-LV"/>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'2007'!$A$2:$A$17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'2007'!$E$2:$E$17</c:f>
              <c:numCache>
                <c:formatCode>0%</c:formatCode>
                <c:ptCount val="16"/>
                <c:pt idx="0">
                  <c:v>0.63438921620189237</c:v>
                </c:pt>
                <c:pt idx="1">
                  <c:v>0.60280597570175232</c:v>
                </c:pt>
                <c:pt idx="2">
                  <c:v>0.54017847496812965</c:v>
                </c:pt>
                <c:pt idx="3">
                  <c:v>0.56504860464386308</c:v>
                </c:pt>
                <c:pt idx="4">
                  <c:v>0.54482465386041223</c:v>
                </c:pt>
                <c:pt idx="5">
                  <c:v>0.58707197071841566</c:v>
                </c:pt>
                <c:pt idx="6">
                  <c:v>0.53892585677001248</c:v>
                </c:pt>
                <c:pt idx="7">
                  <c:v>0.56369516926248342</c:v>
                </c:pt>
                <c:pt idx="8">
                  <c:v>0.5356625706830267</c:v>
                </c:pt>
                <c:pt idx="9">
                  <c:v>0.52667697900191546</c:v>
                </c:pt>
                <c:pt idx="10">
                  <c:v>0.54564645687603985</c:v>
                </c:pt>
                <c:pt idx="11">
                  <c:v>0.56463675441314654</c:v>
                </c:pt>
                <c:pt idx="12">
                  <c:v>0.6773549842650437</c:v>
                </c:pt>
                <c:pt idx="13">
                  <c:v>0.79414682677758341</c:v>
                </c:pt>
                <c:pt idx="14">
                  <c:v>0.8066977486540946</c:v>
                </c:pt>
                <c:pt idx="15">
                  <c:v>0.85335896737031025</c:v>
                </c:pt>
              </c:numCache>
            </c:numRef>
          </c:val>
        </c:ser>
        <c:dLbls>
          <c:showLegendKey val="0"/>
          <c:showVal val="0"/>
          <c:showCatName val="0"/>
          <c:showSerName val="0"/>
          <c:showPercent val="0"/>
          <c:showBubbleSize val="0"/>
        </c:dLbls>
        <c:axId val="475647416"/>
        <c:axId val="475647808"/>
      </c:areaChart>
      <c:catAx>
        <c:axId val="475647416"/>
        <c:scaling>
          <c:orientation val="minMax"/>
        </c:scaling>
        <c:delete val="0"/>
        <c:axPos val="b"/>
        <c:numFmt formatCode="General" sourceLinked="1"/>
        <c:majorTickMark val="out"/>
        <c:minorTickMark val="none"/>
        <c:tickLblPos val="nextTo"/>
        <c:txPr>
          <a:bodyPr/>
          <a:lstStyle/>
          <a:p>
            <a:pPr>
              <a:defRPr lang="lv-LV"/>
            </a:pPr>
            <a:endParaRPr lang="lv-LV"/>
          </a:p>
        </c:txPr>
        <c:crossAx val="475647808"/>
        <c:crosses val="autoZero"/>
        <c:auto val="1"/>
        <c:lblAlgn val="ctr"/>
        <c:lblOffset val="100"/>
        <c:noMultiLvlLbl val="0"/>
      </c:catAx>
      <c:valAx>
        <c:axId val="475647808"/>
        <c:scaling>
          <c:orientation val="minMax"/>
        </c:scaling>
        <c:delete val="0"/>
        <c:axPos val="l"/>
        <c:numFmt formatCode="0" sourceLinked="1"/>
        <c:majorTickMark val="out"/>
        <c:minorTickMark val="none"/>
        <c:tickLblPos val="nextTo"/>
        <c:txPr>
          <a:bodyPr/>
          <a:lstStyle/>
          <a:p>
            <a:pPr>
              <a:defRPr lang="lv-LV"/>
            </a:pPr>
            <a:endParaRPr lang="lv-LV"/>
          </a:p>
        </c:txPr>
        <c:crossAx val="475647416"/>
        <c:crosses val="autoZero"/>
        <c:crossBetween val="midCat"/>
      </c:valAx>
    </c:plotArea>
    <c:legend>
      <c:legendPos val="b"/>
      <c:legendEntry>
        <c:idx val="3"/>
        <c:delete val="1"/>
      </c:legendEntry>
      <c:layout>
        <c:manualLayout>
          <c:xMode val="edge"/>
          <c:yMode val="edge"/>
          <c:x val="6.3887960569814273E-2"/>
          <c:y val="0.84782570320302952"/>
          <c:w val="0.43864302458375914"/>
          <c:h val="0.13310415844037193"/>
        </c:manualLayout>
      </c:layout>
      <c:overlay val="0"/>
      <c:txPr>
        <a:bodyPr/>
        <a:lstStyle/>
        <a:p>
          <a:pPr>
            <a:defRPr lang="lv-LV"/>
          </a:pPr>
          <a:endParaRPr lang="lv-LV"/>
        </a:p>
      </c:txPr>
    </c:legend>
    <c:plotVisOnly val="1"/>
    <c:dispBlanksAs val="zero"/>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890438941990996"/>
          <c:y val="0.16574583712581553"/>
          <c:w val="0.46219122116018263"/>
          <c:h val="0.73031322279975952"/>
        </c:manualLayout>
      </c:layout>
      <c:pieChart>
        <c:varyColors val="1"/>
        <c:ser>
          <c:idx val="0"/>
          <c:order val="0"/>
          <c:explosion val="7"/>
          <c:dPt>
            <c:idx val="1"/>
            <c:bubble3D val="0"/>
            <c:explosion val="4"/>
          </c:dPt>
          <c:dLbls>
            <c:dLbl>
              <c:idx val="0"/>
              <c:layout>
                <c:manualLayout>
                  <c:x val="8.8854548938917435E-2"/>
                  <c:y val="2.0437583422197612E-2"/>
                </c:manualLayout>
              </c:layout>
              <c:tx>
                <c:rich>
                  <a:bodyPr/>
                  <a:lstStyle/>
                  <a:p>
                    <a:r>
                      <a:rPr lang="en-US"/>
                      <a:t>Ārstniecības personas; 2801; 4,9%</a:t>
                    </a:r>
                  </a:p>
                </c:rich>
              </c:tx>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4.3925256802446834E-2"/>
                  <c:y val="2.6779787546584652E-2"/>
                </c:manualLayout>
              </c:layout>
              <c:tx>
                <c:rich>
                  <a:bodyPr/>
                  <a:lstStyle/>
                  <a:p>
                    <a:r>
                      <a:rPr lang="en-US"/>
                      <a:t>Amatpersonas ar speciālo dienesta pakāpi (Iekšlietu ministrijas sistēmas iestādēs un Ieslodzījuma vietu pārvaldē); 12972;</a:t>
                    </a:r>
                    <a:r>
                      <a:rPr lang="en-US" baseline="0"/>
                      <a:t> 22,5%</a:t>
                    </a:r>
                    <a:endParaRPr lang="en-US"/>
                  </a:p>
                </c:rich>
              </c:tx>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8.30656621920982E-3"/>
                  <c:y val="-5.2778525098803833E-2"/>
                </c:manualLayout>
              </c:layout>
              <c:tx>
                <c:rich>
                  <a:bodyPr/>
                  <a:lstStyle/>
                  <a:p>
                    <a:r>
                      <a:rPr lang="en-US"/>
                      <a:t>Karavīri; 4876; 8,4%</a:t>
                    </a:r>
                  </a:p>
                </c:rich>
              </c:tx>
              <c:dLblPos val="bestFit"/>
              <c:showLegendKey val="0"/>
              <c:showVal val="0"/>
              <c:showCatName val="0"/>
              <c:showSerName val="0"/>
              <c:showPercent val="0"/>
              <c:showBubbleSize val="0"/>
              <c:extLst>
                <c:ext xmlns:c15="http://schemas.microsoft.com/office/drawing/2012/chart" uri="{CE6537A1-D6FC-4f65-9D91-7224C49458BB}"/>
              </c:extLst>
            </c:dLbl>
            <c:dLbl>
              <c:idx val="3"/>
              <c:layout>
                <c:manualLayout>
                  <c:x val="5.8020423310463518E-2"/>
                  <c:y val="-6.1682104183861393E-2"/>
                </c:manualLayout>
              </c:layout>
              <c:tx>
                <c:rich>
                  <a:bodyPr/>
                  <a:lstStyle/>
                  <a:p>
                    <a:r>
                      <a:rPr lang="en-US"/>
                      <a:t>Pedagogi; 3921;6,8%</a:t>
                    </a:r>
                  </a:p>
                </c:rich>
              </c:tx>
              <c:dLblPos val="bestFit"/>
              <c:showLegendKey val="0"/>
              <c:showVal val="0"/>
              <c:showCatName val="0"/>
              <c:showSerName val="0"/>
              <c:showPercent val="0"/>
              <c:showBubbleSize val="0"/>
              <c:extLst>
                <c:ext xmlns:c15="http://schemas.microsoft.com/office/drawing/2012/chart" uri="{CE6537A1-D6FC-4f65-9D91-7224C49458BB}"/>
              </c:extLst>
            </c:dLbl>
            <c:dLbl>
              <c:idx val="4"/>
              <c:tx>
                <c:rich>
                  <a:bodyPr/>
                  <a:lstStyle/>
                  <a:p>
                    <a:r>
                      <a:rPr lang="en-US"/>
                      <a:t>Prokurori, tiesneši;</a:t>
                    </a:r>
                    <a:r>
                      <a:rPr lang="en-US" baseline="0"/>
                      <a:t> 1006;  1,7%</a:t>
                    </a:r>
                    <a:endParaRPr lang="en-US"/>
                  </a:p>
                </c:rich>
              </c:tx>
              <c:showLegendKey val="0"/>
              <c:showVal val="0"/>
              <c:showCatName val="0"/>
              <c:showSerName val="0"/>
              <c:showPercent val="0"/>
              <c:showBubbleSize val="0"/>
              <c:extLst>
                <c:ext xmlns:c15="http://schemas.microsoft.com/office/drawing/2012/chart" uri="{CE6537A1-D6FC-4f65-9D91-7224C49458BB}"/>
              </c:extLst>
            </c:dLbl>
            <c:dLbl>
              <c:idx val="5"/>
              <c:tx>
                <c:rich>
                  <a:bodyPr/>
                  <a:lstStyle/>
                  <a:p>
                    <a:r>
                      <a:rPr lang="en-US"/>
                      <a:t>Saeimas deputāti; 100; 0,2%</a:t>
                    </a:r>
                  </a:p>
                </c:rich>
              </c:tx>
              <c:showLegendKey val="0"/>
              <c:showVal val="0"/>
              <c:showCatName val="0"/>
              <c:showSerName val="0"/>
              <c:showPercent val="0"/>
              <c:showBubbleSize val="0"/>
              <c:extLst>
                <c:ext xmlns:c15="http://schemas.microsoft.com/office/drawing/2012/chart" uri="{CE6537A1-D6FC-4f65-9D91-7224C49458BB}"/>
              </c:extLst>
            </c:dLbl>
            <c:dLbl>
              <c:idx val="6"/>
              <c:layout>
                <c:manualLayout>
                  <c:x val="-0.16314743449636396"/>
                  <c:y val="-6.0276561616853817E-2"/>
                </c:manualLayout>
              </c:layout>
              <c:tx>
                <c:rich>
                  <a:bodyPr/>
                  <a:lstStyle/>
                  <a:p>
                    <a:r>
                      <a:rPr lang="lv-LV"/>
                      <a:t>Ierēdņi; 11608; 20,1%</a:t>
                    </a:r>
                  </a:p>
                </c:rich>
              </c:tx>
              <c:dLblPos val="bestFit"/>
              <c:showLegendKey val="0"/>
              <c:showVal val="0"/>
              <c:showCatName val="0"/>
              <c:showSerName val="0"/>
              <c:showPercent val="0"/>
              <c:showBubbleSize val="0"/>
              <c:extLst>
                <c:ext xmlns:c15="http://schemas.microsoft.com/office/drawing/2012/chart" uri="{CE6537A1-D6FC-4f65-9D91-7224C49458BB}"/>
              </c:extLst>
            </c:dLbl>
            <c:dLbl>
              <c:idx val="7"/>
              <c:layout>
                <c:manualLayout>
                  <c:x val="-3.5237343354016751E-2"/>
                  <c:y val="-1.8301584313337341E-2"/>
                </c:manualLayout>
              </c:layout>
              <c:tx>
                <c:rich>
                  <a:bodyPr/>
                  <a:lstStyle/>
                  <a:p>
                    <a:r>
                      <a:rPr lang="en-US"/>
                      <a:t>Pārējie darbinieki; 18152; 31,4%</a:t>
                    </a:r>
                  </a:p>
                  <a:p>
                    <a:endParaRPr lang="en-US"/>
                  </a:p>
                </c:rich>
              </c:tx>
              <c:dLblPos val="bestFit"/>
              <c:showLegendKey val="0"/>
              <c:showVal val="0"/>
              <c:showCatName val="0"/>
              <c:showSerName val="0"/>
              <c:showPercent val="0"/>
              <c:showBubbleSize val="0"/>
              <c:extLst>
                <c:ext xmlns:c15="http://schemas.microsoft.com/office/drawing/2012/chart" uri="{CE6537A1-D6FC-4f65-9D91-7224C49458BB}"/>
              </c:extLst>
            </c:dLbl>
            <c:dLbl>
              <c:idx val="8"/>
              <c:layout>
                <c:manualLayout>
                  <c:x val="-0.10053380018350502"/>
                  <c:y val="1.4937879708746781E-2"/>
                </c:manualLayout>
              </c:layout>
              <c:tx>
                <c:rich>
                  <a:bodyPr/>
                  <a:lstStyle/>
                  <a:p>
                    <a:r>
                      <a:rPr lang="en-US"/>
                      <a:t>Tiesu un prokuratūras darbinieki; 2289;</a:t>
                    </a:r>
                    <a:r>
                      <a:rPr lang="en-US" baseline="0"/>
                      <a:t> 4%</a:t>
                    </a:r>
                    <a:endParaRPr lang="en-US"/>
                  </a:p>
                </c:rich>
              </c:tx>
              <c:dLblPos val="bestFit"/>
              <c:showLegendKey val="0"/>
              <c:showVal val="0"/>
              <c:showCatName val="0"/>
              <c:showSerName val="0"/>
              <c:showPercent val="0"/>
              <c:showBubbleSize val="0"/>
              <c:extLst>
                <c:ext xmlns:c15="http://schemas.microsoft.com/office/drawing/2012/chart" uri="{CE6537A1-D6FC-4f65-9D91-7224C49458BB}"/>
              </c:extLst>
            </c:dLbl>
            <c:spPr>
              <a:noFill/>
              <a:ln w="25369">
                <a:noFill/>
              </a:ln>
            </c:spPr>
            <c:txPr>
              <a:bodyPr/>
              <a:lstStyle/>
              <a:p>
                <a:pPr>
                  <a:defRPr lang="lv-LV"/>
                </a:pPr>
                <a:endParaRPr lang="lv-LV"/>
              </a:p>
            </c:txPr>
            <c:showLegendKey val="0"/>
            <c:showVal val="0"/>
            <c:showCatName val="1"/>
            <c:showSerName val="0"/>
            <c:showPercent val="0"/>
            <c:showBubbleSize val="0"/>
            <c:showLeaderLines val="1"/>
            <c:extLst>
              <c:ext xmlns:c15="http://schemas.microsoft.com/office/drawing/2012/chart" uri="{CE6537A1-D6FC-4f65-9D91-7224C49458BB}"/>
            </c:extLst>
          </c:dLbls>
          <c:cat>
            <c:strRef>
              <c:f>Sheet1!$C$5:$C$13</c:f>
              <c:strCache>
                <c:ptCount val="9"/>
                <c:pt idx="0">
                  <c:v>Ārstniecības personas</c:v>
                </c:pt>
                <c:pt idx="1">
                  <c:v>Amatpersonas ar speciālo dienesta pakāpi (Iekšlietu ministrijas sistēmas iestādēs un Ieslodzījuma vietu pārvaldē)</c:v>
                </c:pt>
                <c:pt idx="2">
                  <c:v>Karavīri</c:v>
                </c:pt>
                <c:pt idx="3">
                  <c:v>Pedagogi</c:v>
                </c:pt>
                <c:pt idx="4">
                  <c:v>Prokurori, tiesneši</c:v>
                </c:pt>
                <c:pt idx="5">
                  <c:v>Saeimas deputāti</c:v>
                </c:pt>
                <c:pt idx="6">
                  <c:v>Ierēdņi</c:v>
                </c:pt>
                <c:pt idx="7">
                  <c:v>Pārējie darbinieki</c:v>
                </c:pt>
                <c:pt idx="8">
                  <c:v>Tiesu un prokuratūras darbinieki</c:v>
                </c:pt>
              </c:strCache>
            </c:strRef>
          </c:cat>
          <c:val>
            <c:numRef>
              <c:f>Sheet1!$D$5:$D$13</c:f>
              <c:numCache>
                <c:formatCode>#,##0</c:formatCode>
                <c:ptCount val="9"/>
                <c:pt idx="0">
                  <c:v>2801</c:v>
                </c:pt>
                <c:pt idx="1">
                  <c:v>12972</c:v>
                </c:pt>
                <c:pt idx="2">
                  <c:v>4953</c:v>
                </c:pt>
                <c:pt idx="3">
                  <c:v>3921</c:v>
                </c:pt>
                <c:pt idx="4">
                  <c:v>1006</c:v>
                </c:pt>
                <c:pt idx="5">
                  <c:v>100</c:v>
                </c:pt>
                <c:pt idx="6">
                  <c:v>11608</c:v>
                </c:pt>
                <c:pt idx="7">
                  <c:v>18152</c:v>
                </c:pt>
                <c:pt idx="8">
                  <c:v>2289</c:v>
                </c:pt>
              </c:numCache>
            </c:numRef>
          </c:val>
        </c:ser>
        <c:dLbls>
          <c:showLegendKey val="0"/>
          <c:showVal val="0"/>
          <c:showCatName val="0"/>
          <c:showSerName val="0"/>
          <c:showPercent val="0"/>
          <c:showBubbleSize val="0"/>
          <c:showLeaderLines val="1"/>
        </c:dLbls>
        <c:firstSliceAng val="0"/>
      </c:pieChart>
      <c:spPr>
        <a:noFill/>
        <a:ln w="25369">
          <a:noFill/>
        </a:ln>
      </c:spPr>
    </c:plotArea>
    <c:plotVisOnly val="1"/>
    <c:dispBlanksAs val="zero"/>
    <c:showDLblsOverMax val="0"/>
  </c:chart>
  <c:txPr>
    <a:bodyPr/>
    <a:lstStyle/>
    <a:p>
      <a:pPr>
        <a:defRPr sz="1099">
          <a:latin typeface="Times New Roman" pitchFamily="18" charset="0"/>
          <a:cs typeface="Times New Roman" pitchFamily="18" charset="0"/>
        </a:defRPr>
      </a:pPr>
      <a:endParaRPr lang="lv-LV"/>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170687396132894E-2"/>
          <c:y val="4.6496023817918383E-2"/>
          <c:w val="0.64278977089586331"/>
          <c:h val="0.7754227288753085"/>
        </c:manualLayout>
      </c:layout>
      <c:scatterChart>
        <c:scatterStyle val="lineMarker"/>
        <c:varyColors val="0"/>
        <c:ser>
          <c:idx val="0"/>
          <c:order val="0"/>
          <c:tx>
            <c:strRef>
              <c:f>Premjers!$A$4</c:f>
              <c:strCache>
                <c:ptCount val="1"/>
                <c:pt idx="0">
                  <c:v>Ministru prezidenta mēnešalga K=4,05</c:v>
                </c:pt>
              </c:strCache>
            </c:strRef>
          </c:tx>
          <c:dLbls>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Premjers!$B$1:$G$1</c:f>
              <c:numCache>
                <c:formatCode>General</c:formatCode>
                <c:ptCount val="6"/>
                <c:pt idx="0">
                  <c:v>2011</c:v>
                </c:pt>
                <c:pt idx="1">
                  <c:v>2012</c:v>
                </c:pt>
                <c:pt idx="2">
                  <c:v>2013</c:v>
                </c:pt>
                <c:pt idx="3">
                  <c:v>2014</c:v>
                </c:pt>
                <c:pt idx="4">
                  <c:v>2015</c:v>
                </c:pt>
                <c:pt idx="5">
                  <c:v>2016</c:v>
                </c:pt>
              </c:numCache>
            </c:numRef>
          </c:xVal>
          <c:yVal>
            <c:numRef>
              <c:f>Premjers!$B$4:$G$4</c:f>
              <c:numCache>
                <c:formatCode>#,##0</c:formatCode>
                <c:ptCount val="6"/>
                <c:pt idx="1">
                  <c:v>1907.55</c:v>
                </c:pt>
                <c:pt idx="2">
                  <c:v>1919.6999999999998</c:v>
                </c:pt>
                <c:pt idx="3">
                  <c:v>1948.05</c:v>
                </c:pt>
                <c:pt idx="4">
                  <c:v>2016.8999999999999</c:v>
                </c:pt>
                <c:pt idx="5">
                  <c:v>2097.9</c:v>
                </c:pt>
              </c:numCache>
            </c:numRef>
          </c:yVal>
          <c:smooth val="0"/>
        </c:ser>
        <c:ser>
          <c:idx val="1"/>
          <c:order val="1"/>
          <c:tx>
            <c:strRef>
              <c:f>Premjers!$A$5</c:f>
              <c:strCache>
                <c:ptCount val="1"/>
                <c:pt idx="0">
                  <c:v>Ministra mēnešalga K=3,648</c:v>
                </c:pt>
              </c:strCache>
            </c:strRef>
          </c:tx>
          <c:dLbls>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Premjers!$B$1:$G$1</c:f>
              <c:numCache>
                <c:formatCode>General</c:formatCode>
                <c:ptCount val="6"/>
                <c:pt idx="0">
                  <c:v>2011</c:v>
                </c:pt>
                <c:pt idx="1">
                  <c:v>2012</c:v>
                </c:pt>
                <c:pt idx="2">
                  <c:v>2013</c:v>
                </c:pt>
                <c:pt idx="3">
                  <c:v>2014</c:v>
                </c:pt>
                <c:pt idx="4">
                  <c:v>2015</c:v>
                </c:pt>
                <c:pt idx="5">
                  <c:v>2016</c:v>
                </c:pt>
              </c:numCache>
            </c:numRef>
          </c:xVal>
          <c:yVal>
            <c:numRef>
              <c:f>Premjers!$B$5:$G$5</c:f>
              <c:numCache>
                <c:formatCode>#,##0</c:formatCode>
                <c:ptCount val="6"/>
                <c:pt idx="1">
                  <c:v>1718.2080000000001</c:v>
                </c:pt>
                <c:pt idx="2">
                  <c:v>1729.1519999999998</c:v>
                </c:pt>
                <c:pt idx="3">
                  <c:v>1754.6879999999999</c:v>
                </c:pt>
                <c:pt idx="4">
                  <c:v>1816.7040000000002</c:v>
                </c:pt>
                <c:pt idx="5">
                  <c:v>1889.6639999999998</c:v>
                </c:pt>
              </c:numCache>
            </c:numRef>
          </c:yVal>
          <c:smooth val="0"/>
        </c:ser>
        <c:ser>
          <c:idx val="2"/>
          <c:order val="2"/>
          <c:tx>
            <c:strRef>
              <c:f>Premjers!$A$6</c:f>
              <c:strCache>
                <c:ptCount val="1"/>
                <c:pt idx="0">
                  <c:v>16.algu grupas maksimums (ministriju valsts sekretārs)</c:v>
                </c:pt>
              </c:strCache>
            </c:strRef>
          </c:tx>
          <c:dLbls>
            <c:dLbl>
              <c:idx val="5"/>
              <c:dLblPos val="b"/>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Premjers!$B$1:$G$1</c:f>
              <c:numCache>
                <c:formatCode>General</c:formatCode>
                <c:ptCount val="6"/>
                <c:pt idx="0">
                  <c:v>2011</c:v>
                </c:pt>
                <c:pt idx="1">
                  <c:v>2012</c:v>
                </c:pt>
                <c:pt idx="2">
                  <c:v>2013</c:v>
                </c:pt>
                <c:pt idx="3">
                  <c:v>2014</c:v>
                </c:pt>
                <c:pt idx="4">
                  <c:v>2015</c:v>
                </c:pt>
                <c:pt idx="5">
                  <c:v>2016</c:v>
                </c:pt>
              </c:numCache>
            </c:numRef>
          </c:xVal>
          <c:yVal>
            <c:numRef>
              <c:f>Premjers!$B$6:$G$6</c:f>
              <c:numCache>
                <c:formatCode>#,##0</c:formatCode>
                <c:ptCount val="6"/>
                <c:pt idx="1">
                  <c:v>1715</c:v>
                </c:pt>
                <c:pt idx="2">
                  <c:v>1715</c:v>
                </c:pt>
                <c:pt idx="3">
                  <c:v>1715</c:v>
                </c:pt>
                <c:pt idx="4">
                  <c:v>1715</c:v>
                </c:pt>
                <c:pt idx="5">
                  <c:v>1715</c:v>
                </c:pt>
              </c:numCache>
            </c:numRef>
          </c:yVal>
          <c:smooth val="0"/>
        </c:ser>
        <c:dLbls>
          <c:showLegendKey val="0"/>
          <c:showVal val="0"/>
          <c:showCatName val="0"/>
          <c:showSerName val="0"/>
          <c:showPercent val="0"/>
          <c:showBubbleSize val="0"/>
        </c:dLbls>
        <c:axId val="475648592"/>
        <c:axId val="475648984"/>
      </c:scatterChart>
      <c:valAx>
        <c:axId val="475648592"/>
        <c:scaling>
          <c:orientation val="minMax"/>
          <c:max val="2016"/>
          <c:min val="2012"/>
        </c:scaling>
        <c:delete val="0"/>
        <c:axPos val="b"/>
        <c:title>
          <c:tx>
            <c:rich>
              <a:bodyPr/>
              <a:lstStyle/>
              <a:p>
                <a:pPr>
                  <a:defRPr/>
                </a:pPr>
                <a:r>
                  <a:rPr lang="en-US"/>
                  <a:t>Gads</a:t>
                </a:r>
              </a:p>
            </c:rich>
          </c:tx>
          <c:overlay val="0"/>
        </c:title>
        <c:numFmt formatCode="General" sourceLinked="1"/>
        <c:majorTickMark val="out"/>
        <c:minorTickMark val="none"/>
        <c:tickLblPos val="nextTo"/>
        <c:crossAx val="475648984"/>
        <c:crosses val="autoZero"/>
        <c:crossBetween val="midCat"/>
        <c:majorUnit val="1"/>
      </c:valAx>
      <c:valAx>
        <c:axId val="475648984"/>
        <c:scaling>
          <c:orientation val="minMax"/>
          <c:min val="1500"/>
        </c:scaling>
        <c:delete val="0"/>
        <c:axPos val="l"/>
        <c:majorGridlines/>
        <c:title>
          <c:tx>
            <c:rich>
              <a:bodyPr rot="0" vert="horz"/>
              <a:lstStyle/>
              <a:p>
                <a:pPr>
                  <a:defRPr/>
                </a:pPr>
                <a:r>
                  <a:rPr lang="en-US"/>
                  <a:t>Ls</a:t>
                </a:r>
              </a:p>
            </c:rich>
          </c:tx>
          <c:layout>
            <c:manualLayout>
              <c:xMode val="edge"/>
              <c:yMode val="edge"/>
              <c:x val="8.8814078860627005E-2"/>
              <c:y val="6.8818761054694699E-2"/>
            </c:manualLayout>
          </c:layout>
          <c:overlay val="0"/>
        </c:title>
        <c:numFmt formatCode="#,##0" sourceLinked="1"/>
        <c:majorTickMark val="out"/>
        <c:minorTickMark val="none"/>
        <c:tickLblPos val="nextTo"/>
        <c:crossAx val="475648592"/>
        <c:crosses val="autoZero"/>
        <c:crossBetween val="midCat"/>
      </c:valAx>
    </c:plotArea>
    <c:legend>
      <c:legendPos val="r"/>
      <c:layout>
        <c:manualLayout>
          <c:xMode val="edge"/>
          <c:yMode val="edge"/>
          <c:x val="0.7731514900350378"/>
          <c:y val="8.6191107074321663E-2"/>
          <c:w val="0.22472198152264472"/>
          <c:h val="0.77200988312943031"/>
        </c:manualLayout>
      </c:layout>
      <c:overlay val="0"/>
    </c:legend>
    <c:plotVisOnly val="1"/>
    <c:dispBlanksAs val="gap"/>
    <c:showDLblsOverMax val="0"/>
  </c:chart>
  <c:txPr>
    <a:bodyPr/>
    <a:lstStyle/>
    <a:p>
      <a:pPr>
        <a:defRPr sz="1200">
          <a:latin typeface="Times New Roman" pitchFamily="18" charset="0"/>
          <a:cs typeface="Times New Roman" pitchFamily="18" charset="0"/>
        </a:defRPr>
      </a:pPr>
      <a:endParaRPr lang="lv-LV"/>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61E-2"/>
          <c:y val="0.17761015316123471"/>
          <c:w val="0.93888888888888911"/>
          <c:h val="0.80624499152795759"/>
        </c:manualLayout>
      </c:layout>
      <c:barChart>
        <c:barDir val="col"/>
        <c:grouping val="clustered"/>
        <c:varyColors val="0"/>
        <c:ser>
          <c:idx val="0"/>
          <c:order val="0"/>
          <c:invertIfNegative val="0"/>
          <c:dPt>
            <c:idx val="1"/>
            <c:invertIfNegative val="0"/>
            <c:bubble3D val="0"/>
            <c:spPr>
              <a:solidFill>
                <a:srgbClr val="CC3300"/>
              </a:solidFill>
            </c:spPr>
          </c:dPt>
          <c:dPt>
            <c:idx val="2"/>
            <c:invertIfNegative val="0"/>
            <c:bubble3D val="0"/>
            <c:spPr>
              <a:solidFill>
                <a:schemeClr val="accent3"/>
              </a:solidFill>
            </c:spPr>
          </c:dPt>
          <c:dPt>
            <c:idx val="3"/>
            <c:invertIfNegative val="0"/>
            <c:bubble3D val="0"/>
            <c:spPr>
              <a:solidFill>
                <a:schemeClr val="accent4">
                  <a:lumMod val="75000"/>
                </a:schemeClr>
              </a:solidFill>
            </c:spPr>
          </c:dPt>
          <c:dLbls>
            <c:spPr>
              <a:solidFill>
                <a:schemeClr val="bg1"/>
              </a:solidFill>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'EK MK loc'!$A$1:$A$4</c:f>
              <c:strCache>
                <c:ptCount val="4"/>
                <c:pt idx="0">
                  <c:v>EK Ģenerāldirektors</c:v>
                </c:pt>
                <c:pt idx="1">
                  <c:v>Ministru prezidents Latvijā</c:v>
                </c:pt>
                <c:pt idx="2">
                  <c:v>EK asistents, lietvedis, tehniskais asistents (zemākie amati)</c:v>
                </c:pt>
                <c:pt idx="3">
                  <c:v>Ministrs Latvijā</c:v>
                </c:pt>
              </c:strCache>
            </c:strRef>
          </c:cat>
          <c:val>
            <c:numRef>
              <c:f>'EK MK loc'!$B$1:$B$4</c:f>
              <c:numCache>
                <c:formatCode>General</c:formatCode>
                <c:ptCount val="4"/>
                <c:pt idx="0">
                  <c:v>12911</c:v>
                </c:pt>
                <c:pt idx="1">
                  <c:v>1920</c:v>
                </c:pt>
                <c:pt idx="2">
                  <c:v>1865</c:v>
                </c:pt>
                <c:pt idx="3">
                  <c:v>1729</c:v>
                </c:pt>
              </c:numCache>
            </c:numRef>
          </c:val>
        </c:ser>
        <c:dLbls>
          <c:showLegendKey val="0"/>
          <c:showVal val="1"/>
          <c:showCatName val="0"/>
          <c:showSerName val="0"/>
          <c:showPercent val="0"/>
          <c:showBubbleSize val="0"/>
        </c:dLbls>
        <c:gapWidth val="27"/>
        <c:overlap val="-25"/>
        <c:axId val="475649768"/>
        <c:axId val="475650160"/>
      </c:barChart>
      <c:dateAx>
        <c:axId val="475649768"/>
        <c:scaling>
          <c:orientation val="minMax"/>
        </c:scaling>
        <c:delete val="1"/>
        <c:axPos val="b"/>
        <c:numFmt formatCode="General" sourceLinked="0"/>
        <c:majorTickMark val="out"/>
        <c:minorTickMark val="none"/>
        <c:tickLblPos val="none"/>
        <c:crossAx val="475650160"/>
        <c:crosses val="autoZero"/>
        <c:auto val="0"/>
        <c:lblOffset val="100"/>
        <c:baseTimeUnit val="days"/>
      </c:dateAx>
      <c:valAx>
        <c:axId val="475650160"/>
        <c:scaling>
          <c:orientation val="minMax"/>
        </c:scaling>
        <c:delete val="1"/>
        <c:axPos val="l"/>
        <c:numFmt formatCode="General" sourceLinked="1"/>
        <c:majorTickMark val="out"/>
        <c:minorTickMark val="none"/>
        <c:tickLblPos val="none"/>
        <c:crossAx val="475649768"/>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lv-LV"/>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Pt>
            <c:idx val="5"/>
            <c:invertIfNegative val="0"/>
            <c:bubble3D val="0"/>
            <c:spPr>
              <a:solidFill>
                <a:srgbClr val="FF0000"/>
              </a:solidFill>
            </c:spPr>
          </c:dPt>
          <c:dLbls>
            <c:dLbl>
              <c:idx val="5"/>
              <c:spPr>
                <a:solidFill>
                  <a:schemeClr val="bg1"/>
                </a:solidFill>
              </c:spPr>
              <c:txPr>
                <a:bodyPr/>
                <a:lstStyle/>
                <a:p>
                  <a:pPr>
                    <a:defRPr lang="lv-LV"/>
                  </a:pPr>
                  <a:endParaRPr lang="lv-LV"/>
                </a:p>
              </c:txPr>
              <c:showLegendKey val="0"/>
              <c:showVal val="1"/>
              <c:showCatName val="0"/>
              <c:showSerName val="0"/>
              <c:showPercent val="0"/>
              <c:showBubbleSize val="0"/>
            </c:dLbl>
            <c:spPr>
              <a:noFill/>
              <a:ln>
                <a:noFill/>
              </a:ln>
              <a:effectLst/>
            </c:spPr>
            <c:txPr>
              <a:bodyPr/>
              <a:lstStyle/>
              <a:p>
                <a:pPr>
                  <a:defRPr lang="lv-LV"/>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'augst amapers'!$A$3:$A$13</c:f>
              <c:strCache>
                <c:ptCount val="11"/>
                <c:pt idx="0">
                  <c:v>NEPLP priekšsēdētājs</c:v>
                </c:pt>
                <c:pt idx="1">
                  <c:v>Saeimas deputāts</c:v>
                </c:pt>
                <c:pt idx="2">
                  <c:v>CVK priekšsēdētājs</c:v>
                </c:pt>
                <c:pt idx="3">
                  <c:v>Tiesībsargs</c:v>
                </c:pt>
                <c:pt idx="4">
                  <c:v>Ministrs</c:v>
                </c:pt>
                <c:pt idx="5">
                  <c:v>Ministru prezidents </c:v>
                </c:pt>
                <c:pt idx="6">
                  <c:v>Valsts kontrolieris</c:v>
                </c:pt>
                <c:pt idx="7">
                  <c:v>Saeimas priekšsēdētājs</c:v>
                </c:pt>
                <c:pt idx="8">
                  <c:v>Augstākās tiesas priekšsēdētājs</c:v>
                </c:pt>
                <c:pt idx="9">
                  <c:v>Valsts prezidents*</c:v>
                </c:pt>
                <c:pt idx="10">
                  <c:v>Satversmes tiesas priekšsēdētājs</c:v>
                </c:pt>
              </c:strCache>
            </c:strRef>
          </c:cat>
          <c:val>
            <c:numRef>
              <c:f>'augst amapers'!$B$3:$B$13</c:f>
              <c:numCache>
                <c:formatCode>General</c:formatCode>
                <c:ptCount val="11"/>
                <c:pt idx="0">
                  <c:v>1318</c:v>
                </c:pt>
                <c:pt idx="1">
                  <c:v>1517</c:v>
                </c:pt>
                <c:pt idx="2">
                  <c:v>1574</c:v>
                </c:pt>
                <c:pt idx="3">
                  <c:v>1616</c:v>
                </c:pt>
                <c:pt idx="4">
                  <c:v>1729</c:v>
                </c:pt>
                <c:pt idx="5">
                  <c:v>1920</c:v>
                </c:pt>
                <c:pt idx="6">
                  <c:v>1920</c:v>
                </c:pt>
                <c:pt idx="7">
                  <c:v>2337</c:v>
                </c:pt>
                <c:pt idx="8">
                  <c:v>2655</c:v>
                </c:pt>
                <c:pt idx="9">
                  <c:v>2662</c:v>
                </c:pt>
                <c:pt idx="10">
                  <c:v>3031</c:v>
                </c:pt>
              </c:numCache>
            </c:numRef>
          </c:val>
        </c:ser>
        <c:dLbls>
          <c:showLegendKey val="0"/>
          <c:showVal val="0"/>
          <c:showCatName val="0"/>
          <c:showSerName val="0"/>
          <c:showPercent val="0"/>
          <c:showBubbleSize val="0"/>
        </c:dLbls>
        <c:gapWidth val="150"/>
        <c:axId val="475650944"/>
        <c:axId val="475651336"/>
      </c:barChart>
      <c:catAx>
        <c:axId val="475650944"/>
        <c:scaling>
          <c:orientation val="minMax"/>
        </c:scaling>
        <c:delete val="0"/>
        <c:axPos val="l"/>
        <c:numFmt formatCode="General" sourceLinked="0"/>
        <c:majorTickMark val="out"/>
        <c:minorTickMark val="none"/>
        <c:tickLblPos val="nextTo"/>
        <c:txPr>
          <a:bodyPr/>
          <a:lstStyle/>
          <a:p>
            <a:pPr>
              <a:defRPr lang="lv-LV"/>
            </a:pPr>
            <a:endParaRPr lang="lv-LV"/>
          </a:p>
        </c:txPr>
        <c:crossAx val="475651336"/>
        <c:crosses val="autoZero"/>
        <c:auto val="1"/>
        <c:lblAlgn val="ctr"/>
        <c:lblOffset val="100"/>
        <c:noMultiLvlLbl val="0"/>
      </c:catAx>
      <c:valAx>
        <c:axId val="475651336"/>
        <c:scaling>
          <c:orientation val="minMax"/>
        </c:scaling>
        <c:delete val="1"/>
        <c:axPos val="b"/>
        <c:numFmt formatCode="General" sourceLinked="1"/>
        <c:majorTickMark val="out"/>
        <c:minorTickMark val="none"/>
        <c:tickLblPos val="none"/>
        <c:crossAx val="475650944"/>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lv-LV"/>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'Bilde 20% M'!$D$1</c:f>
              <c:strCache>
                <c:ptCount val="1"/>
                <c:pt idx="0">
                  <c:v>Esošā skala</c:v>
                </c:pt>
              </c:strCache>
            </c:strRef>
          </c:tx>
          <c:marker>
            <c:symbol val="none"/>
          </c:marker>
          <c:xVal>
            <c:numRef>
              <c:f>'Bilde 20% M'!$C$2:$C$224</c:f>
              <c:numCache>
                <c:formatCode>General</c:formatCode>
                <c:ptCount val="223"/>
                <c:pt idx="0">
                  <c:v>1.1000000000000001</c:v>
                </c:pt>
                <c:pt idx="1">
                  <c:v>1.1000000000000001</c:v>
                </c:pt>
                <c:pt idx="2">
                  <c:v>1.2</c:v>
                </c:pt>
                <c:pt idx="3">
                  <c:v>1.3</c:v>
                </c:pt>
                <c:pt idx="4">
                  <c:v>1.4</c:v>
                </c:pt>
                <c:pt idx="5">
                  <c:v>1.5</c:v>
                </c:pt>
                <c:pt idx="6">
                  <c:v>1.6</c:v>
                </c:pt>
                <c:pt idx="7">
                  <c:v>1.6</c:v>
                </c:pt>
                <c:pt idx="8">
                  <c:v>1.5</c:v>
                </c:pt>
                <c:pt idx="9">
                  <c:v>1.4</c:v>
                </c:pt>
                <c:pt idx="10">
                  <c:v>1.3</c:v>
                </c:pt>
                <c:pt idx="11">
                  <c:v>1.2</c:v>
                </c:pt>
                <c:pt idx="12">
                  <c:v>1.1000000000000001</c:v>
                </c:pt>
                <c:pt idx="14">
                  <c:v>2.1</c:v>
                </c:pt>
                <c:pt idx="15">
                  <c:v>2.1</c:v>
                </c:pt>
                <c:pt idx="16">
                  <c:v>2.2000000000000002</c:v>
                </c:pt>
                <c:pt idx="17">
                  <c:v>2.2999999999999998</c:v>
                </c:pt>
                <c:pt idx="18">
                  <c:v>2.4</c:v>
                </c:pt>
                <c:pt idx="19">
                  <c:v>2.5</c:v>
                </c:pt>
                <c:pt idx="20">
                  <c:v>2.6</c:v>
                </c:pt>
                <c:pt idx="21">
                  <c:v>2.6</c:v>
                </c:pt>
                <c:pt idx="22">
                  <c:v>2.5</c:v>
                </c:pt>
                <c:pt idx="23">
                  <c:v>2.4</c:v>
                </c:pt>
                <c:pt idx="24">
                  <c:v>2.2999999999999998</c:v>
                </c:pt>
                <c:pt idx="25">
                  <c:v>2.2000000000000002</c:v>
                </c:pt>
                <c:pt idx="26">
                  <c:v>2.1</c:v>
                </c:pt>
                <c:pt idx="28">
                  <c:v>3.1</c:v>
                </c:pt>
                <c:pt idx="29">
                  <c:v>3.1</c:v>
                </c:pt>
                <c:pt idx="30">
                  <c:v>3.2</c:v>
                </c:pt>
                <c:pt idx="31">
                  <c:v>3.3</c:v>
                </c:pt>
                <c:pt idx="32">
                  <c:v>3.4</c:v>
                </c:pt>
                <c:pt idx="33">
                  <c:v>3.5</c:v>
                </c:pt>
                <c:pt idx="34">
                  <c:v>3.6</c:v>
                </c:pt>
                <c:pt idx="35">
                  <c:v>3.6</c:v>
                </c:pt>
                <c:pt idx="36">
                  <c:v>3.5</c:v>
                </c:pt>
                <c:pt idx="37">
                  <c:v>3.4</c:v>
                </c:pt>
                <c:pt idx="38">
                  <c:v>3.3</c:v>
                </c:pt>
                <c:pt idx="39">
                  <c:v>3.2</c:v>
                </c:pt>
                <c:pt idx="40">
                  <c:v>3.1</c:v>
                </c:pt>
                <c:pt idx="42">
                  <c:v>4.0999999999999996</c:v>
                </c:pt>
                <c:pt idx="43">
                  <c:v>4.0999999999999996</c:v>
                </c:pt>
                <c:pt idx="44">
                  <c:v>4.2</c:v>
                </c:pt>
                <c:pt idx="45">
                  <c:v>4.3</c:v>
                </c:pt>
                <c:pt idx="46">
                  <c:v>4.4000000000000004</c:v>
                </c:pt>
                <c:pt idx="47">
                  <c:v>4.5</c:v>
                </c:pt>
                <c:pt idx="48">
                  <c:v>4.5999999999999996</c:v>
                </c:pt>
                <c:pt idx="49">
                  <c:v>4.5999999999999996</c:v>
                </c:pt>
                <c:pt idx="50">
                  <c:v>4.5</c:v>
                </c:pt>
                <c:pt idx="51">
                  <c:v>4.4000000000000004</c:v>
                </c:pt>
                <c:pt idx="52">
                  <c:v>4.3</c:v>
                </c:pt>
                <c:pt idx="53">
                  <c:v>4.2</c:v>
                </c:pt>
                <c:pt idx="54">
                  <c:v>4.0999999999999996</c:v>
                </c:pt>
                <c:pt idx="56">
                  <c:v>5.0999999999999996</c:v>
                </c:pt>
                <c:pt idx="57">
                  <c:v>5.0999999999999996</c:v>
                </c:pt>
                <c:pt idx="58">
                  <c:v>5.2</c:v>
                </c:pt>
                <c:pt idx="59">
                  <c:v>5.3</c:v>
                </c:pt>
                <c:pt idx="60">
                  <c:v>5.4</c:v>
                </c:pt>
                <c:pt idx="61">
                  <c:v>5.5</c:v>
                </c:pt>
                <c:pt idx="62">
                  <c:v>5.6</c:v>
                </c:pt>
                <c:pt idx="63">
                  <c:v>5.6</c:v>
                </c:pt>
                <c:pt idx="64">
                  <c:v>5.5</c:v>
                </c:pt>
                <c:pt idx="65">
                  <c:v>5.4</c:v>
                </c:pt>
                <c:pt idx="66">
                  <c:v>5.3</c:v>
                </c:pt>
                <c:pt idx="67">
                  <c:v>5.2</c:v>
                </c:pt>
                <c:pt idx="68">
                  <c:v>5.0999999999999996</c:v>
                </c:pt>
                <c:pt idx="70">
                  <c:v>6.1</c:v>
                </c:pt>
                <c:pt idx="71">
                  <c:v>6.1</c:v>
                </c:pt>
                <c:pt idx="72">
                  <c:v>6.2</c:v>
                </c:pt>
                <c:pt idx="73">
                  <c:v>6.3</c:v>
                </c:pt>
                <c:pt idx="74">
                  <c:v>6.4</c:v>
                </c:pt>
                <c:pt idx="75">
                  <c:v>6.5</c:v>
                </c:pt>
                <c:pt idx="76">
                  <c:v>6.6</c:v>
                </c:pt>
                <c:pt idx="77">
                  <c:v>6.6</c:v>
                </c:pt>
                <c:pt idx="78">
                  <c:v>6.5</c:v>
                </c:pt>
                <c:pt idx="79">
                  <c:v>6.4</c:v>
                </c:pt>
                <c:pt idx="80">
                  <c:v>6.3</c:v>
                </c:pt>
                <c:pt idx="81">
                  <c:v>6.2</c:v>
                </c:pt>
                <c:pt idx="82">
                  <c:v>6.1</c:v>
                </c:pt>
                <c:pt idx="84">
                  <c:v>7.1</c:v>
                </c:pt>
                <c:pt idx="85">
                  <c:v>7.1</c:v>
                </c:pt>
                <c:pt idx="86">
                  <c:v>7.2</c:v>
                </c:pt>
                <c:pt idx="87">
                  <c:v>7.3</c:v>
                </c:pt>
                <c:pt idx="88">
                  <c:v>7.4</c:v>
                </c:pt>
                <c:pt idx="89">
                  <c:v>7.5</c:v>
                </c:pt>
                <c:pt idx="90">
                  <c:v>7.6</c:v>
                </c:pt>
                <c:pt idx="91">
                  <c:v>7.6</c:v>
                </c:pt>
                <c:pt idx="92">
                  <c:v>7.5</c:v>
                </c:pt>
                <c:pt idx="93">
                  <c:v>7.4</c:v>
                </c:pt>
                <c:pt idx="94">
                  <c:v>7.3</c:v>
                </c:pt>
                <c:pt idx="95">
                  <c:v>7.2</c:v>
                </c:pt>
                <c:pt idx="96">
                  <c:v>7.1</c:v>
                </c:pt>
                <c:pt idx="98">
                  <c:v>8.1</c:v>
                </c:pt>
                <c:pt idx="99">
                  <c:v>8.1</c:v>
                </c:pt>
                <c:pt idx="100">
                  <c:v>8.2000000000000011</c:v>
                </c:pt>
                <c:pt idx="101">
                  <c:v>8.3000000000000007</c:v>
                </c:pt>
                <c:pt idx="102">
                  <c:v>8.4</c:v>
                </c:pt>
                <c:pt idx="103">
                  <c:v>8.5</c:v>
                </c:pt>
                <c:pt idx="104">
                  <c:v>8.6</c:v>
                </c:pt>
                <c:pt idx="105">
                  <c:v>8.6</c:v>
                </c:pt>
                <c:pt idx="106">
                  <c:v>8.5</c:v>
                </c:pt>
                <c:pt idx="107">
                  <c:v>8.4</c:v>
                </c:pt>
                <c:pt idx="108">
                  <c:v>8.3000000000000007</c:v>
                </c:pt>
                <c:pt idx="109">
                  <c:v>8.2000000000000011</c:v>
                </c:pt>
                <c:pt idx="110">
                  <c:v>8.1</c:v>
                </c:pt>
                <c:pt idx="112">
                  <c:v>9.1</c:v>
                </c:pt>
                <c:pt idx="113">
                  <c:v>9.1</c:v>
                </c:pt>
                <c:pt idx="114">
                  <c:v>9.2000000000000011</c:v>
                </c:pt>
                <c:pt idx="115">
                  <c:v>9.3000000000000007</c:v>
                </c:pt>
                <c:pt idx="116">
                  <c:v>9.4</c:v>
                </c:pt>
                <c:pt idx="117">
                  <c:v>9.5</c:v>
                </c:pt>
                <c:pt idx="118">
                  <c:v>9.6</c:v>
                </c:pt>
                <c:pt idx="119">
                  <c:v>9.6</c:v>
                </c:pt>
                <c:pt idx="120">
                  <c:v>9.5</c:v>
                </c:pt>
                <c:pt idx="121">
                  <c:v>9.4</c:v>
                </c:pt>
                <c:pt idx="122">
                  <c:v>9.3000000000000007</c:v>
                </c:pt>
                <c:pt idx="123">
                  <c:v>9.2000000000000011</c:v>
                </c:pt>
                <c:pt idx="124">
                  <c:v>9.1</c:v>
                </c:pt>
                <c:pt idx="126">
                  <c:v>10.1</c:v>
                </c:pt>
                <c:pt idx="127">
                  <c:v>10.1</c:v>
                </c:pt>
                <c:pt idx="128">
                  <c:v>10.200000000000001</c:v>
                </c:pt>
                <c:pt idx="129">
                  <c:v>10.3</c:v>
                </c:pt>
                <c:pt idx="130">
                  <c:v>10.4</c:v>
                </c:pt>
                <c:pt idx="131">
                  <c:v>10.5</c:v>
                </c:pt>
                <c:pt idx="132">
                  <c:v>10.6</c:v>
                </c:pt>
                <c:pt idx="133">
                  <c:v>10.6</c:v>
                </c:pt>
                <c:pt idx="134">
                  <c:v>10.5</c:v>
                </c:pt>
                <c:pt idx="135">
                  <c:v>10.4</c:v>
                </c:pt>
                <c:pt idx="136">
                  <c:v>10.3</c:v>
                </c:pt>
                <c:pt idx="137">
                  <c:v>10.200000000000001</c:v>
                </c:pt>
                <c:pt idx="138">
                  <c:v>10.1</c:v>
                </c:pt>
                <c:pt idx="140">
                  <c:v>11.1</c:v>
                </c:pt>
                <c:pt idx="141">
                  <c:v>11.1</c:v>
                </c:pt>
                <c:pt idx="142">
                  <c:v>11.2</c:v>
                </c:pt>
                <c:pt idx="143">
                  <c:v>11.3</c:v>
                </c:pt>
                <c:pt idx="144">
                  <c:v>11.4</c:v>
                </c:pt>
                <c:pt idx="145">
                  <c:v>11.5</c:v>
                </c:pt>
                <c:pt idx="146">
                  <c:v>11.6</c:v>
                </c:pt>
                <c:pt idx="147">
                  <c:v>11.6</c:v>
                </c:pt>
                <c:pt idx="148">
                  <c:v>11.5</c:v>
                </c:pt>
                <c:pt idx="149">
                  <c:v>11.4</c:v>
                </c:pt>
                <c:pt idx="150">
                  <c:v>11.3</c:v>
                </c:pt>
                <c:pt idx="151">
                  <c:v>11.2</c:v>
                </c:pt>
                <c:pt idx="152">
                  <c:v>11.1</c:v>
                </c:pt>
                <c:pt idx="154">
                  <c:v>12.1</c:v>
                </c:pt>
                <c:pt idx="155">
                  <c:v>12.1</c:v>
                </c:pt>
                <c:pt idx="156">
                  <c:v>12.2</c:v>
                </c:pt>
                <c:pt idx="157">
                  <c:v>12.3</c:v>
                </c:pt>
                <c:pt idx="158">
                  <c:v>12.4</c:v>
                </c:pt>
                <c:pt idx="159">
                  <c:v>12.5</c:v>
                </c:pt>
                <c:pt idx="160">
                  <c:v>12.6</c:v>
                </c:pt>
                <c:pt idx="161">
                  <c:v>12.6</c:v>
                </c:pt>
                <c:pt idx="162">
                  <c:v>12.5</c:v>
                </c:pt>
                <c:pt idx="163">
                  <c:v>12.4</c:v>
                </c:pt>
                <c:pt idx="164">
                  <c:v>12.3</c:v>
                </c:pt>
                <c:pt idx="165">
                  <c:v>12.2</c:v>
                </c:pt>
                <c:pt idx="166">
                  <c:v>12.1</c:v>
                </c:pt>
                <c:pt idx="168">
                  <c:v>13.1</c:v>
                </c:pt>
                <c:pt idx="169">
                  <c:v>13.1</c:v>
                </c:pt>
                <c:pt idx="170">
                  <c:v>13.2</c:v>
                </c:pt>
                <c:pt idx="171">
                  <c:v>13.3</c:v>
                </c:pt>
                <c:pt idx="172">
                  <c:v>13.4</c:v>
                </c:pt>
                <c:pt idx="173">
                  <c:v>13.5</c:v>
                </c:pt>
                <c:pt idx="174">
                  <c:v>13.6</c:v>
                </c:pt>
                <c:pt idx="175">
                  <c:v>13.6</c:v>
                </c:pt>
                <c:pt idx="176">
                  <c:v>13.5</c:v>
                </c:pt>
                <c:pt idx="177">
                  <c:v>13.4</c:v>
                </c:pt>
                <c:pt idx="178">
                  <c:v>13.3</c:v>
                </c:pt>
                <c:pt idx="179">
                  <c:v>13.2</c:v>
                </c:pt>
                <c:pt idx="180">
                  <c:v>13.1</c:v>
                </c:pt>
                <c:pt idx="182">
                  <c:v>14.1</c:v>
                </c:pt>
                <c:pt idx="183">
                  <c:v>14.1</c:v>
                </c:pt>
                <c:pt idx="184">
                  <c:v>14.3</c:v>
                </c:pt>
                <c:pt idx="185">
                  <c:v>14.3</c:v>
                </c:pt>
                <c:pt idx="186">
                  <c:v>14.4</c:v>
                </c:pt>
                <c:pt idx="187">
                  <c:v>14.5</c:v>
                </c:pt>
                <c:pt idx="188">
                  <c:v>14.6</c:v>
                </c:pt>
                <c:pt idx="189">
                  <c:v>14.6</c:v>
                </c:pt>
                <c:pt idx="190">
                  <c:v>14.5</c:v>
                </c:pt>
                <c:pt idx="191">
                  <c:v>14.4</c:v>
                </c:pt>
                <c:pt idx="192">
                  <c:v>14.3</c:v>
                </c:pt>
                <c:pt idx="193">
                  <c:v>14.2</c:v>
                </c:pt>
                <c:pt idx="194">
                  <c:v>14.1</c:v>
                </c:pt>
                <c:pt idx="196">
                  <c:v>15.1</c:v>
                </c:pt>
                <c:pt idx="197">
                  <c:v>15.1</c:v>
                </c:pt>
                <c:pt idx="198">
                  <c:v>15.3</c:v>
                </c:pt>
                <c:pt idx="199">
                  <c:v>15.3</c:v>
                </c:pt>
                <c:pt idx="200">
                  <c:v>15.4</c:v>
                </c:pt>
                <c:pt idx="201">
                  <c:v>15.5</c:v>
                </c:pt>
                <c:pt idx="202">
                  <c:v>15.6</c:v>
                </c:pt>
                <c:pt idx="203">
                  <c:v>15.6</c:v>
                </c:pt>
                <c:pt idx="204">
                  <c:v>15.5</c:v>
                </c:pt>
                <c:pt idx="205">
                  <c:v>15.4</c:v>
                </c:pt>
                <c:pt idx="206">
                  <c:v>15.3</c:v>
                </c:pt>
                <c:pt idx="207">
                  <c:v>15.2</c:v>
                </c:pt>
                <c:pt idx="208">
                  <c:v>15.1</c:v>
                </c:pt>
                <c:pt idx="210">
                  <c:v>16.100000000000001</c:v>
                </c:pt>
                <c:pt idx="211">
                  <c:v>16.100000000000001</c:v>
                </c:pt>
                <c:pt idx="212">
                  <c:v>16.2</c:v>
                </c:pt>
                <c:pt idx="213">
                  <c:v>16.3</c:v>
                </c:pt>
                <c:pt idx="214">
                  <c:v>16.5</c:v>
                </c:pt>
                <c:pt idx="215">
                  <c:v>16.5</c:v>
                </c:pt>
                <c:pt idx="216">
                  <c:v>16.600000000000001</c:v>
                </c:pt>
                <c:pt idx="217">
                  <c:v>16.600000000000001</c:v>
                </c:pt>
                <c:pt idx="218">
                  <c:v>16.5</c:v>
                </c:pt>
                <c:pt idx="219">
                  <c:v>16.399999999999999</c:v>
                </c:pt>
                <c:pt idx="220">
                  <c:v>16.3</c:v>
                </c:pt>
                <c:pt idx="221">
                  <c:v>16.2</c:v>
                </c:pt>
                <c:pt idx="222">
                  <c:v>16.100000000000001</c:v>
                </c:pt>
              </c:numCache>
            </c:numRef>
          </c:xVal>
          <c:yVal>
            <c:numRef>
              <c:f>'Bilde 20% M'!$D$2:$D$224</c:f>
              <c:numCache>
                <c:formatCode>General</c:formatCode>
                <c:ptCount val="223"/>
                <c:pt idx="0">
                  <c:v>200</c:v>
                </c:pt>
                <c:pt idx="1">
                  <c:v>200</c:v>
                </c:pt>
                <c:pt idx="2">
                  <c:v>210</c:v>
                </c:pt>
                <c:pt idx="3">
                  <c:v>212</c:v>
                </c:pt>
                <c:pt idx="4">
                  <c:v>215</c:v>
                </c:pt>
                <c:pt idx="5">
                  <c:v>219</c:v>
                </c:pt>
                <c:pt idx="6">
                  <c:v>224</c:v>
                </c:pt>
                <c:pt idx="7">
                  <c:v>213</c:v>
                </c:pt>
                <c:pt idx="8">
                  <c:v>209</c:v>
                </c:pt>
                <c:pt idx="9">
                  <c:v>206</c:v>
                </c:pt>
                <c:pt idx="10">
                  <c:v>204</c:v>
                </c:pt>
                <c:pt idx="11">
                  <c:v>202</c:v>
                </c:pt>
                <c:pt idx="12">
                  <c:v>200</c:v>
                </c:pt>
                <c:pt idx="14">
                  <c:v>204</c:v>
                </c:pt>
                <c:pt idx="15">
                  <c:v>207</c:v>
                </c:pt>
                <c:pt idx="16">
                  <c:v>218</c:v>
                </c:pt>
                <c:pt idx="17">
                  <c:v>229</c:v>
                </c:pt>
                <c:pt idx="18">
                  <c:v>241</c:v>
                </c:pt>
                <c:pt idx="19">
                  <c:v>256</c:v>
                </c:pt>
                <c:pt idx="20">
                  <c:v>270</c:v>
                </c:pt>
                <c:pt idx="21">
                  <c:v>235</c:v>
                </c:pt>
                <c:pt idx="22">
                  <c:v>228</c:v>
                </c:pt>
                <c:pt idx="23">
                  <c:v>221</c:v>
                </c:pt>
                <c:pt idx="24">
                  <c:v>215</c:v>
                </c:pt>
                <c:pt idx="25">
                  <c:v>209</c:v>
                </c:pt>
                <c:pt idx="26">
                  <c:v>204</c:v>
                </c:pt>
                <c:pt idx="28">
                  <c:v>207</c:v>
                </c:pt>
                <c:pt idx="29">
                  <c:v>229</c:v>
                </c:pt>
                <c:pt idx="30">
                  <c:v>244</c:v>
                </c:pt>
                <c:pt idx="31">
                  <c:v>259</c:v>
                </c:pt>
                <c:pt idx="32">
                  <c:v>274</c:v>
                </c:pt>
                <c:pt idx="33">
                  <c:v>288</c:v>
                </c:pt>
                <c:pt idx="34">
                  <c:v>302</c:v>
                </c:pt>
                <c:pt idx="35">
                  <c:v>256</c:v>
                </c:pt>
                <c:pt idx="36">
                  <c:v>245</c:v>
                </c:pt>
                <c:pt idx="37">
                  <c:v>235</c:v>
                </c:pt>
                <c:pt idx="38">
                  <c:v>225</c:v>
                </c:pt>
                <c:pt idx="39">
                  <c:v>216</c:v>
                </c:pt>
                <c:pt idx="40">
                  <c:v>207</c:v>
                </c:pt>
                <c:pt idx="42">
                  <c:v>224</c:v>
                </c:pt>
                <c:pt idx="43">
                  <c:v>252</c:v>
                </c:pt>
                <c:pt idx="44">
                  <c:v>271</c:v>
                </c:pt>
                <c:pt idx="45">
                  <c:v>291</c:v>
                </c:pt>
                <c:pt idx="46">
                  <c:v>312</c:v>
                </c:pt>
                <c:pt idx="47">
                  <c:v>334</c:v>
                </c:pt>
                <c:pt idx="48">
                  <c:v>358</c:v>
                </c:pt>
                <c:pt idx="49">
                  <c:v>279</c:v>
                </c:pt>
                <c:pt idx="50">
                  <c:v>266</c:v>
                </c:pt>
                <c:pt idx="51">
                  <c:v>254</c:v>
                </c:pt>
                <c:pt idx="52">
                  <c:v>242</c:v>
                </c:pt>
                <c:pt idx="53">
                  <c:v>233</c:v>
                </c:pt>
                <c:pt idx="54">
                  <c:v>224</c:v>
                </c:pt>
                <c:pt idx="56">
                  <c:v>239</c:v>
                </c:pt>
                <c:pt idx="57">
                  <c:v>285</c:v>
                </c:pt>
                <c:pt idx="58">
                  <c:v>306</c:v>
                </c:pt>
                <c:pt idx="59">
                  <c:v>329</c:v>
                </c:pt>
                <c:pt idx="60">
                  <c:v>353</c:v>
                </c:pt>
                <c:pt idx="61">
                  <c:v>378</c:v>
                </c:pt>
                <c:pt idx="62">
                  <c:v>403</c:v>
                </c:pt>
                <c:pt idx="63">
                  <c:v>323</c:v>
                </c:pt>
                <c:pt idx="64">
                  <c:v>302</c:v>
                </c:pt>
                <c:pt idx="65">
                  <c:v>282</c:v>
                </c:pt>
                <c:pt idx="66">
                  <c:v>264</c:v>
                </c:pt>
                <c:pt idx="67">
                  <c:v>249</c:v>
                </c:pt>
                <c:pt idx="68">
                  <c:v>239</c:v>
                </c:pt>
                <c:pt idx="70">
                  <c:v>265</c:v>
                </c:pt>
                <c:pt idx="71">
                  <c:v>330</c:v>
                </c:pt>
                <c:pt idx="72">
                  <c:v>355</c:v>
                </c:pt>
                <c:pt idx="73">
                  <c:v>382</c:v>
                </c:pt>
                <c:pt idx="74">
                  <c:v>409</c:v>
                </c:pt>
                <c:pt idx="75">
                  <c:v>438</c:v>
                </c:pt>
                <c:pt idx="76">
                  <c:v>467</c:v>
                </c:pt>
                <c:pt idx="77">
                  <c:v>374</c:v>
                </c:pt>
                <c:pt idx="78">
                  <c:v>350</c:v>
                </c:pt>
                <c:pt idx="79">
                  <c:v>327</c:v>
                </c:pt>
                <c:pt idx="80">
                  <c:v>305</c:v>
                </c:pt>
                <c:pt idx="81">
                  <c:v>284</c:v>
                </c:pt>
                <c:pt idx="82">
                  <c:v>265</c:v>
                </c:pt>
                <c:pt idx="84">
                  <c:v>298</c:v>
                </c:pt>
                <c:pt idx="85">
                  <c:v>372</c:v>
                </c:pt>
                <c:pt idx="86">
                  <c:v>401</c:v>
                </c:pt>
                <c:pt idx="87">
                  <c:v>431</c:v>
                </c:pt>
                <c:pt idx="88">
                  <c:v>461</c:v>
                </c:pt>
                <c:pt idx="89">
                  <c:v>494</c:v>
                </c:pt>
                <c:pt idx="90">
                  <c:v>527</c:v>
                </c:pt>
                <c:pt idx="91">
                  <c:v>400</c:v>
                </c:pt>
                <c:pt idx="92">
                  <c:v>385</c:v>
                </c:pt>
                <c:pt idx="93">
                  <c:v>369</c:v>
                </c:pt>
                <c:pt idx="94">
                  <c:v>345</c:v>
                </c:pt>
                <c:pt idx="95">
                  <c:v>321</c:v>
                </c:pt>
                <c:pt idx="96">
                  <c:v>298</c:v>
                </c:pt>
                <c:pt idx="98">
                  <c:v>347</c:v>
                </c:pt>
                <c:pt idx="99">
                  <c:v>433</c:v>
                </c:pt>
                <c:pt idx="100">
                  <c:v>466</c:v>
                </c:pt>
                <c:pt idx="101">
                  <c:v>502</c:v>
                </c:pt>
                <c:pt idx="102">
                  <c:v>538</c:v>
                </c:pt>
                <c:pt idx="103">
                  <c:v>575</c:v>
                </c:pt>
                <c:pt idx="104">
                  <c:v>614</c:v>
                </c:pt>
                <c:pt idx="105">
                  <c:v>480</c:v>
                </c:pt>
                <c:pt idx="106">
                  <c:v>455</c:v>
                </c:pt>
                <c:pt idx="107">
                  <c:v>430</c:v>
                </c:pt>
                <c:pt idx="108">
                  <c:v>401</c:v>
                </c:pt>
                <c:pt idx="109">
                  <c:v>373</c:v>
                </c:pt>
                <c:pt idx="110">
                  <c:v>347</c:v>
                </c:pt>
                <c:pt idx="112">
                  <c:v>394</c:v>
                </c:pt>
                <c:pt idx="113">
                  <c:v>493</c:v>
                </c:pt>
                <c:pt idx="114">
                  <c:v>531</c:v>
                </c:pt>
                <c:pt idx="115">
                  <c:v>571</c:v>
                </c:pt>
                <c:pt idx="116">
                  <c:v>611</c:v>
                </c:pt>
                <c:pt idx="117">
                  <c:v>655</c:v>
                </c:pt>
                <c:pt idx="118">
                  <c:v>698</c:v>
                </c:pt>
                <c:pt idx="119">
                  <c:v>528</c:v>
                </c:pt>
                <c:pt idx="120">
                  <c:v>502</c:v>
                </c:pt>
                <c:pt idx="121">
                  <c:v>475</c:v>
                </c:pt>
                <c:pt idx="122">
                  <c:v>448</c:v>
                </c:pt>
                <c:pt idx="123">
                  <c:v>421</c:v>
                </c:pt>
                <c:pt idx="124">
                  <c:v>394</c:v>
                </c:pt>
                <c:pt idx="126">
                  <c:v>467</c:v>
                </c:pt>
                <c:pt idx="127">
                  <c:v>583</c:v>
                </c:pt>
                <c:pt idx="128">
                  <c:v>628</c:v>
                </c:pt>
                <c:pt idx="129">
                  <c:v>675</c:v>
                </c:pt>
                <c:pt idx="130">
                  <c:v>722</c:v>
                </c:pt>
                <c:pt idx="131">
                  <c:v>772</c:v>
                </c:pt>
                <c:pt idx="132">
                  <c:v>825</c:v>
                </c:pt>
                <c:pt idx="133">
                  <c:v>630</c:v>
                </c:pt>
                <c:pt idx="134">
                  <c:v>568</c:v>
                </c:pt>
                <c:pt idx="135">
                  <c:v>540</c:v>
                </c:pt>
                <c:pt idx="136">
                  <c:v>516</c:v>
                </c:pt>
                <c:pt idx="137">
                  <c:v>502</c:v>
                </c:pt>
                <c:pt idx="138">
                  <c:v>467</c:v>
                </c:pt>
                <c:pt idx="140">
                  <c:v>515</c:v>
                </c:pt>
                <c:pt idx="141">
                  <c:v>686</c:v>
                </c:pt>
                <c:pt idx="142">
                  <c:v>739</c:v>
                </c:pt>
                <c:pt idx="143">
                  <c:v>793</c:v>
                </c:pt>
                <c:pt idx="144">
                  <c:v>849</c:v>
                </c:pt>
                <c:pt idx="145">
                  <c:v>910</c:v>
                </c:pt>
                <c:pt idx="146">
                  <c:v>971</c:v>
                </c:pt>
                <c:pt idx="147">
                  <c:v>672</c:v>
                </c:pt>
                <c:pt idx="148">
                  <c:v>624</c:v>
                </c:pt>
                <c:pt idx="149">
                  <c:v>576</c:v>
                </c:pt>
                <c:pt idx="150">
                  <c:v>538</c:v>
                </c:pt>
                <c:pt idx="151">
                  <c:v>526</c:v>
                </c:pt>
                <c:pt idx="152">
                  <c:v>515</c:v>
                </c:pt>
                <c:pt idx="154">
                  <c:v>654</c:v>
                </c:pt>
                <c:pt idx="155">
                  <c:v>817</c:v>
                </c:pt>
                <c:pt idx="156">
                  <c:v>880</c:v>
                </c:pt>
                <c:pt idx="157">
                  <c:v>945</c:v>
                </c:pt>
                <c:pt idx="158">
                  <c:v>1013</c:v>
                </c:pt>
                <c:pt idx="159">
                  <c:v>1083</c:v>
                </c:pt>
                <c:pt idx="160">
                  <c:v>1157</c:v>
                </c:pt>
                <c:pt idx="161">
                  <c:v>778</c:v>
                </c:pt>
                <c:pt idx="162">
                  <c:v>730</c:v>
                </c:pt>
                <c:pt idx="163">
                  <c:v>719</c:v>
                </c:pt>
                <c:pt idx="164">
                  <c:v>706</c:v>
                </c:pt>
                <c:pt idx="165">
                  <c:v>685</c:v>
                </c:pt>
                <c:pt idx="166">
                  <c:v>654</c:v>
                </c:pt>
                <c:pt idx="168">
                  <c:v>762</c:v>
                </c:pt>
                <c:pt idx="169">
                  <c:v>952</c:v>
                </c:pt>
                <c:pt idx="170">
                  <c:v>1024</c:v>
                </c:pt>
                <c:pt idx="171">
                  <c:v>1100</c:v>
                </c:pt>
                <c:pt idx="172">
                  <c:v>1179</c:v>
                </c:pt>
                <c:pt idx="173">
                  <c:v>1261</c:v>
                </c:pt>
                <c:pt idx="174">
                  <c:v>1347</c:v>
                </c:pt>
                <c:pt idx="175">
                  <c:v>979</c:v>
                </c:pt>
                <c:pt idx="176">
                  <c:v>931</c:v>
                </c:pt>
                <c:pt idx="177">
                  <c:v>900</c:v>
                </c:pt>
                <c:pt idx="178">
                  <c:v>880</c:v>
                </c:pt>
                <c:pt idx="179">
                  <c:v>819</c:v>
                </c:pt>
                <c:pt idx="180">
                  <c:v>762</c:v>
                </c:pt>
                <c:pt idx="184">
                  <c:v>1040</c:v>
                </c:pt>
                <c:pt idx="185">
                  <c:v>1301</c:v>
                </c:pt>
                <c:pt idx="186">
                  <c:v>1393</c:v>
                </c:pt>
                <c:pt idx="187">
                  <c:v>1491</c:v>
                </c:pt>
                <c:pt idx="188">
                  <c:v>1591</c:v>
                </c:pt>
                <c:pt idx="189">
                  <c:v>1159</c:v>
                </c:pt>
                <c:pt idx="190">
                  <c:v>1118</c:v>
                </c:pt>
                <c:pt idx="191">
                  <c:v>1082</c:v>
                </c:pt>
                <c:pt idx="192">
                  <c:v>1040</c:v>
                </c:pt>
                <c:pt idx="198">
                  <c:v>1257</c:v>
                </c:pt>
                <c:pt idx="199">
                  <c:v>1479</c:v>
                </c:pt>
                <c:pt idx="200">
                  <c:v>1536</c:v>
                </c:pt>
                <c:pt idx="201">
                  <c:v>1594</c:v>
                </c:pt>
                <c:pt idx="202">
                  <c:v>1653</c:v>
                </c:pt>
                <c:pt idx="203">
                  <c:v>1405</c:v>
                </c:pt>
                <c:pt idx="204">
                  <c:v>1355</c:v>
                </c:pt>
                <c:pt idx="205">
                  <c:v>1306</c:v>
                </c:pt>
                <c:pt idx="206">
                  <c:v>1257</c:v>
                </c:pt>
                <c:pt idx="214">
                  <c:v>1419</c:v>
                </c:pt>
                <c:pt idx="215">
                  <c:v>1669</c:v>
                </c:pt>
                <c:pt idx="216">
                  <c:v>1715</c:v>
                </c:pt>
                <c:pt idx="217">
                  <c:v>1458</c:v>
                </c:pt>
                <c:pt idx="218">
                  <c:v>1419</c:v>
                </c:pt>
              </c:numCache>
            </c:numRef>
          </c:yVal>
          <c:smooth val="0"/>
        </c:ser>
        <c:ser>
          <c:idx val="1"/>
          <c:order val="1"/>
          <c:tx>
            <c:strRef>
              <c:f>'Bilde 20% M'!$E$1</c:f>
              <c:strCache>
                <c:ptCount val="1"/>
                <c:pt idx="0">
                  <c:v>Jaunā skala</c:v>
                </c:pt>
              </c:strCache>
            </c:strRef>
          </c:tx>
          <c:marker>
            <c:symbol val="none"/>
          </c:marker>
          <c:xVal>
            <c:numRef>
              <c:f>'Bilde 20% M'!$C$2:$C$224</c:f>
              <c:numCache>
                <c:formatCode>General</c:formatCode>
                <c:ptCount val="223"/>
                <c:pt idx="0">
                  <c:v>1.1000000000000001</c:v>
                </c:pt>
                <c:pt idx="1">
                  <c:v>1.1000000000000001</c:v>
                </c:pt>
                <c:pt idx="2">
                  <c:v>1.2</c:v>
                </c:pt>
                <c:pt idx="3">
                  <c:v>1.3</c:v>
                </c:pt>
                <c:pt idx="4">
                  <c:v>1.4</c:v>
                </c:pt>
                <c:pt idx="5">
                  <c:v>1.5</c:v>
                </c:pt>
                <c:pt idx="6">
                  <c:v>1.6</c:v>
                </c:pt>
                <c:pt idx="7">
                  <c:v>1.6</c:v>
                </c:pt>
                <c:pt idx="8">
                  <c:v>1.5</c:v>
                </c:pt>
                <c:pt idx="9">
                  <c:v>1.4</c:v>
                </c:pt>
                <c:pt idx="10">
                  <c:v>1.3</c:v>
                </c:pt>
                <c:pt idx="11">
                  <c:v>1.2</c:v>
                </c:pt>
                <c:pt idx="12">
                  <c:v>1.1000000000000001</c:v>
                </c:pt>
                <c:pt idx="14">
                  <c:v>2.1</c:v>
                </c:pt>
                <c:pt idx="15">
                  <c:v>2.1</c:v>
                </c:pt>
                <c:pt idx="16">
                  <c:v>2.2000000000000002</c:v>
                </c:pt>
                <c:pt idx="17">
                  <c:v>2.2999999999999998</c:v>
                </c:pt>
                <c:pt idx="18">
                  <c:v>2.4</c:v>
                </c:pt>
                <c:pt idx="19">
                  <c:v>2.5</c:v>
                </c:pt>
                <c:pt idx="20">
                  <c:v>2.6</c:v>
                </c:pt>
                <c:pt idx="21">
                  <c:v>2.6</c:v>
                </c:pt>
                <c:pt idx="22">
                  <c:v>2.5</c:v>
                </c:pt>
                <c:pt idx="23">
                  <c:v>2.4</c:v>
                </c:pt>
                <c:pt idx="24">
                  <c:v>2.2999999999999998</c:v>
                </c:pt>
                <c:pt idx="25">
                  <c:v>2.2000000000000002</c:v>
                </c:pt>
                <c:pt idx="26">
                  <c:v>2.1</c:v>
                </c:pt>
                <c:pt idx="28">
                  <c:v>3.1</c:v>
                </c:pt>
                <c:pt idx="29">
                  <c:v>3.1</c:v>
                </c:pt>
                <c:pt idx="30">
                  <c:v>3.2</c:v>
                </c:pt>
                <c:pt idx="31">
                  <c:v>3.3</c:v>
                </c:pt>
                <c:pt idx="32">
                  <c:v>3.4</c:v>
                </c:pt>
                <c:pt idx="33">
                  <c:v>3.5</c:v>
                </c:pt>
                <c:pt idx="34">
                  <c:v>3.6</c:v>
                </c:pt>
                <c:pt idx="35">
                  <c:v>3.6</c:v>
                </c:pt>
                <c:pt idx="36">
                  <c:v>3.5</c:v>
                </c:pt>
                <c:pt idx="37">
                  <c:v>3.4</c:v>
                </c:pt>
                <c:pt idx="38">
                  <c:v>3.3</c:v>
                </c:pt>
                <c:pt idx="39">
                  <c:v>3.2</c:v>
                </c:pt>
                <c:pt idx="40">
                  <c:v>3.1</c:v>
                </c:pt>
                <c:pt idx="42">
                  <c:v>4.0999999999999996</c:v>
                </c:pt>
                <c:pt idx="43">
                  <c:v>4.0999999999999996</c:v>
                </c:pt>
                <c:pt idx="44">
                  <c:v>4.2</c:v>
                </c:pt>
                <c:pt idx="45">
                  <c:v>4.3</c:v>
                </c:pt>
                <c:pt idx="46">
                  <c:v>4.4000000000000004</c:v>
                </c:pt>
                <c:pt idx="47">
                  <c:v>4.5</c:v>
                </c:pt>
                <c:pt idx="48">
                  <c:v>4.5999999999999996</c:v>
                </c:pt>
                <c:pt idx="49">
                  <c:v>4.5999999999999996</c:v>
                </c:pt>
                <c:pt idx="50">
                  <c:v>4.5</c:v>
                </c:pt>
                <c:pt idx="51">
                  <c:v>4.4000000000000004</c:v>
                </c:pt>
                <c:pt idx="52">
                  <c:v>4.3</c:v>
                </c:pt>
                <c:pt idx="53">
                  <c:v>4.2</c:v>
                </c:pt>
                <c:pt idx="54">
                  <c:v>4.0999999999999996</c:v>
                </c:pt>
                <c:pt idx="56">
                  <c:v>5.0999999999999996</c:v>
                </c:pt>
                <c:pt idx="57">
                  <c:v>5.0999999999999996</c:v>
                </c:pt>
                <c:pt idx="58">
                  <c:v>5.2</c:v>
                </c:pt>
                <c:pt idx="59">
                  <c:v>5.3</c:v>
                </c:pt>
                <c:pt idx="60">
                  <c:v>5.4</c:v>
                </c:pt>
                <c:pt idx="61">
                  <c:v>5.5</c:v>
                </c:pt>
                <c:pt idx="62">
                  <c:v>5.6</c:v>
                </c:pt>
                <c:pt idx="63">
                  <c:v>5.6</c:v>
                </c:pt>
                <c:pt idx="64">
                  <c:v>5.5</c:v>
                </c:pt>
                <c:pt idx="65">
                  <c:v>5.4</c:v>
                </c:pt>
                <c:pt idx="66">
                  <c:v>5.3</c:v>
                </c:pt>
                <c:pt idx="67">
                  <c:v>5.2</c:v>
                </c:pt>
                <c:pt idx="68">
                  <c:v>5.0999999999999996</c:v>
                </c:pt>
                <c:pt idx="70">
                  <c:v>6.1</c:v>
                </c:pt>
                <c:pt idx="71">
                  <c:v>6.1</c:v>
                </c:pt>
                <c:pt idx="72">
                  <c:v>6.2</c:v>
                </c:pt>
                <c:pt idx="73">
                  <c:v>6.3</c:v>
                </c:pt>
                <c:pt idx="74">
                  <c:v>6.4</c:v>
                </c:pt>
                <c:pt idx="75">
                  <c:v>6.5</c:v>
                </c:pt>
                <c:pt idx="76">
                  <c:v>6.6</c:v>
                </c:pt>
                <c:pt idx="77">
                  <c:v>6.6</c:v>
                </c:pt>
                <c:pt idx="78">
                  <c:v>6.5</c:v>
                </c:pt>
                <c:pt idx="79">
                  <c:v>6.4</c:v>
                </c:pt>
                <c:pt idx="80">
                  <c:v>6.3</c:v>
                </c:pt>
                <c:pt idx="81">
                  <c:v>6.2</c:v>
                </c:pt>
                <c:pt idx="82">
                  <c:v>6.1</c:v>
                </c:pt>
                <c:pt idx="84">
                  <c:v>7.1</c:v>
                </c:pt>
                <c:pt idx="85">
                  <c:v>7.1</c:v>
                </c:pt>
                <c:pt idx="86">
                  <c:v>7.2</c:v>
                </c:pt>
                <c:pt idx="87">
                  <c:v>7.3</c:v>
                </c:pt>
                <c:pt idx="88">
                  <c:v>7.4</c:v>
                </c:pt>
                <c:pt idx="89">
                  <c:v>7.5</c:v>
                </c:pt>
                <c:pt idx="90">
                  <c:v>7.6</c:v>
                </c:pt>
                <c:pt idx="91">
                  <c:v>7.6</c:v>
                </c:pt>
                <c:pt idx="92">
                  <c:v>7.5</c:v>
                </c:pt>
                <c:pt idx="93">
                  <c:v>7.4</c:v>
                </c:pt>
                <c:pt idx="94">
                  <c:v>7.3</c:v>
                </c:pt>
                <c:pt idx="95">
                  <c:v>7.2</c:v>
                </c:pt>
                <c:pt idx="96">
                  <c:v>7.1</c:v>
                </c:pt>
                <c:pt idx="98">
                  <c:v>8.1</c:v>
                </c:pt>
                <c:pt idx="99">
                  <c:v>8.1</c:v>
                </c:pt>
                <c:pt idx="100">
                  <c:v>8.2000000000000011</c:v>
                </c:pt>
                <c:pt idx="101">
                  <c:v>8.3000000000000007</c:v>
                </c:pt>
                <c:pt idx="102">
                  <c:v>8.4</c:v>
                </c:pt>
                <c:pt idx="103">
                  <c:v>8.5</c:v>
                </c:pt>
                <c:pt idx="104">
                  <c:v>8.6</c:v>
                </c:pt>
                <c:pt idx="105">
                  <c:v>8.6</c:v>
                </c:pt>
                <c:pt idx="106">
                  <c:v>8.5</c:v>
                </c:pt>
                <c:pt idx="107">
                  <c:v>8.4</c:v>
                </c:pt>
                <c:pt idx="108">
                  <c:v>8.3000000000000007</c:v>
                </c:pt>
                <c:pt idx="109">
                  <c:v>8.2000000000000011</c:v>
                </c:pt>
                <c:pt idx="110">
                  <c:v>8.1</c:v>
                </c:pt>
                <c:pt idx="112">
                  <c:v>9.1</c:v>
                </c:pt>
                <c:pt idx="113">
                  <c:v>9.1</c:v>
                </c:pt>
                <c:pt idx="114">
                  <c:v>9.2000000000000011</c:v>
                </c:pt>
                <c:pt idx="115">
                  <c:v>9.3000000000000007</c:v>
                </c:pt>
                <c:pt idx="116">
                  <c:v>9.4</c:v>
                </c:pt>
                <c:pt idx="117">
                  <c:v>9.5</c:v>
                </c:pt>
                <c:pt idx="118">
                  <c:v>9.6</c:v>
                </c:pt>
                <c:pt idx="119">
                  <c:v>9.6</c:v>
                </c:pt>
                <c:pt idx="120">
                  <c:v>9.5</c:v>
                </c:pt>
                <c:pt idx="121">
                  <c:v>9.4</c:v>
                </c:pt>
                <c:pt idx="122">
                  <c:v>9.3000000000000007</c:v>
                </c:pt>
                <c:pt idx="123">
                  <c:v>9.2000000000000011</c:v>
                </c:pt>
                <c:pt idx="124">
                  <c:v>9.1</c:v>
                </c:pt>
                <c:pt idx="126">
                  <c:v>10.1</c:v>
                </c:pt>
                <c:pt idx="127">
                  <c:v>10.1</c:v>
                </c:pt>
                <c:pt idx="128">
                  <c:v>10.200000000000001</c:v>
                </c:pt>
                <c:pt idx="129">
                  <c:v>10.3</c:v>
                </c:pt>
                <c:pt idx="130">
                  <c:v>10.4</c:v>
                </c:pt>
                <c:pt idx="131">
                  <c:v>10.5</c:v>
                </c:pt>
                <c:pt idx="132">
                  <c:v>10.6</c:v>
                </c:pt>
                <c:pt idx="133">
                  <c:v>10.6</c:v>
                </c:pt>
                <c:pt idx="134">
                  <c:v>10.5</c:v>
                </c:pt>
                <c:pt idx="135">
                  <c:v>10.4</c:v>
                </c:pt>
                <c:pt idx="136">
                  <c:v>10.3</c:v>
                </c:pt>
                <c:pt idx="137">
                  <c:v>10.200000000000001</c:v>
                </c:pt>
                <c:pt idx="138">
                  <c:v>10.1</c:v>
                </c:pt>
                <c:pt idx="140">
                  <c:v>11.1</c:v>
                </c:pt>
                <c:pt idx="141">
                  <c:v>11.1</c:v>
                </c:pt>
                <c:pt idx="142">
                  <c:v>11.2</c:v>
                </c:pt>
                <c:pt idx="143">
                  <c:v>11.3</c:v>
                </c:pt>
                <c:pt idx="144">
                  <c:v>11.4</c:v>
                </c:pt>
                <c:pt idx="145">
                  <c:v>11.5</c:v>
                </c:pt>
                <c:pt idx="146">
                  <c:v>11.6</c:v>
                </c:pt>
                <c:pt idx="147">
                  <c:v>11.6</c:v>
                </c:pt>
                <c:pt idx="148">
                  <c:v>11.5</c:v>
                </c:pt>
                <c:pt idx="149">
                  <c:v>11.4</c:v>
                </c:pt>
                <c:pt idx="150">
                  <c:v>11.3</c:v>
                </c:pt>
                <c:pt idx="151">
                  <c:v>11.2</c:v>
                </c:pt>
                <c:pt idx="152">
                  <c:v>11.1</c:v>
                </c:pt>
                <c:pt idx="154">
                  <c:v>12.1</c:v>
                </c:pt>
                <c:pt idx="155">
                  <c:v>12.1</c:v>
                </c:pt>
                <c:pt idx="156">
                  <c:v>12.2</c:v>
                </c:pt>
                <c:pt idx="157">
                  <c:v>12.3</c:v>
                </c:pt>
                <c:pt idx="158">
                  <c:v>12.4</c:v>
                </c:pt>
                <c:pt idx="159">
                  <c:v>12.5</c:v>
                </c:pt>
                <c:pt idx="160">
                  <c:v>12.6</c:v>
                </c:pt>
                <c:pt idx="161">
                  <c:v>12.6</c:v>
                </c:pt>
                <c:pt idx="162">
                  <c:v>12.5</c:v>
                </c:pt>
                <c:pt idx="163">
                  <c:v>12.4</c:v>
                </c:pt>
                <c:pt idx="164">
                  <c:v>12.3</c:v>
                </c:pt>
                <c:pt idx="165">
                  <c:v>12.2</c:v>
                </c:pt>
                <c:pt idx="166">
                  <c:v>12.1</c:v>
                </c:pt>
                <c:pt idx="168">
                  <c:v>13.1</c:v>
                </c:pt>
                <c:pt idx="169">
                  <c:v>13.1</c:v>
                </c:pt>
                <c:pt idx="170">
                  <c:v>13.2</c:v>
                </c:pt>
                <c:pt idx="171">
                  <c:v>13.3</c:v>
                </c:pt>
                <c:pt idx="172">
                  <c:v>13.4</c:v>
                </c:pt>
                <c:pt idx="173">
                  <c:v>13.5</c:v>
                </c:pt>
                <c:pt idx="174">
                  <c:v>13.6</c:v>
                </c:pt>
                <c:pt idx="175">
                  <c:v>13.6</c:v>
                </c:pt>
                <c:pt idx="176">
                  <c:v>13.5</c:v>
                </c:pt>
                <c:pt idx="177">
                  <c:v>13.4</c:v>
                </c:pt>
                <c:pt idx="178">
                  <c:v>13.3</c:v>
                </c:pt>
                <c:pt idx="179">
                  <c:v>13.2</c:v>
                </c:pt>
                <c:pt idx="180">
                  <c:v>13.1</c:v>
                </c:pt>
                <c:pt idx="182">
                  <c:v>14.1</c:v>
                </c:pt>
                <c:pt idx="183">
                  <c:v>14.1</c:v>
                </c:pt>
                <c:pt idx="184">
                  <c:v>14.3</c:v>
                </c:pt>
                <c:pt idx="185">
                  <c:v>14.3</c:v>
                </c:pt>
                <c:pt idx="186">
                  <c:v>14.4</c:v>
                </c:pt>
                <c:pt idx="187">
                  <c:v>14.5</c:v>
                </c:pt>
                <c:pt idx="188">
                  <c:v>14.6</c:v>
                </c:pt>
                <c:pt idx="189">
                  <c:v>14.6</c:v>
                </c:pt>
                <c:pt idx="190">
                  <c:v>14.5</c:v>
                </c:pt>
                <c:pt idx="191">
                  <c:v>14.4</c:v>
                </c:pt>
                <c:pt idx="192">
                  <c:v>14.3</c:v>
                </c:pt>
                <c:pt idx="193">
                  <c:v>14.2</c:v>
                </c:pt>
                <c:pt idx="194">
                  <c:v>14.1</c:v>
                </c:pt>
                <c:pt idx="196">
                  <c:v>15.1</c:v>
                </c:pt>
                <c:pt idx="197">
                  <c:v>15.1</c:v>
                </c:pt>
                <c:pt idx="198">
                  <c:v>15.3</c:v>
                </c:pt>
                <c:pt idx="199">
                  <c:v>15.3</c:v>
                </c:pt>
                <c:pt idx="200">
                  <c:v>15.4</c:v>
                </c:pt>
                <c:pt idx="201">
                  <c:v>15.5</c:v>
                </c:pt>
                <c:pt idx="202">
                  <c:v>15.6</c:v>
                </c:pt>
                <c:pt idx="203">
                  <c:v>15.6</c:v>
                </c:pt>
                <c:pt idx="204">
                  <c:v>15.5</c:v>
                </c:pt>
                <c:pt idx="205">
                  <c:v>15.4</c:v>
                </c:pt>
                <c:pt idx="206">
                  <c:v>15.3</c:v>
                </c:pt>
                <c:pt idx="207">
                  <c:v>15.2</c:v>
                </c:pt>
                <c:pt idx="208">
                  <c:v>15.1</c:v>
                </c:pt>
                <c:pt idx="210">
                  <c:v>16.100000000000001</c:v>
                </c:pt>
                <c:pt idx="211">
                  <c:v>16.100000000000001</c:v>
                </c:pt>
                <c:pt idx="212">
                  <c:v>16.2</c:v>
                </c:pt>
                <c:pt idx="213">
                  <c:v>16.3</c:v>
                </c:pt>
                <c:pt idx="214">
                  <c:v>16.5</c:v>
                </c:pt>
                <c:pt idx="215">
                  <c:v>16.5</c:v>
                </c:pt>
                <c:pt idx="216">
                  <c:v>16.600000000000001</c:v>
                </c:pt>
                <c:pt idx="217">
                  <c:v>16.600000000000001</c:v>
                </c:pt>
                <c:pt idx="218">
                  <c:v>16.5</c:v>
                </c:pt>
                <c:pt idx="219">
                  <c:v>16.399999999999999</c:v>
                </c:pt>
                <c:pt idx="220">
                  <c:v>16.3</c:v>
                </c:pt>
                <c:pt idx="221">
                  <c:v>16.2</c:v>
                </c:pt>
                <c:pt idx="222">
                  <c:v>16.100000000000001</c:v>
                </c:pt>
              </c:numCache>
            </c:numRef>
          </c:xVal>
          <c:yVal>
            <c:numRef>
              <c:f>'Bilde 20% M'!$E$2:$E$224</c:f>
              <c:numCache>
                <c:formatCode>General</c:formatCode>
                <c:ptCount val="223"/>
                <c:pt idx="0">
                  <c:v>225</c:v>
                </c:pt>
                <c:pt idx="1">
                  <c:v>236</c:v>
                </c:pt>
                <c:pt idx="2">
                  <c:v>248</c:v>
                </c:pt>
                <c:pt idx="3">
                  <c:v>250</c:v>
                </c:pt>
                <c:pt idx="4">
                  <c:v>253</c:v>
                </c:pt>
                <c:pt idx="5">
                  <c:v>258</c:v>
                </c:pt>
                <c:pt idx="6">
                  <c:v>264</c:v>
                </c:pt>
                <c:pt idx="7">
                  <c:v>238</c:v>
                </c:pt>
                <c:pt idx="8">
                  <c:v>234</c:v>
                </c:pt>
                <c:pt idx="9">
                  <c:v>231</c:v>
                </c:pt>
                <c:pt idx="10">
                  <c:v>229</c:v>
                </c:pt>
                <c:pt idx="11">
                  <c:v>227</c:v>
                </c:pt>
                <c:pt idx="12">
                  <c:v>225</c:v>
                </c:pt>
                <c:pt idx="14">
                  <c:v>229</c:v>
                </c:pt>
                <c:pt idx="15">
                  <c:v>232</c:v>
                </c:pt>
                <c:pt idx="16">
                  <c:v>245</c:v>
                </c:pt>
                <c:pt idx="17">
                  <c:v>257</c:v>
                </c:pt>
                <c:pt idx="18">
                  <c:v>270</c:v>
                </c:pt>
                <c:pt idx="19">
                  <c:v>287</c:v>
                </c:pt>
                <c:pt idx="20">
                  <c:v>303</c:v>
                </c:pt>
                <c:pt idx="21">
                  <c:v>260</c:v>
                </c:pt>
                <c:pt idx="22">
                  <c:v>253</c:v>
                </c:pt>
                <c:pt idx="23">
                  <c:v>246</c:v>
                </c:pt>
                <c:pt idx="24">
                  <c:v>240</c:v>
                </c:pt>
                <c:pt idx="25">
                  <c:v>234</c:v>
                </c:pt>
                <c:pt idx="26">
                  <c:v>229</c:v>
                </c:pt>
                <c:pt idx="28">
                  <c:v>232</c:v>
                </c:pt>
                <c:pt idx="29">
                  <c:v>253</c:v>
                </c:pt>
                <c:pt idx="30">
                  <c:v>269</c:v>
                </c:pt>
                <c:pt idx="31">
                  <c:v>286</c:v>
                </c:pt>
                <c:pt idx="32">
                  <c:v>302</c:v>
                </c:pt>
                <c:pt idx="33">
                  <c:v>318</c:v>
                </c:pt>
                <c:pt idx="34">
                  <c:v>333</c:v>
                </c:pt>
                <c:pt idx="35">
                  <c:v>281</c:v>
                </c:pt>
                <c:pt idx="36">
                  <c:v>270</c:v>
                </c:pt>
                <c:pt idx="37">
                  <c:v>260</c:v>
                </c:pt>
                <c:pt idx="38">
                  <c:v>250</c:v>
                </c:pt>
                <c:pt idx="39">
                  <c:v>241</c:v>
                </c:pt>
                <c:pt idx="40">
                  <c:v>232</c:v>
                </c:pt>
                <c:pt idx="42">
                  <c:v>249</c:v>
                </c:pt>
                <c:pt idx="43">
                  <c:v>264</c:v>
                </c:pt>
                <c:pt idx="44">
                  <c:v>284</c:v>
                </c:pt>
                <c:pt idx="45">
                  <c:v>305</c:v>
                </c:pt>
                <c:pt idx="46">
                  <c:v>327</c:v>
                </c:pt>
                <c:pt idx="47">
                  <c:v>350</c:v>
                </c:pt>
                <c:pt idx="48">
                  <c:v>375</c:v>
                </c:pt>
                <c:pt idx="49">
                  <c:v>304</c:v>
                </c:pt>
                <c:pt idx="50">
                  <c:v>291</c:v>
                </c:pt>
                <c:pt idx="51">
                  <c:v>279</c:v>
                </c:pt>
                <c:pt idx="52">
                  <c:v>267</c:v>
                </c:pt>
                <c:pt idx="53">
                  <c:v>258</c:v>
                </c:pt>
                <c:pt idx="54">
                  <c:v>249</c:v>
                </c:pt>
                <c:pt idx="56">
                  <c:v>264</c:v>
                </c:pt>
                <c:pt idx="57">
                  <c:v>307</c:v>
                </c:pt>
                <c:pt idx="58">
                  <c:v>330</c:v>
                </c:pt>
                <c:pt idx="59">
                  <c:v>354</c:v>
                </c:pt>
                <c:pt idx="60">
                  <c:v>380</c:v>
                </c:pt>
                <c:pt idx="61">
                  <c:v>407</c:v>
                </c:pt>
                <c:pt idx="62">
                  <c:v>434</c:v>
                </c:pt>
                <c:pt idx="63">
                  <c:v>348</c:v>
                </c:pt>
                <c:pt idx="64">
                  <c:v>327</c:v>
                </c:pt>
                <c:pt idx="65">
                  <c:v>307</c:v>
                </c:pt>
                <c:pt idx="66">
                  <c:v>289</c:v>
                </c:pt>
                <c:pt idx="67">
                  <c:v>274</c:v>
                </c:pt>
                <c:pt idx="68">
                  <c:v>264</c:v>
                </c:pt>
                <c:pt idx="70">
                  <c:v>290</c:v>
                </c:pt>
                <c:pt idx="71">
                  <c:v>357</c:v>
                </c:pt>
                <c:pt idx="72">
                  <c:v>384</c:v>
                </c:pt>
                <c:pt idx="73">
                  <c:v>413</c:v>
                </c:pt>
                <c:pt idx="74">
                  <c:v>442</c:v>
                </c:pt>
                <c:pt idx="75">
                  <c:v>474</c:v>
                </c:pt>
                <c:pt idx="76">
                  <c:v>505</c:v>
                </c:pt>
                <c:pt idx="77">
                  <c:v>404</c:v>
                </c:pt>
                <c:pt idx="78">
                  <c:v>379</c:v>
                </c:pt>
                <c:pt idx="79">
                  <c:v>354</c:v>
                </c:pt>
                <c:pt idx="80">
                  <c:v>330</c:v>
                </c:pt>
                <c:pt idx="81">
                  <c:v>309</c:v>
                </c:pt>
                <c:pt idx="82">
                  <c:v>290</c:v>
                </c:pt>
                <c:pt idx="84">
                  <c:v>330</c:v>
                </c:pt>
                <c:pt idx="85">
                  <c:v>412</c:v>
                </c:pt>
                <c:pt idx="86">
                  <c:v>444</c:v>
                </c:pt>
                <c:pt idx="87">
                  <c:v>478</c:v>
                </c:pt>
                <c:pt idx="88">
                  <c:v>511</c:v>
                </c:pt>
                <c:pt idx="89">
                  <c:v>547</c:v>
                </c:pt>
                <c:pt idx="90">
                  <c:v>584</c:v>
                </c:pt>
                <c:pt idx="91">
                  <c:v>467</c:v>
                </c:pt>
                <c:pt idx="92">
                  <c:v>438</c:v>
                </c:pt>
                <c:pt idx="93">
                  <c:v>409</c:v>
                </c:pt>
                <c:pt idx="94">
                  <c:v>382</c:v>
                </c:pt>
                <c:pt idx="95">
                  <c:v>355</c:v>
                </c:pt>
                <c:pt idx="96">
                  <c:v>330</c:v>
                </c:pt>
                <c:pt idx="98">
                  <c:v>378</c:v>
                </c:pt>
                <c:pt idx="99">
                  <c:v>472</c:v>
                </c:pt>
                <c:pt idx="100">
                  <c:v>508</c:v>
                </c:pt>
                <c:pt idx="101">
                  <c:v>547</c:v>
                </c:pt>
                <c:pt idx="102">
                  <c:v>586</c:v>
                </c:pt>
                <c:pt idx="103">
                  <c:v>627</c:v>
                </c:pt>
                <c:pt idx="104">
                  <c:v>669</c:v>
                </c:pt>
                <c:pt idx="105">
                  <c:v>535</c:v>
                </c:pt>
                <c:pt idx="106">
                  <c:v>502</c:v>
                </c:pt>
                <c:pt idx="107">
                  <c:v>469</c:v>
                </c:pt>
                <c:pt idx="108">
                  <c:v>438</c:v>
                </c:pt>
                <c:pt idx="109">
                  <c:v>406</c:v>
                </c:pt>
                <c:pt idx="110">
                  <c:v>378</c:v>
                </c:pt>
                <c:pt idx="112">
                  <c:v>434</c:v>
                </c:pt>
                <c:pt idx="113">
                  <c:v>542</c:v>
                </c:pt>
                <c:pt idx="114">
                  <c:v>583</c:v>
                </c:pt>
                <c:pt idx="115">
                  <c:v>627</c:v>
                </c:pt>
                <c:pt idx="116">
                  <c:v>671</c:v>
                </c:pt>
                <c:pt idx="117">
                  <c:v>720</c:v>
                </c:pt>
                <c:pt idx="118">
                  <c:v>767</c:v>
                </c:pt>
                <c:pt idx="119">
                  <c:v>614</c:v>
                </c:pt>
                <c:pt idx="120">
                  <c:v>576</c:v>
                </c:pt>
                <c:pt idx="121">
                  <c:v>537</c:v>
                </c:pt>
                <c:pt idx="122">
                  <c:v>502</c:v>
                </c:pt>
                <c:pt idx="123">
                  <c:v>466</c:v>
                </c:pt>
                <c:pt idx="124">
                  <c:v>434</c:v>
                </c:pt>
                <c:pt idx="126">
                  <c:v>504</c:v>
                </c:pt>
                <c:pt idx="127">
                  <c:v>630</c:v>
                </c:pt>
                <c:pt idx="128">
                  <c:v>678</c:v>
                </c:pt>
                <c:pt idx="129">
                  <c:v>729</c:v>
                </c:pt>
                <c:pt idx="130">
                  <c:v>780</c:v>
                </c:pt>
                <c:pt idx="131">
                  <c:v>834</c:v>
                </c:pt>
                <c:pt idx="132">
                  <c:v>891</c:v>
                </c:pt>
                <c:pt idx="133">
                  <c:v>713</c:v>
                </c:pt>
                <c:pt idx="134">
                  <c:v>667</c:v>
                </c:pt>
                <c:pt idx="135">
                  <c:v>624</c:v>
                </c:pt>
                <c:pt idx="136">
                  <c:v>583</c:v>
                </c:pt>
                <c:pt idx="137">
                  <c:v>542</c:v>
                </c:pt>
                <c:pt idx="138">
                  <c:v>504</c:v>
                </c:pt>
                <c:pt idx="140">
                  <c:v>599</c:v>
                </c:pt>
                <c:pt idx="141">
                  <c:v>749</c:v>
                </c:pt>
                <c:pt idx="142">
                  <c:v>807</c:v>
                </c:pt>
                <c:pt idx="143">
                  <c:v>866</c:v>
                </c:pt>
                <c:pt idx="144">
                  <c:v>927</c:v>
                </c:pt>
                <c:pt idx="145">
                  <c:v>993</c:v>
                </c:pt>
                <c:pt idx="146">
                  <c:v>1060</c:v>
                </c:pt>
                <c:pt idx="147">
                  <c:v>848</c:v>
                </c:pt>
                <c:pt idx="148">
                  <c:v>794</c:v>
                </c:pt>
                <c:pt idx="149">
                  <c:v>742</c:v>
                </c:pt>
                <c:pt idx="150">
                  <c:v>693</c:v>
                </c:pt>
                <c:pt idx="151">
                  <c:v>646</c:v>
                </c:pt>
                <c:pt idx="152">
                  <c:v>599</c:v>
                </c:pt>
                <c:pt idx="154">
                  <c:v>730</c:v>
                </c:pt>
                <c:pt idx="155">
                  <c:v>912</c:v>
                </c:pt>
                <c:pt idx="156">
                  <c:v>983</c:v>
                </c:pt>
                <c:pt idx="157">
                  <c:v>1055</c:v>
                </c:pt>
                <c:pt idx="158">
                  <c:v>1131</c:v>
                </c:pt>
                <c:pt idx="159">
                  <c:v>1209</c:v>
                </c:pt>
                <c:pt idx="160">
                  <c:v>1292</c:v>
                </c:pt>
                <c:pt idx="161">
                  <c:v>1034</c:v>
                </c:pt>
                <c:pt idx="162">
                  <c:v>967</c:v>
                </c:pt>
                <c:pt idx="163">
                  <c:v>905</c:v>
                </c:pt>
                <c:pt idx="164">
                  <c:v>844</c:v>
                </c:pt>
                <c:pt idx="165">
                  <c:v>786</c:v>
                </c:pt>
                <c:pt idx="166">
                  <c:v>730</c:v>
                </c:pt>
                <c:pt idx="168">
                  <c:v>905</c:v>
                </c:pt>
                <c:pt idx="169">
                  <c:v>1131</c:v>
                </c:pt>
                <c:pt idx="170">
                  <c:v>1216</c:v>
                </c:pt>
                <c:pt idx="171">
                  <c:v>1307</c:v>
                </c:pt>
                <c:pt idx="172">
                  <c:v>1400</c:v>
                </c:pt>
                <c:pt idx="173">
                  <c:v>1498</c:v>
                </c:pt>
                <c:pt idx="174">
                  <c:v>1600</c:v>
                </c:pt>
                <c:pt idx="175">
                  <c:v>1280</c:v>
                </c:pt>
                <c:pt idx="176">
                  <c:v>1198</c:v>
                </c:pt>
                <c:pt idx="177">
                  <c:v>1120</c:v>
                </c:pt>
                <c:pt idx="178">
                  <c:v>1046</c:v>
                </c:pt>
                <c:pt idx="179">
                  <c:v>973</c:v>
                </c:pt>
                <c:pt idx="180">
                  <c:v>905</c:v>
                </c:pt>
                <c:pt idx="184">
                  <c:v>1297</c:v>
                </c:pt>
                <c:pt idx="185">
                  <c:v>1621</c:v>
                </c:pt>
                <c:pt idx="186">
                  <c:v>1735</c:v>
                </c:pt>
                <c:pt idx="187">
                  <c:v>1857</c:v>
                </c:pt>
                <c:pt idx="188">
                  <c:v>1982</c:v>
                </c:pt>
                <c:pt idx="189">
                  <c:v>1586</c:v>
                </c:pt>
                <c:pt idx="190">
                  <c:v>1486</c:v>
                </c:pt>
                <c:pt idx="191">
                  <c:v>1388</c:v>
                </c:pt>
                <c:pt idx="192">
                  <c:v>1297</c:v>
                </c:pt>
                <c:pt idx="198">
                  <c:v>1722</c:v>
                </c:pt>
                <c:pt idx="199">
                  <c:v>2153</c:v>
                </c:pt>
                <c:pt idx="200">
                  <c:v>2236</c:v>
                </c:pt>
                <c:pt idx="201">
                  <c:v>2320</c:v>
                </c:pt>
                <c:pt idx="202">
                  <c:v>2406</c:v>
                </c:pt>
                <c:pt idx="203">
                  <c:v>1925</c:v>
                </c:pt>
                <c:pt idx="204">
                  <c:v>1856</c:v>
                </c:pt>
                <c:pt idx="205">
                  <c:v>1789</c:v>
                </c:pt>
                <c:pt idx="206">
                  <c:v>1722</c:v>
                </c:pt>
                <c:pt idx="214">
                  <c:v>2182</c:v>
                </c:pt>
                <c:pt idx="215">
                  <c:v>2727</c:v>
                </c:pt>
                <c:pt idx="216">
                  <c:v>2802</c:v>
                </c:pt>
                <c:pt idx="217">
                  <c:v>2242</c:v>
                </c:pt>
                <c:pt idx="218">
                  <c:v>2182</c:v>
                </c:pt>
              </c:numCache>
            </c:numRef>
          </c:yVal>
          <c:smooth val="0"/>
        </c:ser>
        <c:dLbls>
          <c:showLegendKey val="0"/>
          <c:showVal val="0"/>
          <c:showCatName val="0"/>
          <c:showSerName val="0"/>
          <c:showPercent val="0"/>
          <c:showBubbleSize val="0"/>
        </c:dLbls>
        <c:axId val="475652120"/>
        <c:axId val="475652512"/>
      </c:scatterChart>
      <c:valAx>
        <c:axId val="475652120"/>
        <c:scaling>
          <c:orientation val="minMax"/>
          <c:max val="18"/>
          <c:min val="1"/>
        </c:scaling>
        <c:delete val="0"/>
        <c:axPos val="b"/>
        <c:title>
          <c:tx>
            <c:rich>
              <a:bodyPr/>
              <a:lstStyle/>
              <a:p>
                <a:pPr>
                  <a:defRPr sz="999" b="0" i="0" u="none" strike="noStrike" baseline="0">
                    <a:solidFill>
                      <a:srgbClr val="000000"/>
                    </a:solidFill>
                    <a:latin typeface="Arial"/>
                    <a:ea typeface="Arial"/>
                    <a:cs typeface="Arial"/>
                  </a:defRPr>
                </a:pPr>
                <a:r>
                  <a:rPr lang="lv-LV" sz="1199" b="1" i="0" u="none" strike="noStrike" baseline="0">
                    <a:solidFill>
                      <a:srgbClr val="000000"/>
                    </a:solidFill>
                    <a:latin typeface="Times New Roman"/>
                    <a:cs typeface="Times New Roman"/>
                  </a:rPr>
                  <a:t>Mēnešalgu grupa</a:t>
                </a:r>
              </a:p>
            </c:rich>
          </c:tx>
          <c:overlay val="0"/>
        </c:title>
        <c:numFmt formatCode="General" sourceLinked="1"/>
        <c:majorTickMark val="out"/>
        <c:minorTickMark val="none"/>
        <c:tickLblPos val="nextTo"/>
        <c:txPr>
          <a:bodyPr rot="0" vert="horz"/>
          <a:lstStyle/>
          <a:p>
            <a:pPr>
              <a:defRPr sz="1199" b="0" i="0" u="none" strike="noStrike" baseline="0">
                <a:solidFill>
                  <a:srgbClr val="000000"/>
                </a:solidFill>
                <a:latin typeface="Times New Roman"/>
                <a:ea typeface="Times New Roman"/>
                <a:cs typeface="Times New Roman"/>
              </a:defRPr>
            </a:pPr>
            <a:endParaRPr lang="lv-LV"/>
          </a:p>
        </c:txPr>
        <c:crossAx val="475652512"/>
        <c:crosses val="autoZero"/>
        <c:crossBetween val="midCat"/>
        <c:majorUnit val="5"/>
        <c:minorUnit val="1"/>
      </c:valAx>
      <c:valAx>
        <c:axId val="475652512"/>
        <c:scaling>
          <c:orientation val="minMax"/>
        </c:scaling>
        <c:delete val="1"/>
        <c:axPos val="l"/>
        <c:majorGridlines/>
        <c:numFmt formatCode="General" sourceLinked="1"/>
        <c:majorTickMark val="out"/>
        <c:minorTickMark val="none"/>
        <c:tickLblPos val="nextTo"/>
        <c:crossAx val="475652120"/>
        <c:crosses val="autoZero"/>
        <c:crossBetween val="midCat"/>
      </c:valAx>
    </c:plotArea>
    <c:legend>
      <c:legendPos val="t"/>
      <c:overlay val="0"/>
    </c:legend>
    <c:plotVisOnly val="1"/>
    <c:dispBlanksAs val="gap"/>
    <c:showDLblsOverMax val="0"/>
  </c:chart>
  <c:txPr>
    <a:bodyPr/>
    <a:lstStyle/>
    <a:p>
      <a:pPr>
        <a:defRPr sz="1199">
          <a:latin typeface="Times New Roman" pitchFamily="18" charset="0"/>
          <a:cs typeface="Times New Roman" pitchFamily="18" charset="0"/>
        </a:defRPr>
      </a:pPr>
      <a:endParaRPr lang="lv-LV"/>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273317363713816E-2"/>
          <c:y val="9.6876036275516691E-2"/>
          <c:w val="0.89883391213652875"/>
          <c:h val="0.80078807284639364"/>
        </c:manualLayout>
      </c:layout>
      <c:scatterChart>
        <c:scatterStyle val="lineMarker"/>
        <c:varyColors val="0"/>
        <c:ser>
          <c:idx val="0"/>
          <c:order val="0"/>
          <c:tx>
            <c:strRef>
              <c:f>'M10%'!$D$1</c:f>
              <c:strCache>
                <c:ptCount val="1"/>
                <c:pt idx="0">
                  <c:v>Esošā skala</c:v>
                </c:pt>
              </c:strCache>
            </c:strRef>
          </c:tx>
          <c:marker>
            <c:symbol val="none"/>
          </c:marker>
          <c:xVal>
            <c:numRef>
              <c:f>'M10%'!$C$2:$C$225</c:f>
              <c:numCache>
                <c:formatCode>General</c:formatCode>
                <c:ptCount val="224"/>
                <c:pt idx="0">
                  <c:v>1.1000000000000001</c:v>
                </c:pt>
                <c:pt idx="1">
                  <c:v>1.1000000000000001</c:v>
                </c:pt>
                <c:pt idx="2">
                  <c:v>1.2</c:v>
                </c:pt>
                <c:pt idx="3">
                  <c:v>1.3</c:v>
                </c:pt>
                <c:pt idx="4">
                  <c:v>1.4</c:v>
                </c:pt>
                <c:pt idx="5">
                  <c:v>1.5</c:v>
                </c:pt>
                <c:pt idx="6">
                  <c:v>1.6</c:v>
                </c:pt>
                <c:pt idx="7">
                  <c:v>1.6</c:v>
                </c:pt>
                <c:pt idx="8">
                  <c:v>1.5</c:v>
                </c:pt>
                <c:pt idx="9">
                  <c:v>1.4</c:v>
                </c:pt>
                <c:pt idx="10">
                  <c:v>1.3</c:v>
                </c:pt>
                <c:pt idx="11">
                  <c:v>1.2</c:v>
                </c:pt>
                <c:pt idx="12">
                  <c:v>1.1000000000000001</c:v>
                </c:pt>
                <c:pt idx="14">
                  <c:v>2.1</c:v>
                </c:pt>
                <c:pt idx="15">
                  <c:v>2.1</c:v>
                </c:pt>
                <c:pt idx="16">
                  <c:v>2.2000000000000002</c:v>
                </c:pt>
                <c:pt idx="17">
                  <c:v>2.2999999999999998</c:v>
                </c:pt>
                <c:pt idx="18">
                  <c:v>2.4</c:v>
                </c:pt>
                <c:pt idx="19">
                  <c:v>2.5</c:v>
                </c:pt>
                <c:pt idx="20">
                  <c:v>2.6</c:v>
                </c:pt>
                <c:pt idx="21">
                  <c:v>2.6</c:v>
                </c:pt>
                <c:pt idx="22">
                  <c:v>2.5</c:v>
                </c:pt>
                <c:pt idx="23">
                  <c:v>2.4</c:v>
                </c:pt>
                <c:pt idx="24">
                  <c:v>2.2999999999999998</c:v>
                </c:pt>
                <c:pt idx="25">
                  <c:v>2.2000000000000002</c:v>
                </c:pt>
                <c:pt idx="26">
                  <c:v>2.1</c:v>
                </c:pt>
                <c:pt idx="28">
                  <c:v>3.1</c:v>
                </c:pt>
                <c:pt idx="29">
                  <c:v>3.1</c:v>
                </c:pt>
                <c:pt idx="30">
                  <c:v>3.2</c:v>
                </c:pt>
                <c:pt idx="31">
                  <c:v>3.3</c:v>
                </c:pt>
                <c:pt idx="32">
                  <c:v>3.4</c:v>
                </c:pt>
                <c:pt idx="33">
                  <c:v>3.5</c:v>
                </c:pt>
                <c:pt idx="34">
                  <c:v>3.6</c:v>
                </c:pt>
                <c:pt idx="35">
                  <c:v>3.6</c:v>
                </c:pt>
                <c:pt idx="36">
                  <c:v>3.5</c:v>
                </c:pt>
                <c:pt idx="37">
                  <c:v>3.4</c:v>
                </c:pt>
                <c:pt idx="38">
                  <c:v>3.3</c:v>
                </c:pt>
                <c:pt idx="39">
                  <c:v>3.2</c:v>
                </c:pt>
                <c:pt idx="40">
                  <c:v>3.1</c:v>
                </c:pt>
                <c:pt idx="42">
                  <c:v>4.0999999999999996</c:v>
                </c:pt>
                <c:pt idx="43">
                  <c:v>4.0999999999999996</c:v>
                </c:pt>
                <c:pt idx="44">
                  <c:v>4.2</c:v>
                </c:pt>
                <c:pt idx="45">
                  <c:v>4.3</c:v>
                </c:pt>
                <c:pt idx="46">
                  <c:v>4.4000000000000004</c:v>
                </c:pt>
                <c:pt idx="47">
                  <c:v>4.5</c:v>
                </c:pt>
                <c:pt idx="48">
                  <c:v>4.5999999999999996</c:v>
                </c:pt>
                <c:pt idx="49">
                  <c:v>4.5999999999999996</c:v>
                </c:pt>
                <c:pt idx="50">
                  <c:v>4.5</c:v>
                </c:pt>
                <c:pt idx="51">
                  <c:v>4.4000000000000004</c:v>
                </c:pt>
                <c:pt idx="52">
                  <c:v>4.3</c:v>
                </c:pt>
                <c:pt idx="53">
                  <c:v>4.2</c:v>
                </c:pt>
                <c:pt idx="54">
                  <c:v>4.0999999999999996</c:v>
                </c:pt>
                <c:pt idx="56">
                  <c:v>5.0999999999999996</c:v>
                </c:pt>
                <c:pt idx="57">
                  <c:v>5.0999999999999996</c:v>
                </c:pt>
                <c:pt idx="58">
                  <c:v>5.2</c:v>
                </c:pt>
                <c:pt idx="59">
                  <c:v>5.3</c:v>
                </c:pt>
                <c:pt idx="60">
                  <c:v>5.4</c:v>
                </c:pt>
                <c:pt idx="61">
                  <c:v>5.5</c:v>
                </c:pt>
                <c:pt idx="62">
                  <c:v>5.6</c:v>
                </c:pt>
                <c:pt idx="63">
                  <c:v>5.6</c:v>
                </c:pt>
                <c:pt idx="64">
                  <c:v>5.5</c:v>
                </c:pt>
                <c:pt idx="65">
                  <c:v>5.4</c:v>
                </c:pt>
                <c:pt idx="66">
                  <c:v>5.3</c:v>
                </c:pt>
                <c:pt idx="67">
                  <c:v>5.2</c:v>
                </c:pt>
                <c:pt idx="68">
                  <c:v>5.0999999999999996</c:v>
                </c:pt>
                <c:pt idx="70">
                  <c:v>6.1</c:v>
                </c:pt>
                <c:pt idx="71">
                  <c:v>6.1</c:v>
                </c:pt>
                <c:pt idx="72">
                  <c:v>6.2</c:v>
                </c:pt>
                <c:pt idx="73">
                  <c:v>6.3</c:v>
                </c:pt>
                <c:pt idx="74">
                  <c:v>6.4</c:v>
                </c:pt>
                <c:pt idx="75">
                  <c:v>6.5</c:v>
                </c:pt>
                <c:pt idx="76">
                  <c:v>6.6</c:v>
                </c:pt>
                <c:pt idx="77">
                  <c:v>6.6</c:v>
                </c:pt>
                <c:pt idx="78">
                  <c:v>6.5</c:v>
                </c:pt>
                <c:pt idx="79">
                  <c:v>6.4</c:v>
                </c:pt>
                <c:pt idx="80">
                  <c:v>6.3</c:v>
                </c:pt>
                <c:pt idx="81">
                  <c:v>6.2</c:v>
                </c:pt>
                <c:pt idx="82">
                  <c:v>6.1</c:v>
                </c:pt>
                <c:pt idx="84">
                  <c:v>7.1</c:v>
                </c:pt>
                <c:pt idx="85">
                  <c:v>7.1</c:v>
                </c:pt>
                <c:pt idx="86">
                  <c:v>7.2</c:v>
                </c:pt>
                <c:pt idx="87">
                  <c:v>7.3</c:v>
                </c:pt>
                <c:pt idx="88">
                  <c:v>7.4</c:v>
                </c:pt>
                <c:pt idx="89">
                  <c:v>7.5</c:v>
                </c:pt>
                <c:pt idx="90">
                  <c:v>7.6</c:v>
                </c:pt>
                <c:pt idx="91">
                  <c:v>7.6</c:v>
                </c:pt>
                <c:pt idx="92">
                  <c:v>7.5</c:v>
                </c:pt>
                <c:pt idx="93">
                  <c:v>7.4</c:v>
                </c:pt>
                <c:pt idx="94">
                  <c:v>7.3</c:v>
                </c:pt>
                <c:pt idx="95">
                  <c:v>7.2</c:v>
                </c:pt>
                <c:pt idx="96">
                  <c:v>7.1</c:v>
                </c:pt>
                <c:pt idx="98">
                  <c:v>8.1</c:v>
                </c:pt>
                <c:pt idx="99">
                  <c:v>8.1</c:v>
                </c:pt>
                <c:pt idx="100">
                  <c:v>8.2000000000000011</c:v>
                </c:pt>
                <c:pt idx="101">
                  <c:v>8.3000000000000007</c:v>
                </c:pt>
                <c:pt idx="102">
                  <c:v>8.4</c:v>
                </c:pt>
                <c:pt idx="103">
                  <c:v>8.5</c:v>
                </c:pt>
                <c:pt idx="104">
                  <c:v>8.6</c:v>
                </c:pt>
                <c:pt idx="105">
                  <c:v>8.6</c:v>
                </c:pt>
                <c:pt idx="106">
                  <c:v>8.5</c:v>
                </c:pt>
                <c:pt idx="107">
                  <c:v>8.4</c:v>
                </c:pt>
                <c:pt idx="108">
                  <c:v>8.3000000000000007</c:v>
                </c:pt>
                <c:pt idx="109">
                  <c:v>8.2000000000000011</c:v>
                </c:pt>
                <c:pt idx="110">
                  <c:v>8.1</c:v>
                </c:pt>
                <c:pt idx="112">
                  <c:v>9.1</c:v>
                </c:pt>
                <c:pt idx="113">
                  <c:v>9.1</c:v>
                </c:pt>
                <c:pt idx="114">
                  <c:v>9.2000000000000011</c:v>
                </c:pt>
                <c:pt idx="115">
                  <c:v>9.3000000000000007</c:v>
                </c:pt>
                <c:pt idx="116">
                  <c:v>9.4</c:v>
                </c:pt>
                <c:pt idx="117">
                  <c:v>9.5</c:v>
                </c:pt>
                <c:pt idx="118">
                  <c:v>9.6</c:v>
                </c:pt>
                <c:pt idx="119">
                  <c:v>9.6</c:v>
                </c:pt>
                <c:pt idx="120">
                  <c:v>9.5</c:v>
                </c:pt>
                <c:pt idx="121">
                  <c:v>9.4</c:v>
                </c:pt>
                <c:pt idx="122">
                  <c:v>9.3000000000000007</c:v>
                </c:pt>
                <c:pt idx="123">
                  <c:v>9.2000000000000011</c:v>
                </c:pt>
                <c:pt idx="124">
                  <c:v>9.1</c:v>
                </c:pt>
                <c:pt idx="126">
                  <c:v>10.1</c:v>
                </c:pt>
                <c:pt idx="127">
                  <c:v>10.1</c:v>
                </c:pt>
                <c:pt idx="128">
                  <c:v>10.200000000000001</c:v>
                </c:pt>
                <c:pt idx="129">
                  <c:v>10.3</c:v>
                </c:pt>
                <c:pt idx="130">
                  <c:v>10.4</c:v>
                </c:pt>
                <c:pt idx="131">
                  <c:v>10.5</c:v>
                </c:pt>
                <c:pt idx="132">
                  <c:v>10.6</c:v>
                </c:pt>
                <c:pt idx="133">
                  <c:v>10.6</c:v>
                </c:pt>
                <c:pt idx="134">
                  <c:v>10.5</c:v>
                </c:pt>
                <c:pt idx="135">
                  <c:v>10.4</c:v>
                </c:pt>
                <c:pt idx="136">
                  <c:v>10.3</c:v>
                </c:pt>
                <c:pt idx="137">
                  <c:v>10.200000000000001</c:v>
                </c:pt>
                <c:pt idx="138">
                  <c:v>10.1</c:v>
                </c:pt>
                <c:pt idx="140">
                  <c:v>11.1</c:v>
                </c:pt>
                <c:pt idx="141">
                  <c:v>11.1</c:v>
                </c:pt>
                <c:pt idx="142">
                  <c:v>11.2</c:v>
                </c:pt>
                <c:pt idx="143">
                  <c:v>11.3</c:v>
                </c:pt>
                <c:pt idx="144">
                  <c:v>11.4</c:v>
                </c:pt>
                <c:pt idx="145">
                  <c:v>11.5</c:v>
                </c:pt>
                <c:pt idx="146">
                  <c:v>11.6</c:v>
                </c:pt>
                <c:pt idx="147">
                  <c:v>11.6</c:v>
                </c:pt>
                <c:pt idx="148">
                  <c:v>11.5</c:v>
                </c:pt>
                <c:pt idx="149">
                  <c:v>11.4</c:v>
                </c:pt>
                <c:pt idx="150">
                  <c:v>11.3</c:v>
                </c:pt>
                <c:pt idx="151">
                  <c:v>11.2</c:v>
                </c:pt>
                <c:pt idx="152">
                  <c:v>11.1</c:v>
                </c:pt>
                <c:pt idx="154">
                  <c:v>12.1</c:v>
                </c:pt>
                <c:pt idx="155">
                  <c:v>12.1</c:v>
                </c:pt>
                <c:pt idx="156">
                  <c:v>12.2</c:v>
                </c:pt>
                <c:pt idx="157">
                  <c:v>12.3</c:v>
                </c:pt>
                <c:pt idx="158">
                  <c:v>12.4</c:v>
                </c:pt>
                <c:pt idx="159">
                  <c:v>12.5</c:v>
                </c:pt>
                <c:pt idx="160">
                  <c:v>12.6</c:v>
                </c:pt>
                <c:pt idx="161">
                  <c:v>12.6</c:v>
                </c:pt>
                <c:pt idx="162">
                  <c:v>12.5</c:v>
                </c:pt>
                <c:pt idx="163">
                  <c:v>12.4</c:v>
                </c:pt>
                <c:pt idx="164">
                  <c:v>12.3</c:v>
                </c:pt>
                <c:pt idx="165">
                  <c:v>12.2</c:v>
                </c:pt>
                <c:pt idx="166">
                  <c:v>12.1</c:v>
                </c:pt>
                <c:pt idx="168">
                  <c:v>13.1</c:v>
                </c:pt>
                <c:pt idx="169">
                  <c:v>13.1</c:v>
                </c:pt>
                <c:pt idx="170">
                  <c:v>13.2</c:v>
                </c:pt>
                <c:pt idx="171">
                  <c:v>13.3</c:v>
                </c:pt>
                <c:pt idx="172">
                  <c:v>13.4</c:v>
                </c:pt>
                <c:pt idx="173">
                  <c:v>13.5</c:v>
                </c:pt>
                <c:pt idx="174">
                  <c:v>13.6</c:v>
                </c:pt>
                <c:pt idx="175">
                  <c:v>13.6</c:v>
                </c:pt>
                <c:pt idx="176">
                  <c:v>13.5</c:v>
                </c:pt>
                <c:pt idx="177">
                  <c:v>13.4</c:v>
                </c:pt>
                <c:pt idx="178">
                  <c:v>13.3</c:v>
                </c:pt>
                <c:pt idx="179">
                  <c:v>13.2</c:v>
                </c:pt>
                <c:pt idx="180">
                  <c:v>13.1</c:v>
                </c:pt>
                <c:pt idx="182">
                  <c:v>14.1</c:v>
                </c:pt>
                <c:pt idx="183">
                  <c:v>14.1</c:v>
                </c:pt>
                <c:pt idx="184">
                  <c:v>14.3</c:v>
                </c:pt>
                <c:pt idx="185">
                  <c:v>14.3</c:v>
                </c:pt>
                <c:pt idx="186">
                  <c:v>14.4</c:v>
                </c:pt>
                <c:pt idx="187">
                  <c:v>14.5</c:v>
                </c:pt>
                <c:pt idx="188">
                  <c:v>14.6</c:v>
                </c:pt>
                <c:pt idx="189">
                  <c:v>14.6</c:v>
                </c:pt>
                <c:pt idx="190">
                  <c:v>14.5</c:v>
                </c:pt>
                <c:pt idx="191">
                  <c:v>14.4</c:v>
                </c:pt>
                <c:pt idx="192">
                  <c:v>14.3</c:v>
                </c:pt>
                <c:pt idx="193">
                  <c:v>14.2</c:v>
                </c:pt>
                <c:pt idx="194">
                  <c:v>14.1</c:v>
                </c:pt>
                <c:pt idx="196">
                  <c:v>15.1</c:v>
                </c:pt>
                <c:pt idx="197">
                  <c:v>15.1</c:v>
                </c:pt>
                <c:pt idx="198">
                  <c:v>15.3</c:v>
                </c:pt>
                <c:pt idx="199">
                  <c:v>15.3</c:v>
                </c:pt>
                <c:pt idx="200">
                  <c:v>15.4</c:v>
                </c:pt>
                <c:pt idx="201">
                  <c:v>15.5</c:v>
                </c:pt>
                <c:pt idx="202">
                  <c:v>15.6</c:v>
                </c:pt>
                <c:pt idx="203">
                  <c:v>15.6</c:v>
                </c:pt>
                <c:pt idx="204">
                  <c:v>15.5</c:v>
                </c:pt>
                <c:pt idx="205">
                  <c:v>15.4</c:v>
                </c:pt>
                <c:pt idx="206">
                  <c:v>15.3</c:v>
                </c:pt>
                <c:pt idx="207">
                  <c:v>15.2</c:v>
                </c:pt>
                <c:pt idx="208">
                  <c:v>15.1</c:v>
                </c:pt>
                <c:pt idx="210">
                  <c:v>16.100000000000001</c:v>
                </c:pt>
                <c:pt idx="211">
                  <c:v>16.100000000000001</c:v>
                </c:pt>
                <c:pt idx="212">
                  <c:v>16.2</c:v>
                </c:pt>
                <c:pt idx="213">
                  <c:v>16.3</c:v>
                </c:pt>
                <c:pt idx="214">
                  <c:v>16.5</c:v>
                </c:pt>
                <c:pt idx="215">
                  <c:v>16.5</c:v>
                </c:pt>
                <c:pt idx="216">
                  <c:v>16.600000000000001</c:v>
                </c:pt>
                <c:pt idx="217">
                  <c:v>16.600000000000001</c:v>
                </c:pt>
                <c:pt idx="218">
                  <c:v>16.5</c:v>
                </c:pt>
                <c:pt idx="219">
                  <c:v>16.399999999999999</c:v>
                </c:pt>
                <c:pt idx="220">
                  <c:v>16.3</c:v>
                </c:pt>
                <c:pt idx="221">
                  <c:v>16.2</c:v>
                </c:pt>
                <c:pt idx="222">
                  <c:v>16.100000000000001</c:v>
                </c:pt>
              </c:numCache>
            </c:numRef>
          </c:xVal>
          <c:yVal>
            <c:numRef>
              <c:f>'M10%'!$D$2:$D$225</c:f>
              <c:numCache>
                <c:formatCode>General</c:formatCode>
                <c:ptCount val="224"/>
                <c:pt idx="0">
                  <c:v>200</c:v>
                </c:pt>
                <c:pt idx="1">
                  <c:v>200</c:v>
                </c:pt>
                <c:pt idx="2">
                  <c:v>210</c:v>
                </c:pt>
                <c:pt idx="3">
                  <c:v>212</c:v>
                </c:pt>
                <c:pt idx="4">
                  <c:v>215</c:v>
                </c:pt>
                <c:pt idx="5">
                  <c:v>219</c:v>
                </c:pt>
                <c:pt idx="6">
                  <c:v>224</c:v>
                </c:pt>
                <c:pt idx="7">
                  <c:v>213</c:v>
                </c:pt>
                <c:pt idx="8">
                  <c:v>209</c:v>
                </c:pt>
                <c:pt idx="9">
                  <c:v>206</c:v>
                </c:pt>
                <c:pt idx="10">
                  <c:v>204</c:v>
                </c:pt>
                <c:pt idx="11">
                  <c:v>202</c:v>
                </c:pt>
                <c:pt idx="12">
                  <c:v>200</c:v>
                </c:pt>
                <c:pt idx="14">
                  <c:v>204</c:v>
                </c:pt>
                <c:pt idx="15">
                  <c:v>207</c:v>
                </c:pt>
                <c:pt idx="16">
                  <c:v>218</c:v>
                </c:pt>
                <c:pt idx="17">
                  <c:v>229</c:v>
                </c:pt>
                <c:pt idx="18">
                  <c:v>241</c:v>
                </c:pt>
                <c:pt idx="19">
                  <c:v>256</c:v>
                </c:pt>
                <c:pt idx="20">
                  <c:v>270</c:v>
                </c:pt>
                <c:pt idx="21">
                  <c:v>235</c:v>
                </c:pt>
                <c:pt idx="22">
                  <c:v>228</c:v>
                </c:pt>
                <c:pt idx="23">
                  <c:v>221</c:v>
                </c:pt>
                <c:pt idx="24">
                  <c:v>215</c:v>
                </c:pt>
                <c:pt idx="25">
                  <c:v>209</c:v>
                </c:pt>
                <c:pt idx="26">
                  <c:v>204</c:v>
                </c:pt>
                <c:pt idx="28">
                  <c:v>207</c:v>
                </c:pt>
                <c:pt idx="29">
                  <c:v>229</c:v>
                </c:pt>
                <c:pt idx="30">
                  <c:v>244</c:v>
                </c:pt>
                <c:pt idx="31">
                  <c:v>259</c:v>
                </c:pt>
                <c:pt idx="32">
                  <c:v>274</c:v>
                </c:pt>
                <c:pt idx="33">
                  <c:v>288</c:v>
                </c:pt>
                <c:pt idx="34">
                  <c:v>302</c:v>
                </c:pt>
                <c:pt idx="35">
                  <c:v>256</c:v>
                </c:pt>
                <c:pt idx="36">
                  <c:v>245</c:v>
                </c:pt>
                <c:pt idx="37">
                  <c:v>235</c:v>
                </c:pt>
                <c:pt idx="38">
                  <c:v>225</c:v>
                </c:pt>
                <c:pt idx="39">
                  <c:v>216</c:v>
                </c:pt>
                <c:pt idx="40">
                  <c:v>207</c:v>
                </c:pt>
                <c:pt idx="42">
                  <c:v>224</c:v>
                </c:pt>
                <c:pt idx="43">
                  <c:v>252</c:v>
                </c:pt>
                <c:pt idx="44">
                  <c:v>271</c:v>
                </c:pt>
                <c:pt idx="45">
                  <c:v>291</c:v>
                </c:pt>
                <c:pt idx="46">
                  <c:v>312</c:v>
                </c:pt>
                <c:pt idx="47">
                  <c:v>334</c:v>
                </c:pt>
                <c:pt idx="48">
                  <c:v>358</c:v>
                </c:pt>
                <c:pt idx="49">
                  <c:v>279</c:v>
                </c:pt>
                <c:pt idx="50">
                  <c:v>266</c:v>
                </c:pt>
                <c:pt idx="51">
                  <c:v>254</c:v>
                </c:pt>
                <c:pt idx="52">
                  <c:v>242</c:v>
                </c:pt>
                <c:pt idx="53">
                  <c:v>233</c:v>
                </c:pt>
                <c:pt idx="54">
                  <c:v>224</c:v>
                </c:pt>
                <c:pt idx="56">
                  <c:v>239</c:v>
                </c:pt>
                <c:pt idx="57">
                  <c:v>285</c:v>
                </c:pt>
                <c:pt idx="58">
                  <c:v>306</c:v>
                </c:pt>
                <c:pt idx="59">
                  <c:v>329</c:v>
                </c:pt>
                <c:pt idx="60">
                  <c:v>353</c:v>
                </c:pt>
                <c:pt idx="61">
                  <c:v>378</c:v>
                </c:pt>
                <c:pt idx="62">
                  <c:v>403</c:v>
                </c:pt>
                <c:pt idx="63">
                  <c:v>323</c:v>
                </c:pt>
                <c:pt idx="64">
                  <c:v>302</c:v>
                </c:pt>
                <c:pt idx="65">
                  <c:v>282</c:v>
                </c:pt>
                <c:pt idx="66">
                  <c:v>264</c:v>
                </c:pt>
                <c:pt idx="67">
                  <c:v>249</c:v>
                </c:pt>
                <c:pt idx="68">
                  <c:v>239</c:v>
                </c:pt>
                <c:pt idx="70">
                  <c:v>265</c:v>
                </c:pt>
                <c:pt idx="71">
                  <c:v>330</c:v>
                </c:pt>
                <c:pt idx="72">
                  <c:v>355</c:v>
                </c:pt>
                <c:pt idx="73">
                  <c:v>382</c:v>
                </c:pt>
                <c:pt idx="74">
                  <c:v>409</c:v>
                </c:pt>
                <c:pt idx="75">
                  <c:v>438</c:v>
                </c:pt>
                <c:pt idx="76">
                  <c:v>467</c:v>
                </c:pt>
                <c:pt idx="77">
                  <c:v>374</c:v>
                </c:pt>
                <c:pt idx="78">
                  <c:v>350</c:v>
                </c:pt>
                <c:pt idx="79">
                  <c:v>327</c:v>
                </c:pt>
                <c:pt idx="80">
                  <c:v>305</c:v>
                </c:pt>
                <c:pt idx="81">
                  <c:v>284</c:v>
                </c:pt>
                <c:pt idx="82">
                  <c:v>265</c:v>
                </c:pt>
                <c:pt idx="84">
                  <c:v>298</c:v>
                </c:pt>
                <c:pt idx="85">
                  <c:v>372</c:v>
                </c:pt>
                <c:pt idx="86">
                  <c:v>401</c:v>
                </c:pt>
                <c:pt idx="87">
                  <c:v>431</c:v>
                </c:pt>
                <c:pt idx="88">
                  <c:v>461</c:v>
                </c:pt>
                <c:pt idx="89">
                  <c:v>494</c:v>
                </c:pt>
                <c:pt idx="90">
                  <c:v>527</c:v>
                </c:pt>
                <c:pt idx="91">
                  <c:v>400</c:v>
                </c:pt>
                <c:pt idx="92">
                  <c:v>385</c:v>
                </c:pt>
                <c:pt idx="93">
                  <c:v>369</c:v>
                </c:pt>
                <c:pt idx="94">
                  <c:v>345</c:v>
                </c:pt>
                <c:pt idx="95">
                  <c:v>321</c:v>
                </c:pt>
                <c:pt idx="96">
                  <c:v>298</c:v>
                </c:pt>
                <c:pt idx="98">
                  <c:v>347</c:v>
                </c:pt>
                <c:pt idx="99">
                  <c:v>433</c:v>
                </c:pt>
                <c:pt idx="100">
                  <c:v>466</c:v>
                </c:pt>
                <c:pt idx="101">
                  <c:v>502</c:v>
                </c:pt>
                <c:pt idx="102">
                  <c:v>538</c:v>
                </c:pt>
                <c:pt idx="103">
                  <c:v>575</c:v>
                </c:pt>
                <c:pt idx="104">
                  <c:v>614</c:v>
                </c:pt>
                <c:pt idx="105">
                  <c:v>480</c:v>
                </c:pt>
                <c:pt idx="106">
                  <c:v>455</c:v>
                </c:pt>
                <c:pt idx="107">
                  <c:v>430</c:v>
                </c:pt>
                <c:pt idx="108">
                  <c:v>401</c:v>
                </c:pt>
                <c:pt idx="109">
                  <c:v>373</c:v>
                </c:pt>
                <c:pt idx="110">
                  <c:v>347</c:v>
                </c:pt>
                <c:pt idx="112">
                  <c:v>394</c:v>
                </c:pt>
                <c:pt idx="113">
                  <c:v>493</c:v>
                </c:pt>
                <c:pt idx="114">
                  <c:v>531</c:v>
                </c:pt>
                <c:pt idx="115">
                  <c:v>571</c:v>
                </c:pt>
                <c:pt idx="116">
                  <c:v>611</c:v>
                </c:pt>
                <c:pt idx="117">
                  <c:v>655</c:v>
                </c:pt>
                <c:pt idx="118">
                  <c:v>698</c:v>
                </c:pt>
                <c:pt idx="119">
                  <c:v>528</c:v>
                </c:pt>
                <c:pt idx="120">
                  <c:v>502</c:v>
                </c:pt>
                <c:pt idx="121">
                  <c:v>475</c:v>
                </c:pt>
                <c:pt idx="122">
                  <c:v>448</c:v>
                </c:pt>
                <c:pt idx="123">
                  <c:v>421</c:v>
                </c:pt>
                <c:pt idx="124">
                  <c:v>394</c:v>
                </c:pt>
                <c:pt idx="126">
                  <c:v>467</c:v>
                </c:pt>
                <c:pt idx="127">
                  <c:v>583</c:v>
                </c:pt>
                <c:pt idx="128">
                  <c:v>628</c:v>
                </c:pt>
                <c:pt idx="129">
                  <c:v>675</c:v>
                </c:pt>
                <c:pt idx="130">
                  <c:v>722</c:v>
                </c:pt>
                <c:pt idx="131">
                  <c:v>772</c:v>
                </c:pt>
                <c:pt idx="132">
                  <c:v>825</c:v>
                </c:pt>
                <c:pt idx="133">
                  <c:v>630</c:v>
                </c:pt>
                <c:pt idx="134">
                  <c:v>568</c:v>
                </c:pt>
                <c:pt idx="135">
                  <c:v>540</c:v>
                </c:pt>
                <c:pt idx="136">
                  <c:v>516</c:v>
                </c:pt>
                <c:pt idx="137">
                  <c:v>502</c:v>
                </c:pt>
                <c:pt idx="138">
                  <c:v>467</c:v>
                </c:pt>
                <c:pt idx="140">
                  <c:v>515</c:v>
                </c:pt>
                <c:pt idx="141">
                  <c:v>686</c:v>
                </c:pt>
                <c:pt idx="142">
                  <c:v>739</c:v>
                </c:pt>
                <c:pt idx="143">
                  <c:v>793</c:v>
                </c:pt>
                <c:pt idx="144">
                  <c:v>849</c:v>
                </c:pt>
                <c:pt idx="145">
                  <c:v>910</c:v>
                </c:pt>
                <c:pt idx="146">
                  <c:v>971</c:v>
                </c:pt>
                <c:pt idx="147">
                  <c:v>672</c:v>
                </c:pt>
                <c:pt idx="148">
                  <c:v>624</c:v>
                </c:pt>
                <c:pt idx="149">
                  <c:v>576</c:v>
                </c:pt>
                <c:pt idx="150">
                  <c:v>538</c:v>
                </c:pt>
                <c:pt idx="151">
                  <c:v>526</c:v>
                </c:pt>
                <c:pt idx="152">
                  <c:v>515</c:v>
                </c:pt>
                <c:pt idx="154">
                  <c:v>654</c:v>
                </c:pt>
                <c:pt idx="155">
                  <c:v>817</c:v>
                </c:pt>
                <c:pt idx="156">
                  <c:v>880</c:v>
                </c:pt>
                <c:pt idx="157">
                  <c:v>945</c:v>
                </c:pt>
                <c:pt idx="158">
                  <c:v>1013</c:v>
                </c:pt>
                <c:pt idx="159">
                  <c:v>1083</c:v>
                </c:pt>
                <c:pt idx="160">
                  <c:v>1157</c:v>
                </c:pt>
                <c:pt idx="161">
                  <c:v>778</c:v>
                </c:pt>
                <c:pt idx="162">
                  <c:v>730</c:v>
                </c:pt>
                <c:pt idx="163">
                  <c:v>719</c:v>
                </c:pt>
                <c:pt idx="164">
                  <c:v>706</c:v>
                </c:pt>
                <c:pt idx="165">
                  <c:v>685</c:v>
                </c:pt>
                <c:pt idx="166">
                  <c:v>654</c:v>
                </c:pt>
                <c:pt idx="168">
                  <c:v>762</c:v>
                </c:pt>
                <c:pt idx="169">
                  <c:v>952</c:v>
                </c:pt>
                <c:pt idx="170">
                  <c:v>1024</c:v>
                </c:pt>
                <c:pt idx="171">
                  <c:v>1100</c:v>
                </c:pt>
                <c:pt idx="172">
                  <c:v>1179</c:v>
                </c:pt>
                <c:pt idx="173">
                  <c:v>1261</c:v>
                </c:pt>
                <c:pt idx="174">
                  <c:v>1347</c:v>
                </c:pt>
                <c:pt idx="175">
                  <c:v>979</c:v>
                </c:pt>
                <c:pt idx="176">
                  <c:v>931</c:v>
                </c:pt>
                <c:pt idx="177">
                  <c:v>900</c:v>
                </c:pt>
                <c:pt idx="178">
                  <c:v>880</c:v>
                </c:pt>
                <c:pt idx="179">
                  <c:v>819</c:v>
                </c:pt>
                <c:pt idx="180">
                  <c:v>762</c:v>
                </c:pt>
                <c:pt idx="184">
                  <c:v>1040</c:v>
                </c:pt>
                <c:pt idx="185">
                  <c:v>1301</c:v>
                </c:pt>
                <c:pt idx="186">
                  <c:v>1393</c:v>
                </c:pt>
                <c:pt idx="187">
                  <c:v>1491</c:v>
                </c:pt>
                <c:pt idx="188">
                  <c:v>1591</c:v>
                </c:pt>
                <c:pt idx="189">
                  <c:v>1159</c:v>
                </c:pt>
                <c:pt idx="190">
                  <c:v>1118</c:v>
                </c:pt>
                <c:pt idx="191">
                  <c:v>1082</c:v>
                </c:pt>
                <c:pt idx="192">
                  <c:v>1040</c:v>
                </c:pt>
                <c:pt idx="198">
                  <c:v>1257</c:v>
                </c:pt>
                <c:pt idx="199">
                  <c:v>1479</c:v>
                </c:pt>
                <c:pt idx="200">
                  <c:v>1536</c:v>
                </c:pt>
                <c:pt idx="201">
                  <c:v>1594</c:v>
                </c:pt>
                <c:pt idx="202">
                  <c:v>1653</c:v>
                </c:pt>
                <c:pt idx="203">
                  <c:v>1405</c:v>
                </c:pt>
                <c:pt idx="204">
                  <c:v>1355</c:v>
                </c:pt>
                <c:pt idx="205">
                  <c:v>1306</c:v>
                </c:pt>
                <c:pt idx="206">
                  <c:v>1257</c:v>
                </c:pt>
                <c:pt idx="214">
                  <c:v>1419</c:v>
                </c:pt>
                <c:pt idx="215">
                  <c:v>1669</c:v>
                </c:pt>
                <c:pt idx="216">
                  <c:v>1715</c:v>
                </c:pt>
                <c:pt idx="217">
                  <c:v>1458</c:v>
                </c:pt>
                <c:pt idx="218">
                  <c:v>1419</c:v>
                </c:pt>
              </c:numCache>
            </c:numRef>
          </c:yVal>
          <c:smooth val="0"/>
        </c:ser>
        <c:ser>
          <c:idx val="1"/>
          <c:order val="1"/>
          <c:tx>
            <c:strRef>
              <c:f>'M10%'!$E$1</c:f>
              <c:strCache>
                <c:ptCount val="1"/>
                <c:pt idx="0">
                  <c:v>Jaunā skala</c:v>
                </c:pt>
              </c:strCache>
            </c:strRef>
          </c:tx>
          <c:spPr>
            <a:ln w="19050"/>
          </c:spPr>
          <c:marker>
            <c:symbol val="none"/>
          </c:marker>
          <c:xVal>
            <c:numRef>
              <c:f>'M10%'!$C$2:$C$225</c:f>
              <c:numCache>
                <c:formatCode>General</c:formatCode>
                <c:ptCount val="224"/>
                <c:pt idx="0">
                  <c:v>1.1000000000000001</c:v>
                </c:pt>
                <c:pt idx="1">
                  <c:v>1.1000000000000001</c:v>
                </c:pt>
                <c:pt idx="2">
                  <c:v>1.2</c:v>
                </c:pt>
                <c:pt idx="3">
                  <c:v>1.3</c:v>
                </c:pt>
                <c:pt idx="4">
                  <c:v>1.4</c:v>
                </c:pt>
                <c:pt idx="5">
                  <c:v>1.5</c:v>
                </c:pt>
                <c:pt idx="6">
                  <c:v>1.6</c:v>
                </c:pt>
                <c:pt idx="7">
                  <c:v>1.6</c:v>
                </c:pt>
                <c:pt idx="8">
                  <c:v>1.5</c:v>
                </c:pt>
                <c:pt idx="9">
                  <c:v>1.4</c:v>
                </c:pt>
                <c:pt idx="10">
                  <c:v>1.3</c:v>
                </c:pt>
                <c:pt idx="11">
                  <c:v>1.2</c:v>
                </c:pt>
                <c:pt idx="12">
                  <c:v>1.1000000000000001</c:v>
                </c:pt>
                <c:pt idx="14">
                  <c:v>2.1</c:v>
                </c:pt>
                <c:pt idx="15">
                  <c:v>2.1</c:v>
                </c:pt>
                <c:pt idx="16">
                  <c:v>2.2000000000000002</c:v>
                </c:pt>
                <c:pt idx="17">
                  <c:v>2.2999999999999998</c:v>
                </c:pt>
                <c:pt idx="18">
                  <c:v>2.4</c:v>
                </c:pt>
                <c:pt idx="19">
                  <c:v>2.5</c:v>
                </c:pt>
                <c:pt idx="20">
                  <c:v>2.6</c:v>
                </c:pt>
                <c:pt idx="21">
                  <c:v>2.6</c:v>
                </c:pt>
                <c:pt idx="22">
                  <c:v>2.5</c:v>
                </c:pt>
                <c:pt idx="23">
                  <c:v>2.4</c:v>
                </c:pt>
                <c:pt idx="24">
                  <c:v>2.2999999999999998</c:v>
                </c:pt>
                <c:pt idx="25">
                  <c:v>2.2000000000000002</c:v>
                </c:pt>
                <c:pt idx="26">
                  <c:v>2.1</c:v>
                </c:pt>
                <c:pt idx="28">
                  <c:v>3.1</c:v>
                </c:pt>
                <c:pt idx="29">
                  <c:v>3.1</c:v>
                </c:pt>
                <c:pt idx="30">
                  <c:v>3.2</c:v>
                </c:pt>
                <c:pt idx="31">
                  <c:v>3.3</c:v>
                </c:pt>
                <c:pt idx="32">
                  <c:v>3.4</c:v>
                </c:pt>
                <c:pt idx="33">
                  <c:v>3.5</c:v>
                </c:pt>
                <c:pt idx="34">
                  <c:v>3.6</c:v>
                </c:pt>
                <c:pt idx="35">
                  <c:v>3.6</c:v>
                </c:pt>
                <c:pt idx="36">
                  <c:v>3.5</c:v>
                </c:pt>
                <c:pt idx="37">
                  <c:v>3.4</c:v>
                </c:pt>
                <c:pt idx="38">
                  <c:v>3.3</c:v>
                </c:pt>
                <c:pt idx="39">
                  <c:v>3.2</c:v>
                </c:pt>
                <c:pt idx="40">
                  <c:v>3.1</c:v>
                </c:pt>
                <c:pt idx="42">
                  <c:v>4.0999999999999996</c:v>
                </c:pt>
                <c:pt idx="43">
                  <c:v>4.0999999999999996</c:v>
                </c:pt>
                <c:pt idx="44">
                  <c:v>4.2</c:v>
                </c:pt>
                <c:pt idx="45">
                  <c:v>4.3</c:v>
                </c:pt>
                <c:pt idx="46">
                  <c:v>4.4000000000000004</c:v>
                </c:pt>
                <c:pt idx="47">
                  <c:v>4.5</c:v>
                </c:pt>
                <c:pt idx="48">
                  <c:v>4.5999999999999996</c:v>
                </c:pt>
                <c:pt idx="49">
                  <c:v>4.5999999999999996</c:v>
                </c:pt>
                <c:pt idx="50">
                  <c:v>4.5</c:v>
                </c:pt>
                <c:pt idx="51">
                  <c:v>4.4000000000000004</c:v>
                </c:pt>
                <c:pt idx="52">
                  <c:v>4.3</c:v>
                </c:pt>
                <c:pt idx="53">
                  <c:v>4.2</c:v>
                </c:pt>
                <c:pt idx="54">
                  <c:v>4.0999999999999996</c:v>
                </c:pt>
                <c:pt idx="56">
                  <c:v>5.0999999999999996</c:v>
                </c:pt>
                <c:pt idx="57">
                  <c:v>5.0999999999999996</c:v>
                </c:pt>
                <c:pt idx="58">
                  <c:v>5.2</c:v>
                </c:pt>
                <c:pt idx="59">
                  <c:v>5.3</c:v>
                </c:pt>
                <c:pt idx="60">
                  <c:v>5.4</c:v>
                </c:pt>
                <c:pt idx="61">
                  <c:v>5.5</c:v>
                </c:pt>
                <c:pt idx="62">
                  <c:v>5.6</c:v>
                </c:pt>
                <c:pt idx="63">
                  <c:v>5.6</c:v>
                </c:pt>
                <c:pt idx="64">
                  <c:v>5.5</c:v>
                </c:pt>
                <c:pt idx="65">
                  <c:v>5.4</c:v>
                </c:pt>
                <c:pt idx="66">
                  <c:v>5.3</c:v>
                </c:pt>
                <c:pt idx="67">
                  <c:v>5.2</c:v>
                </c:pt>
                <c:pt idx="68">
                  <c:v>5.0999999999999996</c:v>
                </c:pt>
                <c:pt idx="70">
                  <c:v>6.1</c:v>
                </c:pt>
                <c:pt idx="71">
                  <c:v>6.1</c:v>
                </c:pt>
                <c:pt idx="72">
                  <c:v>6.2</c:v>
                </c:pt>
                <c:pt idx="73">
                  <c:v>6.3</c:v>
                </c:pt>
                <c:pt idx="74">
                  <c:v>6.4</c:v>
                </c:pt>
                <c:pt idx="75">
                  <c:v>6.5</c:v>
                </c:pt>
                <c:pt idx="76">
                  <c:v>6.6</c:v>
                </c:pt>
                <c:pt idx="77">
                  <c:v>6.6</c:v>
                </c:pt>
                <c:pt idx="78">
                  <c:v>6.5</c:v>
                </c:pt>
                <c:pt idx="79">
                  <c:v>6.4</c:v>
                </c:pt>
                <c:pt idx="80">
                  <c:v>6.3</c:v>
                </c:pt>
                <c:pt idx="81">
                  <c:v>6.2</c:v>
                </c:pt>
                <c:pt idx="82">
                  <c:v>6.1</c:v>
                </c:pt>
                <c:pt idx="84">
                  <c:v>7.1</c:v>
                </c:pt>
                <c:pt idx="85">
                  <c:v>7.1</c:v>
                </c:pt>
                <c:pt idx="86">
                  <c:v>7.2</c:v>
                </c:pt>
                <c:pt idx="87">
                  <c:v>7.3</c:v>
                </c:pt>
                <c:pt idx="88">
                  <c:v>7.4</c:v>
                </c:pt>
                <c:pt idx="89">
                  <c:v>7.5</c:v>
                </c:pt>
                <c:pt idx="90">
                  <c:v>7.6</c:v>
                </c:pt>
                <c:pt idx="91">
                  <c:v>7.6</c:v>
                </c:pt>
                <c:pt idx="92">
                  <c:v>7.5</c:v>
                </c:pt>
                <c:pt idx="93">
                  <c:v>7.4</c:v>
                </c:pt>
                <c:pt idx="94">
                  <c:v>7.3</c:v>
                </c:pt>
                <c:pt idx="95">
                  <c:v>7.2</c:v>
                </c:pt>
                <c:pt idx="96">
                  <c:v>7.1</c:v>
                </c:pt>
                <c:pt idx="98">
                  <c:v>8.1</c:v>
                </c:pt>
                <c:pt idx="99">
                  <c:v>8.1</c:v>
                </c:pt>
                <c:pt idx="100">
                  <c:v>8.2000000000000011</c:v>
                </c:pt>
                <c:pt idx="101">
                  <c:v>8.3000000000000007</c:v>
                </c:pt>
                <c:pt idx="102">
                  <c:v>8.4</c:v>
                </c:pt>
                <c:pt idx="103">
                  <c:v>8.5</c:v>
                </c:pt>
                <c:pt idx="104">
                  <c:v>8.6</c:v>
                </c:pt>
                <c:pt idx="105">
                  <c:v>8.6</c:v>
                </c:pt>
                <c:pt idx="106">
                  <c:v>8.5</c:v>
                </c:pt>
                <c:pt idx="107">
                  <c:v>8.4</c:v>
                </c:pt>
                <c:pt idx="108">
                  <c:v>8.3000000000000007</c:v>
                </c:pt>
                <c:pt idx="109">
                  <c:v>8.2000000000000011</c:v>
                </c:pt>
                <c:pt idx="110">
                  <c:v>8.1</c:v>
                </c:pt>
                <c:pt idx="112">
                  <c:v>9.1</c:v>
                </c:pt>
                <c:pt idx="113">
                  <c:v>9.1</c:v>
                </c:pt>
                <c:pt idx="114">
                  <c:v>9.2000000000000011</c:v>
                </c:pt>
                <c:pt idx="115">
                  <c:v>9.3000000000000007</c:v>
                </c:pt>
                <c:pt idx="116">
                  <c:v>9.4</c:v>
                </c:pt>
                <c:pt idx="117">
                  <c:v>9.5</c:v>
                </c:pt>
                <c:pt idx="118">
                  <c:v>9.6</c:v>
                </c:pt>
                <c:pt idx="119">
                  <c:v>9.6</c:v>
                </c:pt>
                <c:pt idx="120">
                  <c:v>9.5</c:v>
                </c:pt>
                <c:pt idx="121">
                  <c:v>9.4</c:v>
                </c:pt>
                <c:pt idx="122">
                  <c:v>9.3000000000000007</c:v>
                </c:pt>
                <c:pt idx="123">
                  <c:v>9.2000000000000011</c:v>
                </c:pt>
                <c:pt idx="124">
                  <c:v>9.1</c:v>
                </c:pt>
                <c:pt idx="126">
                  <c:v>10.1</c:v>
                </c:pt>
                <c:pt idx="127">
                  <c:v>10.1</c:v>
                </c:pt>
                <c:pt idx="128">
                  <c:v>10.200000000000001</c:v>
                </c:pt>
                <c:pt idx="129">
                  <c:v>10.3</c:v>
                </c:pt>
                <c:pt idx="130">
                  <c:v>10.4</c:v>
                </c:pt>
                <c:pt idx="131">
                  <c:v>10.5</c:v>
                </c:pt>
                <c:pt idx="132">
                  <c:v>10.6</c:v>
                </c:pt>
                <c:pt idx="133">
                  <c:v>10.6</c:v>
                </c:pt>
                <c:pt idx="134">
                  <c:v>10.5</c:v>
                </c:pt>
                <c:pt idx="135">
                  <c:v>10.4</c:v>
                </c:pt>
                <c:pt idx="136">
                  <c:v>10.3</c:v>
                </c:pt>
                <c:pt idx="137">
                  <c:v>10.200000000000001</c:v>
                </c:pt>
                <c:pt idx="138">
                  <c:v>10.1</c:v>
                </c:pt>
                <c:pt idx="140">
                  <c:v>11.1</c:v>
                </c:pt>
                <c:pt idx="141">
                  <c:v>11.1</c:v>
                </c:pt>
                <c:pt idx="142">
                  <c:v>11.2</c:v>
                </c:pt>
                <c:pt idx="143">
                  <c:v>11.3</c:v>
                </c:pt>
                <c:pt idx="144">
                  <c:v>11.4</c:v>
                </c:pt>
                <c:pt idx="145">
                  <c:v>11.5</c:v>
                </c:pt>
                <c:pt idx="146">
                  <c:v>11.6</c:v>
                </c:pt>
                <c:pt idx="147">
                  <c:v>11.6</c:v>
                </c:pt>
                <c:pt idx="148">
                  <c:v>11.5</c:v>
                </c:pt>
                <c:pt idx="149">
                  <c:v>11.4</c:v>
                </c:pt>
                <c:pt idx="150">
                  <c:v>11.3</c:v>
                </c:pt>
                <c:pt idx="151">
                  <c:v>11.2</c:v>
                </c:pt>
                <c:pt idx="152">
                  <c:v>11.1</c:v>
                </c:pt>
                <c:pt idx="154">
                  <c:v>12.1</c:v>
                </c:pt>
                <c:pt idx="155">
                  <c:v>12.1</c:v>
                </c:pt>
                <c:pt idx="156">
                  <c:v>12.2</c:v>
                </c:pt>
                <c:pt idx="157">
                  <c:v>12.3</c:v>
                </c:pt>
                <c:pt idx="158">
                  <c:v>12.4</c:v>
                </c:pt>
                <c:pt idx="159">
                  <c:v>12.5</c:v>
                </c:pt>
                <c:pt idx="160">
                  <c:v>12.6</c:v>
                </c:pt>
                <c:pt idx="161">
                  <c:v>12.6</c:v>
                </c:pt>
                <c:pt idx="162">
                  <c:v>12.5</c:v>
                </c:pt>
                <c:pt idx="163">
                  <c:v>12.4</c:v>
                </c:pt>
                <c:pt idx="164">
                  <c:v>12.3</c:v>
                </c:pt>
                <c:pt idx="165">
                  <c:v>12.2</c:v>
                </c:pt>
                <c:pt idx="166">
                  <c:v>12.1</c:v>
                </c:pt>
                <c:pt idx="168">
                  <c:v>13.1</c:v>
                </c:pt>
                <c:pt idx="169">
                  <c:v>13.1</c:v>
                </c:pt>
                <c:pt idx="170">
                  <c:v>13.2</c:v>
                </c:pt>
                <c:pt idx="171">
                  <c:v>13.3</c:v>
                </c:pt>
                <c:pt idx="172">
                  <c:v>13.4</c:v>
                </c:pt>
                <c:pt idx="173">
                  <c:v>13.5</c:v>
                </c:pt>
                <c:pt idx="174">
                  <c:v>13.6</c:v>
                </c:pt>
                <c:pt idx="175">
                  <c:v>13.6</c:v>
                </c:pt>
                <c:pt idx="176">
                  <c:v>13.5</c:v>
                </c:pt>
                <c:pt idx="177">
                  <c:v>13.4</c:v>
                </c:pt>
                <c:pt idx="178">
                  <c:v>13.3</c:v>
                </c:pt>
                <c:pt idx="179">
                  <c:v>13.2</c:v>
                </c:pt>
                <c:pt idx="180">
                  <c:v>13.1</c:v>
                </c:pt>
                <c:pt idx="182">
                  <c:v>14.1</c:v>
                </c:pt>
                <c:pt idx="183">
                  <c:v>14.1</c:v>
                </c:pt>
                <c:pt idx="184">
                  <c:v>14.3</c:v>
                </c:pt>
                <c:pt idx="185">
                  <c:v>14.3</c:v>
                </c:pt>
                <c:pt idx="186">
                  <c:v>14.4</c:v>
                </c:pt>
                <c:pt idx="187">
                  <c:v>14.5</c:v>
                </c:pt>
                <c:pt idx="188">
                  <c:v>14.6</c:v>
                </c:pt>
                <c:pt idx="189">
                  <c:v>14.6</c:v>
                </c:pt>
                <c:pt idx="190">
                  <c:v>14.5</c:v>
                </c:pt>
                <c:pt idx="191">
                  <c:v>14.4</c:v>
                </c:pt>
                <c:pt idx="192">
                  <c:v>14.3</c:v>
                </c:pt>
                <c:pt idx="193">
                  <c:v>14.2</c:v>
                </c:pt>
                <c:pt idx="194">
                  <c:v>14.1</c:v>
                </c:pt>
                <c:pt idx="196">
                  <c:v>15.1</c:v>
                </c:pt>
                <c:pt idx="197">
                  <c:v>15.1</c:v>
                </c:pt>
                <c:pt idx="198">
                  <c:v>15.3</c:v>
                </c:pt>
                <c:pt idx="199">
                  <c:v>15.3</c:v>
                </c:pt>
                <c:pt idx="200">
                  <c:v>15.4</c:v>
                </c:pt>
                <c:pt idx="201">
                  <c:v>15.5</c:v>
                </c:pt>
                <c:pt idx="202">
                  <c:v>15.6</c:v>
                </c:pt>
                <c:pt idx="203">
                  <c:v>15.6</c:v>
                </c:pt>
                <c:pt idx="204">
                  <c:v>15.5</c:v>
                </c:pt>
                <c:pt idx="205">
                  <c:v>15.4</c:v>
                </c:pt>
                <c:pt idx="206">
                  <c:v>15.3</c:v>
                </c:pt>
                <c:pt idx="207">
                  <c:v>15.2</c:v>
                </c:pt>
                <c:pt idx="208">
                  <c:v>15.1</c:v>
                </c:pt>
                <c:pt idx="210">
                  <c:v>16.100000000000001</c:v>
                </c:pt>
                <c:pt idx="211">
                  <c:v>16.100000000000001</c:v>
                </c:pt>
                <c:pt idx="212">
                  <c:v>16.2</c:v>
                </c:pt>
                <c:pt idx="213">
                  <c:v>16.3</c:v>
                </c:pt>
                <c:pt idx="214">
                  <c:v>16.5</c:v>
                </c:pt>
                <c:pt idx="215">
                  <c:v>16.5</c:v>
                </c:pt>
                <c:pt idx="216">
                  <c:v>16.600000000000001</c:v>
                </c:pt>
                <c:pt idx="217">
                  <c:v>16.600000000000001</c:v>
                </c:pt>
                <c:pt idx="218">
                  <c:v>16.5</c:v>
                </c:pt>
                <c:pt idx="219">
                  <c:v>16.399999999999999</c:v>
                </c:pt>
                <c:pt idx="220">
                  <c:v>16.3</c:v>
                </c:pt>
                <c:pt idx="221">
                  <c:v>16.2</c:v>
                </c:pt>
                <c:pt idx="222">
                  <c:v>16.100000000000001</c:v>
                </c:pt>
              </c:numCache>
            </c:numRef>
          </c:xVal>
          <c:yVal>
            <c:numRef>
              <c:f>'M10%'!$E$2:$E$225</c:f>
              <c:numCache>
                <c:formatCode>General</c:formatCode>
                <c:ptCount val="224"/>
                <c:pt idx="0">
                  <c:v>225</c:v>
                </c:pt>
                <c:pt idx="1">
                  <c:v>241</c:v>
                </c:pt>
                <c:pt idx="2">
                  <c:v>243</c:v>
                </c:pt>
                <c:pt idx="3">
                  <c:v>245</c:v>
                </c:pt>
                <c:pt idx="4">
                  <c:v>247</c:v>
                </c:pt>
                <c:pt idx="5">
                  <c:v>251</c:v>
                </c:pt>
                <c:pt idx="6">
                  <c:v>255</c:v>
                </c:pt>
                <c:pt idx="7">
                  <c:v>238</c:v>
                </c:pt>
                <c:pt idx="8">
                  <c:v>234</c:v>
                </c:pt>
                <c:pt idx="9">
                  <c:v>231</c:v>
                </c:pt>
                <c:pt idx="10">
                  <c:v>229</c:v>
                </c:pt>
                <c:pt idx="11">
                  <c:v>227</c:v>
                </c:pt>
                <c:pt idx="12">
                  <c:v>225</c:v>
                </c:pt>
                <c:pt idx="14">
                  <c:v>233</c:v>
                </c:pt>
                <c:pt idx="15">
                  <c:v>259</c:v>
                </c:pt>
                <c:pt idx="16">
                  <c:v>265</c:v>
                </c:pt>
                <c:pt idx="17">
                  <c:v>272</c:v>
                </c:pt>
                <c:pt idx="18">
                  <c:v>279</c:v>
                </c:pt>
                <c:pt idx="19">
                  <c:v>287</c:v>
                </c:pt>
                <c:pt idx="20">
                  <c:v>295</c:v>
                </c:pt>
                <c:pt idx="21">
                  <c:v>266</c:v>
                </c:pt>
                <c:pt idx="22">
                  <c:v>258</c:v>
                </c:pt>
                <c:pt idx="23">
                  <c:v>251</c:v>
                </c:pt>
                <c:pt idx="24">
                  <c:v>245</c:v>
                </c:pt>
                <c:pt idx="25">
                  <c:v>239</c:v>
                </c:pt>
                <c:pt idx="26">
                  <c:v>233</c:v>
                </c:pt>
                <c:pt idx="28">
                  <c:v>250</c:v>
                </c:pt>
                <c:pt idx="29">
                  <c:v>278</c:v>
                </c:pt>
                <c:pt idx="30">
                  <c:v>289</c:v>
                </c:pt>
                <c:pt idx="31">
                  <c:v>300</c:v>
                </c:pt>
                <c:pt idx="32">
                  <c:v>312</c:v>
                </c:pt>
                <c:pt idx="33">
                  <c:v>325</c:v>
                </c:pt>
                <c:pt idx="34">
                  <c:v>338</c:v>
                </c:pt>
                <c:pt idx="35">
                  <c:v>304</c:v>
                </c:pt>
                <c:pt idx="36">
                  <c:v>293</c:v>
                </c:pt>
                <c:pt idx="37">
                  <c:v>281</c:v>
                </c:pt>
                <c:pt idx="38">
                  <c:v>270</c:v>
                </c:pt>
                <c:pt idx="39">
                  <c:v>260</c:v>
                </c:pt>
                <c:pt idx="40">
                  <c:v>250</c:v>
                </c:pt>
                <c:pt idx="42">
                  <c:v>283</c:v>
                </c:pt>
                <c:pt idx="43">
                  <c:v>314</c:v>
                </c:pt>
                <c:pt idx="44">
                  <c:v>326</c:v>
                </c:pt>
                <c:pt idx="45">
                  <c:v>337</c:v>
                </c:pt>
                <c:pt idx="46">
                  <c:v>353</c:v>
                </c:pt>
                <c:pt idx="47">
                  <c:v>368</c:v>
                </c:pt>
                <c:pt idx="48">
                  <c:v>385</c:v>
                </c:pt>
                <c:pt idx="49">
                  <c:v>347</c:v>
                </c:pt>
                <c:pt idx="50">
                  <c:v>331</c:v>
                </c:pt>
                <c:pt idx="51">
                  <c:v>318</c:v>
                </c:pt>
                <c:pt idx="52">
                  <c:v>303</c:v>
                </c:pt>
                <c:pt idx="53">
                  <c:v>293</c:v>
                </c:pt>
                <c:pt idx="54">
                  <c:v>283</c:v>
                </c:pt>
                <c:pt idx="56">
                  <c:v>296</c:v>
                </c:pt>
                <c:pt idx="57">
                  <c:v>329</c:v>
                </c:pt>
                <c:pt idx="58">
                  <c:v>342</c:v>
                </c:pt>
                <c:pt idx="59">
                  <c:v>361</c:v>
                </c:pt>
                <c:pt idx="60">
                  <c:v>384</c:v>
                </c:pt>
                <c:pt idx="61">
                  <c:v>409</c:v>
                </c:pt>
                <c:pt idx="62">
                  <c:v>436</c:v>
                </c:pt>
                <c:pt idx="63">
                  <c:v>392</c:v>
                </c:pt>
                <c:pt idx="64">
                  <c:v>368</c:v>
                </c:pt>
                <c:pt idx="65">
                  <c:v>346</c:v>
                </c:pt>
                <c:pt idx="66">
                  <c:v>325</c:v>
                </c:pt>
                <c:pt idx="67">
                  <c:v>308</c:v>
                </c:pt>
                <c:pt idx="68">
                  <c:v>296</c:v>
                </c:pt>
                <c:pt idx="70">
                  <c:v>320</c:v>
                </c:pt>
                <c:pt idx="71">
                  <c:v>356</c:v>
                </c:pt>
                <c:pt idx="72">
                  <c:v>380</c:v>
                </c:pt>
                <c:pt idx="73">
                  <c:v>406</c:v>
                </c:pt>
                <c:pt idx="74">
                  <c:v>433</c:v>
                </c:pt>
                <c:pt idx="75">
                  <c:v>462</c:v>
                </c:pt>
                <c:pt idx="76">
                  <c:v>492</c:v>
                </c:pt>
                <c:pt idx="77">
                  <c:v>443</c:v>
                </c:pt>
                <c:pt idx="78">
                  <c:v>416</c:v>
                </c:pt>
                <c:pt idx="79">
                  <c:v>390</c:v>
                </c:pt>
                <c:pt idx="80">
                  <c:v>365</c:v>
                </c:pt>
                <c:pt idx="81">
                  <c:v>342</c:v>
                </c:pt>
                <c:pt idx="82">
                  <c:v>320</c:v>
                </c:pt>
                <c:pt idx="84">
                  <c:v>377</c:v>
                </c:pt>
                <c:pt idx="85">
                  <c:v>419</c:v>
                </c:pt>
                <c:pt idx="86">
                  <c:v>450</c:v>
                </c:pt>
                <c:pt idx="87">
                  <c:v>481</c:v>
                </c:pt>
                <c:pt idx="88">
                  <c:v>513</c:v>
                </c:pt>
                <c:pt idx="89">
                  <c:v>534</c:v>
                </c:pt>
                <c:pt idx="90">
                  <c:v>554</c:v>
                </c:pt>
                <c:pt idx="91">
                  <c:v>499</c:v>
                </c:pt>
                <c:pt idx="92">
                  <c:v>481</c:v>
                </c:pt>
                <c:pt idx="93">
                  <c:v>462</c:v>
                </c:pt>
                <c:pt idx="94">
                  <c:v>433</c:v>
                </c:pt>
                <c:pt idx="95">
                  <c:v>405</c:v>
                </c:pt>
                <c:pt idx="96">
                  <c:v>377</c:v>
                </c:pt>
                <c:pt idx="98">
                  <c:v>390</c:v>
                </c:pt>
                <c:pt idx="99">
                  <c:v>433</c:v>
                </c:pt>
                <c:pt idx="100">
                  <c:v>466</c:v>
                </c:pt>
                <c:pt idx="101">
                  <c:v>502</c:v>
                </c:pt>
                <c:pt idx="102">
                  <c:v>538</c:v>
                </c:pt>
                <c:pt idx="103">
                  <c:v>575</c:v>
                </c:pt>
                <c:pt idx="104">
                  <c:v>614</c:v>
                </c:pt>
                <c:pt idx="105">
                  <c:v>553</c:v>
                </c:pt>
                <c:pt idx="106">
                  <c:v>518</c:v>
                </c:pt>
                <c:pt idx="107">
                  <c:v>484</c:v>
                </c:pt>
                <c:pt idx="108">
                  <c:v>452</c:v>
                </c:pt>
                <c:pt idx="109">
                  <c:v>419</c:v>
                </c:pt>
                <c:pt idx="110">
                  <c:v>390</c:v>
                </c:pt>
                <c:pt idx="112">
                  <c:v>444</c:v>
                </c:pt>
                <c:pt idx="113">
                  <c:v>493</c:v>
                </c:pt>
                <c:pt idx="114">
                  <c:v>531</c:v>
                </c:pt>
                <c:pt idx="115">
                  <c:v>571</c:v>
                </c:pt>
                <c:pt idx="116">
                  <c:v>611</c:v>
                </c:pt>
                <c:pt idx="117">
                  <c:v>655</c:v>
                </c:pt>
                <c:pt idx="118">
                  <c:v>698</c:v>
                </c:pt>
                <c:pt idx="119">
                  <c:v>628</c:v>
                </c:pt>
                <c:pt idx="120">
                  <c:v>590</c:v>
                </c:pt>
                <c:pt idx="121">
                  <c:v>550</c:v>
                </c:pt>
                <c:pt idx="122">
                  <c:v>514</c:v>
                </c:pt>
                <c:pt idx="123">
                  <c:v>478</c:v>
                </c:pt>
                <c:pt idx="124">
                  <c:v>444</c:v>
                </c:pt>
                <c:pt idx="126">
                  <c:v>525</c:v>
                </c:pt>
                <c:pt idx="127">
                  <c:v>583</c:v>
                </c:pt>
                <c:pt idx="128">
                  <c:v>628</c:v>
                </c:pt>
                <c:pt idx="129">
                  <c:v>675</c:v>
                </c:pt>
                <c:pt idx="130">
                  <c:v>722</c:v>
                </c:pt>
                <c:pt idx="131">
                  <c:v>772</c:v>
                </c:pt>
                <c:pt idx="132">
                  <c:v>825</c:v>
                </c:pt>
                <c:pt idx="133">
                  <c:v>743</c:v>
                </c:pt>
                <c:pt idx="134">
                  <c:v>695</c:v>
                </c:pt>
                <c:pt idx="135">
                  <c:v>650</c:v>
                </c:pt>
                <c:pt idx="136">
                  <c:v>608</c:v>
                </c:pt>
                <c:pt idx="137">
                  <c:v>565</c:v>
                </c:pt>
                <c:pt idx="138">
                  <c:v>525</c:v>
                </c:pt>
                <c:pt idx="140">
                  <c:v>617</c:v>
                </c:pt>
                <c:pt idx="141">
                  <c:v>686</c:v>
                </c:pt>
                <c:pt idx="142">
                  <c:v>739</c:v>
                </c:pt>
                <c:pt idx="143">
                  <c:v>793</c:v>
                </c:pt>
                <c:pt idx="144">
                  <c:v>849</c:v>
                </c:pt>
                <c:pt idx="145">
                  <c:v>910</c:v>
                </c:pt>
                <c:pt idx="146">
                  <c:v>971</c:v>
                </c:pt>
                <c:pt idx="147">
                  <c:v>874</c:v>
                </c:pt>
                <c:pt idx="148">
                  <c:v>819</c:v>
                </c:pt>
                <c:pt idx="149">
                  <c:v>764</c:v>
                </c:pt>
                <c:pt idx="150">
                  <c:v>714</c:v>
                </c:pt>
                <c:pt idx="151">
                  <c:v>665</c:v>
                </c:pt>
                <c:pt idx="152">
                  <c:v>617</c:v>
                </c:pt>
                <c:pt idx="154">
                  <c:v>735</c:v>
                </c:pt>
                <c:pt idx="155">
                  <c:v>817</c:v>
                </c:pt>
                <c:pt idx="156">
                  <c:v>880</c:v>
                </c:pt>
                <c:pt idx="157">
                  <c:v>945</c:v>
                </c:pt>
                <c:pt idx="158">
                  <c:v>1013</c:v>
                </c:pt>
                <c:pt idx="159">
                  <c:v>1083</c:v>
                </c:pt>
                <c:pt idx="160">
                  <c:v>1157</c:v>
                </c:pt>
                <c:pt idx="161">
                  <c:v>1041</c:v>
                </c:pt>
                <c:pt idx="162">
                  <c:v>975</c:v>
                </c:pt>
                <c:pt idx="163">
                  <c:v>912</c:v>
                </c:pt>
                <c:pt idx="164">
                  <c:v>851</c:v>
                </c:pt>
                <c:pt idx="165">
                  <c:v>792</c:v>
                </c:pt>
                <c:pt idx="166">
                  <c:v>735</c:v>
                </c:pt>
                <c:pt idx="168">
                  <c:v>857</c:v>
                </c:pt>
                <c:pt idx="169">
                  <c:v>952</c:v>
                </c:pt>
                <c:pt idx="170">
                  <c:v>1024</c:v>
                </c:pt>
                <c:pt idx="171">
                  <c:v>1100</c:v>
                </c:pt>
                <c:pt idx="172">
                  <c:v>1179</c:v>
                </c:pt>
                <c:pt idx="173">
                  <c:v>1261</c:v>
                </c:pt>
                <c:pt idx="174">
                  <c:v>1347</c:v>
                </c:pt>
                <c:pt idx="175">
                  <c:v>1212</c:v>
                </c:pt>
                <c:pt idx="176">
                  <c:v>1135</c:v>
                </c:pt>
                <c:pt idx="177">
                  <c:v>1061</c:v>
                </c:pt>
                <c:pt idx="178">
                  <c:v>990</c:v>
                </c:pt>
                <c:pt idx="179">
                  <c:v>922</c:v>
                </c:pt>
                <c:pt idx="180">
                  <c:v>857</c:v>
                </c:pt>
                <c:pt idx="184">
                  <c:v>1171</c:v>
                </c:pt>
                <c:pt idx="185">
                  <c:v>1301</c:v>
                </c:pt>
                <c:pt idx="186">
                  <c:v>1393</c:v>
                </c:pt>
                <c:pt idx="187">
                  <c:v>1491</c:v>
                </c:pt>
                <c:pt idx="188">
                  <c:v>1591</c:v>
                </c:pt>
                <c:pt idx="189">
                  <c:v>1432</c:v>
                </c:pt>
                <c:pt idx="190">
                  <c:v>1342</c:v>
                </c:pt>
                <c:pt idx="191">
                  <c:v>1254</c:v>
                </c:pt>
                <c:pt idx="192">
                  <c:v>1171</c:v>
                </c:pt>
                <c:pt idx="198">
                  <c:v>1331</c:v>
                </c:pt>
                <c:pt idx="199">
                  <c:v>1479</c:v>
                </c:pt>
                <c:pt idx="200">
                  <c:v>1536</c:v>
                </c:pt>
                <c:pt idx="201">
                  <c:v>1594</c:v>
                </c:pt>
                <c:pt idx="202">
                  <c:v>1653</c:v>
                </c:pt>
                <c:pt idx="203">
                  <c:v>1488</c:v>
                </c:pt>
                <c:pt idx="204">
                  <c:v>1435</c:v>
                </c:pt>
                <c:pt idx="205">
                  <c:v>1382</c:v>
                </c:pt>
                <c:pt idx="206">
                  <c:v>1331</c:v>
                </c:pt>
                <c:pt idx="214">
                  <c:v>1502</c:v>
                </c:pt>
                <c:pt idx="215">
                  <c:v>1669</c:v>
                </c:pt>
                <c:pt idx="216">
                  <c:v>1715</c:v>
                </c:pt>
                <c:pt idx="217">
                  <c:v>1544</c:v>
                </c:pt>
                <c:pt idx="218">
                  <c:v>1502</c:v>
                </c:pt>
              </c:numCache>
            </c:numRef>
          </c:yVal>
          <c:smooth val="0"/>
        </c:ser>
        <c:dLbls>
          <c:showLegendKey val="0"/>
          <c:showVal val="0"/>
          <c:showCatName val="0"/>
          <c:showSerName val="0"/>
          <c:showPercent val="0"/>
          <c:showBubbleSize val="0"/>
        </c:dLbls>
        <c:axId val="475653296"/>
        <c:axId val="475653688"/>
      </c:scatterChart>
      <c:valAx>
        <c:axId val="475653296"/>
        <c:scaling>
          <c:orientation val="minMax"/>
          <c:max val="18"/>
          <c:min val="1"/>
        </c:scaling>
        <c:delete val="0"/>
        <c:axPos val="b"/>
        <c:title>
          <c:tx>
            <c:rich>
              <a:bodyPr/>
              <a:lstStyle/>
              <a:p>
                <a:pPr>
                  <a:defRPr/>
                </a:pPr>
                <a:r>
                  <a:rPr lang="en-US"/>
                  <a:t>Mēnešalgu grupa</a:t>
                </a:r>
              </a:p>
            </c:rich>
          </c:tx>
          <c:overlay val="0"/>
        </c:title>
        <c:numFmt formatCode="General" sourceLinked="1"/>
        <c:majorTickMark val="out"/>
        <c:minorTickMark val="none"/>
        <c:tickLblPos val="nextTo"/>
        <c:crossAx val="475653688"/>
        <c:crosses val="autoZero"/>
        <c:crossBetween val="midCat"/>
        <c:majorUnit val="5"/>
        <c:minorUnit val="1.2"/>
      </c:valAx>
      <c:valAx>
        <c:axId val="475653688"/>
        <c:scaling>
          <c:orientation val="minMax"/>
          <c:max val="1800"/>
        </c:scaling>
        <c:delete val="0"/>
        <c:axPos val="l"/>
        <c:majorGridlines/>
        <c:title>
          <c:tx>
            <c:rich>
              <a:bodyPr rot="0" vert="horz"/>
              <a:lstStyle/>
              <a:p>
                <a:pPr>
                  <a:defRPr/>
                </a:pPr>
                <a:r>
                  <a:rPr lang="en-US"/>
                  <a:t>L</a:t>
                </a:r>
                <a:r>
                  <a:rPr lang="lv-LV"/>
                  <a:t>s</a:t>
                </a:r>
                <a:endParaRPr lang="en-US"/>
              </a:p>
            </c:rich>
          </c:tx>
          <c:layout>
            <c:manualLayout>
              <c:xMode val="edge"/>
              <c:yMode val="edge"/>
              <c:x val="3.6875303250849277E-2"/>
              <c:y val="1.1267451862634861E-2"/>
            </c:manualLayout>
          </c:layout>
          <c:overlay val="0"/>
        </c:title>
        <c:numFmt formatCode="General" sourceLinked="1"/>
        <c:majorTickMark val="out"/>
        <c:minorTickMark val="none"/>
        <c:tickLblPos val="nextTo"/>
        <c:crossAx val="475653296"/>
        <c:crosses val="autoZero"/>
        <c:crossBetween val="midCat"/>
      </c:valAx>
    </c:plotArea>
    <c:legend>
      <c:legendPos val="t"/>
      <c:overlay val="0"/>
    </c:legend>
    <c:plotVisOnly val="1"/>
    <c:dispBlanksAs val="gap"/>
    <c:showDLblsOverMax val="0"/>
  </c:chart>
  <c:txPr>
    <a:bodyPr/>
    <a:lstStyle/>
    <a:p>
      <a:pPr>
        <a:defRPr sz="1200">
          <a:latin typeface="Times New Roman" pitchFamily="18" charset="0"/>
          <a:cs typeface="Times New Roman" pitchFamily="18" charset="0"/>
        </a:defRPr>
      </a:pPr>
      <a:endParaRPr lang="lv-LV"/>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766573170179998"/>
          <c:y val="8.8015251290519625E-2"/>
          <c:w val="0.8192507528565276"/>
          <c:h val="0.80511267293634337"/>
        </c:manualLayout>
      </c:layout>
      <c:scatterChart>
        <c:scatterStyle val="lineMarker"/>
        <c:varyColors val="0"/>
        <c:ser>
          <c:idx val="0"/>
          <c:order val="0"/>
          <c:tx>
            <c:strRef>
              <c:f>'P30%'!$D$1</c:f>
              <c:strCache>
                <c:ptCount val="1"/>
                <c:pt idx="0">
                  <c:v>Esošā skala</c:v>
                </c:pt>
              </c:strCache>
            </c:strRef>
          </c:tx>
          <c:marker>
            <c:symbol val="none"/>
          </c:marker>
          <c:xVal>
            <c:numRef>
              <c:f>'P30%'!$C$2:$C$225</c:f>
              <c:numCache>
                <c:formatCode>General</c:formatCode>
                <c:ptCount val="224"/>
                <c:pt idx="0">
                  <c:v>1.1000000000000001</c:v>
                </c:pt>
                <c:pt idx="1">
                  <c:v>1.1000000000000001</c:v>
                </c:pt>
                <c:pt idx="2">
                  <c:v>1.2</c:v>
                </c:pt>
                <c:pt idx="3">
                  <c:v>1.3</c:v>
                </c:pt>
                <c:pt idx="4">
                  <c:v>1.4</c:v>
                </c:pt>
                <c:pt idx="5">
                  <c:v>1.5</c:v>
                </c:pt>
                <c:pt idx="6">
                  <c:v>1.6</c:v>
                </c:pt>
                <c:pt idx="7">
                  <c:v>1.6</c:v>
                </c:pt>
                <c:pt idx="8">
                  <c:v>1.5</c:v>
                </c:pt>
                <c:pt idx="9">
                  <c:v>1.4</c:v>
                </c:pt>
                <c:pt idx="10">
                  <c:v>1.3</c:v>
                </c:pt>
                <c:pt idx="11">
                  <c:v>1.2</c:v>
                </c:pt>
                <c:pt idx="12">
                  <c:v>1.1000000000000001</c:v>
                </c:pt>
                <c:pt idx="14">
                  <c:v>2.1</c:v>
                </c:pt>
                <c:pt idx="15">
                  <c:v>2.1</c:v>
                </c:pt>
                <c:pt idx="16">
                  <c:v>2.2000000000000002</c:v>
                </c:pt>
                <c:pt idx="17">
                  <c:v>2.2999999999999998</c:v>
                </c:pt>
                <c:pt idx="18">
                  <c:v>2.4</c:v>
                </c:pt>
                <c:pt idx="19">
                  <c:v>2.5</c:v>
                </c:pt>
                <c:pt idx="20">
                  <c:v>2.6</c:v>
                </c:pt>
                <c:pt idx="21">
                  <c:v>2.6</c:v>
                </c:pt>
                <c:pt idx="22">
                  <c:v>2.5</c:v>
                </c:pt>
                <c:pt idx="23">
                  <c:v>2.4</c:v>
                </c:pt>
                <c:pt idx="24">
                  <c:v>2.2999999999999998</c:v>
                </c:pt>
                <c:pt idx="25">
                  <c:v>2.2000000000000002</c:v>
                </c:pt>
                <c:pt idx="26">
                  <c:v>2.1</c:v>
                </c:pt>
                <c:pt idx="28">
                  <c:v>3.1</c:v>
                </c:pt>
                <c:pt idx="29">
                  <c:v>3.1</c:v>
                </c:pt>
                <c:pt idx="30">
                  <c:v>3.2</c:v>
                </c:pt>
                <c:pt idx="31">
                  <c:v>3.3</c:v>
                </c:pt>
                <c:pt idx="32">
                  <c:v>3.4</c:v>
                </c:pt>
                <c:pt idx="33">
                  <c:v>3.5</c:v>
                </c:pt>
                <c:pt idx="34">
                  <c:v>3.6</c:v>
                </c:pt>
                <c:pt idx="35">
                  <c:v>3.6</c:v>
                </c:pt>
                <c:pt idx="36">
                  <c:v>3.5</c:v>
                </c:pt>
                <c:pt idx="37">
                  <c:v>3.4</c:v>
                </c:pt>
                <c:pt idx="38">
                  <c:v>3.3</c:v>
                </c:pt>
                <c:pt idx="39">
                  <c:v>3.2</c:v>
                </c:pt>
                <c:pt idx="40">
                  <c:v>3.1</c:v>
                </c:pt>
                <c:pt idx="42">
                  <c:v>4.0999999999999996</c:v>
                </c:pt>
                <c:pt idx="43">
                  <c:v>4.0999999999999996</c:v>
                </c:pt>
                <c:pt idx="44">
                  <c:v>4.2</c:v>
                </c:pt>
                <c:pt idx="45">
                  <c:v>4.3</c:v>
                </c:pt>
                <c:pt idx="46">
                  <c:v>4.4000000000000004</c:v>
                </c:pt>
                <c:pt idx="47">
                  <c:v>4.5</c:v>
                </c:pt>
                <c:pt idx="48">
                  <c:v>4.5999999999999996</c:v>
                </c:pt>
                <c:pt idx="49">
                  <c:v>4.5999999999999996</c:v>
                </c:pt>
                <c:pt idx="50">
                  <c:v>4.5</c:v>
                </c:pt>
                <c:pt idx="51">
                  <c:v>4.4000000000000004</c:v>
                </c:pt>
                <c:pt idx="52">
                  <c:v>4.3</c:v>
                </c:pt>
                <c:pt idx="53">
                  <c:v>4.2</c:v>
                </c:pt>
                <c:pt idx="54">
                  <c:v>4.0999999999999996</c:v>
                </c:pt>
                <c:pt idx="56">
                  <c:v>5.0999999999999996</c:v>
                </c:pt>
                <c:pt idx="57">
                  <c:v>5.0999999999999996</c:v>
                </c:pt>
                <c:pt idx="58">
                  <c:v>5.2</c:v>
                </c:pt>
                <c:pt idx="59">
                  <c:v>5.3</c:v>
                </c:pt>
                <c:pt idx="60">
                  <c:v>5.4</c:v>
                </c:pt>
                <c:pt idx="61">
                  <c:v>5.5</c:v>
                </c:pt>
                <c:pt idx="62">
                  <c:v>5.6</c:v>
                </c:pt>
                <c:pt idx="63">
                  <c:v>5.6</c:v>
                </c:pt>
                <c:pt idx="64">
                  <c:v>5.5</c:v>
                </c:pt>
                <c:pt idx="65">
                  <c:v>5.4</c:v>
                </c:pt>
                <c:pt idx="66">
                  <c:v>5.3</c:v>
                </c:pt>
                <c:pt idx="67">
                  <c:v>5.2</c:v>
                </c:pt>
                <c:pt idx="68">
                  <c:v>5.0999999999999996</c:v>
                </c:pt>
                <c:pt idx="70">
                  <c:v>6.1</c:v>
                </c:pt>
                <c:pt idx="71">
                  <c:v>6.1</c:v>
                </c:pt>
                <c:pt idx="72">
                  <c:v>6.2</c:v>
                </c:pt>
                <c:pt idx="73">
                  <c:v>6.3</c:v>
                </c:pt>
                <c:pt idx="74">
                  <c:v>6.4</c:v>
                </c:pt>
                <c:pt idx="75">
                  <c:v>6.5</c:v>
                </c:pt>
                <c:pt idx="76">
                  <c:v>6.6</c:v>
                </c:pt>
                <c:pt idx="77">
                  <c:v>6.6</c:v>
                </c:pt>
                <c:pt idx="78">
                  <c:v>6.5</c:v>
                </c:pt>
                <c:pt idx="79">
                  <c:v>6.4</c:v>
                </c:pt>
                <c:pt idx="80">
                  <c:v>6.3</c:v>
                </c:pt>
                <c:pt idx="81">
                  <c:v>6.2</c:v>
                </c:pt>
                <c:pt idx="82">
                  <c:v>6.1</c:v>
                </c:pt>
                <c:pt idx="84">
                  <c:v>7.1</c:v>
                </c:pt>
                <c:pt idx="85">
                  <c:v>7.1</c:v>
                </c:pt>
                <c:pt idx="86">
                  <c:v>7.2</c:v>
                </c:pt>
                <c:pt idx="87">
                  <c:v>7.3</c:v>
                </c:pt>
                <c:pt idx="88">
                  <c:v>7.4</c:v>
                </c:pt>
                <c:pt idx="89">
                  <c:v>7.5</c:v>
                </c:pt>
                <c:pt idx="90">
                  <c:v>7.6</c:v>
                </c:pt>
                <c:pt idx="91">
                  <c:v>7.6</c:v>
                </c:pt>
                <c:pt idx="92">
                  <c:v>7.5</c:v>
                </c:pt>
                <c:pt idx="93">
                  <c:v>7.4</c:v>
                </c:pt>
                <c:pt idx="94">
                  <c:v>7.3</c:v>
                </c:pt>
                <c:pt idx="95">
                  <c:v>7.2</c:v>
                </c:pt>
                <c:pt idx="96">
                  <c:v>7.1</c:v>
                </c:pt>
                <c:pt idx="98">
                  <c:v>8.1</c:v>
                </c:pt>
                <c:pt idx="99">
                  <c:v>8.1</c:v>
                </c:pt>
                <c:pt idx="100">
                  <c:v>8.2000000000000011</c:v>
                </c:pt>
                <c:pt idx="101">
                  <c:v>8.3000000000000007</c:v>
                </c:pt>
                <c:pt idx="102">
                  <c:v>8.4</c:v>
                </c:pt>
                <c:pt idx="103">
                  <c:v>8.5</c:v>
                </c:pt>
                <c:pt idx="104">
                  <c:v>8.6</c:v>
                </c:pt>
                <c:pt idx="105">
                  <c:v>8.6</c:v>
                </c:pt>
                <c:pt idx="106">
                  <c:v>8.5</c:v>
                </c:pt>
                <c:pt idx="107">
                  <c:v>8.4</c:v>
                </c:pt>
                <c:pt idx="108">
                  <c:v>8.3000000000000007</c:v>
                </c:pt>
                <c:pt idx="109">
                  <c:v>8.2000000000000011</c:v>
                </c:pt>
                <c:pt idx="110">
                  <c:v>8.1</c:v>
                </c:pt>
                <c:pt idx="112">
                  <c:v>9.1</c:v>
                </c:pt>
                <c:pt idx="113">
                  <c:v>9.1</c:v>
                </c:pt>
                <c:pt idx="114">
                  <c:v>9.2000000000000011</c:v>
                </c:pt>
                <c:pt idx="115">
                  <c:v>9.3000000000000007</c:v>
                </c:pt>
                <c:pt idx="116">
                  <c:v>9.4</c:v>
                </c:pt>
                <c:pt idx="117">
                  <c:v>9.5</c:v>
                </c:pt>
                <c:pt idx="118">
                  <c:v>9.6</c:v>
                </c:pt>
                <c:pt idx="119">
                  <c:v>9.6</c:v>
                </c:pt>
                <c:pt idx="120">
                  <c:v>9.5</c:v>
                </c:pt>
                <c:pt idx="121">
                  <c:v>9.4</c:v>
                </c:pt>
                <c:pt idx="122">
                  <c:v>9.3000000000000007</c:v>
                </c:pt>
                <c:pt idx="123">
                  <c:v>9.2000000000000011</c:v>
                </c:pt>
                <c:pt idx="124">
                  <c:v>9.1</c:v>
                </c:pt>
                <c:pt idx="126">
                  <c:v>10.1</c:v>
                </c:pt>
                <c:pt idx="127">
                  <c:v>10.1</c:v>
                </c:pt>
                <c:pt idx="128">
                  <c:v>10.200000000000001</c:v>
                </c:pt>
                <c:pt idx="129">
                  <c:v>10.3</c:v>
                </c:pt>
                <c:pt idx="130">
                  <c:v>10.4</c:v>
                </c:pt>
                <c:pt idx="131">
                  <c:v>10.5</c:v>
                </c:pt>
                <c:pt idx="132">
                  <c:v>10.6</c:v>
                </c:pt>
                <c:pt idx="133">
                  <c:v>10.6</c:v>
                </c:pt>
                <c:pt idx="134">
                  <c:v>10.5</c:v>
                </c:pt>
                <c:pt idx="135">
                  <c:v>10.4</c:v>
                </c:pt>
                <c:pt idx="136">
                  <c:v>10.3</c:v>
                </c:pt>
                <c:pt idx="137">
                  <c:v>10.200000000000001</c:v>
                </c:pt>
                <c:pt idx="138">
                  <c:v>10.1</c:v>
                </c:pt>
                <c:pt idx="140">
                  <c:v>11.1</c:v>
                </c:pt>
                <c:pt idx="141">
                  <c:v>11.1</c:v>
                </c:pt>
                <c:pt idx="142">
                  <c:v>11.2</c:v>
                </c:pt>
                <c:pt idx="143">
                  <c:v>11.3</c:v>
                </c:pt>
                <c:pt idx="144">
                  <c:v>11.4</c:v>
                </c:pt>
                <c:pt idx="145">
                  <c:v>11.5</c:v>
                </c:pt>
                <c:pt idx="146">
                  <c:v>11.6</c:v>
                </c:pt>
                <c:pt idx="147">
                  <c:v>11.6</c:v>
                </c:pt>
                <c:pt idx="148">
                  <c:v>11.5</c:v>
                </c:pt>
                <c:pt idx="149">
                  <c:v>11.4</c:v>
                </c:pt>
                <c:pt idx="150">
                  <c:v>11.3</c:v>
                </c:pt>
                <c:pt idx="151">
                  <c:v>11.2</c:v>
                </c:pt>
                <c:pt idx="152">
                  <c:v>11.1</c:v>
                </c:pt>
                <c:pt idx="154">
                  <c:v>12.1</c:v>
                </c:pt>
                <c:pt idx="155">
                  <c:v>12.1</c:v>
                </c:pt>
                <c:pt idx="156">
                  <c:v>12.2</c:v>
                </c:pt>
                <c:pt idx="157">
                  <c:v>12.3</c:v>
                </c:pt>
                <c:pt idx="158">
                  <c:v>12.4</c:v>
                </c:pt>
                <c:pt idx="159">
                  <c:v>12.5</c:v>
                </c:pt>
                <c:pt idx="160">
                  <c:v>12.6</c:v>
                </c:pt>
                <c:pt idx="161">
                  <c:v>12.6</c:v>
                </c:pt>
                <c:pt idx="162">
                  <c:v>12.5</c:v>
                </c:pt>
                <c:pt idx="163">
                  <c:v>12.4</c:v>
                </c:pt>
                <c:pt idx="164">
                  <c:v>12.3</c:v>
                </c:pt>
                <c:pt idx="165">
                  <c:v>12.2</c:v>
                </c:pt>
                <c:pt idx="166">
                  <c:v>12.1</c:v>
                </c:pt>
                <c:pt idx="168">
                  <c:v>13.1</c:v>
                </c:pt>
                <c:pt idx="169">
                  <c:v>13.1</c:v>
                </c:pt>
                <c:pt idx="170">
                  <c:v>13.2</c:v>
                </c:pt>
                <c:pt idx="171">
                  <c:v>13.3</c:v>
                </c:pt>
                <c:pt idx="172">
                  <c:v>13.4</c:v>
                </c:pt>
                <c:pt idx="173">
                  <c:v>13.5</c:v>
                </c:pt>
                <c:pt idx="174">
                  <c:v>13.6</c:v>
                </c:pt>
                <c:pt idx="175">
                  <c:v>13.6</c:v>
                </c:pt>
                <c:pt idx="176">
                  <c:v>13.5</c:v>
                </c:pt>
                <c:pt idx="177">
                  <c:v>13.4</c:v>
                </c:pt>
                <c:pt idx="178">
                  <c:v>13.3</c:v>
                </c:pt>
                <c:pt idx="179">
                  <c:v>13.2</c:v>
                </c:pt>
                <c:pt idx="180">
                  <c:v>13.1</c:v>
                </c:pt>
                <c:pt idx="182">
                  <c:v>14.1</c:v>
                </c:pt>
                <c:pt idx="183">
                  <c:v>14.1</c:v>
                </c:pt>
                <c:pt idx="184">
                  <c:v>14.2</c:v>
                </c:pt>
                <c:pt idx="185">
                  <c:v>14.3</c:v>
                </c:pt>
                <c:pt idx="186">
                  <c:v>14.4</c:v>
                </c:pt>
                <c:pt idx="187">
                  <c:v>14.5</c:v>
                </c:pt>
                <c:pt idx="188">
                  <c:v>14.6</c:v>
                </c:pt>
                <c:pt idx="189">
                  <c:v>14.6</c:v>
                </c:pt>
                <c:pt idx="190">
                  <c:v>14.5</c:v>
                </c:pt>
                <c:pt idx="191">
                  <c:v>14.4</c:v>
                </c:pt>
                <c:pt idx="192">
                  <c:v>14.3</c:v>
                </c:pt>
                <c:pt idx="193">
                  <c:v>14.2</c:v>
                </c:pt>
                <c:pt idx="194">
                  <c:v>14.1</c:v>
                </c:pt>
                <c:pt idx="196">
                  <c:v>15.1</c:v>
                </c:pt>
                <c:pt idx="197">
                  <c:v>15.1</c:v>
                </c:pt>
                <c:pt idx="198">
                  <c:v>15.2</c:v>
                </c:pt>
                <c:pt idx="199">
                  <c:v>15.3</c:v>
                </c:pt>
                <c:pt idx="200">
                  <c:v>15.4</c:v>
                </c:pt>
                <c:pt idx="201">
                  <c:v>15.5</c:v>
                </c:pt>
                <c:pt idx="202">
                  <c:v>15.6</c:v>
                </c:pt>
                <c:pt idx="203">
                  <c:v>15.6</c:v>
                </c:pt>
                <c:pt idx="204">
                  <c:v>15.5</c:v>
                </c:pt>
                <c:pt idx="205">
                  <c:v>15.4</c:v>
                </c:pt>
                <c:pt idx="206">
                  <c:v>15.3</c:v>
                </c:pt>
                <c:pt idx="207">
                  <c:v>15.2</c:v>
                </c:pt>
                <c:pt idx="208">
                  <c:v>15.1</c:v>
                </c:pt>
                <c:pt idx="210">
                  <c:v>16.100000000000001</c:v>
                </c:pt>
                <c:pt idx="211">
                  <c:v>16.100000000000001</c:v>
                </c:pt>
                <c:pt idx="212">
                  <c:v>16.2</c:v>
                </c:pt>
                <c:pt idx="213">
                  <c:v>16.3</c:v>
                </c:pt>
                <c:pt idx="214">
                  <c:v>16.399999999999999</c:v>
                </c:pt>
                <c:pt idx="215">
                  <c:v>16.5</c:v>
                </c:pt>
                <c:pt idx="216">
                  <c:v>16.600000000000001</c:v>
                </c:pt>
                <c:pt idx="217">
                  <c:v>16.600000000000001</c:v>
                </c:pt>
                <c:pt idx="218">
                  <c:v>16.5</c:v>
                </c:pt>
                <c:pt idx="219">
                  <c:v>16.399999999999999</c:v>
                </c:pt>
                <c:pt idx="220">
                  <c:v>16.3</c:v>
                </c:pt>
                <c:pt idx="221">
                  <c:v>16.2</c:v>
                </c:pt>
                <c:pt idx="222">
                  <c:v>16.100000000000001</c:v>
                </c:pt>
              </c:numCache>
            </c:numRef>
          </c:xVal>
          <c:yVal>
            <c:numRef>
              <c:f>'P30%'!$D$2:$D$225</c:f>
              <c:numCache>
                <c:formatCode>General</c:formatCode>
                <c:ptCount val="224"/>
                <c:pt idx="0">
                  <c:v>200</c:v>
                </c:pt>
                <c:pt idx="1">
                  <c:v>200</c:v>
                </c:pt>
                <c:pt idx="2">
                  <c:v>210</c:v>
                </c:pt>
                <c:pt idx="3">
                  <c:v>212</c:v>
                </c:pt>
                <c:pt idx="4">
                  <c:v>215</c:v>
                </c:pt>
                <c:pt idx="5">
                  <c:v>219</c:v>
                </c:pt>
                <c:pt idx="6">
                  <c:v>224</c:v>
                </c:pt>
                <c:pt idx="7">
                  <c:v>213</c:v>
                </c:pt>
                <c:pt idx="8">
                  <c:v>209</c:v>
                </c:pt>
                <c:pt idx="9">
                  <c:v>206</c:v>
                </c:pt>
                <c:pt idx="10">
                  <c:v>204</c:v>
                </c:pt>
                <c:pt idx="11">
                  <c:v>202</c:v>
                </c:pt>
                <c:pt idx="12">
                  <c:v>200</c:v>
                </c:pt>
                <c:pt idx="14">
                  <c:v>202</c:v>
                </c:pt>
                <c:pt idx="15">
                  <c:v>207</c:v>
                </c:pt>
                <c:pt idx="16">
                  <c:v>218</c:v>
                </c:pt>
                <c:pt idx="17">
                  <c:v>229</c:v>
                </c:pt>
                <c:pt idx="18">
                  <c:v>241</c:v>
                </c:pt>
                <c:pt idx="19">
                  <c:v>256</c:v>
                </c:pt>
                <c:pt idx="20">
                  <c:v>260</c:v>
                </c:pt>
                <c:pt idx="21">
                  <c:v>218</c:v>
                </c:pt>
                <c:pt idx="22">
                  <c:v>214</c:v>
                </c:pt>
                <c:pt idx="23">
                  <c:v>210</c:v>
                </c:pt>
                <c:pt idx="24">
                  <c:v>207</c:v>
                </c:pt>
                <c:pt idx="25">
                  <c:v>204</c:v>
                </c:pt>
                <c:pt idx="26">
                  <c:v>202</c:v>
                </c:pt>
                <c:pt idx="28">
                  <c:v>204</c:v>
                </c:pt>
                <c:pt idx="29">
                  <c:v>229</c:v>
                </c:pt>
                <c:pt idx="30">
                  <c:v>244</c:v>
                </c:pt>
                <c:pt idx="31">
                  <c:v>259</c:v>
                </c:pt>
                <c:pt idx="32">
                  <c:v>274</c:v>
                </c:pt>
                <c:pt idx="33">
                  <c:v>288</c:v>
                </c:pt>
                <c:pt idx="34">
                  <c:v>302</c:v>
                </c:pt>
                <c:pt idx="35">
                  <c:v>221</c:v>
                </c:pt>
                <c:pt idx="36">
                  <c:v>217</c:v>
                </c:pt>
                <c:pt idx="37">
                  <c:v>213</c:v>
                </c:pt>
                <c:pt idx="38">
                  <c:v>209</c:v>
                </c:pt>
                <c:pt idx="39">
                  <c:v>206</c:v>
                </c:pt>
                <c:pt idx="40">
                  <c:v>204</c:v>
                </c:pt>
                <c:pt idx="42">
                  <c:v>206</c:v>
                </c:pt>
                <c:pt idx="43">
                  <c:v>252</c:v>
                </c:pt>
                <c:pt idx="44">
                  <c:v>271</c:v>
                </c:pt>
                <c:pt idx="45">
                  <c:v>291</c:v>
                </c:pt>
                <c:pt idx="46">
                  <c:v>312</c:v>
                </c:pt>
                <c:pt idx="47">
                  <c:v>334</c:v>
                </c:pt>
                <c:pt idx="48">
                  <c:v>358</c:v>
                </c:pt>
                <c:pt idx="49">
                  <c:v>225</c:v>
                </c:pt>
                <c:pt idx="50">
                  <c:v>220</c:v>
                </c:pt>
                <c:pt idx="51">
                  <c:v>216</c:v>
                </c:pt>
                <c:pt idx="52">
                  <c:v>212</c:v>
                </c:pt>
                <c:pt idx="53">
                  <c:v>209</c:v>
                </c:pt>
                <c:pt idx="54">
                  <c:v>206</c:v>
                </c:pt>
                <c:pt idx="56">
                  <c:v>208</c:v>
                </c:pt>
                <c:pt idx="57">
                  <c:v>285</c:v>
                </c:pt>
                <c:pt idx="58">
                  <c:v>306</c:v>
                </c:pt>
                <c:pt idx="59">
                  <c:v>329</c:v>
                </c:pt>
                <c:pt idx="60">
                  <c:v>353</c:v>
                </c:pt>
                <c:pt idx="61">
                  <c:v>378</c:v>
                </c:pt>
                <c:pt idx="62">
                  <c:v>403</c:v>
                </c:pt>
                <c:pt idx="63">
                  <c:v>229</c:v>
                </c:pt>
                <c:pt idx="64">
                  <c:v>224</c:v>
                </c:pt>
                <c:pt idx="65">
                  <c:v>219</c:v>
                </c:pt>
                <c:pt idx="66">
                  <c:v>215</c:v>
                </c:pt>
                <c:pt idx="67">
                  <c:v>211</c:v>
                </c:pt>
                <c:pt idx="68">
                  <c:v>208</c:v>
                </c:pt>
                <c:pt idx="70">
                  <c:v>210</c:v>
                </c:pt>
                <c:pt idx="71">
                  <c:v>330</c:v>
                </c:pt>
                <c:pt idx="72">
                  <c:v>355</c:v>
                </c:pt>
                <c:pt idx="73">
                  <c:v>382</c:v>
                </c:pt>
                <c:pt idx="74">
                  <c:v>409</c:v>
                </c:pt>
                <c:pt idx="75">
                  <c:v>438</c:v>
                </c:pt>
                <c:pt idx="76">
                  <c:v>467</c:v>
                </c:pt>
                <c:pt idx="77">
                  <c:v>231</c:v>
                </c:pt>
                <c:pt idx="78">
                  <c:v>226</c:v>
                </c:pt>
                <c:pt idx="79">
                  <c:v>221</c:v>
                </c:pt>
                <c:pt idx="80">
                  <c:v>217</c:v>
                </c:pt>
                <c:pt idx="81">
                  <c:v>213</c:v>
                </c:pt>
                <c:pt idx="82">
                  <c:v>210</c:v>
                </c:pt>
                <c:pt idx="84">
                  <c:v>213</c:v>
                </c:pt>
                <c:pt idx="85">
                  <c:v>372</c:v>
                </c:pt>
                <c:pt idx="86">
                  <c:v>401</c:v>
                </c:pt>
                <c:pt idx="87">
                  <c:v>431</c:v>
                </c:pt>
                <c:pt idx="88">
                  <c:v>461</c:v>
                </c:pt>
                <c:pt idx="89">
                  <c:v>494</c:v>
                </c:pt>
                <c:pt idx="90">
                  <c:v>527</c:v>
                </c:pt>
                <c:pt idx="91">
                  <c:v>237</c:v>
                </c:pt>
                <c:pt idx="92">
                  <c:v>230</c:v>
                </c:pt>
                <c:pt idx="93">
                  <c:v>224</c:v>
                </c:pt>
                <c:pt idx="94">
                  <c:v>220</c:v>
                </c:pt>
                <c:pt idx="95">
                  <c:v>216</c:v>
                </c:pt>
                <c:pt idx="96">
                  <c:v>213</c:v>
                </c:pt>
                <c:pt idx="98">
                  <c:v>217</c:v>
                </c:pt>
                <c:pt idx="99">
                  <c:v>433</c:v>
                </c:pt>
                <c:pt idx="100">
                  <c:v>466</c:v>
                </c:pt>
                <c:pt idx="101">
                  <c:v>502</c:v>
                </c:pt>
                <c:pt idx="102">
                  <c:v>538</c:v>
                </c:pt>
                <c:pt idx="103">
                  <c:v>575</c:v>
                </c:pt>
                <c:pt idx="104">
                  <c:v>614</c:v>
                </c:pt>
                <c:pt idx="105">
                  <c:v>249</c:v>
                </c:pt>
                <c:pt idx="106">
                  <c:v>238</c:v>
                </c:pt>
                <c:pt idx="107">
                  <c:v>230</c:v>
                </c:pt>
                <c:pt idx="108">
                  <c:v>225</c:v>
                </c:pt>
                <c:pt idx="109">
                  <c:v>221</c:v>
                </c:pt>
                <c:pt idx="110">
                  <c:v>217</c:v>
                </c:pt>
                <c:pt idx="112">
                  <c:v>221</c:v>
                </c:pt>
                <c:pt idx="113">
                  <c:v>493</c:v>
                </c:pt>
                <c:pt idx="114">
                  <c:v>531</c:v>
                </c:pt>
                <c:pt idx="115">
                  <c:v>571</c:v>
                </c:pt>
                <c:pt idx="116">
                  <c:v>611</c:v>
                </c:pt>
                <c:pt idx="117">
                  <c:v>655</c:v>
                </c:pt>
                <c:pt idx="118">
                  <c:v>698</c:v>
                </c:pt>
                <c:pt idx="119">
                  <c:v>262</c:v>
                </c:pt>
                <c:pt idx="120">
                  <c:v>251</c:v>
                </c:pt>
                <c:pt idx="121">
                  <c:v>240</c:v>
                </c:pt>
                <c:pt idx="122">
                  <c:v>232</c:v>
                </c:pt>
                <c:pt idx="123">
                  <c:v>226</c:v>
                </c:pt>
                <c:pt idx="124">
                  <c:v>221</c:v>
                </c:pt>
                <c:pt idx="126">
                  <c:v>228</c:v>
                </c:pt>
                <c:pt idx="127">
                  <c:v>583</c:v>
                </c:pt>
                <c:pt idx="128">
                  <c:v>628</c:v>
                </c:pt>
                <c:pt idx="129">
                  <c:v>675</c:v>
                </c:pt>
                <c:pt idx="130">
                  <c:v>722</c:v>
                </c:pt>
                <c:pt idx="131">
                  <c:v>772</c:v>
                </c:pt>
                <c:pt idx="132">
                  <c:v>825</c:v>
                </c:pt>
                <c:pt idx="133">
                  <c:v>303</c:v>
                </c:pt>
                <c:pt idx="134">
                  <c:v>276</c:v>
                </c:pt>
                <c:pt idx="135">
                  <c:v>253</c:v>
                </c:pt>
                <c:pt idx="136">
                  <c:v>242</c:v>
                </c:pt>
                <c:pt idx="137">
                  <c:v>234</c:v>
                </c:pt>
                <c:pt idx="138">
                  <c:v>228</c:v>
                </c:pt>
                <c:pt idx="140">
                  <c:v>238</c:v>
                </c:pt>
                <c:pt idx="141">
                  <c:v>686</c:v>
                </c:pt>
                <c:pt idx="142">
                  <c:v>739</c:v>
                </c:pt>
                <c:pt idx="143">
                  <c:v>793</c:v>
                </c:pt>
                <c:pt idx="144">
                  <c:v>849</c:v>
                </c:pt>
                <c:pt idx="145">
                  <c:v>910</c:v>
                </c:pt>
                <c:pt idx="146">
                  <c:v>971</c:v>
                </c:pt>
                <c:pt idx="147">
                  <c:v>355</c:v>
                </c:pt>
                <c:pt idx="148">
                  <c:v>327</c:v>
                </c:pt>
                <c:pt idx="149">
                  <c:v>297</c:v>
                </c:pt>
                <c:pt idx="150">
                  <c:v>271</c:v>
                </c:pt>
                <c:pt idx="151">
                  <c:v>247</c:v>
                </c:pt>
                <c:pt idx="152">
                  <c:v>238</c:v>
                </c:pt>
                <c:pt idx="154">
                  <c:v>281</c:v>
                </c:pt>
                <c:pt idx="155">
                  <c:v>817</c:v>
                </c:pt>
                <c:pt idx="156">
                  <c:v>880</c:v>
                </c:pt>
                <c:pt idx="157">
                  <c:v>945</c:v>
                </c:pt>
                <c:pt idx="158">
                  <c:v>1013</c:v>
                </c:pt>
                <c:pt idx="159">
                  <c:v>1083</c:v>
                </c:pt>
                <c:pt idx="160">
                  <c:v>1157</c:v>
                </c:pt>
                <c:pt idx="161">
                  <c:v>406</c:v>
                </c:pt>
                <c:pt idx="162">
                  <c:v>377</c:v>
                </c:pt>
                <c:pt idx="163">
                  <c:v>348</c:v>
                </c:pt>
                <c:pt idx="164">
                  <c:v>313</c:v>
                </c:pt>
                <c:pt idx="165">
                  <c:v>289</c:v>
                </c:pt>
                <c:pt idx="166">
                  <c:v>281</c:v>
                </c:pt>
                <c:pt idx="168">
                  <c:v>335</c:v>
                </c:pt>
                <c:pt idx="169">
                  <c:v>952</c:v>
                </c:pt>
                <c:pt idx="170">
                  <c:v>1024</c:v>
                </c:pt>
                <c:pt idx="171">
                  <c:v>1100</c:v>
                </c:pt>
                <c:pt idx="172">
                  <c:v>1179</c:v>
                </c:pt>
                <c:pt idx="173">
                  <c:v>1261</c:v>
                </c:pt>
                <c:pt idx="174">
                  <c:v>1347</c:v>
                </c:pt>
                <c:pt idx="175">
                  <c:v>484</c:v>
                </c:pt>
                <c:pt idx="176">
                  <c:v>440</c:v>
                </c:pt>
                <c:pt idx="177">
                  <c:v>411</c:v>
                </c:pt>
                <c:pt idx="178">
                  <c:v>370</c:v>
                </c:pt>
                <c:pt idx="179">
                  <c:v>345</c:v>
                </c:pt>
                <c:pt idx="180">
                  <c:v>335</c:v>
                </c:pt>
                <c:pt idx="184">
                  <c:v>507</c:v>
                </c:pt>
                <c:pt idx="185">
                  <c:v>1301</c:v>
                </c:pt>
                <c:pt idx="186">
                  <c:v>1393</c:v>
                </c:pt>
                <c:pt idx="187">
                  <c:v>1491</c:v>
                </c:pt>
                <c:pt idx="188">
                  <c:v>1591</c:v>
                </c:pt>
                <c:pt idx="189">
                  <c:v>572</c:v>
                </c:pt>
                <c:pt idx="190">
                  <c:v>548</c:v>
                </c:pt>
                <c:pt idx="191">
                  <c:v>527</c:v>
                </c:pt>
                <c:pt idx="192">
                  <c:v>507</c:v>
                </c:pt>
                <c:pt idx="198">
                  <c:v>657</c:v>
                </c:pt>
                <c:pt idx="199">
                  <c:v>1479</c:v>
                </c:pt>
                <c:pt idx="200">
                  <c:v>1536</c:v>
                </c:pt>
                <c:pt idx="201">
                  <c:v>1594</c:v>
                </c:pt>
                <c:pt idx="202">
                  <c:v>1653</c:v>
                </c:pt>
                <c:pt idx="203">
                  <c:v>738</c:v>
                </c:pt>
                <c:pt idx="204">
                  <c:v>710</c:v>
                </c:pt>
                <c:pt idx="205">
                  <c:v>683</c:v>
                </c:pt>
                <c:pt idx="206">
                  <c:v>657</c:v>
                </c:pt>
                <c:pt idx="214">
                  <c:v>877</c:v>
                </c:pt>
                <c:pt idx="215">
                  <c:v>1669</c:v>
                </c:pt>
                <c:pt idx="216">
                  <c:v>1715</c:v>
                </c:pt>
                <c:pt idx="217">
                  <c:v>912</c:v>
                </c:pt>
                <c:pt idx="218">
                  <c:v>877</c:v>
                </c:pt>
              </c:numCache>
            </c:numRef>
          </c:yVal>
          <c:smooth val="0"/>
        </c:ser>
        <c:ser>
          <c:idx val="1"/>
          <c:order val="1"/>
          <c:tx>
            <c:strRef>
              <c:f>'P30%'!$E$1</c:f>
              <c:strCache>
                <c:ptCount val="1"/>
                <c:pt idx="0">
                  <c:v>Jaunā skala</c:v>
                </c:pt>
              </c:strCache>
            </c:strRef>
          </c:tx>
          <c:marker>
            <c:symbol val="none"/>
          </c:marker>
          <c:xVal>
            <c:numRef>
              <c:f>'P30%'!$C$2:$C$225</c:f>
              <c:numCache>
                <c:formatCode>General</c:formatCode>
                <c:ptCount val="224"/>
                <c:pt idx="0">
                  <c:v>1.1000000000000001</c:v>
                </c:pt>
                <c:pt idx="1">
                  <c:v>1.1000000000000001</c:v>
                </c:pt>
                <c:pt idx="2">
                  <c:v>1.2</c:v>
                </c:pt>
                <c:pt idx="3">
                  <c:v>1.3</c:v>
                </c:pt>
                <c:pt idx="4">
                  <c:v>1.4</c:v>
                </c:pt>
                <c:pt idx="5">
                  <c:v>1.5</c:v>
                </c:pt>
                <c:pt idx="6">
                  <c:v>1.6</c:v>
                </c:pt>
                <c:pt idx="7">
                  <c:v>1.6</c:v>
                </c:pt>
                <c:pt idx="8">
                  <c:v>1.5</c:v>
                </c:pt>
                <c:pt idx="9">
                  <c:v>1.4</c:v>
                </c:pt>
                <c:pt idx="10">
                  <c:v>1.3</c:v>
                </c:pt>
                <c:pt idx="11">
                  <c:v>1.2</c:v>
                </c:pt>
                <c:pt idx="12">
                  <c:v>1.1000000000000001</c:v>
                </c:pt>
                <c:pt idx="14">
                  <c:v>2.1</c:v>
                </c:pt>
                <c:pt idx="15">
                  <c:v>2.1</c:v>
                </c:pt>
                <c:pt idx="16">
                  <c:v>2.2000000000000002</c:v>
                </c:pt>
                <c:pt idx="17">
                  <c:v>2.2999999999999998</c:v>
                </c:pt>
                <c:pt idx="18">
                  <c:v>2.4</c:v>
                </c:pt>
                <c:pt idx="19">
                  <c:v>2.5</c:v>
                </c:pt>
                <c:pt idx="20">
                  <c:v>2.6</c:v>
                </c:pt>
                <c:pt idx="21">
                  <c:v>2.6</c:v>
                </c:pt>
                <c:pt idx="22">
                  <c:v>2.5</c:v>
                </c:pt>
                <c:pt idx="23">
                  <c:v>2.4</c:v>
                </c:pt>
                <c:pt idx="24">
                  <c:v>2.2999999999999998</c:v>
                </c:pt>
                <c:pt idx="25">
                  <c:v>2.2000000000000002</c:v>
                </c:pt>
                <c:pt idx="26">
                  <c:v>2.1</c:v>
                </c:pt>
                <c:pt idx="28">
                  <c:v>3.1</c:v>
                </c:pt>
                <c:pt idx="29">
                  <c:v>3.1</c:v>
                </c:pt>
                <c:pt idx="30">
                  <c:v>3.2</c:v>
                </c:pt>
                <c:pt idx="31">
                  <c:v>3.3</c:v>
                </c:pt>
                <c:pt idx="32">
                  <c:v>3.4</c:v>
                </c:pt>
                <c:pt idx="33">
                  <c:v>3.5</c:v>
                </c:pt>
                <c:pt idx="34">
                  <c:v>3.6</c:v>
                </c:pt>
                <c:pt idx="35">
                  <c:v>3.6</c:v>
                </c:pt>
                <c:pt idx="36">
                  <c:v>3.5</c:v>
                </c:pt>
                <c:pt idx="37">
                  <c:v>3.4</c:v>
                </c:pt>
                <c:pt idx="38">
                  <c:v>3.3</c:v>
                </c:pt>
                <c:pt idx="39">
                  <c:v>3.2</c:v>
                </c:pt>
                <c:pt idx="40">
                  <c:v>3.1</c:v>
                </c:pt>
                <c:pt idx="42">
                  <c:v>4.0999999999999996</c:v>
                </c:pt>
                <c:pt idx="43">
                  <c:v>4.0999999999999996</c:v>
                </c:pt>
                <c:pt idx="44">
                  <c:v>4.2</c:v>
                </c:pt>
                <c:pt idx="45">
                  <c:v>4.3</c:v>
                </c:pt>
                <c:pt idx="46">
                  <c:v>4.4000000000000004</c:v>
                </c:pt>
                <c:pt idx="47">
                  <c:v>4.5</c:v>
                </c:pt>
                <c:pt idx="48">
                  <c:v>4.5999999999999996</c:v>
                </c:pt>
                <c:pt idx="49">
                  <c:v>4.5999999999999996</c:v>
                </c:pt>
                <c:pt idx="50">
                  <c:v>4.5</c:v>
                </c:pt>
                <c:pt idx="51">
                  <c:v>4.4000000000000004</c:v>
                </c:pt>
                <c:pt idx="52">
                  <c:v>4.3</c:v>
                </c:pt>
                <c:pt idx="53">
                  <c:v>4.2</c:v>
                </c:pt>
                <c:pt idx="54">
                  <c:v>4.0999999999999996</c:v>
                </c:pt>
                <c:pt idx="56">
                  <c:v>5.0999999999999996</c:v>
                </c:pt>
                <c:pt idx="57">
                  <c:v>5.0999999999999996</c:v>
                </c:pt>
                <c:pt idx="58">
                  <c:v>5.2</c:v>
                </c:pt>
                <c:pt idx="59">
                  <c:v>5.3</c:v>
                </c:pt>
                <c:pt idx="60">
                  <c:v>5.4</c:v>
                </c:pt>
                <c:pt idx="61">
                  <c:v>5.5</c:v>
                </c:pt>
                <c:pt idx="62">
                  <c:v>5.6</c:v>
                </c:pt>
                <c:pt idx="63">
                  <c:v>5.6</c:v>
                </c:pt>
                <c:pt idx="64">
                  <c:v>5.5</c:v>
                </c:pt>
                <c:pt idx="65">
                  <c:v>5.4</c:v>
                </c:pt>
                <c:pt idx="66">
                  <c:v>5.3</c:v>
                </c:pt>
                <c:pt idx="67">
                  <c:v>5.2</c:v>
                </c:pt>
                <c:pt idx="68">
                  <c:v>5.0999999999999996</c:v>
                </c:pt>
                <c:pt idx="70">
                  <c:v>6.1</c:v>
                </c:pt>
                <c:pt idx="71">
                  <c:v>6.1</c:v>
                </c:pt>
                <c:pt idx="72">
                  <c:v>6.2</c:v>
                </c:pt>
                <c:pt idx="73">
                  <c:v>6.3</c:v>
                </c:pt>
                <c:pt idx="74">
                  <c:v>6.4</c:v>
                </c:pt>
                <c:pt idx="75">
                  <c:v>6.5</c:v>
                </c:pt>
                <c:pt idx="76">
                  <c:v>6.6</c:v>
                </c:pt>
                <c:pt idx="77">
                  <c:v>6.6</c:v>
                </c:pt>
                <c:pt idx="78">
                  <c:v>6.5</c:v>
                </c:pt>
                <c:pt idx="79">
                  <c:v>6.4</c:v>
                </c:pt>
                <c:pt idx="80">
                  <c:v>6.3</c:v>
                </c:pt>
                <c:pt idx="81">
                  <c:v>6.2</c:v>
                </c:pt>
                <c:pt idx="82">
                  <c:v>6.1</c:v>
                </c:pt>
                <c:pt idx="84">
                  <c:v>7.1</c:v>
                </c:pt>
                <c:pt idx="85">
                  <c:v>7.1</c:v>
                </c:pt>
                <c:pt idx="86">
                  <c:v>7.2</c:v>
                </c:pt>
                <c:pt idx="87">
                  <c:v>7.3</c:v>
                </c:pt>
                <c:pt idx="88">
                  <c:v>7.4</c:v>
                </c:pt>
                <c:pt idx="89">
                  <c:v>7.5</c:v>
                </c:pt>
                <c:pt idx="90">
                  <c:v>7.6</c:v>
                </c:pt>
                <c:pt idx="91">
                  <c:v>7.6</c:v>
                </c:pt>
                <c:pt idx="92">
                  <c:v>7.5</c:v>
                </c:pt>
                <c:pt idx="93">
                  <c:v>7.4</c:v>
                </c:pt>
                <c:pt idx="94">
                  <c:v>7.3</c:v>
                </c:pt>
                <c:pt idx="95">
                  <c:v>7.2</c:v>
                </c:pt>
                <c:pt idx="96">
                  <c:v>7.1</c:v>
                </c:pt>
                <c:pt idx="98">
                  <c:v>8.1</c:v>
                </c:pt>
                <c:pt idx="99">
                  <c:v>8.1</c:v>
                </c:pt>
                <c:pt idx="100">
                  <c:v>8.2000000000000011</c:v>
                </c:pt>
                <c:pt idx="101">
                  <c:v>8.3000000000000007</c:v>
                </c:pt>
                <c:pt idx="102">
                  <c:v>8.4</c:v>
                </c:pt>
                <c:pt idx="103">
                  <c:v>8.5</c:v>
                </c:pt>
                <c:pt idx="104">
                  <c:v>8.6</c:v>
                </c:pt>
                <c:pt idx="105">
                  <c:v>8.6</c:v>
                </c:pt>
                <c:pt idx="106">
                  <c:v>8.5</c:v>
                </c:pt>
                <c:pt idx="107">
                  <c:v>8.4</c:v>
                </c:pt>
                <c:pt idx="108">
                  <c:v>8.3000000000000007</c:v>
                </c:pt>
                <c:pt idx="109">
                  <c:v>8.2000000000000011</c:v>
                </c:pt>
                <c:pt idx="110">
                  <c:v>8.1</c:v>
                </c:pt>
                <c:pt idx="112">
                  <c:v>9.1</c:v>
                </c:pt>
                <c:pt idx="113">
                  <c:v>9.1</c:v>
                </c:pt>
                <c:pt idx="114">
                  <c:v>9.2000000000000011</c:v>
                </c:pt>
                <c:pt idx="115">
                  <c:v>9.3000000000000007</c:v>
                </c:pt>
                <c:pt idx="116">
                  <c:v>9.4</c:v>
                </c:pt>
                <c:pt idx="117">
                  <c:v>9.5</c:v>
                </c:pt>
                <c:pt idx="118">
                  <c:v>9.6</c:v>
                </c:pt>
                <c:pt idx="119">
                  <c:v>9.6</c:v>
                </c:pt>
                <c:pt idx="120">
                  <c:v>9.5</c:v>
                </c:pt>
                <c:pt idx="121">
                  <c:v>9.4</c:v>
                </c:pt>
                <c:pt idx="122">
                  <c:v>9.3000000000000007</c:v>
                </c:pt>
                <c:pt idx="123">
                  <c:v>9.2000000000000011</c:v>
                </c:pt>
                <c:pt idx="124">
                  <c:v>9.1</c:v>
                </c:pt>
                <c:pt idx="126">
                  <c:v>10.1</c:v>
                </c:pt>
                <c:pt idx="127">
                  <c:v>10.1</c:v>
                </c:pt>
                <c:pt idx="128">
                  <c:v>10.200000000000001</c:v>
                </c:pt>
                <c:pt idx="129">
                  <c:v>10.3</c:v>
                </c:pt>
                <c:pt idx="130">
                  <c:v>10.4</c:v>
                </c:pt>
                <c:pt idx="131">
                  <c:v>10.5</c:v>
                </c:pt>
                <c:pt idx="132">
                  <c:v>10.6</c:v>
                </c:pt>
                <c:pt idx="133">
                  <c:v>10.6</c:v>
                </c:pt>
                <c:pt idx="134">
                  <c:v>10.5</c:v>
                </c:pt>
                <c:pt idx="135">
                  <c:v>10.4</c:v>
                </c:pt>
                <c:pt idx="136">
                  <c:v>10.3</c:v>
                </c:pt>
                <c:pt idx="137">
                  <c:v>10.200000000000001</c:v>
                </c:pt>
                <c:pt idx="138">
                  <c:v>10.1</c:v>
                </c:pt>
                <c:pt idx="140">
                  <c:v>11.1</c:v>
                </c:pt>
                <c:pt idx="141">
                  <c:v>11.1</c:v>
                </c:pt>
                <c:pt idx="142">
                  <c:v>11.2</c:v>
                </c:pt>
                <c:pt idx="143">
                  <c:v>11.3</c:v>
                </c:pt>
                <c:pt idx="144">
                  <c:v>11.4</c:v>
                </c:pt>
                <c:pt idx="145">
                  <c:v>11.5</c:v>
                </c:pt>
                <c:pt idx="146">
                  <c:v>11.6</c:v>
                </c:pt>
                <c:pt idx="147">
                  <c:v>11.6</c:v>
                </c:pt>
                <c:pt idx="148">
                  <c:v>11.5</c:v>
                </c:pt>
                <c:pt idx="149">
                  <c:v>11.4</c:v>
                </c:pt>
                <c:pt idx="150">
                  <c:v>11.3</c:v>
                </c:pt>
                <c:pt idx="151">
                  <c:v>11.2</c:v>
                </c:pt>
                <c:pt idx="152">
                  <c:v>11.1</c:v>
                </c:pt>
                <c:pt idx="154">
                  <c:v>12.1</c:v>
                </c:pt>
                <c:pt idx="155">
                  <c:v>12.1</c:v>
                </c:pt>
                <c:pt idx="156">
                  <c:v>12.2</c:v>
                </c:pt>
                <c:pt idx="157">
                  <c:v>12.3</c:v>
                </c:pt>
                <c:pt idx="158">
                  <c:v>12.4</c:v>
                </c:pt>
                <c:pt idx="159">
                  <c:v>12.5</c:v>
                </c:pt>
                <c:pt idx="160">
                  <c:v>12.6</c:v>
                </c:pt>
                <c:pt idx="161">
                  <c:v>12.6</c:v>
                </c:pt>
                <c:pt idx="162">
                  <c:v>12.5</c:v>
                </c:pt>
                <c:pt idx="163">
                  <c:v>12.4</c:v>
                </c:pt>
                <c:pt idx="164">
                  <c:v>12.3</c:v>
                </c:pt>
                <c:pt idx="165">
                  <c:v>12.2</c:v>
                </c:pt>
                <c:pt idx="166">
                  <c:v>12.1</c:v>
                </c:pt>
                <c:pt idx="168">
                  <c:v>13.1</c:v>
                </c:pt>
                <c:pt idx="169">
                  <c:v>13.1</c:v>
                </c:pt>
                <c:pt idx="170">
                  <c:v>13.2</c:v>
                </c:pt>
                <c:pt idx="171">
                  <c:v>13.3</c:v>
                </c:pt>
                <c:pt idx="172">
                  <c:v>13.4</c:v>
                </c:pt>
                <c:pt idx="173">
                  <c:v>13.5</c:v>
                </c:pt>
                <c:pt idx="174">
                  <c:v>13.6</c:v>
                </c:pt>
                <c:pt idx="175">
                  <c:v>13.6</c:v>
                </c:pt>
                <c:pt idx="176">
                  <c:v>13.5</c:v>
                </c:pt>
                <c:pt idx="177">
                  <c:v>13.4</c:v>
                </c:pt>
                <c:pt idx="178">
                  <c:v>13.3</c:v>
                </c:pt>
                <c:pt idx="179">
                  <c:v>13.2</c:v>
                </c:pt>
                <c:pt idx="180">
                  <c:v>13.1</c:v>
                </c:pt>
                <c:pt idx="182">
                  <c:v>14.1</c:v>
                </c:pt>
                <c:pt idx="183">
                  <c:v>14.1</c:v>
                </c:pt>
                <c:pt idx="184">
                  <c:v>14.2</c:v>
                </c:pt>
                <c:pt idx="185">
                  <c:v>14.3</c:v>
                </c:pt>
                <c:pt idx="186">
                  <c:v>14.4</c:v>
                </c:pt>
                <c:pt idx="187">
                  <c:v>14.5</c:v>
                </c:pt>
                <c:pt idx="188">
                  <c:v>14.6</c:v>
                </c:pt>
                <c:pt idx="189">
                  <c:v>14.6</c:v>
                </c:pt>
                <c:pt idx="190">
                  <c:v>14.5</c:v>
                </c:pt>
                <c:pt idx="191">
                  <c:v>14.4</c:v>
                </c:pt>
                <c:pt idx="192">
                  <c:v>14.3</c:v>
                </c:pt>
                <c:pt idx="193">
                  <c:v>14.2</c:v>
                </c:pt>
                <c:pt idx="194">
                  <c:v>14.1</c:v>
                </c:pt>
                <c:pt idx="196">
                  <c:v>15.1</c:v>
                </c:pt>
                <c:pt idx="197">
                  <c:v>15.1</c:v>
                </c:pt>
                <c:pt idx="198">
                  <c:v>15.2</c:v>
                </c:pt>
                <c:pt idx="199">
                  <c:v>15.3</c:v>
                </c:pt>
                <c:pt idx="200">
                  <c:v>15.4</c:v>
                </c:pt>
                <c:pt idx="201">
                  <c:v>15.5</c:v>
                </c:pt>
                <c:pt idx="202">
                  <c:v>15.6</c:v>
                </c:pt>
                <c:pt idx="203">
                  <c:v>15.6</c:v>
                </c:pt>
                <c:pt idx="204">
                  <c:v>15.5</c:v>
                </c:pt>
                <c:pt idx="205">
                  <c:v>15.4</c:v>
                </c:pt>
                <c:pt idx="206">
                  <c:v>15.3</c:v>
                </c:pt>
                <c:pt idx="207">
                  <c:v>15.2</c:v>
                </c:pt>
                <c:pt idx="208">
                  <c:v>15.1</c:v>
                </c:pt>
                <c:pt idx="210">
                  <c:v>16.100000000000001</c:v>
                </c:pt>
                <c:pt idx="211">
                  <c:v>16.100000000000001</c:v>
                </c:pt>
                <c:pt idx="212">
                  <c:v>16.2</c:v>
                </c:pt>
                <c:pt idx="213">
                  <c:v>16.3</c:v>
                </c:pt>
                <c:pt idx="214">
                  <c:v>16.399999999999999</c:v>
                </c:pt>
                <c:pt idx="215">
                  <c:v>16.5</c:v>
                </c:pt>
                <c:pt idx="216">
                  <c:v>16.600000000000001</c:v>
                </c:pt>
                <c:pt idx="217">
                  <c:v>16.600000000000001</c:v>
                </c:pt>
                <c:pt idx="218">
                  <c:v>16.5</c:v>
                </c:pt>
                <c:pt idx="219">
                  <c:v>16.399999999999999</c:v>
                </c:pt>
                <c:pt idx="220">
                  <c:v>16.3</c:v>
                </c:pt>
                <c:pt idx="221">
                  <c:v>16.2</c:v>
                </c:pt>
                <c:pt idx="222">
                  <c:v>16.100000000000001</c:v>
                </c:pt>
              </c:numCache>
            </c:numRef>
          </c:xVal>
          <c:yVal>
            <c:numRef>
              <c:f>'P30%'!$E$2:$E$225</c:f>
              <c:numCache>
                <c:formatCode>General</c:formatCode>
                <c:ptCount val="224"/>
                <c:pt idx="0">
                  <c:v>225</c:v>
                </c:pt>
                <c:pt idx="1">
                  <c:v>241</c:v>
                </c:pt>
                <c:pt idx="2">
                  <c:v>243</c:v>
                </c:pt>
                <c:pt idx="3">
                  <c:v>245</c:v>
                </c:pt>
                <c:pt idx="4">
                  <c:v>247</c:v>
                </c:pt>
                <c:pt idx="5">
                  <c:v>251</c:v>
                </c:pt>
                <c:pt idx="6">
                  <c:v>255</c:v>
                </c:pt>
                <c:pt idx="7">
                  <c:v>238</c:v>
                </c:pt>
                <c:pt idx="8">
                  <c:v>234</c:v>
                </c:pt>
                <c:pt idx="9">
                  <c:v>231</c:v>
                </c:pt>
                <c:pt idx="10">
                  <c:v>229</c:v>
                </c:pt>
                <c:pt idx="11">
                  <c:v>227</c:v>
                </c:pt>
                <c:pt idx="12">
                  <c:v>225</c:v>
                </c:pt>
                <c:pt idx="14">
                  <c:v>227</c:v>
                </c:pt>
                <c:pt idx="15">
                  <c:v>257</c:v>
                </c:pt>
                <c:pt idx="16">
                  <c:v>259</c:v>
                </c:pt>
                <c:pt idx="17">
                  <c:v>263</c:v>
                </c:pt>
                <c:pt idx="18">
                  <c:v>266</c:v>
                </c:pt>
                <c:pt idx="19">
                  <c:v>271</c:v>
                </c:pt>
                <c:pt idx="20">
                  <c:v>275</c:v>
                </c:pt>
                <c:pt idx="21">
                  <c:v>243</c:v>
                </c:pt>
                <c:pt idx="22">
                  <c:v>239</c:v>
                </c:pt>
                <c:pt idx="23">
                  <c:v>235</c:v>
                </c:pt>
                <c:pt idx="24">
                  <c:v>232</c:v>
                </c:pt>
                <c:pt idx="25">
                  <c:v>229</c:v>
                </c:pt>
                <c:pt idx="26">
                  <c:v>227</c:v>
                </c:pt>
                <c:pt idx="28">
                  <c:v>229</c:v>
                </c:pt>
                <c:pt idx="29">
                  <c:v>274</c:v>
                </c:pt>
                <c:pt idx="30">
                  <c:v>277</c:v>
                </c:pt>
                <c:pt idx="31">
                  <c:v>281</c:v>
                </c:pt>
                <c:pt idx="32">
                  <c:v>285</c:v>
                </c:pt>
                <c:pt idx="33">
                  <c:v>290</c:v>
                </c:pt>
                <c:pt idx="34">
                  <c:v>302</c:v>
                </c:pt>
                <c:pt idx="35">
                  <c:v>246</c:v>
                </c:pt>
                <c:pt idx="36">
                  <c:v>242</c:v>
                </c:pt>
                <c:pt idx="37">
                  <c:v>238</c:v>
                </c:pt>
                <c:pt idx="38">
                  <c:v>234</c:v>
                </c:pt>
                <c:pt idx="39">
                  <c:v>231</c:v>
                </c:pt>
                <c:pt idx="40">
                  <c:v>229</c:v>
                </c:pt>
                <c:pt idx="42">
                  <c:v>231</c:v>
                </c:pt>
                <c:pt idx="43">
                  <c:v>291</c:v>
                </c:pt>
                <c:pt idx="44">
                  <c:v>295</c:v>
                </c:pt>
                <c:pt idx="45">
                  <c:v>299</c:v>
                </c:pt>
                <c:pt idx="46">
                  <c:v>312</c:v>
                </c:pt>
                <c:pt idx="47">
                  <c:v>334</c:v>
                </c:pt>
                <c:pt idx="48">
                  <c:v>358</c:v>
                </c:pt>
                <c:pt idx="49">
                  <c:v>251</c:v>
                </c:pt>
                <c:pt idx="50">
                  <c:v>245</c:v>
                </c:pt>
                <c:pt idx="51">
                  <c:v>241</c:v>
                </c:pt>
                <c:pt idx="52">
                  <c:v>237</c:v>
                </c:pt>
                <c:pt idx="53">
                  <c:v>234</c:v>
                </c:pt>
                <c:pt idx="54">
                  <c:v>231</c:v>
                </c:pt>
                <c:pt idx="56">
                  <c:v>233</c:v>
                </c:pt>
                <c:pt idx="57">
                  <c:v>290</c:v>
                </c:pt>
                <c:pt idx="58">
                  <c:v>306</c:v>
                </c:pt>
                <c:pt idx="59">
                  <c:v>329</c:v>
                </c:pt>
                <c:pt idx="60">
                  <c:v>353</c:v>
                </c:pt>
                <c:pt idx="61">
                  <c:v>378</c:v>
                </c:pt>
                <c:pt idx="62">
                  <c:v>403</c:v>
                </c:pt>
                <c:pt idx="63">
                  <c:v>282</c:v>
                </c:pt>
                <c:pt idx="64">
                  <c:v>265</c:v>
                </c:pt>
                <c:pt idx="65">
                  <c:v>247</c:v>
                </c:pt>
                <c:pt idx="66">
                  <c:v>240</c:v>
                </c:pt>
                <c:pt idx="67">
                  <c:v>236</c:v>
                </c:pt>
                <c:pt idx="68">
                  <c:v>233</c:v>
                </c:pt>
                <c:pt idx="70">
                  <c:v>235</c:v>
                </c:pt>
                <c:pt idx="71">
                  <c:v>330</c:v>
                </c:pt>
                <c:pt idx="72">
                  <c:v>355</c:v>
                </c:pt>
                <c:pt idx="73">
                  <c:v>382</c:v>
                </c:pt>
                <c:pt idx="74">
                  <c:v>409</c:v>
                </c:pt>
                <c:pt idx="75">
                  <c:v>438</c:v>
                </c:pt>
                <c:pt idx="76">
                  <c:v>467</c:v>
                </c:pt>
                <c:pt idx="77">
                  <c:v>327</c:v>
                </c:pt>
                <c:pt idx="78">
                  <c:v>307</c:v>
                </c:pt>
                <c:pt idx="79">
                  <c:v>286</c:v>
                </c:pt>
                <c:pt idx="80">
                  <c:v>267</c:v>
                </c:pt>
                <c:pt idx="81">
                  <c:v>249</c:v>
                </c:pt>
                <c:pt idx="82">
                  <c:v>235</c:v>
                </c:pt>
                <c:pt idx="84">
                  <c:v>260</c:v>
                </c:pt>
                <c:pt idx="85">
                  <c:v>372</c:v>
                </c:pt>
                <c:pt idx="86">
                  <c:v>401</c:v>
                </c:pt>
                <c:pt idx="87">
                  <c:v>431</c:v>
                </c:pt>
                <c:pt idx="88">
                  <c:v>461</c:v>
                </c:pt>
                <c:pt idx="89">
                  <c:v>494</c:v>
                </c:pt>
                <c:pt idx="90">
                  <c:v>527</c:v>
                </c:pt>
                <c:pt idx="91">
                  <c:v>369</c:v>
                </c:pt>
                <c:pt idx="92">
                  <c:v>346</c:v>
                </c:pt>
                <c:pt idx="93">
                  <c:v>323</c:v>
                </c:pt>
                <c:pt idx="94">
                  <c:v>302</c:v>
                </c:pt>
                <c:pt idx="95">
                  <c:v>281</c:v>
                </c:pt>
                <c:pt idx="96">
                  <c:v>260</c:v>
                </c:pt>
                <c:pt idx="98">
                  <c:v>303</c:v>
                </c:pt>
                <c:pt idx="99">
                  <c:v>433</c:v>
                </c:pt>
                <c:pt idx="100">
                  <c:v>466</c:v>
                </c:pt>
                <c:pt idx="101">
                  <c:v>502</c:v>
                </c:pt>
                <c:pt idx="102">
                  <c:v>538</c:v>
                </c:pt>
                <c:pt idx="103">
                  <c:v>575</c:v>
                </c:pt>
                <c:pt idx="104">
                  <c:v>614</c:v>
                </c:pt>
                <c:pt idx="105">
                  <c:v>430</c:v>
                </c:pt>
                <c:pt idx="106">
                  <c:v>403</c:v>
                </c:pt>
                <c:pt idx="107">
                  <c:v>377</c:v>
                </c:pt>
                <c:pt idx="108">
                  <c:v>351</c:v>
                </c:pt>
                <c:pt idx="109">
                  <c:v>326</c:v>
                </c:pt>
                <c:pt idx="110">
                  <c:v>303</c:v>
                </c:pt>
                <c:pt idx="112">
                  <c:v>345</c:v>
                </c:pt>
                <c:pt idx="113">
                  <c:v>493</c:v>
                </c:pt>
                <c:pt idx="114">
                  <c:v>531</c:v>
                </c:pt>
                <c:pt idx="115">
                  <c:v>571</c:v>
                </c:pt>
                <c:pt idx="116">
                  <c:v>611</c:v>
                </c:pt>
                <c:pt idx="117">
                  <c:v>655</c:v>
                </c:pt>
                <c:pt idx="118">
                  <c:v>698</c:v>
                </c:pt>
                <c:pt idx="119">
                  <c:v>489</c:v>
                </c:pt>
                <c:pt idx="120">
                  <c:v>459</c:v>
                </c:pt>
                <c:pt idx="121">
                  <c:v>428</c:v>
                </c:pt>
                <c:pt idx="122">
                  <c:v>400</c:v>
                </c:pt>
                <c:pt idx="123">
                  <c:v>372</c:v>
                </c:pt>
                <c:pt idx="124">
                  <c:v>345</c:v>
                </c:pt>
                <c:pt idx="126">
                  <c:v>408</c:v>
                </c:pt>
                <c:pt idx="127">
                  <c:v>583</c:v>
                </c:pt>
                <c:pt idx="128">
                  <c:v>628</c:v>
                </c:pt>
                <c:pt idx="129">
                  <c:v>675</c:v>
                </c:pt>
                <c:pt idx="130">
                  <c:v>722</c:v>
                </c:pt>
                <c:pt idx="131">
                  <c:v>772</c:v>
                </c:pt>
                <c:pt idx="132">
                  <c:v>825</c:v>
                </c:pt>
                <c:pt idx="133">
                  <c:v>578</c:v>
                </c:pt>
                <c:pt idx="134">
                  <c:v>540</c:v>
                </c:pt>
                <c:pt idx="135">
                  <c:v>505</c:v>
                </c:pt>
                <c:pt idx="136">
                  <c:v>473</c:v>
                </c:pt>
                <c:pt idx="137">
                  <c:v>440</c:v>
                </c:pt>
                <c:pt idx="138">
                  <c:v>408</c:v>
                </c:pt>
                <c:pt idx="140">
                  <c:v>480</c:v>
                </c:pt>
                <c:pt idx="141">
                  <c:v>686</c:v>
                </c:pt>
                <c:pt idx="142">
                  <c:v>739</c:v>
                </c:pt>
                <c:pt idx="143">
                  <c:v>793</c:v>
                </c:pt>
                <c:pt idx="144">
                  <c:v>849</c:v>
                </c:pt>
                <c:pt idx="145">
                  <c:v>910</c:v>
                </c:pt>
                <c:pt idx="146">
                  <c:v>971</c:v>
                </c:pt>
                <c:pt idx="147">
                  <c:v>680</c:v>
                </c:pt>
                <c:pt idx="148">
                  <c:v>637</c:v>
                </c:pt>
                <c:pt idx="149">
                  <c:v>594</c:v>
                </c:pt>
                <c:pt idx="150">
                  <c:v>555</c:v>
                </c:pt>
                <c:pt idx="151">
                  <c:v>517</c:v>
                </c:pt>
                <c:pt idx="152">
                  <c:v>480</c:v>
                </c:pt>
                <c:pt idx="154">
                  <c:v>572</c:v>
                </c:pt>
                <c:pt idx="155">
                  <c:v>817</c:v>
                </c:pt>
                <c:pt idx="156">
                  <c:v>880</c:v>
                </c:pt>
                <c:pt idx="157">
                  <c:v>945</c:v>
                </c:pt>
                <c:pt idx="158">
                  <c:v>1013</c:v>
                </c:pt>
                <c:pt idx="159">
                  <c:v>1083</c:v>
                </c:pt>
                <c:pt idx="160">
                  <c:v>1157</c:v>
                </c:pt>
                <c:pt idx="161">
                  <c:v>810</c:v>
                </c:pt>
                <c:pt idx="162">
                  <c:v>758</c:v>
                </c:pt>
                <c:pt idx="163">
                  <c:v>709</c:v>
                </c:pt>
                <c:pt idx="164">
                  <c:v>662</c:v>
                </c:pt>
                <c:pt idx="165">
                  <c:v>616</c:v>
                </c:pt>
                <c:pt idx="166">
                  <c:v>572</c:v>
                </c:pt>
                <c:pt idx="168">
                  <c:v>666</c:v>
                </c:pt>
                <c:pt idx="169">
                  <c:v>952</c:v>
                </c:pt>
                <c:pt idx="170">
                  <c:v>1024</c:v>
                </c:pt>
                <c:pt idx="171">
                  <c:v>1100</c:v>
                </c:pt>
                <c:pt idx="172">
                  <c:v>1179</c:v>
                </c:pt>
                <c:pt idx="173">
                  <c:v>1261</c:v>
                </c:pt>
                <c:pt idx="174">
                  <c:v>1347</c:v>
                </c:pt>
                <c:pt idx="175">
                  <c:v>943</c:v>
                </c:pt>
                <c:pt idx="176">
                  <c:v>883</c:v>
                </c:pt>
                <c:pt idx="177">
                  <c:v>825</c:v>
                </c:pt>
                <c:pt idx="178">
                  <c:v>770</c:v>
                </c:pt>
                <c:pt idx="179">
                  <c:v>717</c:v>
                </c:pt>
                <c:pt idx="180">
                  <c:v>666</c:v>
                </c:pt>
                <c:pt idx="184">
                  <c:v>911</c:v>
                </c:pt>
                <c:pt idx="185">
                  <c:v>1301</c:v>
                </c:pt>
                <c:pt idx="186">
                  <c:v>1393</c:v>
                </c:pt>
                <c:pt idx="187">
                  <c:v>1491</c:v>
                </c:pt>
                <c:pt idx="188">
                  <c:v>1591</c:v>
                </c:pt>
                <c:pt idx="189">
                  <c:v>1114</c:v>
                </c:pt>
                <c:pt idx="190">
                  <c:v>1044</c:v>
                </c:pt>
                <c:pt idx="191">
                  <c:v>975</c:v>
                </c:pt>
                <c:pt idx="192">
                  <c:v>911</c:v>
                </c:pt>
                <c:pt idx="198">
                  <c:v>1035</c:v>
                </c:pt>
                <c:pt idx="199">
                  <c:v>1479</c:v>
                </c:pt>
                <c:pt idx="200">
                  <c:v>1536</c:v>
                </c:pt>
                <c:pt idx="201">
                  <c:v>1594</c:v>
                </c:pt>
                <c:pt idx="202">
                  <c:v>1653</c:v>
                </c:pt>
                <c:pt idx="203">
                  <c:v>1157</c:v>
                </c:pt>
                <c:pt idx="204">
                  <c:v>1116</c:v>
                </c:pt>
                <c:pt idx="205">
                  <c:v>1075</c:v>
                </c:pt>
                <c:pt idx="206">
                  <c:v>1035</c:v>
                </c:pt>
                <c:pt idx="214">
                  <c:v>1168</c:v>
                </c:pt>
                <c:pt idx="215">
                  <c:v>1669</c:v>
                </c:pt>
                <c:pt idx="216">
                  <c:v>1715</c:v>
                </c:pt>
                <c:pt idx="217">
                  <c:v>1201</c:v>
                </c:pt>
                <c:pt idx="218">
                  <c:v>1168</c:v>
                </c:pt>
              </c:numCache>
            </c:numRef>
          </c:yVal>
          <c:smooth val="0"/>
        </c:ser>
        <c:dLbls>
          <c:showLegendKey val="0"/>
          <c:showVal val="0"/>
          <c:showCatName val="0"/>
          <c:showSerName val="0"/>
          <c:showPercent val="0"/>
          <c:showBubbleSize val="0"/>
        </c:dLbls>
        <c:axId val="475654472"/>
        <c:axId val="475654864"/>
      </c:scatterChart>
      <c:valAx>
        <c:axId val="475654472"/>
        <c:scaling>
          <c:orientation val="minMax"/>
          <c:max val="18"/>
          <c:min val="1"/>
        </c:scaling>
        <c:delete val="0"/>
        <c:axPos val="b"/>
        <c:title>
          <c:tx>
            <c:rich>
              <a:bodyPr/>
              <a:lstStyle/>
              <a:p>
                <a:pPr>
                  <a:defRPr/>
                </a:pPr>
                <a:r>
                  <a:rPr lang="en-US"/>
                  <a:t>Mēnešalgu grupa</a:t>
                </a:r>
              </a:p>
            </c:rich>
          </c:tx>
          <c:layout>
            <c:manualLayout>
              <c:xMode val="edge"/>
              <c:yMode val="edge"/>
              <c:x val="0.31773558405533753"/>
              <c:y val="0.94271099744245523"/>
            </c:manualLayout>
          </c:layout>
          <c:overlay val="0"/>
        </c:title>
        <c:numFmt formatCode="General" sourceLinked="1"/>
        <c:majorTickMark val="out"/>
        <c:minorTickMark val="none"/>
        <c:tickLblPos val="nextTo"/>
        <c:crossAx val="475654864"/>
        <c:crosses val="autoZero"/>
        <c:crossBetween val="midCat"/>
        <c:majorUnit val="5"/>
      </c:valAx>
      <c:valAx>
        <c:axId val="475654864"/>
        <c:scaling>
          <c:orientation val="minMax"/>
          <c:max val="1800"/>
        </c:scaling>
        <c:delete val="0"/>
        <c:axPos val="l"/>
        <c:majorGridlines/>
        <c:title>
          <c:tx>
            <c:rich>
              <a:bodyPr rot="0" vert="horz"/>
              <a:lstStyle/>
              <a:p>
                <a:pPr>
                  <a:defRPr/>
                </a:pPr>
                <a:r>
                  <a:rPr lang="en-US"/>
                  <a:t>Ls</a:t>
                </a:r>
              </a:p>
            </c:rich>
          </c:tx>
          <c:layout>
            <c:manualLayout>
              <c:xMode val="edge"/>
              <c:yMode val="edge"/>
              <c:x val="4.6838395977946423E-2"/>
              <c:y val="1.6491931199786303E-2"/>
            </c:manualLayout>
          </c:layout>
          <c:overlay val="0"/>
        </c:title>
        <c:numFmt formatCode="General" sourceLinked="1"/>
        <c:majorTickMark val="out"/>
        <c:minorTickMark val="none"/>
        <c:tickLblPos val="nextTo"/>
        <c:crossAx val="475654472"/>
        <c:crosses val="autoZero"/>
        <c:crossBetween val="midCat"/>
      </c:valAx>
    </c:plotArea>
    <c:legend>
      <c:legendPos val="t"/>
      <c:overlay val="0"/>
    </c:legend>
    <c:plotVisOnly val="1"/>
    <c:dispBlanksAs val="gap"/>
    <c:showDLblsOverMax val="0"/>
  </c:chart>
  <c:txPr>
    <a:bodyPr/>
    <a:lstStyle/>
    <a:p>
      <a:pPr>
        <a:defRPr sz="1200">
          <a:latin typeface="Times New Roman" pitchFamily="18" charset="0"/>
          <a:cs typeface="Times New Roman" pitchFamily="18" charset="0"/>
        </a:defRPr>
      </a:pPr>
      <a:endParaRPr lang="lv-LV"/>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471018249688928E-2"/>
          <c:y val="0.11452211178538232"/>
          <c:w val="0.88930086063873914"/>
          <c:h val="0.73122585645671556"/>
        </c:manualLayout>
      </c:layout>
      <c:scatterChart>
        <c:scatterStyle val="lineMarker"/>
        <c:varyColors val="0"/>
        <c:ser>
          <c:idx val="0"/>
          <c:order val="0"/>
          <c:tx>
            <c:strRef>
              <c:f>Sheet1!$B$1</c:f>
              <c:strCache>
                <c:ptCount val="1"/>
                <c:pt idx="0">
                  <c:v>veca</c:v>
                </c:pt>
              </c:strCache>
            </c:strRef>
          </c:tx>
          <c:marker>
            <c:symbol val="none"/>
          </c:marker>
          <c:xVal>
            <c:numRef>
              <c:f>Sheet1!$A$2:$A$65</c:f>
              <c:numCache>
                <c:formatCode>General</c:formatCode>
                <c:ptCount val="64"/>
                <c:pt idx="0">
                  <c:v>1.1000000000000001</c:v>
                </c:pt>
                <c:pt idx="1">
                  <c:v>1.1000000000000001</c:v>
                </c:pt>
                <c:pt idx="2">
                  <c:v>1.2</c:v>
                </c:pt>
                <c:pt idx="3">
                  <c:v>1.3</c:v>
                </c:pt>
                <c:pt idx="4">
                  <c:v>1.4</c:v>
                </c:pt>
                <c:pt idx="5">
                  <c:v>1.5</c:v>
                </c:pt>
                <c:pt idx="6">
                  <c:v>1.6</c:v>
                </c:pt>
                <c:pt idx="7">
                  <c:v>1.6</c:v>
                </c:pt>
                <c:pt idx="8">
                  <c:v>1.5</c:v>
                </c:pt>
                <c:pt idx="9">
                  <c:v>1.4</c:v>
                </c:pt>
                <c:pt idx="10">
                  <c:v>1.3</c:v>
                </c:pt>
                <c:pt idx="11">
                  <c:v>1.2</c:v>
                </c:pt>
                <c:pt idx="12">
                  <c:v>1.1000000000000001</c:v>
                </c:pt>
                <c:pt idx="14">
                  <c:v>2.1</c:v>
                </c:pt>
                <c:pt idx="15">
                  <c:v>2.1</c:v>
                </c:pt>
                <c:pt idx="16">
                  <c:v>2.2000000000000002</c:v>
                </c:pt>
                <c:pt idx="17">
                  <c:v>2.2999999999999998</c:v>
                </c:pt>
                <c:pt idx="18">
                  <c:v>2.4</c:v>
                </c:pt>
                <c:pt idx="19">
                  <c:v>2.5</c:v>
                </c:pt>
                <c:pt idx="20">
                  <c:v>2.6</c:v>
                </c:pt>
                <c:pt idx="21">
                  <c:v>2.6</c:v>
                </c:pt>
                <c:pt idx="22">
                  <c:v>2.5</c:v>
                </c:pt>
                <c:pt idx="23">
                  <c:v>2.4</c:v>
                </c:pt>
                <c:pt idx="24">
                  <c:v>2.2999999999999998</c:v>
                </c:pt>
                <c:pt idx="25">
                  <c:v>2.2000000000000002</c:v>
                </c:pt>
                <c:pt idx="26">
                  <c:v>2.1</c:v>
                </c:pt>
                <c:pt idx="28">
                  <c:v>3.1</c:v>
                </c:pt>
                <c:pt idx="29">
                  <c:v>3.1</c:v>
                </c:pt>
                <c:pt idx="30">
                  <c:v>3.2</c:v>
                </c:pt>
                <c:pt idx="31">
                  <c:v>3.3</c:v>
                </c:pt>
                <c:pt idx="32">
                  <c:v>3.4</c:v>
                </c:pt>
                <c:pt idx="33">
                  <c:v>3.5</c:v>
                </c:pt>
                <c:pt idx="34">
                  <c:v>3.6</c:v>
                </c:pt>
                <c:pt idx="35">
                  <c:v>3.6</c:v>
                </c:pt>
                <c:pt idx="36">
                  <c:v>3.5</c:v>
                </c:pt>
                <c:pt idx="37">
                  <c:v>3.4</c:v>
                </c:pt>
                <c:pt idx="38">
                  <c:v>3.3</c:v>
                </c:pt>
                <c:pt idx="39">
                  <c:v>3.2</c:v>
                </c:pt>
                <c:pt idx="40">
                  <c:v>3.1</c:v>
                </c:pt>
                <c:pt idx="42">
                  <c:v>1.1000000000000001</c:v>
                </c:pt>
                <c:pt idx="43">
                  <c:v>1.1000000000000001</c:v>
                </c:pt>
                <c:pt idx="45">
                  <c:v>1.4</c:v>
                </c:pt>
                <c:pt idx="46">
                  <c:v>1.4</c:v>
                </c:pt>
                <c:pt idx="48">
                  <c:v>2.2999999999999998</c:v>
                </c:pt>
                <c:pt idx="49">
                  <c:v>2.2999999999999998</c:v>
                </c:pt>
                <c:pt idx="51">
                  <c:v>3.4</c:v>
                </c:pt>
                <c:pt idx="52">
                  <c:v>3.4</c:v>
                </c:pt>
                <c:pt idx="54">
                  <c:v>2.6</c:v>
                </c:pt>
                <c:pt idx="55">
                  <c:v>2.6</c:v>
                </c:pt>
                <c:pt idx="61">
                  <c:v>3.5</c:v>
                </c:pt>
              </c:numCache>
            </c:numRef>
          </c:xVal>
          <c:yVal>
            <c:numRef>
              <c:f>Sheet1!$B$2:$B$65</c:f>
              <c:numCache>
                <c:formatCode>General</c:formatCode>
                <c:ptCount val="64"/>
                <c:pt idx="0">
                  <c:v>200</c:v>
                </c:pt>
                <c:pt idx="1">
                  <c:v>200</c:v>
                </c:pt>
                <c:pt idx="2">
                  <c:v>210</c:v>
                </c:pt>
                <c:pt idx="3">
                  <c:v>212</c:v>
                </c:pt>
                <c:pt idx="4">
                  <c:v>215</c:v>
                </c:pt>
                <c:pt idx="5">
                  <c:v>219</c:v>
                </c:pt>
                <c:pt idx="6">
                  <c:v>224</c:v>
                </c:pt>
                <c:pt idx="7">
                  <c:v>213</c:v>
                </c:pt>
                <c:pt idx="8">
                  <c:v>209</c:v>
                </c:pt>
                <c:pt idx="9">
                  <c:v>206</c:v>
                </c:pt>
                <c:pt idx="10">
                  <c:v>204</c:v>
                </c:pt>
                <c:pt idx="11">
                  <c:v>202</c:v>
                </c:pt>
                <c:pt idx="12">
                  <c:v>200</c:v>
                </c:pt>
                <c:pt idx="14">
                  <c:v>202</c:v>
                </c:pt>
                <c:pt idx="15">
                  <c:v>207</c:v>
                </c:pt>
                <c:pt idx="16">
                  <c:v>218</c:v>
                </c:pt>
                <c:pt idx="17">
                  <c:v>229</c:v>
                </c:pt>
                <c:pt idx="18">
                  <c:v>241</c:v>
                </c:pt>
                <c:pt idx="19">
                  <c:v>256</c:v>
                </c:pt>
                <c:pt idx="20">
                  <c:v>260</c:v>
                </c:pt>
                <c:pt idx="21">
                  <c:v>218</c:v>
                </c:pt>
                <c:pt idx="22">
                  <c:v>214</c:v>
                </c:pt>
                <c:pt idx="23">
                  <c:v>210</c:v>
                </c:pt>
                <c:pt idx="24">
                  <c:v>207</c:v>
                </c:pt>
                <c:pt idx="25">
                  <c:v>204</c:v>
                </c:pt>
                <c:pt idx="26">
                  <c:v>202</c:v>
                </c:pt>
                <c:pt idx="28">
                  <c:v>204</c:v>
                </c:pt>
                <c:pt idx="29">
                  <c:v>229</c:v>
                </c:pt>
                <c:pt idx="30">
                  <c:v>244</c:v>
                </c:pt>
                <c:pt idx="31">
                  <c:v>259</c:v>
                </c:pt>
                <c:pt idx="32">
                  <c:v>274</c:v>
                </c:pt>
                <c:pt idx="33">
                  <c:v>288</c:v>
                </c:pt>
                <c:pt idx="34">
                  <c:v>302</c:v>
                </c:pt>
                <c:pt idx="35">
                  <c:v>221</c:v>
                </c:pt>
                <c:pt idx="36">
                  <c:v>217</c:v>
                </c:pt>
                <c:pt idx="37">
                  <c:v>213</c:v>
                </c:pt>
                <c:pt idx="38">
                  <c:v>209</c:v>
                </c:pt>
                <c:pt idx="39">
                  <c:v>206</c:v>
                </c:pt>
                <c:pt idx="40">
                  <c:v>204</c:v>
                </c:pt>
                <c:pt idx="62">
                  <c:v>0</c:v>
                </c:pt>
              </c:numCache>
            </c:numRef>
          </c:yVal>
          <c:smooth val="0"/>
        </c:ser>
        <c:ser>
          <c:idx val="1"/>
          <c:order val="1"/>
          <c:tx>
            <c:strRef>
              <c:f>Sheet1!$C$1</c:f>
              <c:strCache>
                <c:ptCount val="1"/>
                <c:pt idx="0">
                  <c:v>jauna</c:v>
                </c:pt>
              </c:strCache>
            </c:strRef>
          </c:tx>
          <c:marker>
            <c:symbol val="none"/>
          </c:marker>
          <c:xVal>
            <c:numRef>
              <c:f>Sheet1!$A$2:$A$65</c:f>
              <c:numCache>
                <c:formatCode>General</c:formatCode>
                <c:ptCount val="64"/>
                <c:pt idx="0">
                  <c:v>1.1000000000000001</c:v>
                </c:pt>
                <c:pt idx="1">
                  <c:v>1.1000000000000001</c:v>
                </c:pt>
                <c:pt idx="2">
                  <c:v>1.2</c:v>
                </c:pt>
                <c:pt idx="3">
                  <c:v>1.3</c:v>
                </c:pt>
                <c:pt idx="4">
                  <c:v>1.4</c:v>
                </c:pt>
                <c:pt idx="5">
                  <c:v>1.5</c:v>
                </c:pt>
                <c:pt idx="6">
                  <c:v>1.6</c:v>
                </c:pt>
                <c:pt idx="7">
                  <c:v>1.6</c:v>
                </c:pt>
                <c:pt idx="8">
                  <c:v>1.5</c:v>
                </c:pt>
                <c:pt idx="9">
                  <c:v>1.4</c:v>
                </c:pt>
                <c:pt idx="10">
                  <c:v>1.3</c:v>
                </c:pt>
                <c:pt idx="11">
                  <c:v>1.2</c:v>
                </c:pt>
                <c:pt idx="12">
                  <c:v>1.1000000000000001</c:v>
                </c:pt>
                <c:pt idx="14">
                  <c:v>2.1</c:v>
                </c:pt>
                <c:pt idx="15">
                  <c:v>2.1</c:v>
                </c:pt>
                <c:pt idx="16">
                  <c:v>2.2000000000000002</c:v>
                </c:pt>
                <c:pt idx="17">
                  <c:v>2.2999999999999998</c:v>
                </c:pt>
                <c:pt idx="18">
                  <c:v>2.4</c:v>
                </c:pt>
                <c:pt idx="19">
                  <c:v>2.5</c:v>
                </c:pt>
                <c:pt idx="20">
                  <c:v>2.6</c:v>
                </c:pt>
                <c:pt idx="21">
                  <c:v>2.6</c:v>
                </c:pt>
                <c:pt idx="22">
                  <c:v>2.5</c:v>
                </c:pt>
                <c:pt idx="23">
                  <c:v>2.4</c:v>
                </c:pt>
                <c:pt idx="24">
                  <c:v>2.2999999999999998</c:v>
                </c:pt>
                <c:pt idx="25">
                  <c:v>2.2000000000000002</c:v>
                </c:pt>
                <c:pt idx="26">
                  <c:v>2.1</c:v>
                </c:pt>
                <c:pt idx="28">
                  <c:v>3.1</c:v>
                </c:pt>
                <c:pt idx="29">
                  <c:v>3.1</c:v>
                </c:pt>
                <c:pt idx="30">
                  <c:v>3.2</c:v>
                </c:pt>
                <c:pt idx="31">
                  <c:v>3.3</c:v>
                </c:pt>
                <c:pt idx="32">
                  <c:v>3.4</c:v>
                </c:pt>
                <c:pt idx="33">
                  <c:v>3.5</c:v>
                </c:pt>
                <c:pt idx="34">
                  <c:v>3.6</c:v>
                </c:pt>
                <c:pt idx="35">
                  <c:v>3.6</c:v>
                </c:pt>
                <c:pt idx="36">
                  <c:v>3.5</c:v>
                </c:pt>
                <c:pt idx="37">
                  <c:v>3.4</c:v>
                </c:pt>
                <c:pt idx="38">
                  <c:v>3.3</c:v>
                </c:pt>
                <c:pt idx="39">
                  <c:v>3.2</c:v>
                </c:pt>
                <c:pt idx="40">
                  <c:v>3.1</c:v>
                </c:pt>
                <c:pt idx="42">
                  <c:v>1.1000000000000001</c:v>
                </c:pt>
                <c:pt idx="43">
                  <c:v>1.1000000000000001</c:v>
                </c:pt>
                <c:pt idx="45">
                  <c:v>1.4</c:v>
                </c:pt>
                <c:pt idx="46">
                  <c:v>1.4</c:v>
                </c:pt>
                <c:pt idx="48">
                  <c:v>2.2999999999999998</c:v>
                </c:pt>
                <c:pt idx="49">
                  <c:v>2.2999999999999998</c:v>
                </c:pt>
                <c:pt idx="51">
                  <c:v>3.4</c:v>
                </c:pt>
                <c:pt idx="52">
                  <c:v>3.4</c:v>
                </c:pt>
                <c:pt idx="54">
                  <c:v>2.6</c:v>
                </c:pt>
                <c:pt idx="55">
                  <c:v>2.6</c:v>
                </c:pt>
                <c:pt idx="61">
                  <c:v>3.5</c:v>
                </c:pt>
              </c:numCache>
            </c:numRef>
          </c:xVal>
          <c:yVal>
            <c:numRef>
              <c:f>Sheet1!$C$2:$C$65</c:f>
              <c:numCache>
                <c:formatCode>General</c:formatCode>
                <c:ptCount val="64"/>
                <c:pt idx="0">
                  <c:v>225</c:v>
                </c:pt>
                <c:pt idx="1">
                  <c:v>225</c:v>
                </c:pt>
                <c:pt idx="2">
                  <c:v>230</c:v>
                </c:pt>
                <c:pt idx="3">
                  <c:v>239</c:v>
                </c:pt>
                <c:pt idx="4">
                  <c:v>244</c:v>
                </c:pt>
                <c:pt idx="5">
                  <c:v>250</c:v>
                </c:pt>
                <c:pt idx="6">
                  <c:v>255</c:v>
                </c:pt>
                <c:pt idx="7">
                  <c:v>230</c:v>
                </c:pt>
                <c:pt idx="8">
                  <c:v>229</c:v>
                </c:pt>
                <c:pt idx="9">
                  <c:v>228</c:v>
                </c:pt>
                <c:pt idx="10">
                  <c:v>227</c:v>
                </c:pt>
                <c:pt idx="11">
                  <c:v>226</c:v>
                </c:pt>
                <c:pt idx="12">
                  <c:v>225</c:v>
                </c:pt>
                <c:pt idx="14">
                  <c:v>229</c:v>
                </c:pt>
                <c:pt idx="15">
                  <c:v>235</c:v>
                </c:pt>
                <c:pt idx="16">
                  <c:v>248</c:v>
                </c:pt>
                <c:pt idx="17">
                  <c:v>259</c:v>
                </c:pt>
                <c:pt idx="18">
                  <c:v>272</c:v>
                </c:pt>
                <c:pt idx="19">
                  <c:v>282</c:v>
                </c:pt>
                <c:pt idx="20">
                  <c:v>295</c:v>
                </c:pt>
                <c:pt idx="21">
                  <c:v>238</c:v>
                </c:pt>
                <c:pt idx="22">
                  <c:v>236</c:v>
                </c:pt>
                <c:pt idx="23">
                  <c:v>234</c:v>
                </c:pt>
                <c:pt idx="24">
                  <c:v>233</c:v>
                </c:pt>
                <c:pt idx="25">
                  <c:v>231</c:v>
                </c:pt>
                <c:pt idx="26">
                  <c:v>229</c:v>
                </c:pt>
                <c:pt idx="28">
                  <c:v>232</c:v>
                </c:pt>
                <c:pt idx="29">
                  <c:v>244</c:v>
                </c:pt>
                <c:pt idx="30">
                  <c:v>263</c:v>
                </c:pt>
                <c:pt idx="31">
                  <c:v>282</c:v>
                </c:pt>
                <c:pt idx="32">
                  <c:v>300</c:v>
                </c:pt>
                <c:pt idx="33">
                  <c:v>319</c:v>
                </c:pt>
                <c:pt idx="34">
                  <c:v>338</c:v>
                </c:pt>
                <c:pt idx="35">
                  <c:v>246</c:v>
                </c:pt>
                <c:pt idx="36">
                  <c:v>243</c:v>
                </c:pt>
                <c:pt idx="37">
                  <c:v>240</c:v>
                </c:pt>
                <c:pt idx="38">
                  <c:v>238</c:v>
                </c:pt>
                <c:pt idx="39">
                  <c:v>235</c:v>
                </c:pt>
                <c:pt idx="40">
                  <c:v>232</c:v>
                </c:pt>
              </c:numCache>
            </c:numRef>
          </c:yVal>
          <c:smooth val="0"/>
        </c:ser>
        <c:ser>
          <c:idx val="2"/>
          <c:order val="2"/>
          <c:tx>
            <c:strRef>
              <c:f>Sheet1!$D$1</c:f>
              <c:strCache>
                <c:ptCount val="1"/>
                <c:pt idx="0">
                  <c:v>punkti</c:v>
                </c:pt>
              </c:strCache>
            </c:strRef>
          </c:tx>
          <c:spPr>
            <a:ln w="31750">
              <a:solidFill>
                <a:schemeClr val="tx1"/>
              </a:solidFill>
              <a:headEnd type="oval"/>
              <a:tailEnd type="stealth"/>
            </a:ln>
          </c:spPr>
          <c:marker>
            <c:symbol val="none"/>
          </c:marker>
          <c:xVal>
            <c:numRef>
              <c:f>Sheet1!$A$2:$A$65</c:f>
              <c:numCache>
                <c:formatCode>General</c:formatCode>
                <c:ptCount val="64"/>
                <c:pt idx="0">
                  <c:v>1.1000000000000001</c:v>
                </c:pt>
                <c:pt idx="1">
                  <c:v>1.1000000000000001</c:v>
                </c:pt>
                <c:pt idx="2">
                  <c:v>1.2</c:v>
                </c:pt>
                <c:pt idx="3">
                  <c:v>1.3</c:v>
                </c:pt>
                <c:pt idx="4">
                  <c:v>1.4</c:v>
                </c:pt>
                <c:pt idx="5">
                  <c:v>1.5</c:v>
                </c:pt>
                <c:pt idx="6">
                  <c:v>1.6</c:v>
                </c:pt>
                <c:pt idx="7">
                  <c:v>1.6</c:v>
                </c:pt>
                <c:pt idx="8">
                  <c:v>1.5</c:v>
                </c:pt>
                <c:pt idx="9">
                  <c:v>1.4</c:v>
                </c:pt>
                <c:pt idx="10">
                  <c:v>1.3</c:v>
                </c:pt>
                <c:pt idx="11">
                  <c:v>1.2</c:v>
                </c:pt>
                <c:pt idx="12">
                  <c:v>1.1000000000000001</c:v>
                </c:pt>
                <c:pt idx="14">
                  <c:v>2.1</c:v>
                </c:pt>
                <c:pt idx="15">
                  <c:v>2.1</c:v>
                </c:pt>
                <c:pt idx="16">
                  <c:v>2.2000000000000002</c:v>
                </c:pt>
                <c:pt idx="17">
                  <c:v>2.2999999999999998</c:v>
                </c:pt>
                <c:pt idx="18">
                  <c:v>2.4</c:v>
                </c:pt>
                <c:pt idx="19">
                  <c:v>2.5</c:v>
                </c:pt>
                <c:pt idx="20">
                  <c:v>2.6</c:v>
                </c:pt>
                <c:pt idx="21">
                  <c:v>2.6</c:v>
                </c:pt>
                <c:pt idx="22">
                  <c:v>2.5</c:v>
                </c:pt>
                <c:pt idx="23">
                  <c:v>2.4</c:v>
                </c:pt>
                <c:pt idx="24">
                  <c:v>2.2999999999999998</c:v>
                </c:pt>
                <c:pt idx="25">
                  <c:v>2.2000000000000002</c:v>
                </c:pt>
                <c:pt idx="26">
                  <c:v>2.1</c:v>
                </c:pt>
                <c:pt idx="28">
                  <c:v>3.1</c:v>
                </c:pt>
                <c:pt idx="29">
                  <c:v>3.1</c:v>
                </c:pt>
                <c:pt idx="30">
                  <c:v>3.2</c:v>
                </c:pt>
                <c:pt idx="31">
                  <c:v>3.3</c:v>
                </c:pt>
                <c:pt idx="32">
                  <c:v>3.4</c:v>
                </c:pt>
                <c:pt idx="33">
                  <c:v>3.5</c:v>
                </c:pt>
                <c:pt idx="34">
                  <c:v>3.6</c:v>
                </c:pt>
                <c:pt idx="35">
                  <c:v>3.6</c:v>
                </c:pt>
                <c:pt idx="36">
                  <c:v>3.5</c:v>
                </c:pt>
                <c:pt idx="37">
                  <c:v>3.4</c:v>
                </c:pt>
                <c:pt idx="38">
                  <c:v>3.3</c:v>
                </c:pt>
                <c:pt idx="39">
                  <c:v>3.2</c:v>
                </c:pt>
                <c:pt idx="40">
                  <c:v>3.1</c:v>
                </c:pt>
                <c:pt idx="42">
                  <c:v>1.1000000000000001</c:v>
                </c:pt>
                <c:pt idx="43">
                  <c:v>1.1000000000000001</c:v>
                </c:pt>
                <c:pt idx="45">
                  <c:v>1.4</c:v>
                </c:pt>
                <c:pt idx="46">
                  <c:v>1.4</c:v>
                </c:pt>
                <c:pt idx="48">
                  <c:v>2.2999999999999998</c:v>
                </c:pt>
                <c:pt idx="49">
                  <c:v>2.2999999999999998</c:v>
                </c:pt>
                <c:pt idx="51">
                  <c:v>3.4</c:v>
                </c:pt>
                <c:pt idx="52">
                  <c:v>3.4</c:v>
                </c:pt>
                <c:pt idx="54">
                  <c:v>2.6</c:v>
                </c:pt>
                <c:pt idx="55">
                  <c:v>2.6</c:v>
                </c:pt>
                <c:pt idx="61">
                  <c:v>3.5</c:v>
                </c:pt>
              </c:numCache>
            </c:numRef>
          </c:xVal>
          <c:yVal>
            <c:numRef>
              <c:f>Sheet1!$D$2:$D$65</c:f>
              <c:numCache>
                <c:formatCode>General</c:formatCode>
                <c:ptCount val="64"/>
                <c:pt idx="42">
                  <c:v>200</c:v>
                </c:pt>
                <c:pt idx="43">
                  <c:v>225</c:v>
                </c:pt>
                <c:pt idx="45">
                  <c:v>214</c:v>
                </c:pt>
                <c:pt idx="46">
                  <c:v>244</c:v>
                </c:pt>
                <c:pt idx="48">
                  <c:v>220</c:v>
                </c:pt>
                <c:pt idx="49">
                  <c:v>248.36363636363686</c:v>
                </c:pt>
                <c:pt idx="51">
                  <c:v>265</c:v>
                </c:pt>
                <c:pt idx="52">
                  <c:v>291.14754098360731</c:v>
                </c:pt>
                <c:pt idx="54">
                  <c:v>260</c:v>
                </c:pt>
                <c:pt idx="55">
                  <c:v>295</c:v>
                </c:pt>
                <c:pt idx="61">
                  <c:v>243</c:v>
                </c:pt>
              </c:numCache>
            </c:numRef>
          </c:yVal>
          <c:smooth val="0"/>
        </c:ser>
        <c:dLbls>
          <c:showLegendKey val="0"/>
          <c:showVal val="0"/>
          <c:showCatName val="0"/>
          <c:showSerName val="0"/>
          <c:showPercent val="0"/>
          <c:showBubbleSize val="0"/>
        </c:dLbls>
        <c:axId val="474315576"/>
        <c:axId val="474315968"/>
      </c:scatterChart>
      <c:valAx>
        <c:axId val="474315576"/>
        <c:scaling>
          <c:orientation val="minMax"/>
          <c:min val="1"/>
        </c:scaling>
        <c:delete val="0"/>
        <c:axPos val="b"/>
        <c:title>
          <c:tx>
            <c:rich>
              <a:bodyPr/>
              <a:lstStyle/>
              <a:p>
                <a:pPr>
                  <a:defRPr/>
                </a:pPr>
                <a:r>
                  <a:rPr lang="lv-LV"/>
                  <a:t>Mēnešalgu grupa, kvalifikācijas pakāpe</a:t>
                </a:r>
              </a:p>
            </c:rich>
          </c:tx>
          <c:overlay val="0"/>
        </c:title>
        <c:numFmt formatCode="General" sourceLinked="1"/>
        <c:majorTickMark val="out"/>
        <c:minorTickMark val="none"/>
        <c:tickLblPos val="nextTo"/>
        <c:crossAx val="474315968"/>
        <c:crosses val="autoZero"/>
        <c:crossBetween val="midCat"/>
      </c:valAx>
      <c:valAx>
        <c:axId val="474315968"/>
        <c:scaling>
          <c:orientation val="minMax"/>
          <c:max val="340"/>
          <c:min val="200"/>
        </c:scaling>
        <c:delete val="0"/>
        <c:axPos val="l"/>
        <c:majorGridlines/>
        <c:numFmt formatCode="General" sourceLinked="1"/>
        <c:majorTickMark val="out"/>
        <c:minorTickMark val="none"/>
        <c:tickLblPos val="nextTo"/>
        <c:crossAx val="474315576"/>
        <c:crosses val="autoZero"/>
        <c:crossBetween val="midCat"/>
      </c:valAx>
    </c:plotArea>
    <c:plotVisOnly val="1"/>
    <c:dispBlanksAs val="gap"/>
    <c:showDLblsOverMax val="0"/>
  </c:chart>
  <c:txPr>
    <a:bodyPr/>
    <a:lstStyle/>
    <a:p>
      <a:pPr>
        <a:defRPr sz="1200">
          <a:latin typeface="Times New Roman" pitchFamily="18" charset="0"/>
          <a:cs typeface="Times New Roman" pitchFamily="18" charset="0"/>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301618547681612"/>
          <c:y val="5.1400554097404488E-2"/>
          <c:w val="0.80108245844269466"/>
          <c:h val="0.82264946048411114"/>
        </c:manualLayout>
      </c:layout>
      <c:barChart>
        <c:barDir val="bar"/>
        <c:grouping val="clustered"/>
        <c:varyColors val="0"/>
        <c:ser>
          <c:idx val="0"/>
          <c:order val="0"/>
          <c:tx>
            <c:strRef>
              <c:f>Sheet2!$A$4</c:f>
              <c:strCache>
                <c:ptCount val="1"/>
                <c:pt idx="0">
                  <c:v>Valsts budžeta iestādes</c:v>
                </c:pt>
              </c:strCache>
            </c:strRef>
          </c:tx>
          <c:invertIfNegative val="0"/>
          <c:dLbls>
            <c:spPr>
              <a:noFill/>
              <a:ln>
                <a:noFill/>
              </a:ln>
              <a:effectLst/>
            </c:spPr>
            <c:txPr>
              <a:bodyPr/>
              <a:lstStyle/>
              <a:p>
                <a:pPr>
                  <a:defRPr lang="lv-LV">
                    <a:solidFill>
                      <a:schemeClr val="accent1">
                        <a:lumMod val="75000"/>
                      </a:schemeClr>
                    </a:solidFill>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Sheet2!$B$3:$G$3</c:f>
              <c:strCache>
                <c:ptCount val="6"/>
                <c:pt idx="0">
                  <c:v>2008.</c:v>
                </c:pt>
                <c:pt idx="1">
                  <c:v>2009.</c:v>
                </c:pt>
                <c:pt idx="2">
                  <c:v>2010.</c:v>
                </c:pt>
                <c:pt idx="3">
                  <c:v>2011.</c:v>
                </c:pt>
                <c:pt idx="4">
                  <c:v>2012. </c:v>
                </c:pt>
                <c:pt idx="5">
                  <c:v>2013.g. janvārī</c:v>
                </c:pt>
              </c:strCache>
            </c:strRef>
          </c:cat>
          <c:val>
            <c:numRef>
              <c:f>Sheet2!$B$4:$G$4</c:f>
              <c:numCache>
                <c:formatCode>#,##0</c:formatCode>
                <c:ptCount val="6"/>
                <c:pt idx="0">
                  <c:v>78857.760416666642</c:v>
                </c:pt>
                <c:pt idx="1">
                  <c:v>70133.235000000001</c:v>
                </c:pt>
                <c:pt idx="2">
                  <c:v>61305</c:v>
                </c:pt>
                <c:pt idx="3">
                  <c:v>59842</c:v>
                </c:pt>
                <c:pt idx="4">
                  <c:v>58208.583333333336</c:v>
                </c:pt>
                <c:pt idx="5">
                  <c:v>57741</c:v>
                </c:pt>
              </c:numCache>
            </c:numRef>
          </c:val>
        </c:ser>
        <c:ser>
          <c:idx val="1"/>
          <c:order val="1"/>
          <c:tx>
            <c:strRef>
              <c:f>Sheet2!$A$6</c:f>
              <c:strCache>
                <c:ptCount val="1"/>
                <c:pt idx="0">
                  <c:v> t.sk valsts tiešās pārvaldes iestādes</c:v>
                </c:pt>
              </c:strCache>
            </c:strRef>
          </c:tx>
          <c:invertIfNegative val="0"/>
          <c:dLbls>
            <c:spPr>
              <a:noFill/>
              <a:ln>
                <a:noFill/>
              </a:ln>
              <a:effectLst/>
            </c:spPr>
            <c:txPr>
              <a:bodyPr/>
              <a:lstStyle/>
              <a:p>
                <a:pPr>
                  <a:defRPr lang="lv-LV">
                    <a:solidFill>
                      <a:srgbClr val="C00000"/>
                    </a:solidFill>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Sheet2!$B$3:$G$3</c:f>
              <c:strCache>
                <c:ptCount val="6"/>
                <c:pt idx="0">
                  <c:v>2008.</c:v>
                </c:pt>
                <c:pt idx="1">
                  <c:v>2009.</c:v>
                </c:pt>
                <c:pt idx="2">
                  <c:v>2010.</c:v>
                </c:pt>
                <c:pt idx="3">
                  <c:v>2011.</c:v>
                </c:pt>
                <c:pt idx="4">
                  <c:v>2012. </c:v>
                </c:pt>
                <c:pt idx="5">
                  <c:v>2013.g. janvārī</c:v>
                </c:pt>
              </c:strCache>
            </c:strRef>
          </c:cat>
          <c:val>
            <c:numRef>
              <c:f>Sheet2!$B$6:$G$6</c:f>
              <c:numCache>
                <c:formatCode>#,##0</c:formatCode>
                <c:ptCount val="6"/>
                <c:pt idx="0">
                  <c:v>76586.035416666651</c:v>
                </c:pt>
                <c:pt idx="1">
                  <c:v>67965.035000000003</c:v>
                </c:pt>
                <c:pt idx="2">
                  <c:v>59289.166666666584</c:v>
                </c:pt>
                <c:pt idx="3">
                  <c:v>57806</c:v>
                </c:pt>
                <c:pt idx="4">
                  <c:v>56199.583333333336</c:v>
                </c:pt>
                <c:pt idx="5">
                  <c:v>55735</c:v>
                </c:pt>
              </c:numCache>
            </c:numRef>
          </c:val>
        </c:ser>
        <c:dLbls>
          <c:showLegendKey val="0"/>
          <c:showVal val="0"/>
          <c:showCatName val="0"/>
          <c:showSerName val="0"/>
          <c:showPercent val="0"/>
          <c:showBubbleSize val="0"/>
        </c:dLbls>
        <c:gapWidth val="150"/>
        <c:axId val="372885536"/>
        <c:axId val="372885928"/>
      </c:barChart>
      <c:catAx>
        <c:axId val="372885536"/>
        <c:scaling>
          <c:orientation val="maxMin"/>
        </c:scaling>
        <c:delete val="0"/>
        <c:axPos val="l"/>
        <c:numFmt formatCode="General" sourceLinked="0"/>
        <c:majorTickMark val="out"/>
        <c:minorTickMark val="none"/>
        <c:tickLblPos val="nextTo"/>
        <c:txPr>
          <a:bodyPr/>
          <a:lstStyle/>
          <a:p>
            <a:pPr>
              <a:defRPr lang="lv-LV" sz="1000"/>
            </a:pPr>
            <a:endParaRPr lang="lv-LV"/>
          </a:p>
        </c:txPr>
        <c:crossAx val="372885928"/>
        <c:crosses val="autoZero"/>
        <c:auto val="1"/>
        <c:lblAlgn val="ctr"/>
        <c:lblOffset val="100"/>
        <c:noMultiLvlLbl val="0"/>
      </c:catAx>
      <c:valAx>
        <c:axId val="372885928"/>
        <c:scaling>
          <c:orientation val="minMax"/>
          <c:max val="80000"/>
          <c:min val="50000"/>
        </c:scaling>
        <c:delete val="1"/>
        <c:axPos val="t"/>
        <c:numFmt formatCode="#,##0" sourceLinked="1"/>
        <c:majorTickMark val="out"/>
        <c:minorTickMark val="none"/>
        <c:tickLblPos val="none"/>
        <c:crossAx val="372885536"/>
        <c:crosses val="autoZero"/>
        <c:crossBetween val="between"/>
      </c:valAx>
    </c:plotArea>
    <c:legend>
      <c:legendPos val="b"/>
      <c:overlay val="0"/>
      <c:txPr>
        <a:bodyPr/>
        <a:lstStyle/>
        <a:p>
          <a:pPr>
            <a:defRPr lang="lv-LV"/>
          </a:pPr>
          <a:endParaRPr lang="lv-LV"/>
        </a:p>
      </c:txPr>
    </c:legend>
    <c:plotVisOnly val="1"/>
    <c:dispBlanksAs val="gap"/>
    <c:showDLblsOverMax val="0"/>
  </c:chart>
  <c:txPr>
    <a:bodyPr/>
    <a:lstStyle/>
    <a:p>
      <a:pPr>
        <a:defRPr sz="1100">
          <a:latin typeface="Times New Roman" pitchFamily="18" charset="0"/>
          <a:cs typeface="Times New Roman" pitchFamily="18" charset="0"/>
        </a:defRPr>
      </a:pPr>
      <a:endParaRPr lang="lv-LV"/>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93751867973024"/>
          <c:y val="1.9158880121901718E-2"/>
          <c:w val="0.8492177608233753"/>
          <c:h val="0.86896699089084461"/>
        </c:manualLayout>
      </c:layout>
      <c:barChart>
        <c:barDir val="col"/>
        <c:grouping val="clustered"/>
        <c:varyColors val="0"/>
        <c:ser>
          <c:idx val="0"/>
          <c:order val="0"/>
          <c:tx>
            <c:strRef>
              <c:f>Kopbudžets!$A$33</c:f>
              <c:strCache>
                <c:ptCount val="1"/>
                <c:pt idx="0">
                  <c:v>Atlīdzība </c:v>
                </c:pt>
              </c:strCache>
            </c:strRef>
          </c:tx>
          <c:invertIfNegative val="0"/>
          <c:dLbls>
            <c:dLbl>
              <c:idx val="1"/>
              <c:tx>
                <c:rich>
                  <a:bodyPr/>
                  <a:lstStyle/>
                  <a:p>
                    <a:r>
                      <a:rPr lang="en-US">
                        <a:solidFill>
                          <a:schemeClr val="tx2"/>
                        </a:solidFill>
                      </a:rPr>
                      <a:t>1337,4</a:t>
                    </a:r>
                  </a:p>
                  <a:p>
                    <a:r>
                      <a:rPr lang="en-US">
                        <a:solidFill>
                          <a:schemeClr val="tx2"/>
                        </a:solidFill>
                      </a:rPr>
                      <a:t>-20%</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solidFill>
                          <a:schemeClr val="tx2"/>
                        </a:solidFill>
                      </a:rPr>
                      <a:t>1087,0</a:t>
                    </a:r>
                  </a:p>
                  <a:p>
                    <a:r>
                      <a:rPr lang="en-US">
                        <a:solidFill>
                          <a:schemeClr val="tx2"/>
                        </a:solidFill>
                      </a:rPr>
                      <a:t>-19%</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solidFill>
                          <a:schemeClr val="tx2"/>
                        </a:solidFill>
                      </a:rPr>
                      <a:t>1130,9</a:t>
                    </a:r>
                  </a:p>
                  <a:p>
                    <a:r>
                      <a:rPr lang="en-US">
                        <a:solidFill>
                          <a:schemeClr val="tx2"/>
                        </a:solidFill>
                      </a:rPr>
                      <a:t>4%</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solidFill>
                          <a:schemeClr val="tx2"/>
                        </a:solidFill>
                      </a:rPr>
                      <a:t>1153,2</a:t>
                    </a:r>
                  </a:p>
                  <a:p>
                    <a:r>
                      <a:rPr lang="en-US">
                        <a:solidFill>
                          <a:schemeClr val="tx2"/>
                        </a:solidFill>
                      </a:rPr>
                      <a:t>2%</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solidFill>
                          <a:schemeClr val="tx2"/>
                        </a:solidFill>
                      </a:rPr>
                      <a:t>1180,9</a:t>
                    </a:r>
                  </a:p>
                  <a:p>
                    <a:r>
                      <a:rPr lang="en-US">
                        <a:solidFill>
                          <a:schemeClr val="tx2"/>
                        </a:solidFill>
                      </a:rPr>
                      <a:t>2%</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Kopbudžets!$B$32:$G$32</c:f>
              <c:strCache>
                <c:ptCount val="6"/>
                <c:pt idx="0">
                  <c:v>2008.g.</c:v>
                </c:pt>
                <c:pt idx="1">
                  <c:v>2009.g.</c:v>
                </c:pt>
                <c:pt idx="2">
                  <c:v>2010.g.</c:v>
                </c:pt>
                <c:pt idx="3">
                  <c:v>2011.g.</c:v>
                </c:pt>
                <c:pt idx="4">
                  <c:v>2012.g.</c:v>
                </c:pt>
                <c:pt idx="5">
                  <c:v>2013.gads</c:v>
                </c:pt>
              </c:strCache>
            </c:strRef>
          </c:cat>
          <c:val>
            <c:numRef>
              <c:f>Kopbudžets!$B$33:$G$33</c:f>
              <c:numCache>
                <c:formatCode>0.0</c:formatCode>
                <c:ptCount val="6"/>
                <c:pt idx="0">
                  <c:v>1675.8000000000002</c:v>
                </c:pt>
                <c:pt idx="1">
                  <c:v>1337.4</c:v>
                </c:pt>
                <c:pt idx="2">
                  <c:v>1087</c:v>
                </c:pt>
                <c:pt idx="3">
                  <c:v>1130.9000000000001</c:v>
                </c:pt>
                <c:pt idx="4">
                  <c:v>1153.2</c:v>
                </c:pt>
                <c:pt idx="5">
                  <c:v>1180.9267909999999</c:v>
                </c:pt>
              </c:numCache>
            </c:numRef>
          </c:val>
        </c:ser>
        <c:dLbls>
          <c:showLegendKey val="0"/>
          <c:showVal val="0"/>
          <c:showCatName val="0"/>
          <c:showSerName val="0"/>
          <c:showPercent val="0"/>
          <c:showBubbleSize val="0"/>
        </c:dLbls>
        <c:gapWidth val="150"/>
        <c:axId val="372886712"/>
        <c:axId val="372885144"/>
      </c:barChart>
      <c:catAx>
        <c:axId val="372886712"/>
        <c:scaling>
          <c:orientation val="minMax"/>
        </c:scaling>
        <c:delete val="0"/>
        <c:axPos val="b"/>
        <c:numFmt formatCode="General" sourceLinked="0"/>
        <c:majorTickMark val="out"/>
        <c:minorTickMark val="none"/>
        <c:tickLblPos val="nextTo"/>
        <c:crossAx val="372885144"/>
        <c:crosses val="autoZero"/>
        <c:auto val="1"/>
        <c:lblAlgn val="ctr"/>
        <c:lblOffset val="100"/>
        <c:noMultiLvlLbl val="0"/>
      </c:catAx>
      <c:valAx>
        <c:axId val="372885144"/>
        <c:scaling>
          <c:orientation val="minMax"/>
        </c:scaling>
        <c:delete val="0"/>
        <c:axPos val="l"/>
        <c:numFmt formatCode="0.0" sourceLinked="1"/>
        <c:majorTickMark val="out"/>
        <c:minorTickMark val="none"/>
        <c:tickLblPos val="nextTo"/>
        <c:crossAx val="372886712"/>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'Valsts budžets'!$D$1</c:f>
              <c:strCache>
                <c:ptCount val="1"/>
                <c:pt idx="0">
                  <c:v>Kopā</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'Valsts budžets'!$A$2:$A$10</c:f>
              <c:strCache>
                <c:ptCount val="9"/>
                <c:pt idx="0">
                  <c:v>2008.g. izpilde</c:v>
                </c:pt>
                <c:pt idx="1">
                  <c:v>2009.g. izpilde</c:v>
                </c:pt>
                <c:pt idx="2">
                  <c:v>2010.g. izpilde</c:v>
                </c:pt>
                <c:pt idx="3">
                  <c:v>2011.g. izpilde</c:v>
                </c:pt>
                <c:pt idx="4">
                  <c:v>2012.g. izpilde</c:v>
                </c:pt>
                <c:pt idx="5">
                  <c:v>2013.g. plāns</c:v>
                </c:pt>
                <c:pt idx="6">
                  <c:v>2014.g.  bāze</c:v>
                </c:pt>
                <c:pt idx="7">
                  <c:v>2015.g. bāze</c:v>
                </c:pt>
                <c:pt idx="8">
                  <c:v>2016.g. bāze</c:v>
                </c:pt>
              </c:strCache>
            </c:strRef>
          </c:cat>
          <c:val>
            <c:numRef>
              <c:f>'Valsts budžets'!$D$2:$D$10</c:f>
              <c:numCache>
                <c:formatCode>_-* #,##0_-;\-* #,##0_-;_-* "-"??_-;_-@_-</c:formatCode>
                <c:ptCount val="9"/>
                <c:pt idx="0">
                  <c:v>894127675</c:v>
                </c:pt>
                <c:pt idx="1">
                  <c:v>579345248</c:v>
                </c:pt>
                <c:pt idx="2">
                  <c:v>461176260.47999901</c:v>
                </c:pt>
                <c:pt idx="3">
                  <c:v>478439315</c:v>
                </c:pt>
                <c:pt idx="4">
                  <c:v>478166828</c:v>
                </c:pt>
                <c:pt idx="5">
                  <c:v>518000154</c:v>
                </c:pt>
                <c:pt idx="6">
                  <c:v>523959887</c:v>
                </c:pt>
                <c:pt idx="7">
                  <c:v>511205503</c:v>
                </c:pt>
                <c:pt idx="8">
                  <c:v>499820663</c:v>
                </c:pt>
              </c:numCache>
            </c:numRef>
          </c:val>
        </c:ser>
        <c:dLbls>
          <c:showLegendKey val="0"/>
          <c:showVal val="0"/>
          <c:showCatName val="0"/>
          <c:showSerName val="0"/>
          <c:showPercent val="0"/>
          <c:showBubbleSize val="0"/>
        </c:dLbls>
        <c:gapWidth val="150"/>
        <c:axId val="372887496"/>
        <c:axId val="372887888"/>
      </c:barChart>
      <c:catAx>
        <c:axId val="372887496"/>
        <c:scaling>
          <c:orientation val="minMax"/>
        </c:scaling>
        <c:delete val="0"/>
        <c:axPos val="b"/>
        <c:numFmt formatCode="General" sourceLinked="0"/>
        <c:majorTickMark val="out"/>
        <c:minorTickMark val="none"/>
        <c:tickLblPos val="nextTo"/>
        <c:crossAx val="372887888"/>
        <c:crosses val="autoZero"/>
        <c:auto val="1"/>
        <c:lblAlgn val="ctr"/>
        <c:lblOffset val="100"/>
        <c:noMultiLvlLbl val="0"/>
      </c:catAx>
      <c:valAx>
        <c:axId val="372887888"/>
        <c:scaling>
          <c:orientation val="minMax"/>
        </c:scaling>
        <c:delete val="0"/>
        <c:axPos val="l"/>
        <c:numFmt formatCode="_-* #,##0_-;\-* #,##0_-;_-* &quot;-&quot;??_-;_-@_-" sourceLinked="1"/>
        <c:majorTickMark val="out"/>
        <c:minorTickMark val="none"/>
        <c:tickLblPos val="nextTo"/>
        <c:crossAx val="372887496"/>
        <c:crosses val="autoZero"/>
        <c:crossBetween val="between"/>
        <c:dispUnits>
          <c:builtInUnit val="millions"/>
        </c:dispUnits>
      </c:valAx>
    </c:plotArea>
    <c:plotVisOnly val="1"/>
    <c:dispBlanksAs val="gap"/>
    <c:showDLblsOverMax val="0"/>
  </c:chart>
  <c:txPr>
    <a:bodyPr/>
    <a:lstStyle/>
    <a:p>
      <a:pPr>
        <a:defRPr sz="1200">
          <a:latin typeface="Times New Roman" pitchFamily="18" charset="0"/>
          <a:cs typeface="Times New Roman" pitchFamily="18" charset="0"/>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96738602119191E-2"/>
          <c:y val="3.9249326607398272E-2"/>
          <c:w val="0.71276842130844764"/>
          <c:h val="0.8431732650045981"/>
        </c:manualLayout>
      </c:layout>
      <c:lineChart>
        <c:grouping val="standard"/>
        <c:varyColors val="0"/>
        <c:ser>
          <c:idx val="0"/>
          <c:order val="0"/>
          <c:tx>
            <c:strRef>
              <c:f>Sheet1!$A$2</c:f>
              <c:strCache>
                <c:ptCount val="1"/>
                <c:pt idx="0">
                  <c:v>Latvija</c:v>
                </c:pt>
              </c:strCache>
            </c:strRef>
          </c:tx>
          <c:spPr>
            <a:ln w="41253">
              <a:solidFill>
                <a:srgbClr val="C00000"/>
              </a:solidFill>
            </a:ln>
          </c:spPr>
          <c:marker>
            <c:symbol val="none"/>
          </c:marker>
          <c:cat>
            <c:strRef>
              <c:f>Sheet1!$B$1:$J$1</c:f>
              <c:strCache>
                <c:ptCount val="9"/>
                <c:pt idx="0">
                  <c:v>2005</c:v>
                </c:pt>
                <c:pt idx="1">
                  <c:v>2006</c:v>
                </c:pt>
                <c:pt idx="2">
                  <c:v>2007</c:v>
                </c:pt>
                <c:pt idx="3">
                  <c:v>2008</c:v>
                </c:pt>
                <c:pt idx="4">
                  <c:v>2009</c:v>
                </c:pt>
                <c:pt idx="5">
                  <c:v>2010</c:v>
                </c:pt>
                <c:pt idx="6">
                  <c:v>2011</c:v>
                </c:pt>
                <c:pt idx="7">
                  <c:v>2012</c:v>
                </c:pt>
                <c:pt idx="8">
                  <c:v>2013</c:v>
                </c:pt>
              </c:strCache>
            </c:strRef>
          </c:cat>
          <c:val>
            <c:numRef>
              <c:f>Sheet1!$B$2:$J$2</c:f>
              <c:numCache>
                <c:formatCode>General</c:formatCode>
                <c:ptCount val="9"/>
                <c:pt idx="0">
                  <c:v>9.1</c:v>
                </c:pt>
                <c:pt idx="1">
                  <c:v>9.1</c:v>
                </c:pt>
                <c:pt idx="2">
                  <c:v>9.8000000000000007</c:v>
                </c:pt>
                <c:pt idx="3">
                  <c:v>10</c:v>
                </c:pt>
                <c:pt idx="4">
                  <c:v>10.200000000000001</c:v>
                </c:pt>
                <c:pt idx="5">
                  <c:v>8.5</c:v>
                </c:pt>
                <c:pt idx="6">
                  <c:v>7.9</c:v>
                </c:pt>
                <c:pt idx="7">
                  <c:v>7.2</c:v>
                </c:pt>
                <c:pt idx="8">
                  <c:v>7.1</c:v>
                </c:pt>
              </c:numCache>
            </c:numRef>
          </c:val>
          <c:smooth val="0"/>
        </c:ser>
        <c:ser>
          <c:idx val="1"/>
          <c:order val="1"/>
          <c:tx>
            <c:strRef>
              <c:f>Sheet1!$A$3</c:f>
              <c:strCache>
                <c:ptCount val="1"/>
                <c:pt idx="0">
                  <c:v>Lietuva</c:v>
                </c:pt>
              </c:strCache>
            </c:strRef>
          </c:tx>
          <c:spPr>
            <a:ln w="41253">
              <a:solidFill>
                <a:srgbClr val="63BD6C"/>
              </a:solidFill>
            </a:ln>
          </c:spPr>
          <c:marker>
            <c:symbol val="none"/>
          </c:marker>
          <c:cat>
            <c:strRef>
              <c:f>Sheet1!$B$1:$J$1</c:f>
              <c:strCache>
                <c:ptCount val="9"/>
                <c:pt idx="0">
                  <c:v>2005</c:v>
                </c:pt>
                <c:pt idx="1">
                  <c:v>2006</c:v>
                </c:pt>
                <c:pt idx="2">
                  <c:v>2007</c:v>
                </c:pt>
                <c:pt idx="3">
                  <c:v>2008</c:v>
                </c:pt>
                <c:pt idx="4">
                  <c:v>2009</c:v>
                </c:pt>
                <c:pt idx="5">
                  <c:v>2010</c:v>
                </c:pt>
                <c:pt idx="6">
                  <c:v>2011</c:v>
                </c:pt>
                <c:pt idx="7">
                  <c:v>2012</c:v>
                </c:pt>
                <c:pt idx="8">
                  <c:v>2013</c:v>
                </c:pt>
              </c:strCache>
            </c:strRef>
          </c:cat>
          <c:val>
            <c:numRef>
              <c:f>Sheet1!$B$3:$J$3</c:f>
              <c:numCache>
                <c:formatCode>General</c:formatCode>
                <c:ptCount val="9"/>
                <c:pt idx="0">
                  <c:v>10.3</c:v>
                </c:pt>
                <c:pt idx="1">
                  <c:v>10.4</c:v>
                </c:pt>
                <c:pt idx="2">
                  <c:v>10</c:v>
                </c:pt>
                <c:pt idx="3">
                  <c:v>10.8</c:v>
                </c:pt>
                <c:pt idx="4">
                  <c:v>12.9</c:v>
                </c:pt>
                <c:pt idx="5">
                  <c:v>11.1</c:v>
                </c:pt>
                <c:pt idx="6">
                  <c:v>10.200000000000001</c:v>
                </c:pt>
                <c:pt idx="7">
                  <c:v>9.3000000000000007</c:v>
                </c:pt>
                <c:pt idx="8">
                  <c:v>9.1</c:v>
                </c:pt>
              </c:numCache>
            </c:numRef>
          </c:val>
          <c:smooth val="0"/>
        </c:ser>
        <c:ser>
          <c:idx val="2"/>
          <c:order val="2"/>
          <c:tx>
            <c:strRef>
              <c:f>Sheet1!$A$4</c:f>
              <c:strCache>
                <c:ptCount val="1"/>
                <c:pt idx="0">
                  <c:v>Igaunija</c:v>
                </c:pt>
              </c:strCache>
            </c:strRef>
          </c:tx>
          <c:spPr>
            <a:ln w="38080">
              <a:solidFill>
                <a:schemeClr val="tx1"/>
              </a:solidFill>
            </a:ln>
          </c:spPr>
          <c:marker>
            <c:symbol val="none"/>
          </c:marker>
          <c:cat>
            <c:strRef>
              <c:f>Sheet1!$B$1:$J$1</c:f>
              <c:strCache>
                <c:ptCount val="9"/>
                <c:pt idx="0">
                  <c:v>2005</c:v>
                </c:pt>
                <c:pt idx="1">
                  <c:v>2006</c:v>
                </c:pt>
                <c:pt idx="2">
                  <c:v>2007</c:v>
                </c:pt>
                <c:pt idx="3">
                  <c:v>2008</c:v>
                </c:pt>
                <c:pt idx="4">
                  <c:v>2009</c:v>
                </c:pt>
                <c:pt idx="5">
                  <c:v>2010</c:v>
                </c:pt>
                <c:pt idx="6">
                  <c:v>2011</c:v>
                </c:pt>
                <c:pt idx="7">
                  <c:v>2012</c:v>
                </c:pt>
                <c:pt idx="8">
                  <c:v>2013</c:v>
                </c:pt>
              </c:strCache>
            </c:strRef>
          </c:cat>
          <c:val>
            <c:numRef>
              <c:f>Sheet1!$B$4:$J$4</c:f>
              <c:numCache>
                <c:formatCode>General</c:formatCode>
                <c:ptCount val="9"/>
                <c:pt idx="0">
                  <c:v>6.8</c:v>
                </c:pt>
                <c:pt idx="1">
                  <c:v>6.3</c:v>
                </c:pt>
                <c:pt idx="2">
                  <c:v>6.4</c:v>
                </c:pt>
                <c:pt idx="3">
                  <c:v>7.5</c:v>
                </c:pt>
                <c:pt idx="4">
                  <c:v>8.3000000000000007</c:v>
                </c:pt>
                <c:pt idx="5">
                  <c:v>7.7</c:v>
                </c:pt>
                <c:pt idx="6">
                  <c:v>7</c:v>
                </c:pt>
                <c:pt idx="7">
                  <c:v>6.9</c:v>
                </c:pt>
              </c:numCache>
            </c:numRef>
          </c:val>
          <c:smooth val="0"/>
        </c:ser>
        <c:ser>
          <c:idx val="3"/>
          <c:order val="3"/>
          <c:tx>
            <c:strRef>
              <c:f>Sheet1!$A$5</c:f>
              <c:strCache>
                <c:ptCount val="1"/>
                <c:pt idx="0">
                  <c:v>Polija</c:v>
                </c:pt>
              </c:strCache>
            </c:strRef>
          </c:tx>
          <c:spPr>
            <a:ln>
              <a:solidFill>
                <a:srgbClr val="FF0000"/>
              </a:solidFill>
              <a:prstDash val="dash"/>
            </a:ln>
          </c:spPr>
          <c:marker>
            <c:symbol val="none"/>
          </c:marker>
          <c:cat>
            <c:strRef>
              <c:f>Sheet1!$B$1:$J$1</c:f>
              <c:strCache>
                <c:ptCount val="9"/>
                <c:pt idx="0">
                  <c:v>2005</c:v>
                </c:pt>
                <c:pt idx="1">
                  <c:v>2006</c:v>
                </c:pt>
                <c:pt idx="2">
                  <c:v>2007</c:v>
                </c:pt>
                <c:pt idx="3">
                  <c:v>2008</c:v>
                </c:pt>
                <c:pt idx="4">
                  <c:v>2009</c:v>
                </c:pt>
                <c:pt idx="5">
                  <c:v>2010</c:v>
                </c:pt>
                <c:pt idx="6">
                  <c:v>2011</c:v>
                </c:pt>
                <c:pt idx="7">
                  <c:v>2012</c:v>
                </c:pt>
                <c:pt idx="8">
                  <c:v>2013</c:v>
                </c:pt>
              </c:strCache>
            </c:strRef>
          </c:cat>
          <c:val>
            <c:numRef>
              <c:f>Sheet1!$B$5:$J$5</c:f>
              <c:numCache>
                <c:formatCode>General</c:formatCode>
                <c:ptCount val="9"/>
                <c:pt idx="3">
                  <c:v>10</c:v>
                </c:pt>
                <c:pt idx="4">
                  <c:v>10.3</c:v>
                </c:pt>
                <c:pt idx="5">
                  <c:v>10.200000000000001</c:v>
                </c:pt>
                <c:pt idx="6">
                  <c:v>9.8000000000000007</c:v>
                </c:pt>
                <c:pt idx="7">
                  <c:v>9.8000000000000007</c:v>
                </c:pt>
                <c:pt idx="8">
                  <c:v>9.7000000000000011</c:v>
                </c:pt>
              </c:numCache>
            </c:numRef>
          </c:val>
          <c:smooth val="0"/>
        </c:ser>
        <c:ser>
          <c:idx val="4"/>
          <c:order val="4"/>
          <c:tx>
            <c:strRef>
              <c:f>Sheet1!$A$6</c:f>
              <c:strCache>
                <c:ptCount val="1"/>
                <c:pt idx="0">
                  <c:v>Čehija</c:v>
                </c:pt>
              </c:strCache>
            </c:strRef>
          </c:tx>
          <c:spPr>
            <a:ln>
              <a:prstDash val="sysDash"/>
            </a:ln>
          </c:spPr>
          <c:marker>
            <c:symbol val="none"/>
          </c:marker>
          <c:cat>
            <c:strRef>
              <c:f>Sheet1!$B$1:$J$1</c:f>
              <c:strCache>
                <c:ptCount val="9"/>
                <c:pt idx="0">
                  <c:v>2005</c:v>
                </c:pt>
                <c:pt idx="1">
                  <c:v>2006</c:v>
                </c:pt>
                <c:pt idx="2">
                  <c:v>2007</c:v>
                </c:pt>
                <c:pt idx="3">
                  <c:v>2008</c:v>
                </c:pt>
                <c:pt idx="4">
                  <c:v>2009</c:v>
                </c:pt>
                <c:pt idx="5">
                  <c:v>2010</c:v>
                </c:pt>
                <c:pt idx="6">
                  <c:v>2011</c:v>
                </c:pt>
                <c:pt idx="7">
                  <c:v>2012</c:v>
                </c:pt>
                <c:pt idx="8">
                  <c:v>2013</c:v>
                </c:pt>
              </c:strCache>
            </c:strRef>
          </c:cat>
          <c:val>
            <c:numRef>
              <c:f>Sheet1!$B$6:$J$6</c:f>
              <c:numCache>
                <c:formatCode>General</c:formatCode>
                <c:ptCount val="9"/>
                <c:pt idx="2">
                  <c:v>7.3</c:v>
                </c:pt>
                <c:pt idx="3">
                  <c:v>7.3</c:v>
                </c:pt>
                <c:pt idx="4">
                  <c:v>7.8</c:v>
                </c:pt>
                <c:pt idx="5">
                  <c:v>7.6</c:v>
                </c:pt>
                <c:pt idx="6">
                  <c:v>7.4</c:v>
                </c:pt>
                <c:pt idx="7">
                  <c:v>7.5</c:v>
                </c:pt>
                <c:pt idx="8">
                  <c:v>7.4</c:v>
                </c:pt>
              </c:numCache>
            </c:numRef>
          </c:val>
          <c:smooth val="0"/>
        </c:ser>
        <c:ser>
          <c:idx val="5"/>
          <c:order val="5"/>
          <c:tx>
            <c:strRef>
              <c:f>Sheet1!$A$7</c:f>
              <c:strCache>
                <c:ptCount val="1"/>
                <c:pt idx="0">
                  <c:v>Slovākija</c:v>
                </c:pt>
              </c:strCache>
            </c:strRef>
          </c:tx>
          <c:spPr>
            <a:ln>
              <a:solidFill>
                <a:schemeClr val="accent6">
                  <a:lumMod val="50000"/>
                </a:schemeClr>
              </a:solidFill>
            </a:ln>
          </c:spPr>
          <c:marker>
            <c:symbol val="none"/>
          </c:marker>
          <c:cat>
            <c:strRef>
              <c:f>Sheet1!$B$1:$J$1</c:f>
              <c:strCache>
                <c:ptCount val="9"/>
                <c:pt idx="0">
                  <c:v>2005</c:v>
                </c:pt>
                <c:pt idx="1">
                  <c:v>2006</c:v>
                </c:pt>
                <c:pt idx="2">
                  <c:v>2007</c:v>
                </c:pt>
                <c:pt idx="3">
                  <c:v>2008</c:v>
                </c:pt>
                <c:pt idx="4">
                  <c:v>2009</c:v>
                </c:pt>
                <c:pt idx="5">
                  <c:v>2010</c:v>
                </c:pt>
                <c:pt idx="6">
                  <c:v>2011</c:v>
                </c:pt>
                <c:pt idx="7">
                  <c:v>2012</c:v>
                </c:pt>
                <c:pt idx="8">
                  <c:v>2013</c:v>
                </c:pt>
              </c:strCache>
            </c:strRef>
          </c:cat>
          <c:val>
            <c:numRef>
              <c:f>Sheet1!$B$7:$J$7</c:f>
              <c:numCache>
                <c:formatCode>General</c:formatCode>
                <c:ptCount val="9"/>
                <c:pt idx="1">
                  <c:v>7.4</c:v>
                </c:pt>
                <c:pt idx="2">
                  <c:v>6.8</c:v>
                </c:pt>
                <c:pt idx="3">
                  <c:v>7</c:v>
                </c:pt>
                <c:pt idx="4">
                  <c:v>7.9</c:v>
                </c:pt>
                <c:pt idx="5">
                  <c:v>7.7</c:v>
                </c:pt>
                <c:pt idx="6">
                  <c:v>7.1</c:v>
                </c:pt>
                <c:pt idx="7">
                  <c:v>6.6</c:v>
                </c:pt>
                <c:pt idx="8">
                  <c:v>6.6</c:v>
                </c:pt>
              </c:numCache>
            </c:numRef>
          </c:val>
          <c:smooth val="0"/>
        </c:ser>
        <c:ser>
          <c:idx val="6"/>
          <c:order val="6"/>
          <c:tx>
            <c:strRef>
              <c:f>Sheet1!$A$8</c:f>
              <c:strCache>
                <c:ptCount val="1"/>
                <c:pt idx="0">
                  <c:v>Rumānija</c:v>
                </c:pt>
              </c:strCache>
            </c:strRef>
          </c:tx>
          <c:spPr>
            <a:ln>
              <a:solidFill>
                <a:schemeClr val="accent6">
                  <a:lumMod val="75000"/>
                </a:schemeClr>
              </a:solidFill>
              <a:prstDash val="sysDash"/>
            </a:ln>
          </c:spPr>
          <c:marker>
            <c:symbol val="none"/>
          </c:marker>
          <c:cat>
            <c:strRef>
              <c:f>Sheet1!$B$1:$J$1</c:f>
              <c:strCache>
                <c:ptCount val="9"/>
                <c:pt idx="0">
                  <c:v>2005</c:v>
                </c:pt>
                <c:pt idx="1">
                  <c:v>2006</c:v>
                </c:pt>
                <c:pt idx="2">
                  <c:v>2007</c:v>
                </c:pt>
                <c:pt idx="3">
                  <c:v>2008</c:v>
                </c:pt>
                <c:pt idx="4">
                  <c:v>2009</c:v>
                </c:pt>
                <c:pt idx="5">
                  <c:v>2010</c:v>
                </c:pt>
                <c:pt idx="6">
                  <c:v>2011</c:v>
                </c:pt>
                <c:pt idx="7">
                  <c:v>2012</c:v>
                </c:pt>
                <c:pt idx="8">
                  <c:v>2013</c:v>
                </c:pt>
              </c:strCache>
            </c:strRef>
          </c:cat>
          <c:val>
            <c:numRef>
              <c:f>Sheet1!$B$8:$J$8</c:f>
              <c:numCache>
                <c:formatCode>General</c:formatCode>
                <c:ptCount val="9"/>
                <c:pt idx="3">
                  <c:v>8.9</c:v>
                </c:pt>
                <c:pt idx="4">
                  <c:v>9.3000000000000007</c:v>
                </c:pt>
                <c:pt idx="5">
                  <c:v>8.2000000000000011</c:v>
                </c:pt>
                <c:pt idx="6">
                  <c:v>6.7</c:v>
                </c:pt>
                <c:pt idx="7">
                  <c:v>6.7</c:v>
                </c:pt>
                <c:pt idx="8">
                  <c:v>7.1</c:v>
                </c:pt>
              </c:numCache>
            </c:numRef>
          </c:val>
          <c:smooth val="0"/>
        </c:ser>
        <c:ser>
          <c:idx val="7"/>
          <c:order val="7"/>
          <c:tx>
            <c:strRef>
              <c:f>Sheet1!$A$9</c:f>
              <c:strCache>
                <c:ptCount val="1"/>
                <c:pt idx="0">
                  <c:v>Ungārija</c:v>
                </c:pt>
              </c:strCache>
            </c:strRef>
          </c:tx>
          <c:spPr>
            <a:ln>
              <a:solidFill>
                <a:srgbClr val="00B050"/>
              </a:solidFill>
              <a:prstDash val="sysDash"/>
            </a:ln>
          </c:spPr>
          <c:marker>
            <c:symbol val="none"/>
          </c:marker>
          <c:cat>
            <c:strRef>
              <c:f>Sheet1!$B$1:$J$1</c:f>
              <c:strCache>
                <c:ptCount val="9"/>
                <c:pt idx="0">
                  <c:v>2005</c:v>
                </c:pt>
                <c:pt idx="1">
                  <c:v>2006</c:v>
                </c:pt>
                <c:pt idx="2">
                  <c:v>2007</c:v>
                </c:pt>
                <c:pt idx="3">
                  <c:v>2008</c:v>
                </c:pt>
                <c:pt idx="4">
                  <c:v>2009</c:v>
                </c:pt>
                <c:pt idx="5">
                  <c:v>2010</c:v>
                </c:pt>
                <c:pt idx="6">
                  <c:v>2011</c:v>
                </c:pt>
                <c:pt idx="7">
                  <c:v>2012</c:v>
                </c:pt>
                <c:pt idx="8">
                  <c:v>2013</c:v>
                </c:pt>
              </c:strCache>
            </c:strRef>
          </c:cat>
          <c:val>
            <c:numRef>
              <c:f>Sheet1!$B$9:$J$9</c:f>
              <c:numCache>
                <c:formatCode>General</c:formatCode>
                <c:ptCount val="9"/>
                <c:pt idx="2">
                  <c:v>11.7</c:v>
                </c:pt>
                <c:pt idx="3">
                  <c:v>11.6</c:v>
                </c:pt>
                <c:pt idx="4">
                  <c:v>11.5</c:v>
                </c:pt>
                <c:pt idx="5">
                  <c:v>11</c:v>
                </c:pt>
                <c:pt idx="6">
                  <c:v>10.200000000000001</c:v>
                </c:pt>
                <c:pt idx="7">
                  <c:v>10.4</c:v>
                </c:pt>
                <c:pt idx="8">
                  <c:v>10.4</c:v>
                </c:pt>
              </c:numCache>
            </c:numRef>
          </c:val>
          <c:smooth val="0"/>
        </c:ser>
        <c:ser>
          <c:idx val="8"/>
          <c:order val="8"/>
          <c:tx>
            <c:strRef>
              <c:f>Sheet1!$A$10</c:f>
              <c:strCache>
                <c:ptCount val="1"/>
                <c:pt idx="0">
                  <c:v>Somija</c:v>
                </c:pt>
              </c:strCache>
            </c:strRef>
          </c:tx>
          <c:spPr>
            <a:ln>
              <a:solidFill>
                <a:schemeClr val="accent1"/>
              </a:solidFill>
            </a:ln>
          </c:spPr>
          <c:marker>
            <c:symbol val="none"/>
          </c:marker>
          <c:cat>
            <c:strRef>
              <c:f>Sheet1!$B$1:$J$1</c:f>
              <c:strCache>
                <c:ptCount val="9"/>
                <c:pt idx="0">
                  <c:v>2005</c:v>
                </c:pt>
                <c:pt idx="1">
                  <c:v>2006</c:v>
                </c:pt>
                <c:pt idx="2">
                  <c:v>2007</c:v>
                </c:pt>
                <c:pt idx="3">
                  <c:v>2008</c:v>
                </c:pt>
                <c:pt idx="4">
                  <c:v>2009</c:v>
                </c:pt>
                <c:pt idx="5">
                  <c:v>2010</c:v>
                </c:pt>
                <c:pt idx="6">
                  <c:v>2011</c:v>
                </c:pt>
                <c:pt idx="7">
                  <c:v>2012</c:v>
                </c:pt>
                <c:pt idx="8">
                  <c:v>2013</c:v>
                </c:pt>
              </c:strCache>
            </c:strRef>
          </c:cat>
          <c:val>
            <c:numRef>
              <c:f>Sheet1!$B$10:$J$10</c:f>
              <c:numCache>
                <c:formatCode>General</c:formatCode>
                <c:ptCount val="9"/>
                <c:pt idx="2">
                  <c:v>12.9</c:v>
                </c:pt>
                <c:pt idx="3">
                  <c:v>13.3</c:v>
                </c:pt>
                <c:pt idx="4">
                  <c:v>14.7</c:v>
                </c:pt>
                <c:pt idx="5">
                  <c:v>14.4</c:v>
                </c:pt>
                <c:pt idx="6">
                  <c:v>13.9</c:v>
                </c:pt>
                <c:pt idx="7">
                  <c:v>13.9</c:v>
                </c:pt>
                <c:pt idx="8">
                  <c:v>13.7</c:v>
                </c:pt>
              </c:numCache>
            </c:numRef>
          </c:val>
          <c:smooth val="0"/>
        </c:ser>
        <c:ser>
          <c:idx val="9"/>
          <c:order val="9"/>
          <c:tx>
            <c:strRef>
              <c:f>Sheet1!$A$11</c:f>
              <c:strCache>
                <c:ptCount val="1"/>
                <c:pt idx="0">
                  <c:v>Nīderlande</c:v>
                </c:pt>
              </c:strCache>
            </c:strRef>
          </c:tx>
          <c:spPr>
            <a:ln>
              <a:solidFill>
                <a:srgbClr val="EB6D35"/>
              </a:solidFill>
            </a:ln>
          </c:spPr>
          <c:marker>
            <c:symbol val="none"/>
          </c:marker>
          <c:cat>
            <c:strRef>
              <c:f>Sheet1!$B$1:$J$1</c:f>
              <c:strCache>
                <c:ptCount val="9"/>
                <c:pt idx="0">
                  <c:v>2005</c:v>
                </c:pt>
                <c:pt idx="1">
                  <c:v>2006</c:v>
                </c:pt>
                <c:pt idx="2">
                  <c:v>2007</c:v>
                </c:pt>
                <c:pt idx="3">
                  <c:v>2008</c:v>
                </c:pt>
                <c:pt idx="4">
                  <c:v>2009</c:v>
                </c:pt>
                <c:pt idx="5">
                  <c:v>2010</c:v>
                </c:pt>
                <c:pt idx="6">
                  <c:v>2011</c:v>
                </c:pt>
                <c:pt idx="7">
                  <c:v>2012</c:v>
                </c:pt>
                <c:pt idx="8">
                  <c:v>2013</c:v>
                </c:pt>
              </c:strCache>
            </c:strRef>
          </c:cat>
          <c:val>
            <c:numRef>
              <c:f>Sheet1!$B$11:$J$11</c:f>
              <c:numCache>
                <c:formatCode>General</c:formatCode>
                <c:ptCount val="9"/>
                <c:pt idx="0">
                  <c:v>9.6</c:v>
                </c:pt>
                <c:pt idx="1">
                  <c:v>9.3000000000000007</c:v>
                </c:pt>
                <c:pt idx="2">
                  <c:v>9.2000000000000011</c:v>
                </c:pt>
                <c:pt idx="3">
                  <c:v>9.2000000000000011</c:v>
                </c:pt>
                <c:pt idx="4">
                  <c:v>9.9</c:v>
                </c:pt>
                <c:pt idx="5">
                  <c:v>10</c:v>
                </c:pt>
                <c:pt idx="6">
                  <c:v>9.7000000000000011</c:v>
                </c:pt>
                <c:pt idx="7">
                  <c:v>9.6</c:v>
                </c:pt>
              </c:numCache>
            </c:numRef>
          </c:val>
          <c:smooth val="0"/>
        </c:ser>
        <c:ser>
          <c:idx val="10"/>
          <c:order val="10"/>
          <c:tx>
            <c:strRef>
              <c:f>Sheet1!$A$12</c:f>
              <c:strCache>
                <c:ptCount val="1"/>
                <c:pt idx="0">
                  <c:v>Irija</c:v>
                </c:pt>
              </c:strCache>
            </c:strRef>
          </c:tx>
          <c:spPr>
            <a:ln w="38080" cmpd="dbl">
              <a:solidFill>
                <a:srgbClr val="0070C0"/>
              </a:solidFill>
              <a:prstDash val="dashDot"/>
            </a:ln>
          </c:spPr>
          <c:marker>
            <c:symbol val="none"/>
          </c:marker>
          <c:cat>
            <c:strRef>
              <c:f>Sheet1!$B$1:$J$1</c:f>
              <c:strCache>
                <c:ptCount val="9"/>
                <c:pt idx="0">
                  <c:v>2005</c:v>
                </c:pt>
                <c:pt idx="1">
                  <c:v>2006</c:v>
                </c:pt>
                <c:pt idx="2">
                  <c:v>2007</c:v>
                </c:pt>
                <c:pt idx="3">
                  <c:v>2008</c:v>
                </c:pt>
                <c:pt idx="4">
                  <c:v>2009</c:v>
                </c:pt>
                <c:pt idx="5">
                  <c:v>2010</c:v>
                </c:pt>
                <c:pt idx="6">
                  <c:v>2011</c:v>
                </c:pt>
                <c:pt idx="7">
                  <c:v>2012</c:v>
                </c:pt>
                <c:pt idx="8">
                  <c:v>2013</c:v>
                </c:pt>
              </c:strCache>
            </c:strRef>
          </c:cat>
          <c:val>
            <c:numRef>
              <c:f>Sheet1!$B$12:$J$12</c:f>
              <c:numCache>
                <c:formatCode>General</c:formatCode>
                <c:ptCount val="9"/>
                <c:pt idx="4" formatCode="0.0">
                  <c:v>12.771233725976435</c:v>
                </c:pt>
                <c:pt idx="5" formatCode="0.0">
                  <c:v>12.268370607028748</c:v>
                </c:pt>
                <c:pt idx="6" formatCode="0.0">
                  <c:v>12.012578616352204</c:v>
                </c:pt>
                <c:pt idx="7" formatCode="0.0">
                  <c:v>11.540822590546346</c:v>
                </c:pt>
                <c:pt idx="8" formatCode="0.0">
                  <c:v>11.217756448710258</c:v>
                </c:pt>
              </c:numCache>
            </c:numRef>
          </c:val>
          <c:smooth val="0"/>
        </c:ser>
        <c:dLbls>
          <c:showLegendKey val="0"/>
          <c:showVal val="0"/>
          <c:showCatName val="0"/>
          <c:showSerName val="0"/>
          <c:showPercent val="0"/>
          <c:showBubbleSize val="0"/>
        </c:dLbls>
        <c:smooth val="0"/>
        <c:axId val="372888672"/>
        <c:axId val="372889064"/>
      </c:lineChart>
      <c:catAx>
        <c:axId val="372888672"/>
        <c:scaling>
          <c:orientation val="minMax"/>
        </c:scaling>
        <c:delete val="0"/>
        <c:axPos val="b"/>
        <c:numFmt formatCode="General" sourceLinked="1"/>
        <c:majorTickMark val="out"/>
        <c:minorTickMark val="none"/>
        <c:tickLblPos val="nextTo"/>
        <c:crossAx val="372889064"/>
        <c:crosses val="autoZero"/>
        <c:auto val="1"/>
        <c:lblAlgn val="ctr"/>
        <c:lblOffset val="100"/>
        <c:noMultiLvlLbl val="0"/>
      </c:catAx>
      <c:valAx>
        <c:axId val="372889064"/>
        <c:scaling>
          <c:orientation val="minMax"/>
          <c:max val="16"/>
          <c:min val="6"/>
        </c:scaling>
        <c:delete val="0"/>
        <c:axPos val="l"/>
        <c:majorGridlines/>
        <c:numFmt formatCode="General" sourceLinked="1"/>
        <c:majorTickMark val="out"/>
        <c:minorTickMark val="none"/>
        <c:tickLblPos val="nextTo"/>
        <c:crossAx val="372888672"/>
        <c:crosses val="autoZero"/>
        <c:crossBetween val="between"/>
      </c:valAx>
    </c:plotArea>
    <c:legend>
      <c:legendPos val="r"/>
      <c:layout>
        <c:manualLayout>
          <c:xMode val="edge"/>
          <c:yMode val="edge"/>
          <c:x val="0.80779285922593014"/>
          <c:y val="7.4010514081634324E-2"/>
          <c:w val="0.18294796483772893"/>
          <c:h val="0.9259894859183655"/>
        </c:manualLayout>
      </c:layout>
      <c:overlay val="0"/>
    </c:legend>
    <c:plotVisOnly val="1"/>
    <c:dispBlanksAs val="gap"/>
    <c:showDLblsOverMax val="0"/>
  </c:chart>
  <c:txPr>
    <a:bodyPr/>
    <a:lstStyle/>
    <a:p>
      <a:pPr>
        <a:defRPr sz="1199">
          <a:latin typeface="Times New Roman" pitchFamily="18" charset="0"/>
          <a:cs typeface="Times New Roman" pitchFamily="18" charset="0"/>
        </a:defRPr>
      </a:pPr>
      <a:endParaRPr lang="lv-LV"/>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25802347324866"/>
          <c:y val="9.8410969169480098E-2"/>
          <c:w val="0.85635647652412261"/>
          <c:h val="0.7641096969425043"/>
        </c:manualLayout>
      </c:layout>
      <c:lineChart>
        <c:grouping val="standard"/>
        <c:varyColors val="0"/>
        <c:ser>
          <c:idx val="0"/>
          <c:order val="0"/>
          <c:tx>
            <c:strRef>
              <c:f>'Valsts budžets'!$F$1</c:f>
              <c:strCache>
                <c:ptCount val="1"/>
                <c:pt idx="0">
                  <c:v>Izdevumi valsts budžetā % no IKP</c:v>
                </c:pt>
              </c:strCache>
            </c:strRef>
          </c:tx>
          <c:marker>
            <c:symbol val="none"/>
          </c:marker>
          <c:cat>
            <c:strRef>
              <c:f>'Valsts budžets'!$A$3:$A$10</c:f>
              <c:strCache>
                <c:ptCount val="8"/>
                <c:pt idx="0">
                  <c:v>2009.g. izpilde</c:v>
                </c:pt>
                <c:pt idx="1">
                  <c:v>2010.g. izpilde</c:v>
                </c:pt>
                <c:pt idx="2">
                  <c:v>2011.g. izpilde</c:v>
                </c:pt>
                <c:pt idx="3">
                  <c:v>2012.g. izpilde</c:v>
                </c:pt>
                <c:pt idx="4">
                  <c:v>2013.g. plāns</c:v>
                </c:pt>
                <c:pt idx="5">
                  <c:v>2014.g.  bāze</c:v>
                </c:pt>
                <c:pt idx="6">
                  <c:v>2015.g. bāze</c:v>
                </c:pt>
                <c:pt idx="7">
                  <c:v>2016.g. bāze</c:v>
                </c:pt>
              </c:strCache>
            </c:strRef>
          </c:cat>
          <c:val>
            <c:numRef>
              <c:f>'Valsts budžets'!$F$3:$F$10</c:f>
              <c:numCache>
                <c:formatCode>0.00%</c:formatCode>
                <c:ptCount val="8"/>
                <c:pt idx="0">
                  <c:v>4.4326338791124714E-2</c:v>
                </c:pt>
                <c:pt idx="1">
                  <c:v>3.6074488460575642E-2</c:v>
                </c:pt>
                <c:pt idx="2">
                  <c:v>3.3515888966725048E-2</c:v>
                </c:pt>
                <c:pt idx="3">
                  <c:v>3.0808725749814761E-2</c:v>
                </c:pt>
                <c:pt idx="4">
                  <c:v>3.1619308159976559E-2</c:v>
                </c:pt>
                <c:pt idx="5">
                  <c:v>3.006701825965202E-2</c:v>
                </c:pt>
                <c:pt idx="6">
                  <c:v>2.7602590846751113E-2</c:v>
                </c:pt>
                <c:pt idx="7">
                  <c:v>2.5434224512123758E-2</c:v>
                </c:pt>
              </c:numCache>
            </c:numRef>
          </c:val>
          <c:smooth val="0"/>
        </c:ser>
        <c:ser>
          <c:idx val="1"/>
          <c:order val="1"/>
          <c:tx>
            <c:strRef>
              <c:f>'Valsts budžets'!$G$1</c:f>
              <c:strCache>
                <c:ptCount val="1"/>
                <c:pt idx="0">
                  <c:v>2013.gada līmenis</c:v>
                </c:pt>
              </c:strCache>
            </c:strRef>
          </c:tx>
          <c:marker>
            <c:symbol val="none"/>
          </c:marker>
          <c:cat>
            <c:strRef>
              <c:f>'Valsts budžets'!$A$3:$A$10</c:f>
              <c:strCache>
                <c:ptCount val="8"/>
                <c:pt idx="0">
                  <c:v>2009.g. izpilde</c:v>
                </c:pt>
                <c:pt idx="1">
                  <c:v>2010.g. izpilde</c:v>
                </c:pt>
                <c:pt idx="2">
                  <c:v>2011.g. izpilde</c:v>
                </c:pt>
                <c:pt idx="3">
                  <c:v>2012.g. izpilde</c:v>
                </c:pt>
                <c:pt idx="4">
                  <c:v>2013.g. plāns</c:v>
                </c:pt>
                <c:pt idx="5">
                  <c:v>2014.g.  bāze</c:v>
                </c:pt>
                <c:pt idx="6">
                  <c:v>2015.g. bāze</c:v>
                </c:pt>
                <c:pt idx="7">
                  <c:v>2016.g. bāze</c:v>
                </c:pt>
              </c:strCache>
            </c:strRef>
          </c:cat>
          <c:val>
            <c:numRef>
              <c:f>'Valsts budžets'!$G$3:$G$10</c:f>
              <c:numCache>
                <c:formatCode>General</c:formatCode>
                <c:ptCount val="8"/>
                <c:pt idx="4" formatCode="0.0%">
                  <c:v>3.1619308159976559E-2</c:v>
                </c:pt>
                <c:pt idx="5" formatCode="0.0%">
                  <c:v>3.1619308159976559E-2</c:v>
                </c:pt>
                <c:pt idx="6" formatCode="0.0%">
                  <c:v>3.1619308159976559E-2</c:v>
                </c:pt>
                <c:pt idx="7" formatCode="0.0%">
                  <c:v>3.1619308159976559E-2</c:v>
                </c:pt>
              </c:numCache>
            </c:numRef>
          </c:val>
          <c:smooth val="0"/>
        </c:ser>
        <c:dLbls>
          <c:showLegendKey val="0"/>
          <c:showVal val="0"/>
          <c:showCatName val="0"/>
          <c:showSerName val="0"/>
          <c:showPercent val="0"/>
          <c:showBubbleSize val="0"/>
        </c:dLbls>
        <c:smooth val="0"/>
        <c:axId val="372889848"/>
        <c:axId val="372890240"/>
      </c:lineChart>
      <c:catAx>
        <c:axId val="372889848"/>
        <c:scaling>
          <c:orientation val="minMax"/>
        </c:scaling>
        <c:delete val="0"/>
        <c:axPos val="b"/>
        <c:numFmt formatCode="General" sourceLinked="0"/>
        <c:majorTickMark val="out"/>
        <c:minorTickMark val="none"/>
        <c:tickLblPos val="nextTo"/>
        <c:crossAx val="372890240"/>
        <c:crosses val="autoZero"/>
        <c:auto val="1"/>
        <c:lblAlgn val="ctr"/>
        <c:lblOffset val="100"/>
        <c:noMultiLvlLbl val="0"/>
      </c:catAx>
      <c:valAx>
        <c:axId val="372890240"/>
        <c:scaling>
          <c:orientation val="minMax"/>
          <c:max val="4.5000000000000012E-2"/>
          <c:min val="2.5000000000000005E-2"/>
        </c:scaling>
        <c:delete val="0"/>
        <c:axPos val="l"/>
        <c:majorGridlines/>
        <c:numFmt formatCode="0.00%" sourceLinked="1"/>
        <c:majorTickMark val="out"/>
        <c:minorTickMark val="none"/>
        <c:tickLblPos val="nextTo"/>
        <c:crossAx val="372889848"/>
        <c:crosses val="autoZero"/>
        <c:crossBetween val="between"/>
      </c:valAx>
    </c:plotArea>
    <c:legend>
      <c:legendPos val="t"/>
      <c:overlay val="0"/>
    </c:legend>
    <c:plotVisOnly val="1"/>
    <c:dispBlanksAs val="gap"/>
    <c:showDLblsOverMax val="0"/>
  </c:chart>
  <c:txPr>
    <a:bodyPr/>
    <a:lstStyle/>
    <a:p>
      <a:pPr>
        <a:defRPr sz="1200">
          <a:latin typeface="Times New Roman" pitchFamily="18" charset="0"/>
          <a:cs typeface="Times New Roman" pitchFamily="18" charset="0"/>
        </a:defRPr>
      </a:pPr>
      <a:endParaRPr lang="lv-LV"/>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226172076249356E-2"/>
          <c:y val="1.8193126269893885E-2"/>
          <c:w val="0.94616924028661176"/>
          <c:h val="0.68192377817651062"/>
        </c:manualLayout>
      </c:layout>
      <c:stockChart>
        <c:ser>
          <c:idx val="0"/>
          <c:order val="0"/>
          <c:tx>
            <c:strRef>
              <c:f>'Intervāli _'!$C$1</c:f>
              <c:strCache>
                <c:ptCount val="1"/>
                <c:pt idx="0">
                  <c:v>Min</c:v>
                </c:pt>
              </c:strCache>
            </c:strRef>
          </c:tx>
          <c:spPr>
            <a:ln w="28558">
              <a:noFill/>
            </a:ln>
          </c:spPr>
          <c:marker>
            <c:symbol val="circle"/>
            <c:size val="4"/>
          </c:marker>
          <c:cat>
            <c:multiLvlStrRef>
              <c:f>'Intervāli _'!$A$2:$B$23</c:f>
              <c:multiLvlStrCache>
                <c:ptCount val="22"/>
                <c:lvl>
                  <c:pt idx="0">
                    <c:v>4.algu grupa 1.kateg.</c:v>
                  </c:pt>
                  <c:pt idx="1">
                    <c:v>4.algu grupa 2.kateg.</c:v>
                  </c:pt>
                  <c:pt idx="2">
                    <c:v>4.algu grupa 3.kateg.</c:v>
                  </c:pt>
                  <c:pt idx="5">
                    <c:v>līdz 2 gadiem</c:v>
                  </c:pt>
                  <c:pt idx="6">
                    <c:v>2–5 gadi</c:v>
                  </c:pt>
                  <c:pt idx="7">
                    <c:v>5–8 gadi</c:v>
                  </c:pt>
                  <c:pt idx="8">
                    <c:v>12–16 gadi</c:v>
                  </c:pt>
                  <c:pt idx="9">
                    <c:v>16–20 gadi</c:v>
                  </c:pt>
                  <c:pt idx="10">
                    <c:v>20–25 gadi</c:v>
                  </c:pt>
                  <c:pt idx="11">
                    <c:v>virs 25 gadiem</c:v>
                  </c:pt>
                  <c:pt idx="13">
                    <c:v>par 1.gadu (bāze)</c:v>
                  </c:pt>
                  <c:pt idx="14">
                    <c:v>par 2.gadu</c:v>
                  </c:pt>
                  <c:pt idx="15">
                    <c:v>3.gadu</c:v>
                  </c:pt>
                  <c:pt idx="16">
                    <c:v>4.–5. gadu</c:v>
                  </c:pt>
                  <c:pt idx="17">
                    <c:v>8.–11. gadu</c:v>
                  </c:pt>
                  <c:pt idx="18">
                    <c:v>12.–15. gadu</c:v>
                  </c:pt>
                  <c:pt idx="19">
                    <c:v>16.–19.gadu</c:v>
                  </c:pt>
                  <c:pt idx="20">
                    <c:v>20.–24. gadu</c:v>
                  </c:pt>
                  <c:pt idx="21">
                    <c:v>virs 25 gadiem</c:v>
                  </c:pt>
                </c:lvl>
                <c:lvl>
                  <c:pt idx="0">
                    <c:v>Ministriju padotības iestādes</c:v>
                  </c:pt>
                  <c:pt idx="4">
                    <c:v>IeM un TM amatperonas ar spec. dien. Pak.2.kat. A līm.</c:v>
                  </c:pt>
                  <c:pt idx="13">
                    <c:v>AM Kareivis, matrozis</c:v>
                  </c:pt>
                </c:lvl>
              </c:multiLvlStrCache>
            </c:multiLvlStrRef>
          </c:cat>
          <c:val>
            <c:numRef>
              <c:f>'Intervāli _'!$C$2:$C$23</c:f>
              <c:numCache>
                <c:formatCode>General</c:formatCode>
                <c:ptCount val="22"/>
                <c:pt idx="0">
                  <c:v>206</c:v>
                </c:pt>
                <c:pt idx="1">
                  <c:v>209</c:v>
                </c:pt>
                <c:pt idx="2">
                  <c:v>210</c:v>
                </c:pt>
                <c:pt idx="5">
                  <c:v>320</c:v>
                </c:pt>
                <c:pt idx="6">
                  <c:v>334</c:v>
                </c:pt>
                <c:pt idx="7">
                  <c:v>337</c:v>
                </c:pt>
                <c:pt idx="8">
                  <c:v>342</c:v>
                </c:pt>
                <c:pt idx="9">
                  <c:v>344</c:v>
                </c:pt>
                <c:pt idx="10">
                  <c:v>346</c:v>
                </c:pt>
                <c:pt idx="11">
                  <c:v>352</c:v>
                </c:pt>
                <c:pt idx="13">
                  <c:v>268</c:v>
                </c:pt>
                <c:pt idx="14">
                  <c:v>276</c:v>
                </c:pt>
                <c:pt idx="15">
                  <c:v>288</c:v>
                </c:pt>
                <c:pt idx="16">
                  <c:v>296</c:v>
                </c:pt>
                <c:pt idx="17">
                  <c:v>316</c:v>
                </c:pt>
                <c:pt idx="18">
                  <c:v>332</c:v>
                </c:pt>
                <c:pt idx="19">
                  <c:v>352</c:v>
                </c:pt>
                <c:pt idx="20">
                  <c:v>352</c:v>
                </c:pt>
                <c:pt idx="21">
                  <c:v>352</c:v>
                </c:pt>
              </c:numCache>
            </c:numRef>
          </c:val>
          <c:smooth val="0"/>
        </c:ser>
        <c:ser>
          <c:idx val="1"/>
          <c:order val="1"/>
          <c:tx>
            <c:strRef>
              <c:f>'Intervāli _'!$D$1</c:f>
              <c:strCache>
                <c:ptCount val="1"/>
                <c:pt idx="0">
                  <c:v>Max</c:v>
                </c:pt>
              </c:strCache>
            </c:strRef>
          </c:tx>
          <c:spPr>
            <a:ln w="28558">
              <a:noFill/>
            </a:ln>
          </c:spPr>
          <c:marker>
            <c:symbol val="circle"/>
            <c:size val="4"/>
            <c:spPr>
              <a:solidFill>
                <a:schemeClr val="accent1"/>
              </a:solidFill>
            </c:spPr>
          </c:marker>
          <c:cat>
            <c:multiLvlStrRef>
              <c:f>'Intervāli _'!$A$2:$B$23</c:f>
              <c:multiLvlStrCache>
                <c:ptCount val="22"/>
                <c:lvl>
                  <c:pt idx="0">
                    <c:v>4.algu grupa 1.kateg.</c:v>
                  </c:pt>
                  <c:pt idx="1">
                    <c:v>4.algu grupa 2.kateg.</c:v>
                  </c:pt>
                  <c:pt idx="2">
                    <c:v>4.algu grupa 3.kateg.</c:v>
                  </c:pt>
                  <c:pt idx="5">
                    <c:v>līdz 2 gadiem</c:v>
                  </c:pt>
                  <c:pt idx="6">
                    <c:v>2–5 gadi</c:v>
                  </c:pt>
                  <c:pt idx="7">
                    <c:v>5–8 gadi</c:v>
                  </c:pt>
                  <c:pt idx="8">
                    <c:v>12–16 gadi</c:v>
                  </c:pt>
                  <c:pt idx="9">
                    <c:v>16–20 gadi</c:v>
                  </c:pt>
                  <c:pt idx="10">
                    <c:v>20–25 gadi</c:v>
                  </c:pt>
                  <c:pt idx="11">
                    <c:v>virs 25 gadiem</c:v>
                  </c:pt>
                  <c:pt idx="13">
                    <c:v>par 1.gadu (bāze)</c:v>
                  </c:pt>
                  <c:pt idx="14">
                    <c:v>par 2.gadu</c:v>
                  </c:pt>
                  <c:pt idx="15">
                    <c:v>3.gadu</c:v>
                  </c:pt>
                  <c:pt idx="16">
                    <c:v>4.–5. gadu</c:v>
                  </c:pt>
                  <c:pt idx="17">
                    <c:v>8.–11. gadu</c:v>
                  </c:pt>
                  <c:pt idx="18">
                    <c:v>12.–15. gadu</c:v>
                  </c:pt>
                  <c:pt idx="19">
                    <c:v>16.–19.gadu</c:v>
                  </c:pt>
                  <c:pt idx="20">
                    <c:v>20.–24. gadu</c:v>
                  </c:pt>
                  <c:pt idx="21">
                    <c:v>virs 25 gadiem</c:v>
                  </c:pt>
                </c:lvl>
                <c:lvl>
                  <c:pt idx="0">
                    <c:v>Ministriju padotības iestādes</c:v>
                  </c:pt>
                  <c:pt idx="4">
                    <c:v>IeM un TM amatperonas ar spec. dien. Pak.2.kat. A līm.</c:v>
                  </c:pt>
                  <c:pt idx="13">
                    <c:v>AM Kareivis, matrozis</c:v>
                  </c:pt>
                </c:lvl>
              </c:multiLvlStrCache>
            </c:multiLvlStrRef>
          </c:cat>
          <c:val>
            <c:numRef>
              <c:f>'Intervāli _'!$D$2:$D$23</c:f>
              <c:numCache>
                <c:formatCode>General</c:formatCode>
                <c:ptCount val="22"/>
                <c:pt idx="0">
                  <c:v>271</c:v>
                </c:pt>
                <c:pt idx="1">
                  <c:v>312</c:v>
                </c:pt>
                <c:pt idx="2">
                  <c:v>358</c:v>
                </c:pt>
                <c:pt idx="5">
                  <c:v>376</c:v>
                </c:pt>
                <c:pt idx="6">
                  <c:v>378</c:v>
                </c:pt>
                <c:pt idx="7">
                  <c:v>381</c:v>
                </c:pt>
                <c:pt idx="8">
                  <c:v>386</c:v>
                </c:pt>
                <c:pt idx="9">
                  <c:v>388</c:v>
                </c:pt>
                <c:pt idx="10">
                  <c:v>390</c:v>
                </c:pt>
                <c:pt idx="11">
                  <c:v>396</c:v>
                </c:pt>
                <c:pt idx="13">
                  <c:v>268</c:v>
                </c:pt>
                <c:pt idx="14">
                  <c:v>276</c:v>
                </c:pt>
                <c:pt idx="15">
                  <c:v>288</c:v>
                </c:pt>
                <c:pt idx="16">
                  <c:v>296</c:v>
                </c:pt>
                <c:pt idx="17">
                  <c:v>316</c:v>
                </c:pt>
                <c:pt idx="18">
                  <c:v>332</c:v>
                </c:pt>
                <c:pt idx="19">
                  <c:v>352</c:v>
                </c:pt>
                <c:pt idx="20">
                  <c:v>352</c:v>
                </c:pt>
                <c:pt idx="21">
                  <c:v>352</c:v>
                </c:pt>
              </c:numCache>
            </c:numRef>
          </c:val>
          <c:smooth val="0"/>
        </c:ser>
        <c:ser>
          <c:idx val="2"/>
          <c:order val="2"/>
          <c:tx>
            <c:strRef>
              <c:f>'Intervāli _'!$E$1</c:f>
              <c:strCache>
                <c:ptCount val="1"/>
                <c:pt idx="0">
                  <c:v>Fiksēta alga</c:v>
                </c:pt>
              </c:strCache>
            </c:strRef>
          </c:tx>
          <c:spPr>
            <a:ln w="28558">
              <a:noFill/>
            </a:ln>
          </c:spPr>
          <c:marker>
            <c:symbol val="none"/>
          </c:marker>
          <c:cat>
            <c:multiLvlStrRef>
              <c:f>'Intervāli _'!$A$2:$B$23</c:f>
              <c:multiLvlStrCache>
                <c:ptCount val="22"/>
                <c:lvl>
                  <c:pt idx="0">
                    <c:v>4.algu grupa 1.kateg.</c:v>
                  </c:pt>
                  <c:pt idx="1">
                    <c:v>4.algu grupa 2.kateg.</c:v>
                  </c:pt>
                  <c:pt idx="2">
                    <c:v>4.algu grupa 3.kateg.</c:v>
                  </c:pt>
                  <c:pt idx="5">
                    <c:v>līdz 2 gadiem</c:v>
                  </c:pt>
                  <c:pt idx="6">
                    <c:v>2–5 gadi</c:v>
                  </c:pt>
                  <c:pt idx="7">
                    <c:v>5–8 gadi</c:v>
                  </c:pt>
                  <c:pt idx="8">
                    <c:v>12–16 gadi</c:v>
                  </c:pt>
                  <c:pt idx="9">
                    <c:v>16–20 gadi</c:v>
                  </c:pt>
                  <c:pt idx="10">
                    <c:v>20–25 gadi</c:v>
                  </c:pt>
                  <c:pt idx="11">
                    <c:v>virs 25 gadiem</c:v>
                  </c:pt>
                  <c:pt idx="13">
                    <c:v>par 1.gadu (bāze)</c:v>
                  </c:pt>
                  <c:pt idx="14">
                    <c:v>par 2.gadu</c:v>
                  </c:pt>
                  <c:pt idx="15">
                    <c:v>3.gadu</c:v>
                  </c:pt>
                  <c:pt idx="16">
                    <c:v>4.–5. gadu</c:v>
                  </c:pt>
                  <c:pt idx="17">
                    <c:v>8.–11. gadu</c:v>
                  </c:pt>
                  <c:pt idx="18">
                    <c:v>12.–15. gadu</c:v>
                  </c:pt>
                  <c:pt idx="19">
                    <c:v>16.–19.gadu</c:v>
                  </c:pt>
                  <c:pt idx="20">
                    <c:v>20.–24. gadu</c:v>
                  </c:pt>
                  <c:pt idx="21">
                    <c:v>virs 25 gadiem</c:v>
                  </c:pt>
                </c:lvl>
                <c:lvl>
                  <c:pt idx="0">
                    <c:v>Ministriju padotības iestādes</c:v>
                  </c:pt>
                  <c:pt idx="4">
                    <c:v>IeM un TM amatperonas ar spec. dien. Pak.2.kat. A līm.</c:v>
                  </c:pt>
                  <c:pt idx="13">
                    <c:v>AM Kareivis, matrozis</c:v>
                  </c:pt>
                </c:lvl>
              </c:multiLvlStrCache>
            </c:multiLvlStrRef>
          </c:cat>
          <c:val>
            <c:numRef>
              <c:f>'Intervāli _'!$E$2:$E$23</c:f>
              <c:numCache>
                <c:formatCode>General</c:formatCode>
                <c:ptCount val="22"/>
              </c:numCache>
            </c:numRef>
          </c:val>
          <c:smooth val="0"/>
        </c:ser>
        <c:dLbls>
          <c:showLegendKey val="0"/>
          <c:showVal val="0"/>
          <c:showCatName val="0"/>
          <c:showSerName val="0"/>
          <c:showPercent val="0"/>
          <c:showBubbleSize val="0"/>
        </c:dLbls>
        <c:hiLowLines>
          <c:spPr>
            <a:ln w="31732">
              <a:solidFill>
                <a:srgbClr val="7030A0"/>
              </a:solidFill>
            </a:ln>
          </c:spPr>
        </c:hiLowLines>
        <c:axId val="372891024"/>
        <c:axId val="372891416"/>
      </c:stockChart>
      <c:catAx>
        <c:axId val="372891024"/>
        <c:scaling>
          <c:orientation val="minMax"/>
        </c:scaling>
        <c:delete val="0"/>
        <c:axPos val="b"/>
        <c:numFmt formatCode="General" sourceLinked="0"/>
        <c:majorTickMark val="out"/>
        <c:minorTickMark val="none"/>
        <c:tickLblPos val="nextTo"/>
        <c:txPr>
          <a:bodyPr rot="-5400000" vert="horz"/>
          <a:lstStyle/>
          <a:p>
            <a:pPr>
              <a:defRPr lang="lv-LV" sz="999"/>
            </a:pPr>
            <a:endParaRPr lang="lv-LV"/>
          </a:p>
        </c:txPr>
        <c:crossAx val="372891416"/>
        <c:crosses val="autoZero"/>
        <c:auto val="1"/>
        <c:lblAlgn val="ctr"/>
        <c:lblOffset val="100"/>
        <c:noMultiLvlLbl val="0"/>
      </c:catAx>
      <c:valAx>
        <c:axId val="372891416"/>
        <c:scaling>
          <c:orientation val="minMax"/>
          <c:min val="200"/>
        </c:scaling>
        <c:delete val="0"/>
        <c:axPos val="l"/>
        <c:majorGridlines/>
        <c:title>
          <c:tx>
            <c:rich>
              <a:bodyPr rot="0" vert="horz"/>
              <a:lstStyle/>
              <a:p>
                <a:pPr algn="ctr">
                  <a:defRPr sz="1199" b="0" i="0" u="none" strike="noStrike" baseline="0">
                    <a:solidFill>
                      <a:srgbClr val="000000"/>
                    </a:solidFill>
                    <a:latin typeface="Times New Roman"/>
                    <a:ea typeface="Times New Roman"/>
                    <a:cs typeface="Times New Roman"/>
                  </a:defRPr>
                </a:pPr>
                <a:r>
                  <a:rPr lang="lv-LV" sz="1199" b="1" i="0" u="none" strike="noStrike" baseline="0">
                    <a:solidFill>
                      <a:srgbClr val="000000"/>
                    </a:solidFill>
                    <a:latin typeface="Times New Roman"/>
                    <a:cs typeface="Times New Roman"/>
                  </a:rPr>
                  <a:t>Ls</a:t>
                </a:r>
              </a:p>
            </c:rich>
          </c:tx>
          <c:layout>
            <c:manualLayout>
              <c:xMode val="edge"/>
              <c:yMode val="edge"/>
              <c:x val="5.4919838316913716E-2"/>
              <c:y val="2.4962738383463842E-2"/>
            </c:manualLayout>
          </c:layout>
          <c:overlay val="0"/>
        </c:title>
        <c:numFmt formatCode="General" sourceLinked="1"/>
        <c:majorTickMark val="out"/>
        <c:minorTickMark val="none"/>
        <c:tickLblPos val="nextTo"/>
        <c:txPr>
          <a:bodyPr/>
          <a:lstStyle/>
          <a:p>
            <a:pPr>
              <a:defRPr lang="lv-LV"/>
            </a:pPr>
            <a:endParaRPr lang="lv-LV"/>
          </a:p>
        </c:txPr>
        <c:crossAx val="372891024"/>
        <c:crosses val="autoZero"/>
        <c:crossBetween val="between"/>
      </c:valAx>
    </c:plotArea>
    <c:plotVisOnly val="1"/>
    <c:dispBlanksAs val="gap"/>
    <c:showDLblsOverMax val="0"/>
  </c:chart>
  <c:txPr>
    <a:bodyPr/>
    <a:lstStyle/>
    <a:p>
      <a:pPr>
        <a:defRPr sz="1199">
          <a:latin typeface="Times New Roman" pitchFamily="18" charset="0"/>
          <a:cs typeface="Times New Roman" pitchFamily="18" charset="0"/>
        </a:defRPr>
      </a:pPr>
      <a:endParaRPr lang="lv-LV"/>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19551375522504"/>
          <c:y val="0.15693326528628432"/>
          <c:w val="0.85438004277243118"/>
          <c:h val="0.60072237654643346"/>
        </c:manualLayout>
      </c:layout>
      <c:barChart>
        <c:barDir val="col"/>
        <c:grouping val="clustered"/>
        <c:varyColors val="0"/>
        <c:ser>
          <c:idx val="0"/>
          <c:order val="0"/>
          <c:tx>
            <c:strRef>
              <c:f>Sheet1!$B$1</c:f>
              <c:strCache>
                <c:ptCount val="1"/>
                <c:pt idx="0">
                  <c:v>2012.gadā vidēji</c:v>
                </c:pt>
              </c:strCache>
            </c:strRef>
          </c:tx>
          <c:spPr>
            <a:solidFill>
              <a:srgbClr val="7030A0"/>
            </a:solidFill>
          </c:spPr>
          <c:invertIfNegative val="0"/>
          <c:dLbls>
            <c:spPr>
              <a:noFill/>
              <a:ln w="25392">
                <a:noFill/>
              </a:ln>
            </c:spPr>
            <c:txPr>
              <a:bodyPr rot="-5400000" vert="horz"/>
              <a:lstStyle/>
              <a:p>
                <a:pPr>
                  <a:defRPr sz="1000"/>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Sheet1!$A$2:$A$20</c:f>
              <c:strCache>
                <c:ptCount val="19"/>
                <c:pt idx="0">
                  <c:v>&lt;200</c:v>
                </c:pt>
                <c:pt idx="1">
                  <c:v>200-299</c:v>
                </c:pt>
                <c:pt idx="2">
                  <c:v>300-399</c:v>
                </c:pt>
                <c:pt idx="3">
                  <c:v>400-499</c:v>
                </c:pt>
                <c:pt idx="4">
                  <c:v>500-599</c:v>
                </c:pt>
                <c:pt idx="5">
                  <c:v>600-699</c:v>
                </c:pt>
                <c:pt idx="6">
                  <c:v>700-799</c:v>
                </c:pt>
                <c:pt idx="7">
                  <c:v>800-899</c:v>
                </c:pt>
                <c:pt idx="8">
                  <c:v>900-999</c:v>
                </c:pt>
                <c:pt idx="9">
                  <c:v>1000-1099</c:v>
                </c:pt>
                <c:pt idx="10">
                  <c:v>1100-1199</c:v>
                </c:pt>
                <c:pt idx="11">
                  <c:v>1200-1299</c:v>
                </c:pt>
                <c:pt idx="12">
                  <c:v>1300-1399</c:v>
                </c:pt>
                <c:pt idx="13">
                  <c:v>1400-1499</c:v>
                </c:pt>
                <c:pt idx="14">
                  <c:v>1500-1599</c:v>
                </c:pt>
                <c:pt idx="15">
                  <c:v>1600-1699</c:v>
                </c:pt>
                <c:pt idx="16">
                  <c:v>1700-1799</c:v>
                </c:pt>
                <c:pt idx="17">
                  <c:v>1800-1899</c:v>
                </c:pt>
                <c:pt idx="18">
                  <c:v>1900-1999</c:v>
                </c:pt>
              </c:strCache>
            </c:strRef>
          </c:cat>
          <c:val>
            <c:numRef>
              <c:f>Sheet1!$B$2:$B$20</c:f>
              <c:numCache>
                <c:formatCode>General</c:formatCode>
                <c:ptCount val="19"/>
                <c:pt idx="0">
                  <c:v>4535</c:v>
                </c:pt>
                <c:pt idx="1">
                  <c:v>17244</c:v>
                </c:pt>
                <c:pt idx="2">
                  <c:v>14572</c:v>
                </c:pt>
                <c:pt idx="3">
                  <c:v>8688</c:v>
                </c:pt>
                <c:pt idx="4">
                  <c:v>6538</c:v>
                </c:pt>
                <c:pt idx="5">
                  <c:v>4090</c:v>
                </c:pt>
                <c:pt idx="6">
                  <c:v>2046</c:v>
                </c:pt>
                <c:pt idx="7">
                  <c:v>1458</c:v>
                </c:pt>
                <c:pt idx="8">
                  <c:v>951</c:v>
                </c:pt>
                <c:pt idx="9">
                  <c:v>438</c:v>
                </c:pt>
                <c:pt idx="10">
                  <c:v>970</c:v>
                </c:pt>
                <c:pt idx="11">
                  <c:v>375</c:v>
                </c:pt>
                <c:pt idx="12">
                  <c:v>435</c:v>
                </c:pt>
                <c:pt idx="13">
                  <c:v>163</c:v>
                </c:pt>
                <c:pt idx="14">
                  <c:v>202</c:v>
                </c:pt>
                <c:pt idx="15">
                  <c:v>102</c:v>
                </c:pt>
                <c:pt idx="16">
                  <c:v>59</c:v>
                </c:pt>
                <c:pt idx="17">
                  <c:v>13</c:v>
                </c:pt>
                <c:pt idx="18">
                  <c:v>4</c:v>
                </c:pt>
              </c:numCache>
            </c:numRef>
          </c:val>
        </c:ser>
        <c:ser>
          <c:idx val="1"/>
          <c:order val="1"/>
          <c:tx>
            <c:strRef>
              <c:f>Sheet1!$C$1</c:f>
              <c:strCache>
                <c:ptCount val="1"/>
                <c:pt idx="0">
                  <c:v>2013.gada janvāris</c:v>
                </c:pt>
              </c:strCache>
            </c:strRef>
          </c:tx>
          <c:spPr>
            <a:solidFill>
              <a:srgbClr val="00B050"/>
            </a:solidFill>
          </c:spPr>
          <c:invertIfNegative val="0"/>
          <c:dLbls>
            <c:spPr>
              <a:noFill/>
              <a:ln w="25392">
                <a:noFill/>
              </a:ln>
            </c:spPr>
            <c:txPr>
              <a:bodyPr rot="-5400000" vert="horz"/>
              <a:lstStyle/>
              <a:p>
                <a:pPr>
                  <a:defRPr sz="1000"/>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Sheet1!$A$2:$A$20</c:f>
              <c:strCache>
                <c:ptCount val="19"/>
                <c:pt idx="0">
                  <c:v>&lt;200</c:v>
                </c:pt>
                <c:pt idx="1">
                  <c:v>200-299</c:v>
                </c:pt>
                <c:pt idx="2">
                  <c:v>300-399</c:v>
                </c:pt>
                <c:pt idx="3">
                  <c:v>400-499</c:v>
                </c:pt>
                <c:pt idx="4">
                  <c:v>500-599</c:v>
                </c:pt>
                <c:pt idx="5">
                  <c:v>600-699</c:v>
                </c:pt>
                <c:pt idx="6">
                  <c:v>700-799</c:v>
                </c:pt>
                <c:pt idx="7">
                  <c:v>800-899</c:v>
                </c:pt>
                <c:pt idx="8">
                  <c:v>900-999</c:v>
                </c:pt>
                <c:pt idx="9">
                  <c:v>1000-1099</c:v>
                </c:pt>
                <c:pt idx="10">
                  <c:v>1100-1199</c:v>
                </c:pt>
                <c:pt idx="11">
                  <c:v>1200-1299</c:v>
                </c:pt>
                <c:pt idx="12">
                  <c:v>1300-1399</c:v>
                </c:pt>
                <c:pt idx="13">
                  <c:v>1400-1499</c:v>
                </c:pt>
                <c:pt idx="14">
                  <c:v>1500-1599</c:v>
                </c:pt>
                <c:pt idx="15">
                  <c:v>1600-1699</c:v>
                </c:pt>
                <c:pt idx="16">
                  <c:v>1700-1799</c:v>
                </c:pt>
                <c:pt idx="17">
                  <c:v>1800-1899</c:v>
                </c:pt>
                <c:pt idx="18">
                  <c:v>1900-1999</c:v>
                </c:pt>
              </c:strCache>
            </c:strRef>
          </c:cat>
          <c:val>
            <c:numRef>
              <c:f>Sheet1!$C$2:$C$20</c:f>
              <c:numCache>
                <c:formatCode>General</c:formatCode>
                <c:ptCount val="19"/>
                <c:pt idx="0">
                  <c:v>3631</c:v>
                </c:pt>
                <c:pt idx="1">
                  <c:v>8503</c:v>
                </c:pt>
                <c:pt idx="2">
                  <c:v>13564</c:v>
                </c:pt>
                <c:pt idx="3">
                  <c:v>14497</c:v>
                </c:pt>
                <c:pt idx="4">
                  <c:v>7675</c:v>
                </c:pt>
                <c:pt idx="5">
                  <c:v>4515</c:v>
                </c:pt>
                <c:pt idx="6">
                  <c:v>2150</c:v>
                </c:pt>
                <c:pt idx="7">
                  <c:v>1608</c:v>
                </c:pt>
                <c:pt idx="8">
                  <c:v>1054</c:v>
                </c:pt>
                <c:pt idx="9">
                  <c:v>396</c:v>
                </c:pt>
                <c:pt idx="10">
                  <c:v>1003</c:v>
                </c:pt>
                <c:pt idx="11">
                  <c:v>350</c:v>
                </c:pt>
                <c:pt idx="12">
                  <c:v>448</c:v>
                </c:pt>
                <c:pt idx="13">
                  <c:v>123</c:v>
                </c:pt>
                <c:pt idx="14">
                  <c:v>211</c:v>
                </c:pt>
                <c:pt idx="15">
                  <c:v>104</c:v>
                </c:pt>
                <c:pt idx="16">
                  <c:v>73</c:v>
                </c:pt>
                <c:pt idx="17">
                  <c:v>24</c:v>
                </c:pt>
                <c:pt idx="18">
                  <c:v>8</c:v>
                </c:pt>
              </c:numCache>
            </c:numRef>
          </c:val>
        </c:ser>
        <c:dLbls>
          <c:showLegendKey val="0"/>
          <c:showVal val="0"/>
          <c:showCatName val="0"/>
          <c:showSerName val="0"/>
          <c:showPercent val="0"/>
          <c:showBubbleSize val="0"/>
        </c:dLbls>
        <c:gapWidth val="150"/>
        <c:axId val="372892200"/>
        <c:axId val="372892592"/>
      </c:barChart>
      <c:catAx>
        <c:axId val="372892200"/>
        <c:scaling>
          <c:orientation val="minMax"/>
        </c:scaling>
        <c:delete val="0"/>
        <c:axPos val="b"/>
        <c:title>
          <c:tx>
            <c:rich>
              <a:bodyPr/>
              <a:lstStyle/>
              <a:p>
                <a:pPr>
                  <a:defRPr sz="1100" b="1" i="0" u="none" strike="noStrike" baseline="0">
                    <a:solidFill>
                      <a:srgbClr val="000000"/>
                    </a:solidFill>
                    <a:latin typeface="Times New Roman"/>
                    <a:ea typeface="Times New Roman"/>
                    <a:cs typeface="Times New Roman"/>
                  </a:defRPr>
                </a:pPr>
                <a:r>
                  <a:rPr lang="lv-LV"/>
                  <a:t>Mēnešalgas intervāls</a:t>
                </a:r>
              </a:p>
            </c:rich>
          </c:tx>
          <c:overlay val="0"/>
        </c:title>
        <c:numFmt formatCode="General" sourceLinked="0"/>
        <c:majorTickMark val="out"/>
        <c:minorTickMark val="none"/>
        <c:tickLblPos val="nextTo"/>
        <c:crossAx val="372892592"/>
        <c:crosses val="autoZero"/>
        <c:auto val="1"/>
        <c:lblAlgn val="ctr"/>
        <c:lblOffset val="100"/>
        <c:noMultiLvlLbl val="0"/>
      </c:catAx>
      <c:valAx>
        <c:axId val="372892592"/>
        <c:scaling>
          <c:orientation val="minMax"/>
        </c:scaling>
        <c:delete val="0"/>
        <c:axPos val="l"/>
        <c:majorGridlines/>
        <c:title>
          <c:tx>
            <c:rich>
              <a:bodyPr/>
              <a:lstStyle/>
              <a:p>
                <a:pPr>
                  <a:defRPr sz="1100" b="1" i="0" u="none" strike="noStrike" baseline="0">
                    <a:solidFill>
                      <a:srgbClr val="000000"/>
                    </a:solidFill>
                    <a:latin typeface="Times New Roman"/>
                    <a:ea typeface="Times New Roman"/>
                    <a:cs typeface="Times New Roman"/>
                  </a:defRPr>
                </a:pPr>
                <a:r>
                  <a:rPr lang="lv-LV"/>
                  <a:t>Nodarbināto skaits
</a:t>
                </a:r>
              </a:p>
            </c:rich>
          </c:tx>
          <c:overlay val="0"/>
        </c:title>
        <c:numFmt formatCode="General" sourceLinked="1"/>
        <c:majorTickMark val="out"/>
        <c:minorTickMark val="none"/>
        <c:tickLblPos val="nextTo"/>
        <c:crossAx val="372892200"/>
        <c:crosses val="autoZero"/>
        <c:crossBetween val="between"/>
      </c:valAx>
    </c:plotArea>
    <c:legend>
      <c:legendPos val="t"/>
      <c:overlay val="0"/>
    </c:legend>
    <c:plotVisOnly val="1"/>
    <c:dispBlanksAs val="gap"/>
    <c:showDLblsOverMax val="0"/>
  </c:chart>
  <c:txPr>
    <a:bodyPr/>
    <a:lstStyle/>
    <a:p>
      <a:pPr>
        <a:defRPr sz="1100">
          <a:latin typeface="Times New Roman" pitchFamily="18" charset="0"/>
          <a:cs typeface="Times New Roman" pitchFamily="18" charset="0"/>
        </a:defRPr>
      </a:pPr>
      <a:endParaRPr lang="lv-LV"/>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0.6125</cdr:x>
      <cdr:y>0.75161</cdr:y>
    </cdr:from>
    <cdr:to>
      <cdr:x>0.74167</cdr:x>
      <cdr:y>0.81935</cdr:y>
    </cdr:to>
    <cdr:sp macro="" textlink="">
      <cdr:nvSpPr>
        <cdr:cNvPr id="2" name="TextBox 1"/>
        <cdr:cNvSpPr txBox="1"/>
      </cdr:nvSpPr>
      <cdr:spPr>
        <a:xfrm xmlns:a="http://schemas.openxmlformats.org/drawingml/2006/main">
          <a:off x="2800350" y="2219325"/>
          <a:ext cx="590550" cy="2000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lv-LV" sz="1100">
              <a:solidFill>
                <a:srgbClr val="FF0000"/>
              </a:solidFill>
            </a:rPr>
            <a:t>-27.2%</a:t>
          </a:r>
          <a:endParaRPr lang="ru-RU" sz="1100">
            <a:solidFill>
              <a:srgbClr val="FF0000"/>
            </a:solidFill>
          </a:endParaRPr>
        </a:p>
      </cdr:txBody>
    </cdr:sp>
  </cdr:relSizeAnchor>
  <cdr:relSizeAnchor xmlns:cdr="http://schemas.openxmlformats.org/drawingml/2006/chartDrawing">
    <cdr:from>
      <cdr:x>0.52083</cdr:x>
      <cdr:y>0.6871</cdr:y>
    </cdr:from>
    <cdr:to>
      <cdr:x>0.66667</cdr:x>
      <cdr:y>0.76452</cdr:y>
    </cdr:to>
    <cdr:sp macro="" textlink="">
      <cdr:nvSpPr>
        <cdr:cNvPr id="3" name="TextBox 2"/>
        <cdr:cNvSpPr txBox="1"/>
      </cdr:nvSpPr>
      <cdr:spPr>
        <a:xfrm xmlns:a="http://schemas.openxmlformats.org/drawingml/2006/main">
          <a:off x="2381250" y="2028825"/>
          <a:ext cx="666750" cy="22859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lv-LV" sz="1100">
              <a:solidFill>
                <a:schemeClr val="accent1">
                  <a:lumMod val="75000"/>
                </a:schemeClr>
              </a:solidFill>
            </a:rPr>
            <a:t>-26.8%</a:t>
          </a:r>
          <a:endParaRPr lang="ru-RU" sz="1100">
            <a:solidFill>
              <a:schemeClr val="accent1">
                <a:lumMod val="75000"/>
              </a:schemeClr>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0.729</cdr:x>
      <cdr:y>0.69322</cdr:y>
    </cdr:from>
    <cdr:to>
      <cdr:x>0.86463</cdr:x>
      <cdr:y>0.73852</cdr:y>
    </cdr:to>
    <cdr:sp macro="" textlink="">
      <cdr:nvSpPr>
        <cdr:cNvPr id="2" name="TextBox 1"/>
        <cdr:cNvSpPr txBox="1"/>
      </cdr:nvSpPr>
      <cdr:spPr>
        <a:xfrm xmlns:a="http://schemas.openxmlformats.org/drawingml/2006/main">
          <a:off x="3327797" y="2641998"/>
          <a:ext cx="619125" cy="172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a:p>
      </cdr:txBody>
    </cdr:sp>
  </cdr:relSizeAnchor>
  <cdr:relSizeAnchor xmlns:cdr="http://schemas.openxmlformats.org/drawingml/2006/chartDrawing">
    <cdr:from>
      <cdr:x>0.74603</cdr:x>
      <cdr:y>0.65236</cdr:y>
    </cdr:from>
    <cdr:to>
      <cdr:x>0.95469</cdr:x>
      <cdr:y>0.72265</cdr:y>
    </cdr:to>
    <cdr:sp macro="" textlink="">
      <cdr:nvSpPr>
        <cdr:cNvPr id="3" name="TextBox 2"/>
        <cdr:cNvSpPr txBox="1"/>
      </cdr:nvSpPr>
      <cdr:spPr>
        <a:xfrm xmlns:a="http://schemas.openxmlformats.org/drawingml/2006/main">
          <a:off x="4396652" y="2450679"/>
          <a:ext cx="1229724" cy="2640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100"/>
            <a:t>+27 milj.Ls</a:t>
          </a:r>
        </a:p>
      </cdr:txBody>
    </cdr:sp>
  </cdr:relSizeAnchor>
</c:userShapes>
</file>

<file path=word/drawings/drawing3.xml><?xml version="1.0" encoding="utf-8"?>
<c:userShapes xmlns:c="http://schemas.openxmlformats.org/drawingml/2006/chart">
  <cdr:relSizeAnchor xmlns:cdr="http://schemas.openxmlformats.org/drawingml/2006/chartDrawing">
    <cdr:from>
      <cdr:x>0.39313</cdr:x>
      <cdr:y>0.09379</cdr:y>
    </cdr:from>
    <cdr:to>
      <cdr:x>0.94773</cdr:x>
      <cdr:y>0.47315</cdr:y>
    </cdr:to>
    <cdr:sp macro="" textlink="">
      <cdr:nvSpPr>
        <cdr:cNvPr id="2" name="TextBox 1"/>
        <cdr:cNvSpPr txBox="1"/>
      </cdr:nvSpPr>
      <cdr:spPr>
        <a:xfrm xmlns:a="http://schemas.openxmlformats.org/drawingml/2006/main">
          <a:off x="2437686" y="349291"/>
          <a:ext cx="3438950" cy="1412834"/>
        </a:xfrm>
        <a:prstGeom xmlns:a="http://schemas.openxmlformats.org/drawingml/2006/main" prst="rect">
          <a:avLst/>
        </a:prstGeom>
        <a:solidFill xmlns:a="http://schemas.openxmlformats.org/drawingml/2006/main">
          <a:srgbClr val="EEECE1">
            <a:lumMod val="20000"/>
            <a:lumOff val="80000"/>
          </a:srgbClr>
        </a:solidFill>
        <a:ln xmlns:a="http://schemas.openxmlformats.org/drawingml/2006/main">
          <a:solidFill>
            <a:srgbClr val="002060"/>
          </a:solidFill>
        </a:ln>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1100" dirty="0" smtClean="0">
              <a:latin typeface="Times New Roman" pitchFamily="18" charset="0"/>
              <a:cs typeface="Times New Roman" pitchFamily="18" charset="0"/>
            </a:rPr>
            <a:t>		</a:t>
          </a:r>
          <a:r>
            <a:rPr lang="lv-LV" sz="1100" b="1" dirty="0" smtClean="0">
              <a:latin typeface="Times New Roman" pitchFamily="18" charset="0"/>
              <a:cs typeface="Times New Roman" pitchFamily="18" charset="0"/>
            </a:rPr>
            <a:t>2012.gadā    2013.gada</a:t>
          </a:r>
        </a:p>
        <a:p xmlns:a="http://schemas.openxmlformats.org/drawingml/2006/main">
          <a:r>
            <a:rPr lang="lv-LV" sz="1100" b="1" dirty="0" smtClean="0">
              <a:latin typeface="Times New Roman" pitchFamily="18" charset="0"/>
              <a:cs typeface="Times New Roman" pitchFamily="18" charset="0"/>
            </a:rPr>
            <a:t> 		vidēji	janvāris</a:t>
          </a:r>
        </a:p>
        <a:p xmlns:a="http://schemas.openxmlformats.org/drawingml/2006/main">
          <a:endParaRPr lang="lv-LV" sz="1100" dirty="0" smtClean="0">
            <a:latin typeface="Times New Roman" pitchFamily="18" charset="0"/>
            <a:cs typeface="Times New Roman" pitchFamily="18" charset="0"/>
          </a:endParaRPr>
        </a:p>
        <a:p xmlns:a="http://schemas.openxmlformats.org/drawingml/2006/main">
          <a:r>
            <a:rPr lang="lv-LV" sz="1100" b="1" dirty="0" smtClean="0">
              <a:latin typeface="Times New Roman" pitchFamily="18" charset="0"/>
              <a:cs typeface="Times New Roman" pitchFamily="18" charset="0"/>
            </a:rPr>
            <a:t>Mediāna		359 Ls	435 Ls</a:t>
          </a:r>
        </a:p>
        <a:p xmlns:a="http://schemas.openxmlformats.org/drawingml/2006/main">
          <a:r>
            <a:rPr lang="lv-LV" sz="1100" dirty="0" smtClean="0">
              <a:latin typeface="Times New Roman" pitchFamily="18" charset="0"/>
              <a:cs typeface="Times New Roman" pitchFamily="18" charset="0"/>
            </a:rPr>
            <a:t>Mēnešalga nepārsniedz 300Ls	35%	21%</a:t>
          </a:r>
        </a:p>
        <a:p xmlns:a="http://schemas.openxmlformats.org/drawingml/2006/main">
          <a:r>
            <a:rPr lang="lv-LV" sz="1100" dirty="0" smtClean="0">
              <a:latin typeface="Times New Roman" pitchFamily="18" charset="0"/>
              <a:cs typeface="Times New Roman" pitchFamily="18" charset="0"/>
            </a:rPr>
            <a:t>Mēnešalga nepārsniedz 400 Ls	58%	44%</a:t>
          </a:r>
        </a:p>
        <a:p xmlns:a="http://schemas.openxmlformats.org/drawingml/2006/main">
          <a:r>
            <a:rPr lang="lv-LV" sz="1100" u="sng" dirty="0" smtClean="0">
              <a:latin typeface="Times New Roman" pitchFamily="18" charset="0"/>
              <a:cs typeface="Times New Roman" pitchFamily="18" charset="0"/>
            </a:rPr>
            <a:t>Mēnešalga nepārsniedz 500 Ls	72%	68%</a:t>
          </a:r>
        </a:p>
        <a:p xmlns:a="http://schemas.openxmlformats.org/drawingml/2006/main">
          <a:r>
            <a:rPr lang="lv-LV" sz="1100" dirty="0" smtClean="0">
              <a:latin typeface="Times New Roman" pitchFamily="18" charset="0"/>
              <a:cs typeface="Times New Roman" pitchFamily="18" charset="0"/>
            </a:rPr>
            <a:t>Mēnešalga pārsniedz 1000 Ls	4%	5%</a:t>
          </a:r>
          <a:endParaRPr lang="lv-LV" sz="1100" dirty="0">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0.05501</cdr:x>
      <cdr:y>0.45781</cdr:y>
    </cdr:from>
    <cdr:to>
      <cdr:x>1</cdr:x>
      <cdr:y>0.45781</cdr:y>
    </cdr:to>
    <cdr:cxnSp macro="">
      <cdr:nvCxnSpPr>
        <cdr:cNvPr id="3" name="Straight Connector 2"/>
        <cdr:cNvCxnSpPr/>
      </cdr:nvCxnSpPr>
      <cdr:spPr>
        <a:xfrm xmlns:a="http://schemas.openxmlformats.org/drawingml/2006/main">
          <a:off x="586408" y="2188840"/>
          <a:ext cx="7776864" cy="0"/>
        </a:xfrm>
        <a:prstGeom xmlns:a="http://schemas.openxmlformats.org/drawingml/2006/main" prst="line">
          <a:avLst/>
        </a:prstGeom>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0.54375</cdr:x>
      <cdr:y>0.14369</cdr:y>
    </cdr:from>
    <cdr:to>
      <cdr:x>0.54375</cdr:x>
      <cdr:y>0.26602</cdr:y>
    </cdr:to>
    <cdr:cxnSp macro="">
      <cdr:nvCxnSpPr>
        <cdr:cNvPr id="4" name="Straight Arrow Connector 3"/>
        <cdr:cNvCxnSpPr/>
      </cdr:nvCxnSpPr>
      <cdr:spPr>
        <a:xfrm xmlns:a="http://schemas.openxmlformats.org/drawingml/2006/main">
          <a:off x="4474840" y="676672"/>
          <a:ext cx="0" cy="576064"/>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0.89374</cdr:x>
      <cdr:y>0.15899</cdr:y>
    </cdr:from>
    <cdr:to>
      <cdr:x>0.89374</cdr:x>
      <cdr:y>0.25074</cdr:y>
    </cdr:to>
    <cdr:cxnSp macro="">
      <cdr:nvCxnSpPr>
        <cdr:cNvPr id="8" name="Straight Arrow Connector 7"/>
        <cdr:cNvCxnSpPr/>
      </cdr:nvCxnSpPr>
      <cdr:spPr>
        <a:xfrm xmlns:a="http://schemas.openxmlformats.org/drawingml/2006/main">
          <a:off x="7355160" y="748680"/>
          <a:ext cx="0" cy="432062"/>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0.09816</cdr:x>
      <cdr:y>0</cdr:y>
    </cdr:from>
    <cdr:to>
      <cdr:x>0.16816</cdr:x>
      <cdr:y>0.08835</cdr:y>
    </cdr:to>
    <cdr:sp macro="" textlink="">
      <cdr:nvSpPr>
        <cdr:cNvPr id="2" name="TextBox 7"/>
        <cdr:cNvSpPr txBox="1"/>
      </cdr:nvSpPr>
      <cdr:spPr>
        <a:xfrm xmlns:a="http://schemas.openxmlformats.org/drawingml/2006/main">
          <a:off x="600253" y="0"/>
          <a:ext cx="428054" cy="269304"/>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lv-LV"/>
          </a:defPPr>
          <a:lvl1pPr algn="l" rtl="0" fontAlgn="base">
            <a:spcBef>
              <a:spcPct val="0"/>
            </a:spcBef>
            <a:spcAft>
              <a:spcPct val="0"/>
            </a:spcAft>
            <a:defRPr sz="4000" kern="1200">
              <a:solidFill>
                <a:schemeClr val="tx1"/>
              </a:solidFill>
              <a:latin typeface="Times New Roman" pitchFamily="18" charset="0"/>
              <a:ea typeface="+mn-ea"/>
              <a:cs typeface="+mn-cs"/>
            </a:defRPr>
          </a:lvl1pPr>
          <a:lvl2pPr marL="457200" algn="l" rtl="0" fontAlgn="base">
            <a:spcBef>
              <a:spcPct val="0"/>
            </a:spcBef>
            <a:spcAft>
              <a:spcPct val="0"/>
            </a:spcAft>
            <a:defRPr sz="4000" kern="1200">
              <a:solidFill>
                <a:schemeClr val="tx1"/>
              </a:solidFill>
              <a:latin typeface="Times New Roman" pitchFamily="18" charset="0"/>
              <a:ea typeface="+mn-ea"/>
              <a:cs typeface="+mn-cs"/>
            </a:defRPr>
          </a:lvl2pPr>
          <a:lvl3pPr marL="914400" algn="l" rtl="0" fontAlgn="base">
            <a:spcBef>
              <a:spcPct val="0"/>
            </a:spcBef>
            <a:spcAft>
              <a:spcPct val="0"/>
            </a:spcAft>
            <a:defRPr sz="4000" kern="1200">
              <a:solidFill>
                <a:schemeClr val="tx1"/>
              </a:solidFill>
              <a:latin typeface="Times New Roman" pitchFamily="18" charset="0"/>
              <a:ea typeface="+mn-ea"/>
              <a:cs typeface="+mn-cs"/>
            </a:defRPr>
          </a:lvl3pPr>
          <a:lvl4pPr marL="1371600" algn="l" rtl="0" fontAlgn="base">
            <a:spcBef>
              <a:spcPct val="0"/>
            </a:spcBef>
            <a:spcAft>
              <a:spcPct val="0"/>
            </a:spcAft>
            <a:defRPr sz="4000" kern="1200">
              <a:solidFill>
                <a:schemeClr val="tx1"/>
              </a:solidFill>
              <a:latin typeface="Times New Roman" pitchFamily="18" charset="0"/>
              <a:ea typeface="+mn-ea"/>
              <a:cs typeface="+mn-cs"/>
            </a:defRPr>
          </a:lvl4pPr>
          <a:lvl5pPr marL="1828800" algn="l" rtl="0" fontAlgn="base">
            <a:spcBef>
              <a:spcPct val="0"/>
            </a:spcBef>
            <a:spcAft>
              <a:spcPct val="0"/>
            </a:spcAft>
            <a:defRPr sz="4000" kern="1200">
              <a:solidFill>
                <a:schemeClr val="tx1"/>
              </a:solidFill>
              <a:latin typeface="Times New Roman" pitchFamily="18" charset="0"/>
              <a:ea typeface="+mn-ea"/>
              <a:cs typeface="+mn-cs"/>
            </a:defRPr>
          </a:lvl5pPr>
          <a:lvl6pPr marL="2286000" algn="l" defTabSz="914400" rtl="0" eaLnBrk="1" latinLnBrk="0" hangingPunct="1">
            <a:defRPr sz="4000" kern="1200">
              <a:solidFill>
                <a:schemeClr val="tx1"/>
              </a:solidFill>
              <a:latin typeface="Times New Roman" pitchFamily="18" charset="0"/>
              <a:ea typeface="+mn-ea"/>
              <a:cs typeface="+mn-cs"/>
            </a:defRPr>
          </a:lvl6pPr>
          <a:lvl7pPr marL="2743200" algn="l" defTabSz="914400" rtl="0" eaLnBrk="1" latinLnBrk="0" hangingPunct="1">
            <a:defRPr sz="4000" kern="1200">
              <a:solidFill>
                <a:schemeClr val="tx1"/>
              </a:solidFill>
              <a:latin typeface="Times New Roman" pitchFamily="18" charset="0"/>
              <a:ea typeface="+mn-ea"/>
              <a:cs typeface="+mn-cs"/>
            </a:defRPr>
          </a:lvl7pPr>
          <a:lvl8pPr marL="3200400" algn="l" defTabSz="914400" rtl="0" eaLnBrk="1" latinLnBrk="0" hangingPunct="1">
            <a:defRPr sz="4000" kern="1200">
              <a:solidFill>
                <a:schemeClr val="tx1"/>
              </a:solidFill>
              <a:latin typeface="Times New Roman" pitchFamily="18" charset="0"/>
              <a:ea typeface="+mn-ea"/>
              <a:cs typeface="+mn-cs"/>
            </a:defRPr>
          </a:lvl8pPr>
          <a:lvl9pPr marL="3657600" algn="l" defTabSz="914400" rtl="0" eaLnBrk="1" latinLnBrk="0" hangingPunct="1">
            <a:defRPr sz="4000" kern="1200">
              <a:solidFill>
                <a:schemeClr val="tx1"/>
              </a:solidFill>
              <a:latin typeface="Times New Roman" pitchFamily="18" charset="0"/>
              <a:ea typeface="+mn-ea"/>
              <a:cs typeface="+mn-cs"/>
            </a:defRPr>
          </a:lvl9pPr>
        </a:lstStyle>
        <a:p xmlns:a="http://schemas.openxmlformats.org/drawingml/2006/main">
          <a:r>
            <a:rPr lang="lv-LV" sz="1200" dirty="0" smtClean="0"/>
            <a:t>Ls</a:t>
          </a:r>
          <a:endParaRPr lang="lv-LV" sz="1200" dirty="0"/>
        </a:p>
      </cdr:txBody>
    </cdr:sp>
  </cdr:relSizeAnchor>
  <cdr:relSizeAnchor xmlns:cdr="http://schemas.openxmlformats.org/drawingml/2006/chartDrawing">
    <cdr:from>
      <cdr:x>0.61503</cdr:x>
      <cdr:y>0.2303</cdr:y>
    </cdr:from>
    <cdr:to>
      <cdr:x>0.62883</cdr:x>
      <cdr:y>0.63636</cdr:y>
    </cdr:to>
    <cdr:sp macro="" textlink="">
      <cdr:nvSpPr>
        <cdr:cNvPr id="3" name="Right Brace 2"/>
        <cdr:cNvSpPr/>
      </cdr:nvSpPr>
      <cdr:spPr>
        <a:xfrm xmlns:a="http://schemas.openxmlformats.org/drawingml/2006/main">
          <a:off x="3819525" y="723900"/>
          <a:ext cx="85725" cy="1276350"/>
        </a:xfrm>
        <a:prstGeom xmlns:a="http://schemas.openxmlformats.org/drawingml/2006/main" prst="rightBrace">
          <a:avLst/>
        </a:prstGeom>
        <a:ln xmlns:a="http://schemas.openxmlformats.org/drawingml/2006/main">
          <a:solidFill>
            <a:schemeClr val="tx2">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lv-LV"/>
        </a:p>
      </cdr:txBody>
    </cdr:sp>
  </cdr:relSizeAnchor>
  <cdr:relSizeAnchor xmlns:cdr="http://schemas.openxmlformats.org/drawingml/2006/chartDrawing">
    <cdr:from>
      <cdr:x>0.58282</cdr:x>
      <cdr:y>0.75152</cdr:y>
    </cdr:from>
    <cdr:to>
      <cdr:x>0.73466</cdr:x>
      <cdr:y>0.84345</cdr:y>
    </cdr:to>
    <cdr:sp macro="" textlink="">
      <cdr:nvSpPr>
        <cdr:cNvPr id="4" name="TextBox 5"/>
        <cdr:cNvSpPr txBox="1"/>
      </cdr:nvSpPr>
      <cdr:spPr>
        <a:xfrm xmlns:a="http://schemas.openxmlformats.org/drawingml/2006/main">
          <a:off x="3563973" y="2290633"/>
          <a:ext cx="928510" cy="280205"/>
        </a:xfrm>
        <a:prstGeom xmlns:a="http://schemas.openxmlformats.org/drawingml/2006/main" prst="rect">
          <a:avLst/>
        </a:prstGeom>
        <a:noFill xmlns:a="http://schemas.openxmlformats.org/drawingml/2006/main"/>
        <a:ln xmlns:a="http://schemas.openxmlformats.org/drawingml/2006/main">
          <a:solidFill>
            <a:sysClr val="windowText" lastClr="000000"/>
          </a:solidFill>
          <a:prstDash val="solid"/>
        </a:ln>
      </cdr:spPr>
      <cdr:txBody>
        <a:bodyPr xmlns:a="http://schemas.openxmlformats.org/drawingml/2006/main" wrap="square" rtlCol="0">
          <a:spAutoFit/>
        </a:bodyPr>
        <a:lstStyle xmlns:a="http://schemas.openxmlformats.org/drawingml/2006/main">
          <a:defPPr>
            <a:defRPr lang="lv-LV"/>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r>
            <a:rPr lang="lv-LV" sz="1200" dirty="0"/>
            <a:t>D</a:t>
          </a:r>
          <a:r>
            <a:rPr lang="lv-LV" sz="1200" dirty="0" smtClean="0"/>
            <a:t>iapazons</a:t>
          </a:r>
          <a:endParaRPr lang="lv-LV" sz="1200" dirty="0"/>
        </a:p>
      </cdr:txBody>
    </cdr:sp>
  </cdr:relSizeAnchor>
</c:userShapes>
</file>

<file path=word/drawings/drawing7.xml><?xml version="1.0" encoding="utf-8"?>
<c:userShapes xmlns:c="http://schemas.openxmlformats.org/drawingml/2006/chart">
  <cdr:relSizeAnchor xmlns:cdr="http://schemas.openxmlformats.org/drawingml/2006/chartDrawing">
    <cdr:from>
      <cdr:x>0.81967</cdr:x>
      <cdr:y>0.22124</cdr:y>
    </cdr:from>
    <cdr:to>
      <cdr:x>0.91356</cdr:x>
      <cdr:y>0.22714</cdr:y>
    </cdr:to>
    <cdr:cxnSp macro="">
      <cdr:nvCxnSpPr>
        <cdr:cNvPr id="2" name="Straight Arrow Connector 1"/>
        <cdr:cNvCxnSpPr/>
      </cdr:nvCxnSpPr>
      <cdr:spPr>
        <a:xfrm xmlns:a="http://schemas.openxmlformats.org/drawingml/2006/main">
          <a:off x="5238750" y="714375"/>
          <a:ext cx="600075" cy="19050"/>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0.25633</cdr:x>
      <cdr:y>0.44686</cdr:y>
    </cdr:from>
    <cdr:to>
      <cdr:x>0.62444</cdr:x>
      <cdr:y>0.63742</cdr:y>
    </cdr:to>
    <cdr:cxnSp macro="">
      <cdr:nvCxnSpPr>
        <cdr:cNvPr id="4" name="Straight Arrow Connector 3"/>
        <cdr:cNvCxnSpPr/>
      </cdr:nvCxnSpPr>
      <cdr:spPr>
        <a:xfrm xmlns:a="http://schemas.openxmlformats.org/drawingml/2006/main">
          <a:off x="1638300" y="1489710"/>
          <a:ext cx="2352675" cy="635281"/>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0.26048</cdr:x>
      <cdr:y>0.26579</cdr:y>
    </cdr:from>
    <cdr:to>
      <cdr:x>0.40419</cdr:x>
      <cdr:y>0.49464</cdr:y>
    </cdr:to>
    <cdr:sp macro="" textlink="">
      <cdr:nvSpPr>
        <cdr:cNvPr id="3" name="TextBox 2"/>
        <cdr:cNvSpPr txBox="1"/>
      </cdr:nvSpPr>
      <cdr:spPr>
        <a:xfrm xmlns:a="http://schemas.openxmlformats.org/drawingml/2006/main">
          <a:off x="1657350" y="106204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lv-LV"/>
        </a:p>
      </cdr:txBody>
    </cdr:sp>
  </cdr:relSizeAnchor>
  <cdr:relSizeAnchor xmlns:cdr="http://schemas.openxmlformats.org/drawingml/2006/chartDrawing">
    <cdr:from>
      <cdr:x>0.15868</cdr:x>
      <cdr:y>0.42312</cdr:y>
    </cdr:from>
    <cdr:to>
      <cdr:x>0.42216</cdr:x>
      <cdr:y>0.4851</cdr:y>
    </cdr:to>
    <cdr:sp macro="" textlink="">
      <cdr:nvSpPr>
        <cdr:cNvPr id="4" name="TextBox 3"/>
        <cdr:cNvSpPr txBox="1"/>
      </cdr:nvSpPr>
      <cdr:spPr>
        <a:xfrm xmlns:a="http://schemas.openxmlformats.org/drawingml/2006/main">
          <a:off x="1009651" y="1690690"/>
          <a:ext cx="1676400" cy="247650"/>
        </a:xfrm>
        <a:prstGeom xmlns:a="http://schemas.openxmlformats.org/drawingml/2006/main" prst="rect">
          <a:avLst/>
        </a:prstGeom>
        <a:solidFill xmlns:a="http://schemas.openxmlformats.org/drawingml/2006/main">
          <a:schemeClr val="bg1"/>
        </a:solidFill>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lv-LV" sz="1100"/>
            <a:t>Valsts pārvaldes mediāna</a:t>
          </a:r>
        </a:p>
      </cdr:txBody>
    </cdr:sp>
  </cdr:relSizeAnchor>
  <cdr:relSizeAnchor xmlns:cdr="http://schemas.openxmlformats.org/drawingml/2006/chartDrawing">
    <cdr:from>
      <cdr:x>0.09132</cdr:x>
      <cdr:y>0.02026</cdr:y>
    </cdr:from>
    <cdr:to>
      <cdr:x>0.5218</cdr:x>
      <cdr:y>0.16046</cdr:y>
    </cdr:to>
    <cdr:sp macro="" textlink="">
      <cdr:nvSpPr>
        <cdr:cNvPr id="5" name="TextBox 4"/>
        <cdr:cNvSpPr txBox="1"/>
      </cdr:nvSpPr>
      <cdr:spPr>
        <a:xfrm xmlns:a="http://schemas.openxmlformats.org/drawingml/2006/main">
          <a:off x="578432" y="67348"/>
          <a:ext cx="2726743" cy="466051"/>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lv-LV" sz="1100">
              <a:effectLst/>
              <a:latin typeface="+mn-lt"/>
              <a:ea typeface="+mn-ea"/>
              <a:cs typeface="+mn-cs"/>
            </a:rPr>
            <a:t>Valsts sekretāra mēnešalga = 85% no privātā sektora līdzvērtīgu amatu algas mediānas </a:t>
          </a:r>
        </a:p>
        <a:p xmlns:a="http://schemas.openxmlformats.org/drawingml/2006/main">
          <a:endParaRPr lang="lv-LV" sz="1100"/>
        </a:p>
      </cdr:txBody>
    </cdr:sp>
  </cdr:relSizeAnchor>
  <cdr:relSizeAnchor xmlns:cdr="http://schemas.openxmlformats.org/drawingml/2006/chartDrawing">
    <cdr:from>
      <cdr:x>0.29042</cdr:x>
      <cdr:y>0.4851</cdr:y>
    </cdr:from>
    <cdr:to>
      <cdr:x>0.56201</cdr:x>
      <cdr:y>0.64088</cdr:y>
    </cdr:to>
    <cdr:cxnSp macro="">
      <cdr:nvCxnSpPr>
        <cdr:cNvPr id="7" name="Straight Arrow Connector 6"/>
        <cdr:cNvCxnSpPr>
          <a:stCxn xmlns:a="http://schemas.openxmlformats.org/drawingml/2006/main" id="4" idx="2"/>
        </cdr:cNvCxnSpPr>
      </cdr:nvCxnSpPr>
      <cdr:spPr>
        <a:xfrm xmlns:a="http://schemas.openxmlformats.org/drawingml/2006/main">
          <a:off x="1840848" y="1672649"/>
          <a:ext cx="1721502" cy="537151"/>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0.82649</cdr:x>
      <cdr:y>0.18951</cdr:y>
    </cdr:from>
    <cdr:to>
      <cdr:x>0.92365</cdr:x>
      <cdr:y>0.20442</cdr:y>
    </cdr:to>
    <cdr:cxnSp macro="">
      <cdr:nvCxnSpPr>
        <cdr:cNvPr id="9" name="Straight Arrow Connector 8"/>
        <cdr:cNvCxnSpPr/>
      </cdr:nvCxnSpPr>
      <cdr:spPr>
        <a:xfrm xmlns:a="http://schemas.openxmlformats.org/drawingml/2006/main" flipV="1">
          <a:off x="5238750" y="653440"/>
          <a:ext cx="615870" cy="51410"/>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0.76832</cdr:x>
      <cdr:y>0.23496</cdr:y>
    </cdr:from>
    <cdr:to>
      <cdr:x>0.92782</cdr:x>
      <cdr:y>0.30372</cdr:y>
    </cdr:to>
    <cdr:cxnSp macro="">
      <cdr:nvCxnSpPr>
        <cdr:cNvPr id="6" name="Straight Arrow Connector 5"/>
        <cdr:cNvCxnSpPr/>
      </cdr:nvCxnSpPr>
      <cdr:spPr>
        <a:xfrm xmlns:a="http://schemas.openxmlformats.org/drawingml/2006/main" flipV="1">
          <a:off x="4866640" y="781050"/>
          <a:ext cx="1010285" cy="228600"/>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0.51771</cdr:x>
      <cdr:y>0.56536</cdr:y>
    </cdr:from>
    <cdr:to>
      <cdr:x>0.72188</cdr:x>
      <cdr:y>0.86688</cdr:y>
    </cdr:to>
    <cdr:sp macro="" textlink="">
      <cdr:nvSpPr>
        <cdr:cNvPr id="3" name="TextBox 1"/>
        <cdr:cNvSpPr txBox="1"/>
      </cdr:nvSpPr>
      <cdr:spPr>
        <a:xfrm xmlns:a="http://schemas.openxmlformats.org/drawingml/2006/main">
          <a:off x="2366964" y="2127080"/>
          <a:ext cx="933450" cy="1134436"/>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100">
              <a:latin typeface="Times New Roman" pitchFamily="18" charset="0"/>
              <a:cs typeface="Times New Roman" pitchFamily="18" charset="0"/>
            </a:rPr>
            <a:t>EK asistents,</a:t>
          </a:r>
          <a:r>
            <a:rPr lang="lv-LV" sz="1100" baseline="0">
              <a:latin typeface="Times New Roman" pitchFamily="18" charset="0"/>
              <a:cs typeface="Times New Roman" pitchFamily="18" charset="0"/>
            </a:rPr>
            <a:t> lietvedis, tehniskais asistents (zemākie amati)</a:t>
          </a:r>
          <a:endParaRPr lang="lv-LV" sz="1100">
            <a:latin typeface="Times New Roman" pitchFamily="18" charset="0"/>
            <a:cs typeface="Times New Roman" pitchFamily="18" charset="0"/>
          </a:endParaRPr>
        </a:p>
      </cdr:txBody>
    </cdr:sp>
  </cdr:relSizeAnchor>
  <cdr:relSizeAnchor xmlns:cdr="http://schemas.openxmlformats.org/drawingml/2006/chartDrawing">
    <cdr:from>
      <cdr:x>0.28403</cdr:x>
      <cdr:y>0.67559</cdr:y>
    </cdr:from>
    <cdr:to>
      <cdr:x>0.46354</cdr:x>
      <cdr:y>0.85216</cdr:y>
    </cdr:to>
    <cdr:sp macro="" textlink="">
      <cdr:nvSpPr>
        <cdr:cNvPr id="4" name="TextBox 1"/>
        <cdr:cNvSpPr txBox="1"/>
      </cdr:nvSpPr>
      <cdr:spPr>
        <a:xfrm xmlns:a="http://schemas.openxmlformats.org/drawingml/2006/main">
          <a:off x="1298575" y="2541806"/>
          <a:ext cx="820738" cy="664356"/>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100">
              <a:latin typeface="Times New Roman" pitchFamily="18" charset="0"/>
              <a:cs typeface="Times New Roman" pitchFamily="18" charset="0"/>
            </a:rPr>
            <a:t>Ministru prezidents Latvijā</a:t>
          </a:r>
        </a:p>
      </cdr:txBody>
    </cdr:sp>
  </cdr:relSizeAnchor>
  <cdr:relSizeAnchor xmlns:cdr="http://schemas.openxmlformats.org/drawingml/2006/chartDrawing">
    <cdr:from>
      <cdr:x>0.05069</cdr:x>
      <cdr:y>0.04735</cdr:y>
    </cdr:from>
    <cdr:to>
      <cdr:x>0.23021</cdr:x>
      <cdr:y>0.22393</cdr:y>
    </cdr:to>
    <cdr:sp macro="" textlink="">
      <cdr:nvSpPr>
        <cdr:cNvPr id="5" name="TextBox 1"/>
        <cdr:cNvSpPr txBox="1"/>
      </cdr:nvSpPr>
      <cdr:spPr>
        <a:xfrm xmlns:a="http://schemas.openxmlformats.org/drawingml/2006/main">
          <a:off x="231775" y="178155"/>
          <a:ext cx="820738" cy="664356"/>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100">
              <a:latin typeface="Times New Roman" pitchFamily="18" charset="0"/>
              <a:cs typeface="Times New Roman" pitchFamily="18" charset="0"/>
            </a:rPr>
            <a:t>EK Ģenerāl-direktors</a:t>
          </a:r>
        </a:p>
      </cdr:txBody>
    </cdr:sp>
  </cdr:relSizeAnchor>
  <cdr:relSizeAnchor xmlns:cdr="http://schemas.openxmlformats.org/drawingml/2006/chartDrawing">
    <cdr:from>
      <cdr:x>0.78937</cdr:x>
      <cdr:y>0.7236</cdr:y>
    </cdr:from>
    <cdr:to>
      <cdr:x>0.91667</cdr:x>
      <cdr:y>0.84488</cdr:y>
    </cdr:to>
    <cdr:sp macro="" textlink="">
      <cdr:nvSpPr>
        <cdr:cNvPr id="7" name="TextBox 1"/>
        <cdr:cNvSpPr txBox="1"/>
      </cdr:nvSpPr>
      <cdr:spPr>
        <a:xfrm xmlns:a="http://schemas.openxmlformats.org/drawingml/2006/main">
          <a:off x="4691711" y="2488133"/>
          <a:ext cx="756589" cy="41699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r>
            <a:rPr lang="lv-LV">
              <a:latin typeface="Times New Roman" pitchFamily="18" charset="0"/>
              <a:cs typeface="Times New Roman" pitchFamily="18" charset="0"/>
            </a:rPr>
            <a:t>Ministrs Latvijā</a:t>
          </a:r>
        </a:p>
      </cdr:txBody>
    </cdr:sp>
  </cdr:relSizeAnchor>
</c:userShapes>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EF3D1F-C98A-4064-B6F0-44CDC3630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24122</Words>
  <Characters>13751</Characters>
  <Application>Microsoft Office Word</Application>
  <DocSecurity>0</DocSecurity>
  <Lines>114</Lines>
  <Paragraphs>75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Informatīvā ziņojuma „Par iespējām pakāpeniski izlīdzināt atlīdzības fondus valsts tiešās pārvaldes iestādēm, lai nodrošinātu līdzvērtīgu atlīdzību līdzīgiem amatiem dažādās iestādēs” projekts</vt:lpstr>
      <vt:lpstr/>
    </vt:vector>
  </TitlesOfParts>
  <LinksUpToDate>false</LinksUpToDate>
  <CharactersWithSpaces>37798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Informatīvā ziņojuma „Par iespējām pakāpeniski izlīdzināt atlīdzības fondus valsts tiešās pārvaldes iestādēm, lai nodrošinātu līdzvērtīgu atlīdzību līdzīgiem amatiem dažādās iestādēs” projekts</dc:title>
  <dc:subject>Informatīvā ziņojuma projekts</dc:subject>
  <dc:creator/>
  <dc:description>Inga.Osina@fm.gov.lv
tel. 67095662</dc:description>
  <cp:lastModifiedBy/>
  <cp:revision>1</cp:revision>
  <dcterms:created xsi:type="dcterms:W3CDTF">2013-05-23T13:07:00Z</dcterms:created>
  <dcterms:modified xsi:type="dcterms:W3CDTF">2013-05-24T10:44:00Z</dcterms:modified>
</cp:coreProperties>
</file>