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1" w:rsidRPr="009E0101" w:rsidRDefault="00FF7901" w:rsidP="007601FB">
      <w:pPr>
        <w:spacing w:after="0" w:line="240" w:lineRule="auto"/>
        <w:jc w:val="center"/>
        <w:rPr>
          <w:rFonts w:ascii="Times New Roman" w:hAnsi="Times New Roman" w:cs="Times New Roman"/>
          <w:b/>
          <w:sz w:val="28"/>
          <w:szCs w:val="28"/>
        </w:rPr>
      </w:pPr>
      <w:r w:rsidRPr="009E0101">
        <w:rPr>
          <w:rFonts w:ascii="Times New Roman" w:hAnsi="Times New Roman" w:cs="Times New Roman"/>
          <w:b/>
          <w:sz w:val="28"/>
          <w:szCs w:val="28"/>
        </w:rPr>
        <w:t xml:space="preserve">Informatīvais ziņojums par </w:t>
      </w:r>
      <w:r w:rsidR="00F36CC3" w:rsidRPr="007601FB">
        <w:rPr>
          <w:rFonts w:ascii="Times New Roman" w:hAnsi="Times New Roman" w:cs="Times New Roman"/>
          <w:b/>
          <w:sz w:val="28"/>
          <w:szCs w:val="28"/>
        </w:rPr>
        <w:t>tiesiskās un ekonomiskās konverģences kritēriju izpildi</w:t>
      </w:r>
      <w:r w:rsidR="00F36CC3" w:rsidRPr="009E0101">
        <w:rPr>
          <w:rFonts w:ascii="Times New Roman" w:hAnsi="Times New Roman" w:cs="Times New Roman"/>
          <w:b/>
          <w:sz w:val="28"/>
          <w:szCs w:val="28"/>
        </w:rPr>
        <w:t xml:space="preserve"> </w:t>
      </w:r>
      <w:r w:rsidR="00F36CC3">
        <w:rPr>
          <w:rFonts w:ascii="Times New Roman" w:hAnsi="Times New Roman" w:cs="Times New Roman"/>
          <w:b/>
          <w:sz w:val="28"/>
          <w:szCs w:val="28"/>
        </w:rPr>
        <w:t xml:space="preserve">un </w:t>
      </w:r>
      <w:r w:rsidRPr="009E0101">
        <w:rPr>
          <w:rFonts w:ascii="Times New Roman" w:hAnsi="Times New Roman" w:cs="Times New Roman"/>
          <w:b/>
          <w:sz w:val="28"/>
          <w:szCs w:val="28"/>
        </w:rPr>
        <w:t>Konverģences ziņojuma pieprasīšanu Eiropas Komisijai</w:t>
      </w:r>
      <w:r w:rsidR="00F36CC3">
        <w:rPr>
          <w:rFonts w:ascii="Times New Roman" w:hAnsi="Times New Roman" w:cs="Times New Roman"/>
          <w:b/>
          <w:sz w:val="28"/>
          <w:szCs w:val="28"/>
        </w:rPr>
        <w:t xml:space="preserve"> un Eiropas Centrālajai bankai</w:t>
      </w:r>
    </w:p>
    <w:p w:rsidR="00FF7901" w:rsidRDefault="00FF7901" w:rsidP="007601FB">
      <w:pPr>
        <w:spacing w:after="0" w:line="240" w:lineRule="auto"/>
        <w:jc w:val="both"/>
        <w:rPr>
          <w:rFonts w:ascii="Times New Roman" w:hAnsi="Times New Roman" w:cs="Times New Roman"/>
          <w:color w:val="000000"/>
          <w:sz w:val="24"/>
          <w:szCs w:val="24"/>
        </w:rPr>
      </w:pPr>
    </w:p>
    <w:p w:rsidR="00C5354C" w:rsidRDefault="00C5354C" w:rsidP="00735A1A">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Deklarācijā par Valda Dombrovska vadītā Ministru kabineta iecerēto darbību un Ministru kabineta 2012.gada 19.septembra rīkojuma Nr.441 "Par Latvijas Nacionālo </w:t>
      </w:r>
      <w:r>
        <w:rPr>
          <w:rFonts w:ascii="Times New Roman" w:hAnsi="Times New Roman"/>
          <w:i/>
          <w:iCs/>
          <w:color w:val="000000"/>
          <w:sz w:val="24"/>
          <w:szCs w:val="24"/>
        </w:rPr>
        <w:t>euro</w:t>
      </w:r>
      <w:r>
        <w:rPr>
          <w:rFonts w:ascii="Times New Roman" w:hAnsi="Times New Roman"/>
          <w:color w:val="000000"/>
          <w:sz w:val="24"/>
          <w:szCs w:val="24"/>
        </w:rPr>
        <w:t xml:space="preserve"> ieviešanas plānu" 6.punktā kā eiro ieviešanas mērķa datums Latvijā noteikts 2014.gada 1.janvāris.</w:t>
      </w:r>
    </w:p>
    <w:p w:rsidR="00B310E1" w:rsidRPr="006A6AE9" w:rsidRDefault="006A6AE9" w:rsidP="00735A1A">
      <w:pPr>
        <w:spacing w:line="240" w:lineRule="auto"/>
        <w:jc w:val="both"/>
        <w:rPr>
          <w:rFonts w:ascii="Times New Roman" w:hAnsi="Times New Roman" w:cs="Times New Roman"/>
          <w:sz w:val="24"/>
          <w:szCs w:val="24"/>
          <w:u w:val="single"/>
        </w:rPr>
      </w:pPr>
      <w:r>
        <w:rPr>
          <w:rFonts w:ascii="Times New Roman" w:hAnsi="Times New Roman"/>
          <w:color w:val="000000"/>
          <w:sz w:val="24"/>
          <w:szCs w:val="24"/>
        </w:rPr>
        <w:t>2012.gada 31.</w:t>
      </w:r>
      <w:r w:rsidRPr="00325E41">
        <w:rPr>
          <w:rFonts w:ascii="Times New Roman" w:hAnsi="Times New Roman" w:cs="Times New Roman"/>
          <w:color w:val="000000"/>
          <w:sz w:val="24"/>
          <w:szCs w:val="24"/>
        </w:rPr>
        <w:t xml:space="preserve">janvārī Saeimā tika apstiprināts </w:t>
      </w:r>
      <w:r w:rsidRPr="00325E41">
        <w:rPr>
          <w:rFonts w:ascii="Times New Roman" w:hAnsi="Times New Roman" w:cs="Times New Roman"/>
          <w:i/>
          <w:color w:val="000000"/>
          <w:sz w:val="24"/>
          <w:szCs w:val="24"/>
        </w:rPr>
        <w:t>Euro</w:t>
      </w:r>
      <w:r w:rsidRPr="00325E41">
        <w:rPr>
          <w:rFonts w:ascii="Times New Roman" w:hAnsi="Times New Roman" w:cs="Times New Roman"/>
          <w:color w:val="000000"/>
          <w:sz w:val="24"/>
          <w:szCs w:val="24"/>
        </w:rPr>
        <w:t xml:space="preserve"> ieviešanas kārtības likums. </w:t>
      </w:r>
      <w:r w:rsidRPr="00325E41">
        <w:rPr>
          <w:rFonts w:ascii="Times New Roman" w:eastAsia="Calibri" w:hAnsi="Times New Roman" w:cs="Times New Roman"/>
          <w:sz w:val="24"/>
          <w:szCs w:val="24"/>
        </w:rPr>
        <w:t xml:space="preserve">Saskaņā ar </w:t>
      </w:r>
      <w:r w:rsidRPr="00325E41">
        <w:rPr>
          <w:rFonts w:ascii="Times New Roman" w:eastAsia="Calibri" w:hAnsi="Times New Roman" w:cs="Times New Roman"/>
          <w:i/>
          <w:sz w:val="24"/>
          <w:szCs w:val="24"/>
        </w:rPr>
        <w:t>Euro</w:t>
      </w:r>
      <w:r w:rsidRPr="00325E41">
        <w:rPr>
          <w:rFonts w:ascii="Times New Roman" w:eastAsia="Calibri" w:hAnsi="Times New Roman" w:cs="Times New Roman"/>
          <w:sz w:val="24"/>
          <w:szCs w:val="24"/>
        </w:rPr>
        <w:t xml:space="preserve"> ieviešanas kārtības likuma 2.pantu šā likuma mērķis ir nodrošināt efektīvu un caurskatāmu </w:t>
      </w:r>
      <w:r w:rsidRPr="00325E41">
        <w:rPr>
          <w:rFonts w:ascii="Times New Roman" w:eastAsia="Calibri" w:hAnsi="Times New Roman" w:cs="Times New Roman"/>
          <w:i/>
          <w:iCs/>
          <w:sz w:val="24"/>
          <w:szCs w:val="24"/>
        </w:rPr>
        <w:t>euro</w:t>
      </w:r>
      <w:r w:rsidRPr="00325E41">
        <w:rPr>
          <w:rFonts w:ascii="Times New Roman" w:eastAsia="Calibri" w:hAnsi="Times New Roman" w:cs="Times New Roman"/>
          <w:sz w:val="24"/>
          <w:szCs w:val="24"/>
        </w:rPr>
        <w:t xml:space="preserve"> ieviešanu Latvijas Republikā. </w:t>
      </w:r>
      <w:r w:rsidR="00325E41" w:rsidRPr="00325E41">
        <w:rPr>
          <w:rFonts w:ascii="Times New Roman" w:hAnsi="Times New Roman" w:cs="Times New Roman"/>
          <w:sz w:val="24"/>
          <w:szCs w:val="24"/>
        </w:rPr>
        <w:t xml:space="preserve">No šī likuma anotācijas I sadaļas 1.punktā norādītās informācijas un 2013.gada 31.janvāra Saeimas sēdes stenogrammas secināms, ka likumdevējs, pieņemot šo likumu, ir atbalstījis valdības noteikto mērķi ieviest </w:t>
      </w:r>
      <w:r w:rsidR="00325E41" w:rsidRPr="00325E41">
        <w:rPr>
          <w:rFonts w:ascii="Times New Roman" w:hAnsi="Times New Roman" w:cs="Times New Roman"/>
          <w:i/>
          <w:iCs/>
          <w:sz w:val="24"/>
          <w:szCs w:val="24"/>
        </w:rPr>
        <w:t>euro</w:t>
      </w:r>
      <w:r w:rsidR="00325E41" w:rsidRPr="00325E41">
        <w:rPr>
          <w:rFonts w:ascii="Times New Roman" w:hAnsi="Times New Roman" w:cs="Times New Roman"/>
          <w:sz w:val="24"/>
          <w:szCs w:val="24"/>
        </w:rPr>
        <w:t xml:space="preserve"> no 2014.gada 1.janvāra</w:t>
      </w:r>
      <w:r w:rsidR="00203A3D">
        <w:rPr>
          <w:rFonts w:ascii="Times New Roman" w:eastAsia="Calibri" w:hAnsi="Times New Roman" w:cs="Times New Roman"/>
          <w:sz w:val="24"/>
          <w:szCs w:val="24"/>
        </w:rPr>
        <w:t>.</w:t>
      </w:r>
    </w:p>
    <w:p w:rsidR="00FF7901" w:rsidRPr="009D4B2E" w:rsidRDefault="00FF7901" w:rsidP="007601FB">
      <w:pPr>
        <w:spacing w:after="0" w:line="240" w:lineRule="auto"/>
        <w:rPr>
          <w:rFonts w:ascii="Times New Roman" w:hAnsi="Times New Roman" w:cs="Times New Roman"/>
          <w:b/>
          <w:sz w:val="24"/>
          <w:szCs w:val="24"/>
          <w:u w:val="single"/>
        </w:rPr>
      </w:pPr>
      <w:r w:rsidRPr="009D4B2E">
        <w:rPr>
          <w:rFonts w:ascii="Times New Roman" w:hAnsi="Times New Roman" w:cs="Times New Roman"/>
          <w:b/>
          <w:sz w:val="24"/>
          <w:szCs w:val="24"/>
          <w:u w:val="single"/>
        </w:rPr>
        <w:t>Normatīvais ietvars</w:t>
      </w:r>
    </w:p>
    <w:p w:rsidR="00FF7901" w:rsidRDefault="00FF7901"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Lai Latvija varētu ieviest eiro, tai jāizpilda Līguma par Eiropas Savienības darbību </w:t>
      </w:r>
      <w:r w:rsidRPr="006D00CD">
        <w:rPr>
          <w:rFonts w:ascii="Times New Roman" w:hAnsi="Times New Roman" w:cs="Times New Roman"/>
          <w:sz w:val="24"/>
          <w:szCs w:val="24"/>
        </w:rPr>
        <w:t xml:space="preserve">(turpmāk </w:t>
      </w:r>
      <w:r>
        <w:rPr>
          <w:rFonts w:ascii="Times New Roman" w:hAnsi="Times New Roman" w:cs="Times New Roman"/>
          <w:sz w:val="24"/>
          <w:szCs w:val="24"/>
        </w:rPr>
        <w:t>–</w:t>
      </w:r>
      <w:r w:rsidRPr="006D00CD">
        <w:rPr>
          <w:rFonts w:ascii="Times New Roman" w:hAnsi="Times New Roman" w:cs="Times New Roman"/>
          <w:sz w:val="24"/>
          <w:szCs w:val="24"/>
        </w:rPr>
        <w:t xml:space="preserve"> Līgums)</w:t>
      </w:r>
      <w:r>
        <w:rPr>
          <w:rFonts w:ascii="Times New Roman" w:hAnsi="Times New Roman" w:cs="Times New Roman"/>
          <w:color w:val="000000"/>
          <w:sz w:val="24"/>
          <w:szCs w:val="24"/>
        </w:rPr>
        <w:t xml:space="preserve"> 140.panta 1.punktā noteiktie kritēriji.</w:t>
      </w:r>
    </w:p>
    <w:p w:rsidR="00FF7901" w:rsidRDefault="00FF7901" w:rsidP="007601FB">
      <w:pPr>
        <w:spacing w:after="0" w:line="240" w:lineRule="auto"/>
        <w:jc w:val="both"/>
        <w:rPr>
          <w:rFonts w:ascii="Times New Roman" w:hAnsi="Times New Roman" w:cs="Times New Roman"/>
          <w:color w:val="000000"/>
          <w:sz w:val="24"/>
          <w:szCs w:val="24"/>
        </w:rPr>
      </w:pPr>
    </w:p>
    <w:p w:rsidR="00FF7901" w:rsidRDefault="00FF7901"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 140.panta 1.punkts nosaka: "</w:t>
      </w:r>
      <w:r w:rsidRPr="00FF7901">
        <w:rPr>
          <w:rFonts w:ascii="Times New Roman" w:hAnsi="Times New Roman" w:cs="Times New Roman"/>
          <w:color w:val="000000"/>
          <w:sz w:val="24"/>
          <w:szCs w:val="24"/>
        </w:rPr>
        <w:t>Vismaz reizi divos gados vai pēc pieprasījuma, ko iesniedz dalībvalstis ar izņēmuma statusu,</w:t>
      </w:r>
      <w:r>
        <w:rPr>
          <w:rFonts w:ascii="Times New Roman" w:hAnsi="Times New Roman" w:cs="Times New Roman"/>
          <w:color w:val="000000"/>
          <w:sz w:val="24"/>
          <w:szCs w:val="24"/>
        </w:rPr>
        <w:t xml:space="preserve"> </w:t>
      </w:r>
      <w:r w:rsidR="003C7025">
        <w:rPr>
          <w:rFonts w:ascii="Times New Roman" w:hAnsi="Times New Roman" w:cs="Times New Roman"/>
          <w:color w:val="000000"/>
          <w:sz w:val="24"/>
          <w:szCs w:val="24"/>
        </w:rPr>
        <w:t xml:space="preserve">[Eiropas] </w:t>
      </w:r>
      <w:r w:rsidRPr="00FF7901">
        <w:rPr>
          <w:rFonts w:ascii="Times New Roman" w:hAnsi="Times New Roman" w:cs="Times New Roman"/>
          <w:color w:val="000000"/>
          <w:sz w:val="24"/>
          <w:szCs w:val="24"/>
        </w:rPr>
        <w:t xml:space="preserve">Komisija un Eiropas Centrālā banka sniedz ziņojumus </w:t>
      </w:r>
      <w:r w:rsidR="00A37F1E">
        <w:rPr>
          <w:rFonts w:ascii="Times New Roman" w:hAnsi="Times New Roman" w:cs="Times New Roman"/>
          <w:color w:val="000000"/>
          <w:sz w:val="24"/>
          <w:szCs w:val="24"/>
        </w:rPr>
        <w:t xml:space="preserve">[Eiropas Savienības] </w:t>
      </w:r>
      <w:r w:rsidRPr="00FF7901">
        <w:rPr>
          <w:rFonts w:ascii="Times New Roman" w:hAnsi="Times New Roman" w:cs="Times New Roman"/>
          <w:color w:val="000000"/>
          <w:sz w:val="24"/>
          <w:szCs w:val="24"/>
        </w:rPr>
        <w:t>Padomei par panākumiem, ko guvušas</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dalībvalstis ar izņēmumu statusu, pildot saistības attiecībā uz ekonomiskās un monetārās savienības</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izveidi. Šajos ziņojumos ietver vērtējumu par to, kā katras dalībvalsts tiesību akti, tostarp centrālo</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banku statū</w:t>
      </w:r>
      <w:r>
        <w:rPr>
          <w:rFonts w:ascii="Times New Roman" w:hAnsi="Times New Roman" w:cs="Times New Roman"/>
          <w:color w:val="000000"/>
          <w:sz w:val="24"/>
          <w:szCs w:val="24"/>
        </w:rPr>
        <w:t>ti, sader ar 130.un 131.</w:t>
      </w:r>
      <w:r w:rsidRPr="00FF7901">
        <w:rPr>
          <w:rFonts w:ascii="Times New Roman" w:hAnsi="Times New Roman" w:cs="Times New Roman"/>
          <w:color w:val="000000"/>
          <w:sz w:val="24"/>
          <w:szCs w:val="24"/>
        </w:rPr>
        <w:t xml:space="preserve">pantu un </w:t>
      </w:r>
      <w:r>
        <w:rPr>
          <w:rFonts w:ascii="Times New Roman" w:hAnsi="Times New Roman" w:cs="Times New Roman"/>
          <w:color w:val="000000"/>
          <w:sz w:val="24"/>
          <w:szCs w:val="24"/>
        </w:rPr>
        <w:t>[Eiropas Centrālo banku sistēmas un Eiropas Centrālās bankas]</w:t>
      </w:r>
      <w:r w:rsidRPr="00FF7901">
        <w:rPr>
          <w:rFonts w:ascii="Times New Roman" w:hAnsi="Times New Roman" w:cs="Times New Roman"/>
          <w:color w:val="000000"/>
          <w:sz w:val="24"/>
          <w:szCs w:val="24"/>
        </w:rPr>
        <w:t xml:space="preserve"> Statūtiem. Ziņojumos ir vērtējums arī par</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to, cik augsts noturīgas konverģences līmenis sasniegts, ņemot vērā katras dalībvalsts atbilstību šādiem</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kritērijiem:</w:t>
      </w:r>
    </w:p>
    <w:p w:rsidR="00765455" w:rsidRPr="00765455" w:rsidRDefault="00765455" w:rsidP="007601FB">
      <w:pPr>
        <w:spacing w:after="0" w:line="240" w:lineRule="auto"/>
        <w:jc w:val="both"/>
        <w:rPr>
          <w:rFonts w:ascii="Times New Roman" w:hAnsi="Times New Roman" w:cs="Times New Roman"/>
          <w:color w:val="000000"/>
          <w:sz w:val="8"/>
          <w:szCs w:val="24"/>
        </w:rPr>
      </w:pPr>
    </w:p>
    <w:p w:rsidR="00FF7901" w:rsidRPr="00FF7901" w:rsidRDefault="00FF7901" w:rsidP="00D77285">
      <w:pPr>
        <w:pStyle w:val="ListParagraph"/>
        <w:numPr>
          <w:ilvl w:val="0"/>
          <w:numId w:val="6"/>
        </w:numPr>
        <w:spacing w:after="0" w:line="240" w:lineRule="auto"/>
        <w:jc w:val="both"/>
        <w:rPr>
          <w:rFonts w:ascii="Times New Roman" w:hAnsi="Times New Roman" w:cs="Times New Roman"/>
          <w:color w:val="000000"/>
          <w:sz w:val="24"/>
          <w:szCs w:val="24"/>
        </w:rPr>
      </w:pPr>
      <w:r w:rsidRPr="00FF7901">
        <w:rPr>
          <w:rFonts w:ascii="Times New Roman" w:hAnsi="Times New Roman" w:cs="Times New Roman"/>
          <w:color w:val="000000"/>
          <w:sz w:val="24"/>
          <w:szCs w:val="24"/>
        </w:rPr>
        <w:t>augsts cenu stabilitātes līmenis; to konstatē, samērojot inflācijas līmeni attiecīgā valstī ar inflācijas līmeni, augstākais, trijās cenu ziņā stabilākajās dalībvalstīs;</w:t>
      </w:r>
    </w:p>
    <w:p w:rsidR="00FF7901" w:rsidRPr="00FF7901" w:rsidRDefault="00FF7901" w:rsidP="00D77285">
      <w:pPr>
        <w:pStyle w:val="ListParagraph"/>
        <w:numPr>
          <w:ilvl w:val="0"/>
          <w:numId w:val="6"/>
        </w:numPr>
        <w:spacing w:after="0" w:line="240" w:lineRule="auto"/>
        <w:jc w:val="both"/>
        <w:rPr>
          <w:rFonts w:ascii="Times New Roman" w:hAnsi="Times New Roman" w:cs="Times New Roman"/>
          <w:color w:val="000000"/>
          <w:sz w:val="24"/>
          <w:szCs w:val="24"/>
        </w:rPr>
      </w:pPr>
      <w:r w:rsidRPr="00FF7901">
        <w:rPr>
          <w:rFonts w:ascii="Times New Roman" w:hAnsi="Times New Roman" w:cs="Times New Roman"/>
          <w:color w:val="000000"/>
          <w:sz w:val="24"/>
          <w:szCs w:val="24"/>
        </w:rPr>
        <w:t>valsts finanšu stāvokļa stabilitāte; to konstatē, izejot no tā, vai ir sasniegts valsts budžeta stāvoklis bez pārmērīga defic</w:t>
      </w:r>
      <w:r w:rsidR="00385EC0">
        <w:rPr>
          <w:rFonts w:ascii="Times New Roman" w:hAnsi="Times New Roman" w:cs="Times New Roman"/>
          <w:color w:val="000000"/>
          <w:sz w:val="24"/>
          <w:szCs w:val="24"/>
        </w:rPr>
        <w:t>īta, kā noteikts šā Līguma 126.</w:t>
      </w:r>
      <w:r w:rsidRPr="00FF7901">
        <w:rPr>
          <w:rFonts w:ascii="Times New Roman" w:hAnsi="Times New Roman" w:cs="Times New Roman"/>
          <w:color w:val="000000"/>
          <w:sz w:val="24"/>
          <w:szCs w:val="24"/>
        </w:rPr>
        <w:t>panta 6.punktā;</w:t>
      </w:r>
    </w:p>
    <w:p w:rsidR="00FF7901" w:rsidRPr="00FF7901" w:rsidRDefault="00FF7901" w:rsidP="00D77285">
      <w:pPr>
        <w:pStyle w:val="ListParagraph"/>
        <w:numPr>
          <w:ilvl w:val="0"/>
          <w:numId w:val="6"/>
        </w:numPr>
        <w:spacing w:after="0" w:line="240" w:lineRule="auto"/>
        <w:jc w:val="both"/>
        <w:rPr>
          <w:rFonts w:ascii="Times New Roman" w:hAnsi="Times New Roman" w:cs="Times New Roman"/>
          <w:color w:val="000000"/>
          <w:sz w:val="24"/>
          <w:szCs w:val="24"/>
        </w:rPr>
      </w:pPr>
      <w:r w:rsidRPr="00FF7901">
        <w:rPr>
          <w:rFonts w:ascii="Times New Roman" w:hAnsi="Times New Roman" w:cs="Times New Roman"/>
          <w:color w:val="000000"/>
          <w:sz w:val="24"/>
          <w:szCs w:val="24"/>
        </w:rPr>
        <w:t xml:space="preserve">vismaz divus gadus attiecīgās valsts valūtas kursa svārstības palikušas Eiropas monetārās sistēmas valūtas </w:t>
      </w:r>
      <w:r w:rsidR="0007243D">
        <w:rPr>
          <w:rFonts w:ascii="Times New Roman" w:hAnsi="Times New Roman" w:cs="Times New Roman"/>
          <w:color w:val="000000"/>
          <w:sz w:val="24"/>
          <w:szCs w:val="24"/>
        </w:rPr>
        <w:t>kursa</w:t>
      </w:r>
      <w:r w:rsidRPr="00FF7901">
        <w:rPr>
          <w:rFonts w:ascii="Times New Roman" w:hAnsi="Times New Roman" w:cs="Times New Roman"/>
          <w:color w:val="000000"/>
          <w:sz w:val="24"/>
          <w:szCs w:val="24"/>
        </w:rPr>
        <w:t xml:space="preserve"> mehānisma noteiktajās robežās, un šīs valsts valūta nav devalvēta attiecībā pret euro;</w:t>
      </w:r>
    </w:p>
    <w:p w:rsidR="00FF7901" w:rsidRDefault="00FF7901" w:rsidP="00D77285">
      <w:pPr>
        <w:pStyle w:val="ListParagraph"/>
        <w:numPr>
          <w:ilvl w:val="0"/>
          <w:numId w:val="6"/>
        </w:numPr>
        <w:spacing w:after="0" w:line="240" w:lineRule="auto"/>
        <w:jc w:val="both"/>
        <w:rPr>
          <w:rFonts w:ascii="Times New Roman" w:hAnsi="Times New Roman" w:cs="Times New Roman"/>
          <w:color w:val="000000"/>
          <w:sz w:val="24"/>
          <w:szCs w:val="24"/>
        </w:rPr>
      </w:pPr>
      <w:r w:rsidRPr="00FF7901">
        <w:rPr>
          <w:rFonts w:ascii="Times New Roman" w:hAnsi="Times New Roman" w:cs="Times New Roman"/>
          <w:color w:val="000000"/>
          <w:sz w:val="24"/>
          <w:szCs w:val="24"/>
        </w:rPr>
        <w:t xml:space="preserve">stabilitāte, ko dalībvalsts ar izņēmuma statusu panākusi konverģencē un ar piedalīšanos valūtas </w:t>
      </w:r>
      <w:r w:rsidR="00DF06DB">
        <w:rPr>
          <w:rFonts w:ascii="Times New Roman" w:hAnsi="Times New Roman" w:cs="Times New Roman"/>
          <w:color w:val="000000"/>
          <w:sz w:val="24"/>
          <w:szCs w:val="24"/>
        </w:rPr>
        <w:t xml:space="preserve">kursa </w:t>
      </w:r>
      <w:r w:rsidRPr="00FF7901">
        <w:rPr>
          <w:rFonts w:ascii="Times New Roman" w:hAnsi="Times New Roman" w:cs="Times New Roman"/>
          <w:color w:val="000000"/>
          <w:sz w:val="24"/>
          <w:szCs w:val="24"/>
        </w:rPr>
        <w:t>mehānismā, kuru atspoguļo ilgtermiņa procentu likmes.</w:t>
      </w:r>
    </w:p>
    <w:p w:rsidR="00765455" w:rsidRPr="00765455" w:rsidRDefault="00765455" w:rsidP="007601FB">
      <w:pPr>
        <w:pStyle w:val="ListParagraph"/>
        <w:spacing w:after="0" w:line="240" w:lineRule="auto"/>
        <w:jc w:val="both"/>
        <w:rPr>
          <w:rFonts w:ascii="Times New Roman" w:hAnsi="Times New Roman" w:cs="Times New Roman"/>
          <w:color w:val="000000"/>
          <w:sz w:val="8"/>
          <w:szCs w:val="24"/>
        </w:rPr>
      </w:pPr>
    </w:p>
    <w:p w:rsidR="00FF7901" w:rsidRDefault="00FF7901" w:rsidP="007601FB">
      <w:pPr>
        <w:spacing w:after="0" w:line="240" w:lineRule="auto"/>
        <w:jc w:val="both"/>
        <w:rPr>
          <w:rFonts w:ascii="Times New Roman" w:hAnsi="Times New Roman" w:cs="Times New Roman"/>
          <w:color w:val="000000"/>
          <w:sz w:val="24"/>
          <w:szCs w:val="24"/>
        </w:rPr>
      </w:pPr>
      <w:r w:rsidRPr="00FF7901">
        <w:rPr>
          <w:rFonts w:ascii="Times New Roman" w:hAnsi="Times New Roman" w:cs="Times New Roman"/>
          <w:color w:val="000000"/>
          <w:sz w:val="24"/>
          <w:szCs w:val="24"/>
        </w:rPr>
        <w:t>Četri šajā punktā minētie kritēriji un attiecīgie laikposmi, kuros tie jāievēro, ir sīkāk noteikti Līgumiem</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 xml:space="preserve">pievienotā protokolā. </w:t>
      </w:r>
      <w:r w:rsidR="007601FB">
        <w:rPr>
          <w:rFonts w:ascii="Times New Roman" w:hAnsi="Times New Roman" w:cs="Times New Roman"/>
          <w:color w:val="000000"/>
          <w:sz w:val="24"/>
          <w:szCs w:val="24"/>
        </w:rPr>
        <w:t xml:space="preserve">[Eiropas] </w:t>
      </w:r>
      <w:r w:rsidRPr="00FF7901">
        <w:rPr>
          <w:rFonts w:ascii="Times New Roman" w:hAnsi="Times New Roman" w:cs="Times New Roman"/>
          <w:color w:val="000000"/>
          <w:sz w:val="24"/>
          <w:szCs w:val="24"/>
        </w:rPr>
        <w:t>Komisijas un Eiropas Centrālās bankas ziņojumos ņem vērā arī tirgu integrācijā</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gūtos sasniegumus, kārtējo maksājumu bilances un to dinamiku, kā arī darbaspēka vienību izmaksu un</w:t>
      </w:r>
      <w:r>
        <w:rPr>
          <w:rFonts w:ascii="Times New Roman" w:hAnsi="Times New Roman" w:cs="Times New Roman"/>
          <w:color w:val="000000"/>
          <w:sz w:val="24"/>
          <w:szCs w:val="24"/>
        </w:rPr>
        <w:t xml:space="preserve"> </w:t>
      </w:r>
      <w:r w:rsidRPr="00FF7901">
        <w:rPr>
          <w:rFonts w:ascii="Times New Roman" w:hAnsi="Times New Roman" w:cs="Times New Roman"/>
          <w:color w:val="000000"/>
          <w:sz w:val="24"/>
          <w:szCs w:val="24"/>
        </w:rPr>
        <w:t>citu cenu indeksu attīstību.</w:t>
      </w:r>
      <w:r>
        <w:rPr>
          <w:rFonts w:ascii="Times New Roman" w:hAnsi="Times New Roman" w:cs="Times New Roman"/>
          <w:color w:val="000000"/>
          <w:sz w:val="24"/>
          <w:szCs w:val="24"/>
        </w:rPr>
        <w:t>"</w:t>
      </w:r>
    </w:p>
    <w:p w:rsidR="00FF7901" w:rsidRDefault="00FF7901" w:rsidP="007601FB">
      <w:pPr>
        <w:spacing w:after="0" w:line="240" w:lineRule="auto"/>
        <w:jc w:val="both"/>
        <w:rPr>
          <w:rFonts w:ascii="Times New Roman" w:hAnsi="Times New Roman" w:cs="Times New Roman"/>
          <w:color w:val="000000"/>
          <w:sz w:val="24"/>
          <w:szCs w:val="24"/>
        </w:rPr>
      </w:pPr>
    </w:p>
    <w:p w:rsidR="00FF7901" w:rsidRDefault="00FF7901" w:rsidP="007601FB">
      <w:pPr>
        <w:pStyle w:val="naiskr"/>
        <w:spacing w:before="0" w:after="0"/>
        <w:jc w:val="both"/>
      </w:pPr>
      <w:r>
        <w:t xml:space="preserve">Tātad eiro ieviešana iespējama tikai izpildoties diviem priekšnoteikumiem: </w:t>
      </w:r>
    </w:p>
    <w:p w:rsidR="00FF7901" w:rsidRDefault="00FF7901" w:rsidP="00D77285">
      <w:pPr>
        <w:pStyle w:val="naiskr"/>
        <w:numPr>
          <w:ilvl w:val="0"/>
          <w:numId w:val="7"/>
        </w:numPr>
        <w:spacing w:before="0" w:after="0"/>
        <w:jc w:val="both"/>
      </w:pPr>
      <w:r>
        <w:t>tiesiskās konverģences nodrošināšana, ko raksturo valsts</w:t>
      </w:r>
      <w:r w:rsidRPr="00AE4EB1">
        <w:t xml:space="preserve"> tiesību aktu </w:t>
      </w:r>
      <w:r w:rsidR="00D36B08">
        <w:t>sader</w:t>
      </w:r>
      <w:r w:rsidR="00D36B08" w:rsidRPr="00AE4EB1">
        <w:t>īb</w:t>
      </w:r>
      <w:r w:rsidR="00D36B08">
        <w:t>a</w:t>
      </w:r>
      <w:r w:rsidR="00D36B08" w:rsidRPr="00AE4EB1">
        <w:t xml:space="preserve"> </w:t>
      </w:r>
      <w:r w:rsidR="00D36B08">
        <w:t xml:space="preserve">ar </w:t>
      </w:r>
      <w:r w:rsidRPr="00AE4EB1">
        <w:t>Līgum</w:t>
      </w:r>
      <w:r w:rsidR="00D36B08">
        <w:t>u</w:t>
      </w:r>
      <w:r w:rsidRPr="00AE4EB1">
        <w:t xml:space="preserve"> un Eiropas Centrālo banku sistēma</w:t>
      </w:r>
      <w:r>
        <w:t>s</w:t>
      </w:r>
      <w:r w:rsidRPr="00AE4EB1">
        <w:t xml:space="preserve"> (</w:t>
      </w:r>
      <w:r w:rsidR="008C31BF">
        <w:t xml:space="preserve">turpmāk – </w:t>
      </w:r>
      <w:r w:rsidRPr="00AE4EB1">
        <w:t>ECBS) un</w:t>
      </w:r>
      <w:r>
        <w:t xml:space="preserve"> Eiropas Centrālās bankas</w:t>
      </w:r>
      <w:r w:rsidRPr="00AE4EB1">
        <w:t xml:space="preserve"> </w:t>
      </w:r>
      <w:r w:rsidR="008C31BF">
        <w:t xml:space="preserve">(turpmāk – ECB) </w:t>
      </w:r>
      <w:r>
        <w:t>Statūtiem;</w:t>
      </w:r>
    </w:p>
    <w:p w:rsidR="00196E4E" w:rsidRDefault="00FF7901" w:rsidP="00D77285">
      <w:pPr>
        <w:pStyle w:val="naiskr"/>
        <w:numPr>
          <w:ilvl w:val="0"/>
          <w:numId w:val="7"/>
        </w:numPr>
        <w:spacing w:before="0" w:after="0"/>
        <w:jc w:val="both"/>
      </w:pPr>
      <w:r>
        <w:t>ekonomiskā</w:t>
      </w:r>
      <w:r w:rsidR="00F36CC3">
        <w:t>s</w:t>
      </w:r>
      <w:r>
        <w:t xml:space="preserve"> konverģence</w:t>
      </w:r>
      <w:r w:rsidR="00F36CC3">
        <w:t>s nodrošināšana</w:t>
      </w:r>
      <w:r w:rsidR="008C31BF">
        <w:t>, ko raksturo</w:t>
      </w:r>
      <w:r>
        <w:t xml:space="preserve"> </w:t>
      </w:r>
      <w:r w:rsidR="00196E4E">
        <w:t>Līguma 140.panta 1.punktā minēt</w:t>
      </w:r>
      <w:r w:rsidR="00CA25E9">
        <w:t>o kritēriju izpilde.</w:t>
      </w:r>
    </w:p>
    <w:p w:rsidR="00765455" w:rsidRDefault="00765455" w:rsidP="007601FB">
      <w:pPr>
        <w:pStyle w:val="naiskr"/>
        <w:spacing w:before="0" w:after="0"/>
        <w:jc w:val="both"/>
      </w:pPr>
    </w:p>
    <w:p w:rsidR="00F155A5" w:rsidRDefault="00F155A5" w:rsidP="007601FB">
      <w:pPr>
        <w:pStyle w:val="naiskr"/>
        <w:spacing w:before="0" w:after="0"/>
        <w:jc w:val="both"/>
      </w:pPr>
    </w:p>
    <w:p w:rsidR="00C87CBB" w:rsidRPr="00C87CBB" w:rsidRDefault="00C87CBB" w:rsidP="007601FB">
      <w:pPr>
        <w:pStyle w:val="naiskr"/>
        <w:spacing w:before="0" w:after="0"/>
        <w:jc w:val="both"/>
        <w:rPr>
          <w:b/>
          <w:u w:val="single"/>
        </w:rPr>
      </w:pPr>
      <w:r w:rsidRPr="00C87CBB">
        <w:rPr>
          <w:b/>
          <w:u w:val="single"/>
        </w:rPr>
        <w:t>Tiesiskā konverģence</w:t>
      </w:r>
      <w:r w:rsidR="00385EC0">
        <w:rPr>
          <w:b/>
          <w:u w:val="single"/>
        </w:rPr>
        <w:t>s nodrošināšana</w:t>
      </w:r>
    </w:p>
    <w:p w:rsidR="00C87CBB" w:rsidRDefault="00C87CBB" w:rsidP="007601FB">
      <w:pPr>
        <w:pStyle w:val="naiskr"/>
        <w:spacing w:before="0" w:after="0"/>
        <w:jc w:val="both"/>
      </w:pPr>
    </w:p>
    <w:p w:rsidR="00385EC0" w:rsidRDefault="00385EC0" w:rsidP="00385EC0">
      <w:pPr>
        <w:pStyle w:val="naiskr"/>
        <w:spacing w:before="0" w:after="0"/>
        <w:jc w:val="both"/>
      </w:pPr>
      <w:r>
        <w:t>Eiropas Komisija (turpmāk – EK) un ECB tiesiskās konverģences ziņojumos ietver</w:t>
      </w:r>
      <w:r w:rsidR="00125E1B">
        <w:t xml:space="preserve"> vērtējumu</w:t>
      </w:r>
      <w:r>
        <w:t xml:space="preserve"> </w:t>
      </w:r>
      <w:r w:rsidR="00125E1B">
        <w:t xml:space="preserve">kā dalībvalsts </w:t>
      </w:r>
      <w:r>
        <w:t>tiesību akti, tostarp</w:t>
      </w:r>
      <w:r w:rsidR="00125E1B">
        <w:t xml:space="preserve"> centrālo banku statūti (Latvijas gadījumā – </w:t>
      </w:r>
      <w:r>
        <w:t>likums "Par Latvijas Banku"</w:t>
      </w:r>
      <w:r w:rsidR="00125E1B">
        <w:t>)</w:t>
      </w:r>
      <w:r>
        <w:t xml:space="preserve">, sader ar Līguma 130. un 131. pantu un </w:t>
      </w:r>
      <w:r w:rsidR="00A37F1E">
        <w:t>ECBS</w:t>
      </w:r>
      <w:r>
        <w:t xml:space="preserve"> un </w:t>
      </w:r>
      <w:r w:rsidR="00A37F1E">
        <w:t>ECB</w:t>
      </w:r>
      <w:r>
        <w:t xml:space="preserve"> Statūtiem.</w:t>
      </w:r>
      <w:r w:rsidRPr="00AE4EB1">
        <w:t xml:space="preserve"> </w:t>
      </w:r>
    </w:p>
    <w:p w:rsidR="00385EC0" w:rsidRDefault="00385EC0" w:rsidP="00385EC0">
      <w:pPr>
        <w:pStyle w:val="naiskr"/>
        <w:spacing w:before="0" w:after="0"/>
        <w:jc w:val="both"/>
      </w:pPr>
    </w:p>
    <w:p w:rsidR="00385EC0" w:rsidRDefault="0094438F" w:rsidP="00385EC0">
      <w:pPr>
        <w:pStyle w:val="naiskr"/>
        <w:spacing w:before="0" w:after="0"/>
        <w:jc w:val="both"/>
      </w:pPr>
      <w:r>
        <w:t>Ņemot vērā minēto, l</w:t>
      </w:r>
      <w:r w:rsidR="00385EC0">
        <w:t>ai nodrošinātu tiesisko konverģenci</w:t>
      </w:r>
      <w:r>
        <w:t>,</w:t>
      </w:r>
      <w:r w:rsidR="00385EC0">
        <w:t xml:space="preserve"> Saeima 2012.gada 20.decembrī pieņēma likumu "Grozījums likumā </w:t>
      </w:r>
      <w:r w:rsidR="00385EC0" w:rsidRPr="00AE4EB1">
        <w:t>"Par interešu konflikta novēršanu valsts amatpersonu darbībā"</w:t>
      </w:r>
      <w:r w:rsidR="00385EC0">
        <w:t>" un 2013.gada 10.janvārī likumu "Grozījumi likumā "Par Latvijas Banku"".</w:t>
      </w:r>
    </w:p>
    <w:p w:rsidR="00385EC0" w:rsidRDefault="00385EC0" w:rsidP="00385EC0">
      <w:pPr>
        <w:pStyle w:val="naiskr"/>
        <w:spacing w:before="0" w:after="0"/>
        <w:jc w:val="both"/>
      </w:pPr>
      <w:r>
        <w:t xml:space="preserve"> </w:t>
      </w:r>
    </w:p>
    <w:p w:rsidR="00385EC0" w:rsidRPr="001940A9" w:rsidRDefault="00385EC0" w:rsidP="00385EC0">
      <w:pPr>
        <w:pStyle w:val="naiskr"/>
        <w:spacing w:before="0" w:after="0"/>
        <w:jc w:val="both"/>
      </w:pPr>
      <w:r w:rsidRPr="001940A9">
        <w:t>Likumā "Grozījumi likumā "Par Latvijas Banku"" (turpmāk – likums)</w:t>
      </w:r>
      <w:r w:rsidRPr="001940A9">
        <w:rPr>
          <w:iCs/>
        </w:rPr>
        <w:t xml:space="preserve"> </w:t>
      </w:r>
      <w:r w:rsidRPr="001940A9">
        <w:t>precizēti Latvijas Bankas mērķi un uzdevumi, kā arī precizēta Latvijas Bankas funkcionālā, institucionālā, personiskā un finansiālā neatkarība atbilstoši Līguma un Statūtu regulējumam.</w:t>
      </w:r>
      <w:r>
        <w:t xml:space="preserve"> </w:t>
      </w:r>
      <w:r w:rsidRPr="001940A9">
        <w:t>Likumā noteikts, ka Latvijas Bankas galvenais mērķis ir saglabāt cenu stabilitāti, un, nekaitējot šim galvenajam mērķim, Latvijas Banka arī atbalsta vispārējo ekonomikas politiku E</w:t>
      </w:r>
      <w:r>
        <w:t xml:space="preserve">iropas </w:t>
      </w:r>
      <w:r w:rsidRPr="001940A9">
        <w:t>S</w:t>
      </w:r>
      <w:r>
        <w:t>avienībā</w:t>
      </w:r>
      <w:r w:rsidRPr="001940A9">
        <w:t>. Likumā noteikts, ka atbilstoši Statūtu regulējumam Latvijas Banka piedalās ECBS uzdevumu izpildē (E</w:t>
      </w:r>
      <w:r>
        <w:t xml:space="preserve">iropas </w:t>
      </w:r>
      <w:r w:rsidRPr="001940A9">
        <w:t>S</w:t>
      </w:r>
      <w:r>
        <w:t>avienības</w:t>
      </w:r>
      <w:r w:rsidRPr="001940A9">
        <w:t xml:space="preserve"> monetārās politikas definēšanā un īstenošanā; ārvalstu valūtas operāciju veikšanā; E</w:t>
      </w:r>
      <w:r>
        <w:t xml:space="preserve">iropas </w:t>
      </w:r>
      <w:r w:rsidRPr="001940A9">
        <w:t>S</w:t>
      </w:r>
      <w:r>
        <w:t>avienības</w:t>
      </w:r>
      <w:r w:rsidRPr="001940A9">
        <w:t xml:space="preserve"> dalībvalstu ārējo rezervju turēšanā un pārvaldīšanā; maksājumu sistēmu raitas darbības veicināšanā; statistisko datu vākšanā, statistikas sagatavošanā un izplatīšanā), kā arī likumā noteiktas Latvijas Bankas tiesības un instrumenti, lai Latvijas Banka varētu sasniegt minētos mērķus un izpildītu uzdevumus. </w:t>
      </w:r>
    </w:p>
    <w:p w:rsidR="00385EC0" w:rsidRPr="001940A9" w:rsidRDefault="00385EC0" w:rsidP="00385EC0">
      <w:pPr>
        <w:pStyle w:val="naiskr"/>
        <w:spacing w:before="0" w:after="0"/>
        <w:jc w:val="both"/>
      </w:pPr>
    </w:p>
    <w:p w:rsidR="00385EC0" w:rsidRPr="00AE4EB1" w:rsidRDefault="00385EC0" w:rsidP="00385EC0">
      <w:pPr>
        <w:pStyle w:val="naiskr"/>
        <w:spacing w:before="0" w:after="0"/>
        <w:jc w:val="both"/>
      </w:pPr>
      <w:r>
        <w:t>Ar l</w:t>
      </w:r>
      <w:r w:rsidRPr="00AE4EB1">
        <w:rPr>
          <w:iCs/>
        </w:rPr>
        <w:t>iku</w:t>
      </w:r>
      <w:r>
        <w:rPr>
          <w:iCs/>
        </w:rPr>
        <w:t xml:space="preserve">ma </w:t>
      </w:r>
      <w:r w:rsidRPr="00AE4EB1">
        <w:t>"Par interešu konflikta novēršanu valsts amatpersonu darbībā"</w:t>
      </w:r>
      <w:r>
        <w:t xml:space="preserve"> grozījumu</w:t>
      </w:r>
      <w:r>
        <w:rPr>
          <w:iCs/>
        </w:rPr>
        <w:t xml:space="preserve"> tika</w:t>
      </w:r>
      <w:r w:rsidRPr="00AE4EB1">
        <w:t xml:space="preserve"> noteikts, ka </w:t>
      </w:r>
      <w:r w:rsidRPr="0078389A">
        <w:t>Latvijas Bankas prezident</w:t>
      </w:r>
      <w:r>
        <w:t>s</w:t>
      </w:r>
      <w:r w:rsidRPr="0078389A">
        <w:t>, viņa vietniek</w:t>
      </w:r>
      <w:r>
        <w:t>s</w:t>
      </w:r>
      <w:r w:rsidRPr="0078389A">
        <w:t xml:space="preserve"> un La</w:t>
      </w:r>
      <w:r>
        <w:t>tvijas Bankas padomes locekļi</w:t>
      </w:r>
      <w:r w:rsidRPr="0078389A">
        <w:t xml:space="preserve"> </w:t>
      </w:r>
      <w:r w:rsidRPr="00AE4EB1">
        <w:t xml:space="preserve">var savienot savu amatu ar amatu, kuru viņi ieņem saskaņā ar likumu vai Saeimas apstiprinātajiem starptautiskajiem līgumiem, Ministru kabineta noteikumiem un rīkojumiem, ja šāda amatu savienošana neapdraud </w:t>
      </w:r>
      <w:r>
        <w:t xml:space="preserve">Latvijas Bankas </w:t>
      </w:r>
      <w:r w:rsidRPr="00AF0521">
        <w:t>un attiecīgas valsts amatpersonas, tai veicot ar amata pienākumu pildīšanu saistītas darbības,</w:t>
      </w:r>
      <w:r w:rsidRPr="00AE4EB1">
        <w:t xml:space="preserve"> neatkarību.</w:t>
      </w:r>
    </w:p>
    <w:p w:rsidR="00385EC0" w:rsidRPr="00AE4EB1" w:rsidRDefault="00385EC0" w:rsidP="00385EC0">
      <w:pPr>
        <w:pStyle w:val="naiskr"/>
        <w:spacing w:before="0" w:after="0"/>
        <w:jc w:val="both"/>
      </w:pPr>
    </w:p>
    <w:p w:rsidR="00385EC0" w:rsidRDefault="00385EC0" w:rsidP="00385EC0">
      <w:pPr>
        <w:pStyle w:val="naiskr"/>
        <w:spacing w:before="0" w:after="0"/>
        <w:jc w:val="both"/>
      </w:pPr>
      <w:r>
        <w:t>Par augstāk minētajiem likumiem pirms to pieņemšanas Saeimā tika saņemts ECB atzinums, kā to paredz Līguma 127.panta 4.punkts.</w:t>
      </w:r>
    </w:p>
    <w:p w:rsidR="009E0782" w:rsidRDefault="009E0782" w:rsidP="00385EC0">
      <w:pPr>
        <w:pStyle w:val="naiskr"/>
        <w:spacing w:before="0" w:after="0"/>
        <w:jc w:val="both"/>
      </w:pPr>
    </w:p>
    <w:p w:rsidR="006F27C1" w:rsidRDefault="008B336A" w:rsidP="006F27C1">
      <w:pPr>
        <w:pStyle w:val="naiskr"/>
        <w:spacing w:after="0"/>
        <w:jc w:val="both"/>
      </w:pPr>
      <w:r>
        <w:t>Konverģences ziņojumos dalībvalstīm tiek skaidri norādīts, ka p</w:t>
      </w:r>
      <w:r w:rsidR="006F27C1">
        <w:t xml:space="preserve">amatojoties uz Savienības ekskluzīvo kompetenci noteikt vienotās valūtas nosaukumu, jebkādas novirzes no šā noteikuma neatbilst Līgumam un ir jānovērš. </w:t>
      </w:r>
    </w:p>
    <w:p w:rsidR="006F27C1" w:rsidRDefault="006F27C1" w:rsidP="006F27C1">
      <w:pPr>
        <w:pStyle w:val="naiskr"/>
        <w:spacing w:after="0"/>
        <w:jc w:val="both"/>
      </w:pPr>
    </w:p>
    <w:p w:rsidR="009E0782" w:rsidRDefault="006F27C1" w:rsidP="006F27C1">
      <w:pPr>
        <w:pStyle w:val="naiskr"/>
        <w:spacing w:before="0" w:after="0"/>
        <w:jc w:val="both"/>
        <w:rPr>
          <w:bCs/>
          <w:snapToGrid w:val="0"/>
        </w:rPr>
      </w:pPr>
      <w:r>
        <w:t>Eiropas Centrālā Banka</w:t>
      </w:r>
      <w:r w:rsidRPr="002B1FB5">
        <w:t xml:space="preserve"> ir paudusi stingru nostāju (tai skaitā arī Latvijai) par dalībvalstu iespējām regulēt </w:t>
      </w:r>
      <w:r w:rsidRPr="006F27C1">
        <w:rPr>
          <w:i/>
        </w:rPr>
        <w:t>euro</w:t>
      </w:r>
      <w:r w:rsidRPr="002B1FB5">
        <w:t xml:space="preserve"> valūtas nosacījumus nacionālajos tiesību aktos un norādījusi, </w:t>
      </w:r>
      <w:r w:rsidRPr="002B1FB5">
        <w:rPr>
          <w:snapToGrid w:val="0"/>
        </w:rPr>
        <w:t xml:space="preserve">ka Eiropas Savienība savu ekskluzīvo kompetenci noteikt vienotās valūtas nosaukumu, ir īstenojusi, </w:t>
      </w:r>
      <w:r w:rsidRPr="006F27C1">
        <w:rPr>
          <w:bCs/>
          <w:snapToGrid w:val="0"/>
          <w:u w:val="single"/>
        </w:rPr>
        <w:t>pieņemot tieši piemērojamas Eiropas Savienības tiesību normas, tādējādi šajā jautājumā nav nepieciešams pieņemt valsts līmeņa tiesību aktus</w:t>
      </w:r>
      <w:r w:rsidRPr="006F27C1">
        <w:rPr>
          <w:bCs/>
          <w:snapToGrid w:val="0"/>
        </w:rPr>
        <w:t>.</w:t>
      </w:r>
    </w:p>
    <w:p w:rsidR="00BF7C85" w:rsidRDefault="00BF7C85" w:rsidP="006F27C1">
      <w:pPr>
        <w:pStyle w:val="naiskr"/>
        <w:spacing w:before="0" w:after="0"/>
        <w:jc w:val="both"/>
        <w:rPr>
          <w:bCs/>
          <w:snapToGrid w:val="0"/>
        </w:rPr>
      </w:pPr>
    </w:p>
    <w:p w:rsidR="00385EC0" w:rsidRPr="00E13360" w:rsidRDefault="00BF7C85" w:rsidP="00385EC0">
      <w:pPr>
        <w:pStyle w:val="naiskr"/>
        <w:spacing w:before="0" w:after="0"/>
        <w:jc w:val="both"/>
      </w:pPr>
      <w:r>
        <w:rPr>
          <w:bCs/>
          <w:snapToGrid w:val="0"/>
        </w:rPr>
        <w:t xml:space="preserve">Šobrīd Latvijā ir spēkā esoši </w:t>
      </w:r>
      <w:r w:rsidRPr="005D60A2">
        <w:t xml:space="preserve">Ministru </w:t>
      </w:r>
      <w:r w:rsidRPr="00E13360">
        <w:t xml:space="preserve">kabineta </w:t>
      </w:r>
      <w:r w:rsidRPr="00E13360">
        <w:rPr>
          <w:rStyle w:val="c4"/>
          <w:color w:val="auto"/>
        </w:rPr>
        <w:t xml:space="preserve">2005.gada 26.jūlija noteikumi Nr.564 "Noteikumi par Eiropas Savienības vienotās valūtas vienības nosaukuma atveidi latviešu valodā", kas, ņemot vērā Eiropas Centrālās Bankas pausto viedokli, ir jāatceļ, jo minētajos noteikumos ietverto jautājumu regulējumu par </w:t>
      </w:r>
      <w:r w:rsidRPr="00E13360">
        <w:rPr>
          <w:rStyle w:val="c4"/>
          <w:i/>
          <w:color w:val="auto"/>
        </w:rPr>
        <w:t>euro</w:t>
      </w:r>
      <w:r w:rsidRPr="00E13360">
        <w:rPr>
          <w:rStyle w:val="c4"/>
          <w:color w:val="auto"/>
        </w:rPr>
        <w:t xml:space="preserve"> valūtas nosaukumu un lietojumu jau nosaka </w:t>
      </w:r>
      <w:r w:rsidR="00BA7ED7" w:rsidRPr="00E13360">
        <w:rPr>
          <w:rStyle w:val="c4"/>
          <w:color w:val="auto"/>
        </w:rPr>
        <w:t xml:space="preserve">1998. gada 3. maija Padomes Regulā (EK) Nr. 974/98 par </w:t>
      </w:r>
      <w:r w:rsidR="00BA7ED7" w:rsidRPr="00E13360">
        <w:rPr>
          <w:rStyle w:val="c4"/>
          <w:i/>
          <w:color w:val="auto"/>
        </w:rPr>
        <w:t>euro</w:t>
      </w:r>
      <w:r w:rsidR="00BA7ED7" w:rsidRPr="00E13360">
        <w:rPr>
          <w:rStyle w:val="c4"/>
          <w:color w:val="auto"/>
        </w:rPr>
        <w:t xml:space="preserve"> ieviešanu.</w:t>
      </w:r>
    </w:p>
    <w:p w:rsidR="00385EC0" w:rsidRDefault="00385EC0" w:rsidP="00385EC0">
      <w:pPr>
        <w:pStyle w:val="naiskr"/>
        <w:spacing w:before="0" w:after="0"/>
        <w:jc w:val="both"/>
      </w:pPr>
      <w:r w:rsidRPr="00E13360">
        <w:t xml:space="preserve">Atsaucoties uz augstāk minēto, </w:t>
      </w:r>
      <w:r w:rsidR="00BF7C85" w:rsidRPr="00E13360">
        <w:t xml:space="preserve">pēc Ministru kabineta </w:t>
      </w:r>
      <w:r w:rsidR="00BF7C85" w:rsidRPr="00E13360">
        <w:rPr>
          <w:rStyle w:val="c4"/>
          <w:color w:val="auto"/>
        </w:rPr>
        <w:t xml:space="preserve">2005.gada 26.jūlija noteikumu Nr.564 "Noteikumi par Eiropas Savienības vienotās valūtas vienības nosaukuma atveidi latviešu valodā" atcelšanas, </w:t>
      </w:r>
      <w:r w:rsidRPr="00E13360">
        <w:t xml:space="preserve">Latvija </w:t>
      </w:r>
      <w:r w:rsidR="00BF7C85" w:rsidRPr="00E13360">
        <w:t>būs</w:t>
      </w:r>
      <w:r w:rsidRPr="00E13360">
        <w:t xml:space="preserve"> izpildījusi </w:t>
      </w:r>
      <w:r w:rsidR="0002550F" w:rsidRPr="00E13360">
        <w:t xml:space="preserve">visus </w:t>
      </w:r>
      <w:r w:rsidRPr="00E13360">
        <w:t xml:space="preserve">tiesiskās konverģences </w:t>
      </w:r>
      <w:r>
        <w:t>kritērijus</w:t>
      </w:r>
      <w:r w:rsidR="009E0782">
        <w:t xml:space="preserve">, lai nodrošinātu, ka tās </w:t>
      </w:r>
      <w:r w:rsidR="00BF7C85">
        <w:t xml:space="preserve">tiesību akti </w:t>
      </w:r>
      <w:r w:rsidR="009E0782">
        <w:t>sader ar Līguma 130. un 131. pantu un ECBS un ECB Statūtiem</w:t>
      </w:r>
      <w:r>
        <w:t>.</w:t>
      </w:r>
    </w:p>
    <w:p w:rsidR="00C87CBB" w:rsidRDefault="00C87CBB" w:rsidP="007601FB">
      <w:pPr>
        <w:pStyle w:val="naiskr"/>
        <w:spacing w:before="0" w:after="0"/>
        <w:jc w:val="both"/>
      </w:pPr>
    </w:p>
    <w:p w:rsidR="00431E30" w:rsidRDefault="00431E30" w:rsidP="007601FB">
      <w:pPr>
        <w:pStyle w:val="naiskr"/>
        <w:spacing w:before="0" w:after="0"/>
        <w:jc w:val="both"/>
        <w:rPr>
          <w:b/>
          <w:u w:val="single"/>
        </w:rPr>
      </w:pPr>
    </w:p>
    <w:p w:rsidR="00385EC0" w:rsidRDefault="00385EC0" w:rsidP="007601FB">
      <w:pPr>
        <w:pStyle w:val="naiskr"/>
        <w:spacing w:before="0" w:after="0"/>
        <w:jc w:val="both"/>
        <w:rPr>
          <w:b/>
          <w:u w:val="single"/>
        </w:rPr>
      </w:pPr>
      <w:r>
        <w:rPr>
          <w:b/>
          <w:u w:val="single"/>
        </w:rPr>
        <w:t>Ekonomiskās konverģences nodrošināšana</w:t>
      </w:r>
    </w:p>
    <w:p w:rsidR="00385EC0" w:rsidRDefault="00385EC0" w:rsidP="007601FB">
      <w:pPr>
        <w:pStyle w:val="naiskr"/>
        <w:spacing w:before="0" w:after="0"/>
        <w:jc w:val="both"/>
        <w:rPr>
          <w:b/>
          <w:u w:val="single"/>
        </w:rPr>
      </w:pPr>
    </w:p>
    <w:p w:rsidR="00765455" w:rsidRPr="00385EC0" w:rsidRDefault="00385EC0" w:rsidP="007601FB">
      <w:pPr>
        <w:pStyle w:val="naiskr"/>
        <w:spacing w:before="0" w:after="0"/>
        <w:jc w:val="both"/>
      </w:pPr>
      <w:r>
        <w:t xml:space="preserve">I </w:t>
      </w:r>
      <w:r w:rsidR="00765455" w:rsidRPr="00385EC0">
        <w:t>Ekonomiskā</w:t>
      </w:r>
      <w:r w:rsidR="007601FB" w:rsidRPr="00385EC0">
        <w:t>s</w:t>
      </w:r>
      <w:r w:rsidR="00765455" w:rsidRPr="00385EC0">
        <w:t xml:space="preserve"> konverģence</w:t>
      </w:r>
      <w:r w:rsidR="007601FB" w:rsidRPr="00385EC0">
        <w:t>s kritēriji</w:t>
      </w:r>
    </w:p>
    <w:p w:rsidR="00FF7901" w:rsidRPr="00385EC0" w:rsidRDefault="00FF7901" w:rsidP="007601FB">
      <w:pPr>
        <w:spacing w:after="0" w:line="240" w:lineRule="auto"/>
        <w:jc w:val="both"/>
        <w:rPr>
          <w:rFonts w:ascii="Times New Roman" w:hAnsi="Times New Roman" w:cs="Times New Roman"/>
          <w:b/>
          <w:color w:val="000000"/>
          <w:sz w:val="24"/>
          <w:szCs w:val="24"/>
        </w:rPr>
      </w:pPr>
    </w:p>
    <w:p w:rsidR="00CA25E9" w:rsidRDefault="00CA25E9"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Ekonomiskās konverģences kritēriji [saukti arī par Māstrihtas kritērijiem] sīkāk iztirzāti Eiropas Savienības dibināšanas līgumiem pievienotajā protokolā (Protokols Nr.1</w:t>
      </w:r>
      <w:r w:rsidR="00765455">
        <w:rPr>
          <w:rFonts w:ascii="Times New Roman" w:hAnsi="Times New Roman" w:cs="Times New Roman"/>
          <w:color w:val="000000"/>
          <w:sz w:val="24"/>
          <w:szCs w:val="24"/>
        </w:rPr>
        <w:t>3 par konverģences kritērijiem</w:t>
      </w:r>
      <w:r w:rsidR="00591D99">
        <w:rPr>
          <w:rFonts w:ascii="Times New Roman" w:hAnsi="Times New Roman" w:cs="Times New Roman"/>
          <w:color w:val="000000"/>
          <w:sz w:val="24"/>
          <w:szCs w:val="24"/>
        </w:rPr>
        <w:t>; turpmāk – Protokols</w:t>
      </w:r>
      <w:r w:rsidR="00765455">
        <w:rPr>
          <w:rFonts w:ascii="Times New Roman" w:hAnsi="Times New Roman" w:cs="Times New Roman"/>
          <w:color w:val="000000"/>
          <w:sz w:val="24"/>
          <w:szCs w:val="24"/>
        </w:rPr>
        <w:t>).</w:t>
      </w:r>
    </w:p>
    <w:p w:rsidR="00CA25E9" w:rsidRDefault="00CA25E9" w:rsidP="007601FB">
      <w:pPr>
        <w:spacing w:after="0" w:line="240" w:lineRule="auto"/>
        <w:jc w:val="both"/>
        <w:rPr>
          <w:rFonts w:ascii="Times New Roman" w:hAnsi="Times New Roman" w:cs="Times New Roman"/>
          <w:color w:val="000000"/>
          <w:sz w:val="24"/>
          <w:szCs w:val="24"/>
        </w:rPr>
      </w:pPr>
    </w:p>
    <w:p w:rsidR="00D57296" w:rsidRPr="008B7E1C" w:rsidRDefault="00D57296" w:rsidP="00D77285">
      <w:pPr>
        <w:pStyle w:val="ListParagraph"/>
        <w:numPr>
          <w:ilvl w:val="0"/>
          <w:numId w:val="11"/>
        </w:numPr>
        <w:spacing w:after="0" w:line="240" w:lineRule="auto"/>
        <w:jc w:val="both"/>
        <w:rPr>
          <w:rFonts w:ascii="Times New Roman" w:hAnsi="Times New Roman" w:cs="Times New Roman"/>
          <w:color w:val="000000"/>
          <w:sz w:val="24"/>
          <w:szCs w:val="24"/>
        </w:rPr>
      </w:pPr>
      <w:r w:rsidRPr="008B7E1C">
        <w:rPr>
          <w:rFonts w:ascii="Times New Roman" w:hAnsi="Times New Roman" w:cs="Times New Roman"/>
          <w:color w:val="000000"/>
          <w:sz w:val="24"/>
          <w:szCs w:val="24"/>
        </w:rPr>
        <w:t>Cenu stabilitāte</w:t>
      </w:r>
      <w:r w:rsidR="00F36CC3" w:rsidRPr="008B7E1C">
        <w:rPr>
          <w:rFonts w:ascii="Times New Roman" w:hAnsi="Times New Roman" w:cs="Times New Roman"/>
          <w:color w:val="000000"/>
          <w:sz w:val="24"/>
          <w:szCs w:val="24"/>
        </w:rPr>
        <w:t>s kritērijs</w:t>
      </w:r>
    </w:p>
    <w:p w:rsidR="00D57296" w:rsidRDefault="00D57296" w:rsidP="007601FB">
      <w:pPr>
        <w:spacing w:after="0" w:line="240" w:lineRule="auto"/>
        <w:jc w:val="both"/>
        <w:rPr>
          <w:rFonts w:ascii="Times New Roman" w:hAnsi="Times New Roman" w:cs="Times New Roman"/>
          <w:color w:val="000000"/>
          <w:sz w:val="24"/>
          <w:szCs w:val="24"/>
        </w:rPr>
      </w:pPr>
    </w:p>
    <w:p w:rsidR="00765455" w:rsidRDefault="00765455" w:rsidP="007601FB">
      <w:pPr>
        <w:spacing w:after="0" w:line="240" w:lineRule="auto"/>
        <w:jc w:val="both"/>
        <w:rPr>
          <w:rFonts w:ascii="Times New Roman" w:hAnsi="Times New Roman" w:cs="Times New Roman"/>
          <w:color w:val="000000"/>
          <w:sz w:val="24"/>
          <w:szCs w:val="24"/>
        </w:rPr>
      </w:pPr>
      <w:r w:rsidRPr="00765455">
        <w:rPr>
          <w:rFonts w:ascii="Times New Roman" w:hAnsi="Times New Roman" w:cs="Times New Roman"/>
          <w:color w:val="000000"/>
          <w:sz w:val="24"/>
          <w:szCs w:val="24"/>
        </w:rPr>
        <w:t xml:space="preserve">Līguma 140.panta </w:t>
      </w:r>
      <w:r w:rsidR="001F4855">
        <w:rPr>
          <w:rFonts w:ascii="Times New Roman" w:hAnsi="Times New Roman" w:cs="Times New Roman"/>
          <w:color w:val="000000"/>
          <w:sz w:val="24"/>
          <w:szCs w:val="24"/>
        </w:rPr>
        <w:t xml:space="preserve">1.punkta pirmajā </w:t>
      </w:r>
      <w:r w:rsidRPr="00765455">
        <w:rPr>
          <w:rFonts w:ascii="Times New Roman" w:hAnsi="Times New Roman" w:cs="Times New Roman"/>
          <w:color w:val="000000"/>
          <w:sz w:val="24"/>
          <w:szCs w:val="24"/>
        </w:rPr>
        <w:t>ievilkumā minēt</w:t>
      </w:r>
      <w:r w:rsidR="00591D99">
        <w:rPr>
          <w:rFonts w:ascii="Times New Roman" w:hAnsi="Times New Roman" w:cs="Times New Roman"/>
          <w:color w:val="000000"/>
          <w:sz w:val="24"/>
          <w:szCs w:val="24"/>
        </w:rPr>
        <w:t>ais</w:t>
      </w:r>
      <w:r>
        <w:rPr>
          <w:rFonts w:ascii="Times New Roman" w:hAnsi="Times New Roman" w:cs="Times New Roman"/>
          <w:b/>
          <w:color w:val="000000"/>
          <w:sz w:val="24"/>
          <w:szCs w:val="24"/>
        </w:rPr>
        <w:t xml:space="preserve"> </w:t>
      </w:r>
      <w:r w:rsidRPr="00D57296">
        <w:rPr>
          <w:rFonts w:ascii="Times New Roman" w:hAnsi="Times New Roman" w:cs="Times New Roman"/>
          <w:color w:val="000000"/>
          <w:sz w:val="24"/>
          <w:szCs w:val="24"/>
        </w:rPr>
        <w:t>c</w:t>
      </w:r>
      <w:r w:rsidR="007671AD" w:rsidRPr="00D57296">
        <w:rPr>
          <w:rFonts w:ascii="Times New Roman" w:hAnsi="Times New Roman" w:cs="Times New Roman"/>
          <w:color w:val="000000"/>
          <w:sz w:val="24"/>
          <w:szCs w:val="24"/>
        </w:rPr>
        <w:t>enu stabilitātes kritērij</w:t>
      </w:r>
      <w:r w:rsidRPr="00D57296">
        <w:rPr>
          <w:rFonts w:ascii="Times New Roman" w:hAnsi="Times New Roman" w:cs="Times New Roman"/>
          <w:color w:val="000000"/>
          <w:sz w:val="24"/>
          <w:szCs w:val="24"/>
        </w:rPr>
        <w:t>s</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saskaņā ar </w:t>
      </w:r>
      <w:r w:rsidR="007671AD" w:rsidRPr="007671AD">
        <w:rPr>
          <w:rFonts w:ascii="Times New Roman" w:hAnsi="Times New Roman" w:cs="Times New Roman"/>
          <w:color w:val="000000"/>
          <w:sz w:val="24"/>
          <w:szCs w:val="24"/>
        </w:rPr>
        <w:t>Protokola 1.pant</w:t>
      </w:r>
      <w:r>
        <w:rPr>
          <w:rFonts w:ascii="Times New Roman" w:hAnsi="Times New Roman" w:cs="Times New Roman"/>
          <w:color w:val="000000"/>
          <w:sz w:val="24"/>
          <w:szCs w:val="24"/>
        </w:rPr>
        <w:t>ā</w:t>
      </w:r>
      <w:r w:rsidR="007671AD" w:rsidRPr="007671AD">
        <w:rPr>
          <w:rFonts w:ascii="Times New Roman" w:hAnsi="Times New Roman" w:cs="Times New Roman"/>
          <w:color w:val="000000"/>
          <w:sz w:val="24"/>
          <w:szCs w:val="24"/>
        </w:rPr>
        <w:t xml:space="preserve"> noteikt</w:t>
      </w:r>
      <w:r>
        <w:rPr>
          <w:rFonts w:ascii="Times New Roman" w:hAnsi="Times New Roman" w:cs="Times New Roman"/>
          <w:color w:val="000000"/>
          <w:sz w:val="24"/>
          <w:szCs w:val="24"/>
        </w:rPr>
        <w:t>o</w:t>
      </w:r>
      <w:r w:rsidR="007671AD" w:rsidRPr="007671AD">
        <w:rPr>
          <w:rFonts w:ascii="Times New Roman" w:hAnsi="Times New Roman" w:cs="Times New Roman"/>
          <w:color w:val="000000"/>
          <w:sz w:val="24"/>
          <w:szCs w:val="24"/>
        </w:rPr>
        <w:t xml:space="preserve"> </w:t>
      </w:r>
      <w:r w:rsidR="007671AD" w:rsidRPr="00C87CBB">
        <w:rPr>
          <w:rFonts w:ascii="Times New Roman" w:hAnsi="Times New Roman" w:cs="Times New Roman"/>
          <w:color w:val="000000"/>
          <w:sz w:val="24"/>
          <w:szCs w:val="24"/>
        </w:rPr>
        <w:t>nozīmē, ka</w:t>
      </w:r>
      <w:r w:rsidR="007671AD" w:rsidRPr="007671AD">
        <w:rPr>
          <w:rFonts w:ascii="Times New Roman" w:hAnsi="Times New Roman" w:cs="Times New Roman"/>
          <w:i/>
          <w:color w:val="000000"/>
          <w:sz w:val="24"/>
          <w:szCs w:val="24"/>
        </w:rPr>
        <w:t xml:space="preserve"> </w:t>
      </w:r>
      <w:r w:rsidRPr="00765455">
        <w:rPr>
          <w:rFonts w:ascii="Times New Roman" w:hAnsi="Times New Roman" w:cs="Times New Roman"/>
          <w:color w:val="000000"/>
          <w:sz w:val="24"/>
          <w:szCs w:val="24"/>
        </w:rPr>
        <w:t>"</w:t>
      </w:r>
      <w:r w:rsidR="007671AD" w:rsidRPr="00765455">
        <w:rPr>
          <w:rFonts w:ascii="Times New Roman" w:hAnsi="Times New Roman" w:cs="Times New Roman"/>
          <w:color w:val="000000"/>
          <w:sz w:val="24"/>
          <w:szCs w:val="24"/>
        </w:rPr>
        <w:t>dalībvalstī ir stabilas cenas un vienā gadā pirms novērtējuma vidējais inflācijas līmenis nepārsniedz 1,5 procentu punktus, to samērojot ar, augstākais, tādu triju dalībvalstu datiem, kur cenu stabilitāte ir vislielākā. Inflāciju aprēķina, salīdzinot patēriņa cenu indeksus un ņemot vērā to, ka dažādās valstīs to nosaka dažādi</w:t>
      </w:r>
      <w:r>
        <w:rPr>
          <w:rFonts w:ascii="Times New Roman" w:hAnsi="Times New Roman" w:cs="Times New Roman"/>
          <w:color w:val="000000"/>
          <w:sz w:val="24"/>
          <w:szCs w:val="24"/>
        </w:rPr>
        <w:t>"</w:t>
      </w:r>
      <w:r w:rsidR="007671AD" w:rsidRPr="007671AD">
        <w:rPr>
          <w:rFonts w:ascii="Times New Roman" w:hAnsi="Times New Roman" w:cs="Times New Roman"/>
          <w:color w:val="000000"/>
          <w:sz w:val="24"/>
          <w:szCs w:val="24"/>
        </w:rPr>
        <w:t>.</w:t>
      </w:r>
    </w:p>
    <w:p w:rsidR="00765455" w:rsidRDefault="007671AD" w:rsidP="007601FB">
      <w:pPr>
        <w:spacing w:after="0" w:line="240" w:lineRule="auto"/>
        <w:jc w:val="both"/>
        <w:rPr>
          <w:rFonts w:ascii="Times New Roman" w:hAnsi="Times New Roman" w:cs="Times New Roman"/>
          <w:color w:val="000000"/>
          <w:sz w:val="24"/>
          <w:szCs w:val="24"/>
        </w:rPr>
      </w:pPr>
      <w:r w:rsidRPr="007671AD">
        <w:rPr>
          <w:rFonts w:ascii="Times New Roman" w:hAnsi="Times New Roman" w:cs="Times New Roman"/>
          <w:color w:val="000000"/>
          <w:sz w:val="24"/>
          <w:szCs w:val="24"/>
        </w:rPr>
        <w:t xml:space="preserve"> </w:t>
      </w:r>
    </w:p>
    <w:p w:rsidR="00F36CC3" w:rsidRDefault="00F36CC3"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Tātad saskaņā ar šī kritērija prasībām i</w:t>
      </w:r>
      <w:r w:rsidRPr="00F36CC3">
        <w:rPr>
          <w:rFonts w:ascii="Times New Roman" w:hAnsi="Times New Roman" w:cs="Times New Roman"/>
          <w:color w:val="000000"/>
          <w:sz w:val="24"/>
          <w:szCs w:val="24"/>
        </w:rPr>
        <w:t xml:space="preserve">nflācijas līmenis </w:t>
      </w:r>
      <w:r>
        <w:rPr>
          <w:rFonts w:ascii="Times New Roman" w:hAnsi="Times New Roman" w:cs="Times New Roman"/>
          <w:color w:val="000000"/>
          <w:sz w:val="24"/>
          <w:szCs w:val="24"/>
        </w:rPr>
        <w:t>valstī nedrīkst vairāk kā par 1,5 </w:t>
      </w:r>
      <w:r w:rsidRPr="00F36CC3">
        <w:rPr>
          <w:rFonts w:ascii="Times New Roman" w:hAnsi="Times New Roman" w:cs="Times New Roman"/>
          <w:color w:val="000000"/>
          <w:sz w:val="24"/>
          <w:szCs w:val="24"/>
        </w:rPr>
        <w:t xml:space="preserve">procentu punktiem pārsniegt vidējo inflācijas līmeni trijās Eiropas </w:t>
      </w:r>
      <w:r w:rsidR="001F4855">
        <w:rPr>
          <w:rFonts w:ascii="Times New Roman" w:hAnsi="Times New Roman" w:cs="Times New Roman"/>
          <w:color w:val="000000"/>
          <w:sz w:val="24"/>
          <w:szCs w:val="24"/>
        </w:rPr>
        <w:t>Savienības dalīb</w:t>
      </w:r>
      <w:r w:rsidRPr="00F36CC3">
        <w:rPr>
          <w:rFonts w:ascii="Times New Roman" w:hAnsi="Times New Roman" w:cs="Times New Roman"/>
          <w:color w:val="000000"/>
          <w:sz w:val="24"/>
          <w:szCs w:val="24"/>
        </w:rPr>
        <w:t>valstīs, kur</w:t>
      </w:r>
      <w:r>
        <w:rPr>
          <w:rFonts w:ascii="Times New Roman" w:hAnsi="Times New Roman" w:cs="Times New Roman"/>
          <w:color w:val="000000"/>
          <w:sz w:val="24"/>
          <w:szCs w:val="24"/>
        </w:rPr>
        <w:t>ās</w:t>
      </w:r>
      <w:r w:rsidRPr="00F36CC3">
        <w:rPr>
          <w:rFonts w:ascii="Times New Roman" w:hAnsi="Times New Roman" w:cs="Times New Roman"/>
          <w:color w:val="000000"/>
          <w:sz w:val="24"/>
          <w:szCs w:val="24"/>
        </w:rPr>
        <w:t xml:space="preserve"> </w:t>
      </w:r>
      <w:r w:rsidR="002230BB" w:rsidRPr="00F36CC3">
        <w:rPr>
          <w:rFonts w:ascii="Times New Roman" w:hAnsi="Times New Roman" w:cs="Times New Roman"/>
          <w:color w:val="000000"/>
          <w:sz w:val="24"/>
          <w:szCs w:val="24"/>
        </w:rPr>
        <w:t>iepriekšēj</w:t>
      </w:r>
      <w:r w:rsidR="002230BB">
        <w:rPr>
          <w:rFonts w:ascii="Times New Roman" w:hAnsi="Times New Roman" w:cs="Times New Roman"/>
          <w:color w:val="000000"/>
          <w:sz w:val="24"/>
          <w:szCs w:val="24"/>
        </w:rPr>
        <w:t xml:space="preserve">os 12 </w:t>
      </w:r>
      <w:r w:rsidR="0094171B">
        <w:rPr>
          <w:rFonts w:ascii="Times New Roman" w:hAnsi="Times New Roman" w:cs="Times New Roman"/>
          <w:color w:val="000000"/>
          <w:sz w:val="24"/>
          <w:szCs w:val="24"/>
        </w:rPr>
        <w:t>mēnešos</w:t>
      </w:r>
      <w:r w:rsidRPr="00F36CC3">
        <w:rPr>
          <w:rFonts w:ascii="Times New Roman" w:hAnsi="Times New Roman" w:cs="Times New Roman"/>
          <w:color w:val="000000"/>
          <w:sz w:val="24"/>
          <w:szCs w:val="24"/>
        </w:rPr>
        <w:t xml:space="preserve"> bija viszemākā inflācija</w:t>
      </w:r>
      <w:r>
        <w:rPr>
          <w:rFonts w:ascii="Times New Roman" w:hAnsi="Times New Roman" w:cs="Times New Roman"/>
          <w:color w:val="000000"/>
          <w:sz w:val="24"/>
          <w:szCs w:val="24"/>
        </w:rPr>
        <w:t>.</w:t>
      </w:r>
    </w:p>
    <w:p w:rsidR="00F36CC3" w:rsidRDefault="00F36CC3" w:rsidP="007601FB">
      <w:pPr>
        <w:spacing w:after="0" w:line="240" w:lineRule="auto"/>
        <w:jc w:val="both"/>
        <w:rPr>
          <w:rFonts w:ascii="Times New Roman" w:hAnsi="Times New Roman" w:cs="Times New Roman"/>
          <w:color w:val="000000"/>
          <w:sz w:val="24"/>
          <w:szCs w:val="24"/>
        </w:rPr>
      </w:pPr>
    </w:p>
    <w:p w:rsidR="00C87CBB" w:rsidRDefault="0094171B" w:rsidP="0007243D">
      <w:pPr>
        <w:autoSpaceDE w:val="0"/>
        <w:autoSpaceDN w:val="0"/>
        <w:adjustRightInd w:val="0"/>
        <w:spacing w:after="0" w:line="240" w:lineRule="auto"/>
        <w:jc w:val="both"/>
        <w:rPr>
          <w:rFonts w:ascii="Times New Roman" w:eastAsia="Times New Roman" w:hAnsi="Times New Roman" w:cs="Times New Roman"/>
          <w:sz w:val="24"/>
          <w:szCs w:val="24"/>
        </w:rPr>
      </w:pPr>
      <w:r w:rsidRPr="0094171B">
        <w:rPr>
          <w:rFonts w:ascii="Times New Roman" w:eastAsia="Times New Roman" w:hAnsi="Times New Roman" w:cs="Times New Roman"/>
          <w:sz w:val="24"/>
          <w:szCs w:val="24"/>
        </w:rPr>
        <w:t>Lai spētu vispusīgāk novērtēt cenu norišu ilgtspēju, 12 mēnešu vidējā</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SPCI inflācija atsauces periodā tiek aplūkota, ņemot vērā</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dalībvalst</w:t>
      </w:r>
      <w:r>
        <w:rPr>
          <w:rFonts w:ascii="Times New Roman" w:eastAsia="Times New Roman" w:hAnsi="Times New Roman" w:cs="Times New Roman"/>
          <w:sz w:val="24"/>
          <w:szCs w:val="24"/>
        </w:rPr>
        <w:t>s</w:t>
      </w:r>
      <w:r w:rsidRPr="0094171B">
        <w:rPr>
          <w:rFonts w:ascii="Times New Roman" w:eastAsia="Times New Roman" w:hAnsi="Times New Roman" w:cs="Times New Roman"/>
          <w:sz w:val="24"/>
          <w:szCs w:val="24"/>
        </w:rPr>
        <w:t xml:space="preserve"> ekonomisko darbību cenu stabilitātes ziņā pēdējos 10 gados. Tāpēc uzmanība pievērsta</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monetārās politikas virzienam, īpaši tam, vai monetārās iestādes galvenokārt koncentrējušās uz cenu</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stabilitātes nodrošināšanu un saglabāšanu, kā arī uz citu ekonomiskās politikas jomu ieguldījumu</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šā mērķa sasniegšanā. Turklāt ņemta vērā makroekonomiskās vides ietekme uz cenu stabilitātes</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nodrošināšanu. Cenu dinamika vērtēta pieprasījuma un piedāvājuma apstākļos, t.sk. aplūkojot arī</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vienības darbaspēka izmaksas un importa cenas ietekmējošos faktorus. Visbeidzot, vērtētas arī citu</w:t>
      </w:r>
      <w:r w:rsidR="0007243D">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svarīgu cenu indeksu (piemēram, SPCI, izņemot neapstrādātu pārtiku un enerģiju, SPCI nemainīgu</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nodokļu gadījumā, nacionālā PCI, privātā patēriņ</w:t>
      </w:r>
      <w:r>
        <w:rPr>
          <w:rFonts w:ascii="Times New Roman" w:eastAsia="Times New Roman" w:hAnsi="Times New Roman" w:cs="Times New Roman"/>
          <w:sz w:val="24"/>
          <w:szCs w:val="24"/>
        </w:rPr>
        <w:t>a defl</w:t>
      </w:r>
      <w:r w:rsidR="0007243D">
        <w:rPr>
          <w:rFonts w:ascii="Times New Roman" w:eastAsia="Times New Roman" w:hAnsi="Times New Roman" w:cs="Times New Roman"/>
          <w:sz w:val="24"/>
          <w:szCs w:val="24"/>
        </w:rPr>
        <w:t>atora, IKP defl</w:t>
      </w:r>
      <w:r w:rsidRPr="0094171B">
        <w:rPr>
          <w:rFonts w:ascii="Times New Roman" w:eastAsia="Times New Roman" w:hAnsi="Times New Roman" w:cs="Times New Roman"/>
          <w:sz w:val="24"/>
          <w:szCs w:val="24"/>
        </w:rPr>
        <w:t>atora un ražotāju cenu)</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tendences. Nākotnes perspektīvā sniegts ieskats gaidāmajā</w:t>
      </w:r>
      <w:r>
        <w:rPr>
          <w:rFonts w:ascii="Times New Roman" w:eastAsia="Times New Roman" w:hAnsi="Times New Roman" w:cs="Times New Roman"/>
          <w:sz w:val="24"/>
          <w:szCs w:val="24"/>
        </w:rPr>
        <w:t>s infl</w:t>
      </w:r>
      <w:r w:rsidRPr="0094171B">
        <w:rPr>
          <w:rFonts w:ascii="Times New Roman" w:eastAsia="Times New Roman" w:hAnsi="Times New Roman" w:cs="Times New Roman"/>
          <w:sz w:val="24"/>
          <w:szCs w:val="24"/>
        </w:rPr>
        <w:t>ācijas norisēs tuvāko gadu laikā, t.sk.</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svarīgāko starptautisko organizāciju un tirgus dalībnieku prognozes. Turklāt raksturoti institucionālie</w:t>
      </w:r>
      <w:r>
        <w:rPr>
          <w:rFonts w:ascii="Times New Roman" w:eastAsia="Times New Roman" w:hAnsi="Times New Roman" w:cs="Times New Roman"/>
          <w:sz w:val="24"/>
          <w:szCs w:val="24"/>
        </w:rPr>
        <w:t xml:space="preserve"> </w:t>
      </w:r>
      <w:r w:rsidRPr="0094171B">
        <w:rPr>
          <w:rFonts w:ascii="Times New Roman" w:eastAsia="Times New Roman" w:hAnsi="Times New Roman" w:cs="Times New Roman"/>
          <w:sz w:val="24"/>
          <w:szCs w:val="24"/>
        </w:rPr>
        <w:t>un strukturālie aspekti, kas svarīgi, lai pēc e</w:t>
      </w:r>
      <w:r>
        <w:rPr>
          <w:rFonts w:ascii="Times New Roman" w:eastAsia="Times New Roman" w:hAnsi="Times New Roman" w:cs="Times New Roman"/>
          <w:sz w:val="24"/>
          <w:szCs w:val="24"/>
        </w:rPr>
        <w:t>i</w:t>
      </w:r>
      <w:r w:rsidRPr="0094171B">
        <w:rPr>
          <w:rFonts w:ascii="Times New Roman" w:eastAsia="Times New Roman" w:hAnsi="Times New Roman" w:cs="Times New Roman"/>
          <w:sz w:val="24"/>
          <w:szCs w:val="24"/>
        </w:rPr>
        <w:t>ro ieviešanas saglabātu cenu stabilitāti veicinošu vidi.</w:t>
      </w:r>
    </w:p>
    <w:p w:rsidR="0007243D" w:rsidRDefault="0007243D" w:rsidP="0007243D">
      <w:pPr>
        <w:spacing w:after="0" w:line="240" w:lineRule="auto"/>
        <w:jc w:val="both"/>
        <w:rPr>
          <w:rFonts w:ascii="Times New Roman" w:hAnsi="Times New Roman" w:cs="Times New Roman"/>
          <w:color w:val="000000"/>
          <w:sz w:val="24"/>
          <w:szCs w:val="24"/>
        </w:rPr>
      </w:pPr>
    </w:p>
    <w:p w:rsidR="00D57296" w:rsidRPr="008B7E1C" w:rsidRDefault="00D57296" w:rsidP="00D77285">
      <w:pPr>
        <w:pStyle w:val="ListParagraph"/>
        <w:numPr>
          <w:ilvl w:val="0"/>
          <w:numId w:val="11"/>
        </w:numPr>
        <w:spacing w:after="0" w:line="240" w:lineRule="auto"/>
        <w:jc w:val="both"/>
        <w:rPr>
          <w:rFonts w:ascii="Times New Roman" w:hAnsi="Times New Roman" w:cs="Times New Roman"/>
          <w:color w:val="000000"/>
          <w:sz w:val="24"/>
          <w:szCs w:val="24"/>
        </w:rPr>
      </w:pPr>
      <w:r w:rsidRPr="008B7E1C">
        <w:rPr>
          <w:rFonts w:ascii="Times New Roman" w:hAnsi="Times New Roman" w:cs="Times New Roman"/>
          <w:color w:val="000000"/>
          <w:sz w:val="24"/>
          <w:szCs w:val="24"/>
        </w:rPr>
        <w:t>Valsts finanšu stāvokļa stabilitāte</w:t>
      </w:r>
      <w:r w:rsidR="00F36CC3" w:rsidRPr="008B7E1C">
        <w:rPr>
          <w:rFonts w:ascii="Times New Roman" w:hAnsi="Times New Roman" w:cs="Times New Roman"/>
          <w:color w:val="000000"/>
          <w:sz w:val="24"/>
          <w:szCs w:val="24"/>
        </w:rPr>
        <w:t>s kritērijs</w:t>
      </w:r>
    </w:p>
    <w:p w:rsidR="00D57296" w:rsidRPr="007671AD" w:rsidRDefault="00D57296" w:rsidP="007601FB">
      <w:pPr>
        <w:spacing w:after="0" w:line="240" w:lineRule="auto"/>
        <w:jc w:val="both"/>
        <w:rPr>
          <w:rFonts w:ascii="Times New Roman" w:hAnsi="Times New Roman" w:cs="Times New Roman"/>
          <w:color w:val="000000"/>
          <w:sz w:val="24"/>
          <w:szCs w:val="24"/>
        </w:rPr>
      </w:pPr>
    </w:p>
    <w:p w:rsidR="00591D99" w:rsidRDefault="00591D99"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Līguma 140.panta </w:t>
      </w:r>
      <w:r w:rsidR="001F4855">
        <w:rPr>
          <w:rFonts w:ascii="Times New Roman" w:hAnsi="Times New Roman" w:cs="Times New Roman"/>
          <w:color w:val="000000"/>
          <w:sz w:val="24"/>
          <w:szCs w:val="24"/>
        </w:rPr>
        <w:t xml:space="preserve">1.punkta otrajā </w:t>
      </w:r>
      <w:r>
        <w:rPr>
          <w:rFonts w:ascii="Times New Roman" w:hAnsi="Times New Roman" w:cs="Times New Roman"/>
          <w:color w:val="000000"/>
          <w:sz w:val="24"/>
          <w:szCs w:val="24"/>
        </w:rPr>
        <w:t xml:space="preserve">ievilkumā minētais </w:t>
      </w:r>
      <w:r w:rsidR="007671AD" w:rsidRPr="00D57296">
        <w:rPr>
          <w:rFonts w:ascii="Times New Roman" w:hAnsi="Times New Roman" w:cs="Times New Roman"/>
          <w:color w:val="000000"/>
          <w:sz w:val="24"/>
          <w:szCs w:val="24"/>
        </w:rPr>
        <w:t>valsts finanšu stāvokļa stabilitāte</w:t>
      </w:r>
      <w:r w:rsidRPr="00D57296">
        <w:rPr>
          <w:rFonts w:ascii="Times New Roman" w:hAnsi="Times New Roman" w:cs="Times New Roman"/>
          <w:color w:val="000000"/>
          <w:sz w:val="24"/>
          <w:szCs w:val="24"/>
        </w:rPr>
        <w:t>s kritērijs</w:t>
      </w:r>
      <w:r>
        <w:rPr>
          <w:rFonts w:ascii="Times New Roman" w:hAnsi="Times New Roman" w:cs="Times New Roman"/>
          <w:i/>
          <w:color w:val="000000"/>
          <w:sz w:val="24"/>
          <w:szCs w:val="24"/>
        </w:rPr>
        <w:t xml:space="preserve"> </w:t>
      </w:r>
      <w:r w:rsidRPr="00591D99">
        <w:rPr>
          <w:rFonts w:ascii="Times New Roman" w:hAnsi="Times New Roman" w:cs="Times New Roman"/>
          <w:color w:val="000000"/>
          <w:sz w:val="24"/>
          <w:szCs w:val="24"/>
        </w:rPr>
        <w:t>saskaņā ar Protokola 2.</w:t>
      </w:r>
      <w:r w:rsidR="007671AD" w:rsidRPr="00591D99">
        <w:rPr>
          <w:rFonts w:ascii="Times New Roman" w:hAnsi="Times New Roman" w:cs="Times New Roman"/>
          <w:color w:val="000000"/>
          <w:sz w:val="24"/>
          <w:szCs w:val="24"/>
        </w:rPr>
        <w:t>pantā noteikt</w:t>
      </w:r>
      <w:r w:rsidRPr="00591D99">
        <w:rPr>
          <w:rFonts w:ascii="Times New Roman" w:hAnsi="Times New Roman" w:cs="Times New Roman"/>
          <w:color w:val="000000"/>
          <w:sz w:val="24"/>
          <w:szCs w:val="24"/>
        </w:rPr>
        <w:t>o</w:t>
      </w:r>
      <w:r w:rsidR="007671AD" w:rsidRPr="00591D99">
        <w:rPr>
          <w:rFonts w:ascii="Times New Roman" w:hAnsi="Times New Roman" w:cs="Times New Roman"/>
          <w:color w:val="000000"/>
          <w:sz w:val="24"/>
          <w:szCs w:val="24"/>
        </w:rPr>
        <w:t xml:space="preserve"> nozīmē</w:t>
      </w:r>
      <w:r w:rsidRPr="00591D99">
        <w:rPr>
          <w:rFonts w:ascii="Times New Roman" w:hAnsi="Times New Roman" w:cs="Times New Roman"/>
          <w:color w:val="000000"/>
          <w:sz w:val="24"/>
          <w:szCs w:val="24"/>
        </w:rPr>
        <w:t>, ka "</w:t>
      </w:r>
      <w:r w:rsidR="007671AD" w:rsidRPr="00591D99">
        <w:rPr>
          <w:rFonts w:ascii="Times New Roman" w:hAnsi="Times New Roman" w:cs="Times New Roman"/>
          <w:color w:val="000000"/>
          <w:sz w:val="24"/>
          <w:szCs w:val="24"/>
        </w:rPr>
        <w:t xml:space="preserve">novērtējuma brīdī uz dalībvalsti neattiecas atbilstīgi </w:t>
      </w:r>
      <w:r w:rsidR="001F4855">
        <w:rPr>
          <w:rFonts w:ascii="Times New Roman" w:hAnsi="Times New Roman" w:cs="Times New Roman"/>
          <w:color w:val="000000"/>
          <w:sz w:val="24"/>
          <w:szCs w:val="24"/>
        </w:rPr>
        <w:t>[</w:t>
      </w:r>
      <w:r w:rsidR="007671AD" w:rsidRPr="00591D99">
        <w:rPr>
          <w:rFonts w:ascii="Times New Roman" w:hAnsi="Times New Roman" w:cs="Times New Roman"/>
          <w:color w:val="000000"/>
          <w:sz w:val="24"/>
          <w:szCs w:val="24"/>
        </w:rPr>
        <w:t>Līguma</w:t>
      </w:r>
      <w:r w:rsidR="001F4855">
        <w:rPr>
          <w:rFonts w:ascii="Times New Roman" w:hAnsi="Times New Roman" w:cs="Times New Roman"/>
          <w:color w:val="000000"/>
          <w:sz w:val="24"/>
          <w:szCs w:val="24"/>
        </w:rPr>
        <w:t>]</w:t>
      </w:r>
      <w:r w:rsidR="007671AD" w:rsidRPr="00591D99">
        <w:rPr>
          <w:rFonts w:ascii="Times New Roman" w:hAnsi="Times New Roman" w:cs="Times New Roman"/>
          <w:color w:val="000000"/>
          <w:sz w:val="24"/>
          <w:szCs w:val="24"/>
        </w:rPr>
        <w:t xml:space="preserve"> 126.panta 6.punktam pieņemt</w:t>
      </w:r>
      <w:r w:rsidR="0094171B">
        <w:rPr>
          <w:rFonts w:ascii="Times New Roman" w:hAnsi="Times New Roman" w:cs="Times New Roman"/>
          <w:color w:val="000000"/>
          <w:sz w:val="24"/>
          <w:szCs w:val="24"/>
        </w:rPr>
        <w:t>ai</w:t>
      </w:r>
      <w:r w:rsidR="007671AD" w:rsidRPr="00591D99">
        <w:rPr>
          <w:rFonts w:ascii="Times New Roman" w:hAnsi="Times New Roman" w:cs="Times New Roman"/>
          <w:color w:val="000000"/>
          <w:sz w:val="24"/>
          <w:szCs w:val="24"/>
        </w:rPr>
        <w:t xml:space="preserve">s </w:t>
      </w:r>
      <w:r w:rsidR="001F4855">
        <w:rPr>
          <w:rFonts w:ascii="Times New Roman" w:hAnsi="Times New Roman" w:cs="Times New Roman"/>
          <w:color w:val="000000"/>
          <w:sz w:val="24"/>
          <w:szCs w:val="24"/>
        </w:rPr>
        <w:t xml:space="preserve">[Eiropas Savienības] </w:t>
      </w:r>
      <w:r w:rsidR="007671AD" w:rsidRPr="00591D99">
        <w:rPr>
          <w:rFonts w:ascii="Times New Roman" w:hAnsi="Times New Roman" w:cs="Times New Roman"/>
          <w:color w:val="000000"/>
          <w:sz w:val="24"/>
          <w:szCs w:val="24"/>
        </w:rPr>
        <w:t>Padomes lēmums par pārmērīgu budžeta deficītu</w:t>
      </w:r>
      <w:r w:rsidRPr="00591D99">
        <w:rPr>
          <w:rFonts w:ascii="Times New Roman" w:hAnsi="Times New Roman" w:cs="Times New Roman"/>
          <w:color w:val="000000"/>
          <w:sz w:val="24"/>
          <w:szCs w:val="24"/>
        </w:rPr>
        <w:t>"</w:t>
      </w:r>
      <w:r w:rsidR="007671AD" w:rsidRPr="00591D99">
        <w:rPr>
          <w:rFonts w:ascii="Times New Roman" w:hAnsi="Times New Roman" w:cs="Times New Roman"/>
          <w:color w:val="000000"/>
          <w:sz w:val="24"/>
          <w:szCs w:val="24"/>
        </w:rPr>
        <w:t>.</w:t>
      </w:r>
      <w:r w:rsidR="007671AD" w:rsidRPr="007671AD">
        <w:rPr>
          <w:rFonts w:ascii="Times New Roman" w:hAnsi="Times New Roman" w:cs="Times New Roman"/>
          <w:color w:val="000000"/>
          <w:sz w:val="24"/>
          <w:szCs w:val="24"/>
        </w:rPr>
        <w:t xml:space="preserve"> </w:t>
      </w:r>
    </w:p>
    <w:p w:rsidR="00591D99" w:rsidRDefault="00591D99" w:rsidP="007601FB">
      <w:pPr>
        <w:spacing w:after="0" w:line="240" w:lineRule="auto"/>
        <w:jc w:val="both"/>
        <w:rPr>
          <w:rFonts w:ascii="Times New Roman" w:hAnsi="Times New Roman" w:cs="Times New Roman"/>
          <w:color w:val="000000"/>
          <w:sz w:val="24"/>
          <w:szCs w:val="24"/>
        </w:rPr>
      </w:pPr>
    </w:p>
    <w:p w:rsidR="00591D99" w:rsidRPr="00591D99" w:rsidRDefault="00591D99"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 126.</w:t>
      </w:r>
      <w:r w:rsidRPr="00591D99">
        <w:rPr>
          <w:rFonts w:ascii="Times New Roman" w:hAnsi="Times New Roman" w:cs="Times New Roman"/>
          <w:color w:val="000000"/>
          <w:sz w:val="24"/>
          <w:szCs w:val="24"/>
        </w:rPr>
        <w:t>pantā noteikta pārmērīga budžeta deﬁcīta novērš</w:t>
      </w:r>
      <w:r>
        <w:rPr>
          <w:rFonts w:ascii="Times New Roman" w:hAnsi="Times New Roman" w:cs="Times New Roman"/>
          <w:color w:val="000000"/>
          <w:sz w:val="24"/>
          <w:szCs w:val="24"/>
        </w:rPr>
        <w:t>anas procedūra. Saskaņā ar 126.panta 2. un 3.</w:t>
      </w:r>
      <w:r w:rsidRPr="00591D99">
        <w:rPr>
          <w:rFonts w:ascii="Times New Roman" w:hAnsi="Times New Roman" w:cs="Times New Roman"/>
          <w:color w:val="000000"/>
          <w:sz w:val="24"/>
          <w:szCs w:val="24"/>
        </w:rPr>
        <w:t xml:space="preserve">punktu </w:t>
      </w:r>
      <w:r w:rsidR="003C7025">
        <w:rPr>
          <w:rFonts w:ascii="Times New Roman" w:hAnsi="Times New Roman" w:cs="Times New Roman"/>
          <w:color w:val="000000"/>
          <w:sz w:val="24"/>
          <w:szCs w:val="24"/>
        </w:rPr>
        <w:t>EK</w:t>
      </w:r>
      <w:r w:rsidRPr="00591D99">
        <w:rPr>
          <w:rFonts w:ascii="Times New Roman" w:hAnsi="Times New Roman" w:cs="Times New Roman"/>
          <w:color w:val="000000"/>
          <w:sz w:val="24"/>
          <w:szCs w:val="24"/>
        </w:rPr>
        <w:t xml:space="preserve"> sagatavo ziņojumu, ja ES dalībvalsts neizpilda prasības attiecībā uz ﬁskālo disciplīnu, jo īpaši, ja:</w:t>
      </w:r>
    </w:p>
    <w:p w:rsidR="00591D99" w:rsidRPr="00591D99" w:rsidRDefault="00591D99" w:rsidP="00D77285">
      <w:pPr>
        <w:numPr>
          <w:ilvl w:val="0"/>
          <w:numId w:val="9"/>
        </w:numPr>
        <w:spacing w:after="0" w:line="240" w:lineRule="auto"/>
        <w:jc w:val="both"/>
        <w:rPr>
          <w:rFonts w:ascii="Times New Roman" w:hAnsi="Times New Roman" w:cs="Times New Roman"/>
          <w:color w:val="000000"/>
          <w:sz w:val="24"/>
          <w:szCs w:val="24"/>
        </w:rPr>
      </w:pPr>
      <w:r w:rsidRPr="00591D99">
        <w:rPr>
          <w:rFonts w:ascii="Times New Roman" w:hAnsi="Times New Roman" w:cs="Times New Roman"/>
          <w:color w:val="000000"/>
          <w:sz w:val="24"/>
          <w:szCs w:val="24"/>
        </w:rPr>
        <w:t xml:space="preserve">plānotā vai reālā valdības budžeta deficīta attiecība pret </w:t>
      </w:r>
      <w:r>
        <w:rPr>
          <w:rFonts w:ascii="Times New Roman" w:hAnsi="Times New Roman" w:cs="Times New Roman"/>
          <w:color w:val="000000"/>
          <w:sz w:val="24"/>
          <w:szCs w:val="24"/>
        </w:rPr>
        <w:t xml:space="preserve">iekšzemes kopproduktu (turpmāk – </w:t>
      </w:r>
      <w:r w:rsidRPr="00591D99">
        <w:rPr>
          <w:rFonts w:ascii="Times New Roman" w:hAnsi="Times New Roman" w:cs="Times New Roman"/>
          <w:color w:val="000000"/>
          <w:sz w:val="24"/>
          <w:szCs w:val="24"/>
        </w:rPr>
        <w:t>IKP</w:t>
      </w:r>
      <w:r>
        <w:rPr>
          <w:rFonts w:ascii="Times New Roman" w:hAnsi="Times New Roman" w:cs="Times New Roman"/>
          <w:color w:val="000000"/>
          <w:sz w:val="24"/>
          <w:szCs w:val="24"/>
        </w:rPr>
        <w:t>)</w:t>
      </w:r>
      <w:r w:rsidRPr="00591D99">
        <w:rPr>
          <w:rFonts w:ascii="Times New Roman" w:hAnsi="Times New Roman" w:cs="Times New Roman"/>
          <w:color w:val="000000"/>
          <w:sz w:val="24"/>
          <w:szCs w:val="24"/>
        </w:rPr>
        <w:t xml:space="preserve"> pārsniedz atsauces vērtību (kas Protokolā par pārmērīga budžeta deficīta novēršanas procedūru noteikta kā 3% no IKP), izņemot gadījumus, kad: </w:t>
      </w:r>
    </w:p>
    <w:p w:rsidR="00591D99" w:rsidRPr="00591D99" w:rsidRDefault="00591D99" w:rsidP="00D77285">
      <w:pPr>
        <w:numPr>
          <w:ilvl w:val="1"/>
          <w:numId w:val="10"/>
        </w:numPr>
        <w:spacing w:after="0" w:line="240" w:lineRule="auto"/>
        <w:jc w:val="both"/>
        <w:rPr>
          <w:rFonts w:ascii="Times New Roman" w:hAnsi="Times New Roman" w:cs="Times New Roman"/>
          <w:color w:val="000000"/>
          <w:sz w:val="24"/>
          <w:szCs w:val="24"/>
        </w:rPr>
      </w:pPr>
      <w:r w:rsidRPr="00591D99">
        <w:rPr>
          <w:rFonts w:ascii="Times New Roman" w:hAnsi="Times New Roman" w:cs="Times New Roman"/>
          <w:color w:val="000000"/>
          <w:sz w:val="24"/>
          <w:szCs w:val="24"/>
        </w:rPr>
        <w:t>šī attiecība ir būtiski un pastāvīgi pazeminājusies un sasniegusi atsauces vērtīb</w:t>
      </w:r>
      <w:r w:rsidRPr="0094171B">
        <w:rPr>
          <w:rFonts w:ascii="Times New Roman" w:hAnsi="Times New Roman" w:cs="Times New Roman"/>
          <w:color w:val="000000"/>
          <w:sz w:val="24"/>
          <w:szCs w:val="24"/>
        </w:rPr>
        <w:t>ai</w:t>
      </w:r>
      <w:r w:rsidRPr="00591D99">
        <w:rPr>
          <w:rFonts w:ascii="Times New Roman" w:hAnsi="Times New Roman" w:cs="Times New Roman"/>
          <w:color w:val="000000"/>
          <w:sz w:val="24"/>
          <w:szCs w:val="24"/>
        </w:rPr>
        <w:t xml:space="preserve"> tuvu līmeni, </w:t>
      </w:r>
    </w:p>
    <w:p w:rsidR="00591D99" w:rsidRPr="00591D99" w:rsidRDefault="00591D99" w:rsidP="00D77285">
      <w:pPr>
        <w:numPr>
          <w:ilvl w:val="1"/>
          <w:numId w:val="10"/>
        </w:numPr>
        <w:spacing w:after="0" w:line="240" w:lineRule="auto"/>
        <w:jc w:val="both"/>
        <w:rPr>
          <w:rFonts w:ascii="Times New Roman" w:hAnsi="Times New Roman" w:cs="Times New Roman"/>
          <w:color w:val="000000"/>
          <w:sz w:val="24"/>
          <w:szCs w:val="24"/>
        </w:rPr>
      </w:pPr>
      <w:r w:rsidRPr="00591D99">
        <w:rPr>
          <w:rFonts w:ascii="Times New Roman" w:hAnsi="Times New Roman" w:cs="Times New Roman"/>
          <w:color w:val="000000"/>
          <w:sz w:val="24"/>
          <w:szCs w:val="24"/>
        </w:rPr>
        <w:t xml:space="preserve">vai arī atsauces vērtība ir pārsniegta tikai izņēmuma kārtā un uz laiku un šī attiecība joprojām ir tuva atsauces vērtībai; </w:t>
      </w:r>
    </w:p>
    <w:p w:rsidR="00591D99" w:rsidRPr="00591D99" w:rsidRDefault="00591D99" w:rsidP="00D77285">
      <w:pPr>
        <w:numPr>
          <w:ilvl w:val="0"/>
          <w:numId w:val="9"/>
        </w:numPr>
        <w:spacing w:after="0" w:line="240" w:lineRule="auto"/>
        <w:jc w:val="both"/>
        <w:rPr>
          <w:rFonts w:ascii="Times New Roman" w:hAnsi="Times New Roman" w:cs="Times New Roman"/>
          <w:color w:val="000000"/>
          <w:sz w:val="24"/>
          <w:szCs w:val="24"/>
        </w:rPr>
      </w:pPr>
      <w:r w:rsidRPr="00591D99">
        <w:rPr>
          <w:rFonts w:ascii="Times New Roman" w:hAnsi="Times New Roman" w:cs="Times New Roman"/>
          <w:color w:val="000000"/>
          <w:sz w:val="24"/>
          <w:szCs w:val="24"/>
        </w:rPr>
        <w:t xml:space="preserve">valdības parāda attiecība pret </w:t>
      </w:r>
      <w:r>
        <w:rPr>
          <w:rFonts w:ascii="Times New Roman" w:hAnsi="Times New Roman" w:cs="Times New Roman"/>
          <w:color w:val="000000"/>
          <w:sz w:val="24"/>
          <w:szCs w:val="24"/>
        </w:rPr>
        <w:t>IKP</w:t>
      </w:r>
      <w:r w:rsidRPr="00591D99">
        <w:rPr>
          <w:rFonts w:ascii="Times New Roman" w:hAnsi="Times New Roman" w:cs="Times New Roman"/>
          <w:color w:val="000000"/>
          <w:sz w:val="24"/>
          <w:szCs w:val="24"/>
        </w:rPr>
        <w:t xml:space="preserve"> pārsniedz atsauces vērtību (kas Protokolā par pārmērīga budžeta deficīta novēršanas procedūru noteikta 60</w:t>
      </w:r>
      <w:r w:rsidR="00B770A8">
        <w:rPr>
          <w:rFonts w:ascii="Times New Roman" w:hAnsi="Times New Roman" w:cs="Times New Roman"/>
          <w:color w:val="000000"/>
          <w:sz w:val="24"/>
          <w:szCs w:val="24"/>
        </w:rPr>
        <w:t> </w:t>
      </w:r>
      <w:r w:rsidRPr="00591D99">
        <w:rPr>
          <w:rFonts w:ascii="Times New Roman" w:hAnsi="Times New Roman" w:cs="Times New Roman"/>
          <w:color w:val="000000"/>
          <w:sz w:val="24"/>
          <w:szCs w:val="24"/>
        </w:rPr>
        <w:t>% no IKP), ja vien šī attiecība pietiekami strauji nesamazinās un netuvinās atsauces vērtībai.</w:t>
      </w:r>
    </w:p>
    <w:p w:rsidR="008B7E1C" w:rsidRDefault="008B7E1C" w:rsidP="007601FB">
      <w:pPr>
        <w:spacing w:after="0" w:line="240" w:lineRule="auto"/>
        <w:jc w:val="both"/>
        <w:rPr>
          <w:rFonts w:ascii="Times New Roman" w:hAnsi="Times New Roman" w:cs="Times New Roman"/>
          <w:color w:val="000000"/>
          <w:sz w:val="24"/>
          <w:szCs w:val="24"/>
        </w:rPr>
      </w:pPr>
    </w:p>
    <w:p w:rsidR="008B7E1C" w:rsidRPr="008B7E1C" w:rsidRDefault="008B7E1C" w:rsidP="007601FB">
      <w:pPr>
        <w:spacing w:after="0" w:line="240" w:lineRule="auto"/>
        <w:jc w:val="both"/>
        <w:rPr>
          <w:rFonts w:ascii="Times New Roman" w:hAnsi="Times New Roman" w:cs="Times New Roman"/>
          <w:color w:val="000000"/>
          <w:sz w:val="24"/>
          <w:szCs w:val="24"/>
        </w:rPr>
      </w:pPr>
      <w:r w:rsidRPr="008B7E1C">
        <w:rPr>
          <w:rFonts w:ascii="Times New Roman" w:hAnsi="Times New Roman" w:cs="Times New Roman"/>
          <w:color w:val="000000"/>
          <w:sz w:val="24"/>
          <w:szCs w:val="24"/>
        </w:rPr>
        <w:t xml:space="preserve">Tātad </w:t>
      </w:r>
      <w:r>
        <w:rPr>
          <w:rFonts w:ascii="Times New Roman" w:hAnsi="Times New Roman" w:cs="Times New Roman"/>
          <w:color w:val="000000"/>
          <w:sz w:val="24"/>
          <w:szCs w:val="24"/>
        </w:rPr>
        <w:t>saskaņā ar šo kritēriju valsts budžetā deficītam</w:t>
      </w:r>
      <w:r w:rsidRPr="008B7E1C">
        <w:rPr>
          <w:rFonts w:ascii="Times New Roman" w:hAnsi="Times New Roman" w:cs="Times New Roman"/>
          <w:color w:val="000000"/>
          <w:sz w:val="24"/>
          <w:szCs w:val="24"/>
        </w:rPr>
        <w:t xml:space="preserve"> </w:t>
      </w:r>
      <w:r w:rsidR="0094171B">
        <w:rPr>
          <w:rFonts w:ascii="Times New Roman" w:hAnsi="Times New Roman" w:cs="Times New Roman"/>
          <w:color w:val="000000"/>
          <w:sz w:val="24"/>
          <w:szCs w:val="24"/>
        </w:rPr>
        <w:t>ir</w:t>
      </w:r>
      <w:r w:rsidR="0094171B" w:rsidRPr="008B7E1C">
        <w:rPr>
          <w:rFonts w:ascii="Times New Roman" w:hAnsi="Times New Roman" w:cs="Times New Roman"/>
          <w:color w:val="000000"/>
          <w:sz w:val="24"/>
          <w:szCs w:val="24"/>
        </w:rPr>
        <w:t xml:space="preserve"> </w:t>
      </w:r>
      <w:r w:rsidRPr="008B7E1C">
        <w:rPr>
          <w:rFonts w:ascii="Times New Roman" w:hAnsi="Times New Roman" w:cs="Times New Roman"/>
          <w:color w:val="000000"/>
          <w:sz w:val="24"/>
          <w:szCs w:val="24"/>
        </w:rPr>
        <w:t xml:space="preserve">jābūt zemākam par 3 % no </w:t>
      </w:r>
      <w:r w:rsidR="00B770A8">
        <w:rPr>
          <w:rFonts w:ascii="Times New Roman" w:hAnsi="Times New Roman" w:cs="Times New Roman"/>
          <w:color w:val="000000"/>
          <w:sz w:val="24"/>
          <w:szCs w:val="24"/>
        </w:rPr>
        <w:t>IKP un valsts kopējam parādam jābūt zemākam par 60 % no IKP.</w:t>
      </w:r>
    </w:p>
    <w:p w:rsidR="00591D99" w:rsidRDefault="00591D99" w:rsidP="007601FB">
      <w:pPr>
        <w:spacing w:after="0" w:line="240" w:lineRule="auto"/>
        <w:jc w:val="both"/>
        <w:rPr>
          <w:rFonts w:ascii="Times New Roman" w:hAnsi="Times New Roman" w:cs="Times New Roman"/>
          <w:color w:val="000000"/>
          <w:sz w:val="24"/>
          <w:szCs w:val="24"/>
        </w:rPr>
      </w:pPr>
    </w:p>
    <w:p w:rsidR="00591D99" w:rsidRPr="008B7E1C" w:rsidRDefault="00D57296" w:rsidP="00D77285">
      <w:pPr>
        <w:pStyle w:val="ListParagraph"/>
        <w:numPr>
          <w:ilvl w:val="0"/>
          <w:numId w:val="11"/>
        </w:numPr>
        <w:spacing w:after="0" w:line="240" w:lineRule="auto"/>
        <w:jc w:val="both"/>
        <w:rPr>
          <w:rFonts w:ascii="Times New Roman" w:hAnsi="Times New Roman" w:cs="Times New Roman"/>
          <w:color w:val="000000"/>
          <w:sz w:val="24"/>
          <w:szCs w:val="24"/>
        </w:rPr>
      </w:pPr>
      <w:r w:rsidRPr="008B7E1C">
        <w:rPr>
          <w:rFonts w:ascii="Times New Roman" w:hAnsi="Times New Roman" w:cs="Times New Roman"/>
          <w:color w:val="000000"/>
          <w:sz w:val="24"/>
          <w:szCs w:val="24"/>
        </w:rPr>
        <w:t>Valūtas kursa stabilitāte</w:t>
      </w:r>
      <w:r w:rsidR="00F36CC3" w:rsidRPr="008B7E1C">
        <w:rPr>
          <w:rFonts w:ascii="Times New Roman" w:hAnsi="Times New Roman" w:cs="Times New Roman"/>
          <w:color w:val="000000"/>
          <w:sz w:val="24"/>
          <w:szCs w:val="24"/>
        </w:rPr>
        <w:t>s kritērijs</w:t>
      </w:r>
    </w:p>
    <w:p w:rsidR="00D57296" w:rsidRPr="007671AD" w:rsidRDefault="00D57296" w:rsidP="007601FB">
      <w:pPr>
        <w:spacing w:after="0" w:line="240" w:lineRule="auto"/>
        <w:jc w:val="both"/>
        <w:rPr>
          <w:rFonts w:ascii="Times New Roman" w:hAnsi="Times New Roman" w:cs="Times New Roman"/>
          <w:color w:val="000000"/>
          <w:sz w:val="24"/>
          <w:szCs w:val="24"/>
        </w:rPr>
      </w:pPr>
    </w:p>
    <w:p w:rsidR="007671AD" w:rsidRDefault="00D57296"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w:t>
      </w:r>
      <w:r w:rsidR="007671AD" w:rsidRPr="007671AD">
        <w:rPr>
          <w:rFonts w:ascii="Times New Roman" w:hAnsi="Times New Roman" w:cs="Times New Roman"/>
          <w:color w:val="000000"/>
          <w:sz w:val="24"/>
          <w:szCs w:val="24"/>
        </w:rPr>
        <w:t xml:space="preserve"> 140.panta 1.punkta trešajā ievilkumā </w:t>
      </w:r>
      <w:r>
        <w:rPr>
          <w:rFonts w:ascii="Times New Roman" w:hAnsi="Times New Roman" w:cs="Times New Roman"/>
          <w:color w:val="000000"/>
          <w:sz w:val="24"/>
          <w:szCs w:val="24"/>
        </w:rPr>
        <w:t xml:space="preserve">minētais </w:t>
      </w:r>
      <w:r w:rsidR="007671AD" w:rsidRPr="00D57296">
        <w:rPr>
          <w:rFonts w:ascii="Times New Roman" w:hAnsi="Times New Roman" w:cs="Times New Roman"/>
          <w:color w:val="000000"/>
          <w:sz w:val="24"/>
          <w:szCs w:val="24"/>
        </w:rPr>
        <w:t xml:space="preserve">valūtas kursa </w:t>
      </w:r>
      <w:r w:rsidRPr="00D57296">
        <w:rPr>
          <w:rFonts w:ascii="Times New Roman" w:hAnsi="Times New Roman" w:cs="Times New Roman"/>
          <w:color w:val="000000"/>
          <w:sz w:val="24"/>
          <w:szCs w:val="24"/>
        </w:rPr>
        <w:t xml:space="preserve">stabilitātes </w:t>
      </w:r>
      <w:r w:rsidR="007671AD" w:rsidRPr="00D57296">
        <w:rPr>
          <w:rFonts w:ascii="Times New Roman" w:hAnsi="Times New Roman" w:cs="Times New Roman"/>
          <w:color w:val="000000"/>
          <w:sz w:val="24"/>
          <w:szCs w:val="24"/>
        </w:rPr>
        <w:t>kritērijs</w:t>
      </w:r>
      <w:r w:rsidR="007671AD" w:rsidRPr="007671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saskaņā ar </w:t>
      </w:r>
      <w:r w:rsidR="007671AD" w:rsidRPr="007671AD">
        <w:rPr>
          <w:rFonts w:ascii="Times New Roman" w:hAnsi="Times New Roman" w:cs="Times New Roman"/>
          <w:color w:val="000000"/>
          <w:sz w:val="24"/>
          <w:szCs w:val="24"/>
        </w:rPr>
        <w:t xml:space="preserve">Protokola </w:t>
      </w:r>
      <w:r>
        <w:rPr>
          <w:rFonts w:ascii="Times New Roman" w:hAnsi="Times New Roman" w:cs="Times New Roman"/>
          <w:color w:val="000000"/>
          <w:sz w:val="24"/>
          <w:szCs w:val="24"/>
        </w:rPr>
        <w:t>3.</w:t>
      </w:r>
      <w:r w:rsidR="007671AD" w:rsidRPr="007671AD">
        <w:rPr>
          <w:rFonts w:ascii="Times New Roman" w:hAnsi="Times New Roman" w:cs="Times New Roman"/>
          <w:color w:val="000000"/>
          <w:sz w:val="24"/>
          <w:szCs w:val="24"/>
        </w:rPr>
        <w:t>pantā noteikt</w:t>
      </w:r>
      <w:r>
        <w:rPr>
          <w:rFonts w:ascii="Times New Roman" w:hAnsi="Times New Roman" w:cs="Times New Roman"/>
          <w:color w:val="000000"/>
          <w:sz w:val="24"/>
          <w:szCs w:val="24"/>
        </w:rPr>
        <w:t>o nozīmē</w:t>
      </w:r>
      <w:r w:rsidR="007671AD" w:rsidRPr="007671AD">
        <w:rPr>
          <w:rFonts w:ascii="Times New Roman" w:hAnsi="Times New Roman" w:cs="Times New Roman"/>
          <w:color w:val="000000"/>
          <w:sz w:val="24"/>
          <w:szCs w:val="24"/>
        </w:rPr>
        <w:t xml:space="preserve">, ka </w:t>
      </w:r>
      <w:r w:rsidRPr="00D57296">
        <w:rPr>
          <w:rFonts w:ascii="Times New Roman" w:hAnsi="Times New Roman" w:cs="Times New Roman"/>
          <w:color w:val="000000"/>
          <w:sz w:val="24"/>
          <w:szCs w:val="24"/>
        </w:rPr>
        <w:t>"</w:t>
      </w:r>
      <w:r w:rsidR="007671AD" w:rsidRPr="00D57296">
        <w:rPr>
          <w:rFonts w:ascii="Times New Roman" w:hAnsi="Times New Roman" w:cs="Times New Roman"/>
          <w:color w:val="000000"/>
          <w:sz w:val="24"/>
          <w:szCs w:val="24"/>
        </w:rPr>
        <w:t xml:space="preserve">dalībvalsts vismaz divus gadus pirms novērtējuma bez lielām grūtībām ir ievērojusi normālās valūtas kursa svārstību robežas, kas paredzētas Eiropas monetārās sistēmas valūtas </w:t>
      </w:r>
      <w:r w:rsidR="001F0DC3">
        <w:rPr>
          <w:rFonts w:ascii="Times New Roman" w:hAnsi="Times New Roman" w:cs="Times New Roman"/>
          <w:color w:val="000000"/>
          <w:sz w:val="24"/>
          <w:szCs w:val="24"/>
        </w:rPr>
        <w:t>kursa</w:t>
      </w:r>
      <w:r w:rsidR="001F0DC3" w:rsidRPr="00D57296">
        <w:rPr>
          <w:rFonts w:ascii="Times New Roman" w:hAnsi="Times New Roman" w:cs="Times New Roman"/>
          <w:color w:val="000000"/>
          <w:sz w:val="24"/>
          <w:szCs w:val="24"/>
        </w:rPr>
        <w:t xml:space="preserve"> </w:t>
      </w:r>
      <w:r w:rsidR="007671AD" w:rsidRPr="00D57296">
        <w:rPr>
          <w:rFonts w:ascii="Times New Roman" w:hAnsi="Times New Roman" w:cs="Times New Roman"/>
          <w:color w:val="000000"/>
          <w:sz w:val="24"/>
          <w:szCs w:val="24"/>
        </w:rPr>
        <w:t xml:space="preserve">mehānismā. Proti, dalībvalsts šajā laikposmā pēc savas iniciatīvas nav devalvējusi savas valūtas </w:t>
      </w:r>
      <w:r w:rsidR="001F0DC3">
        <w:rPr>
          <w:rFonts w:ascii="Times New Roman" w:hAnsi="Times New Roman" w:cs="Times New Roman"/>
          <w:color w:val="000000"/>
          <w:sz w:val="24"/>
          <w:szCs w:val="24"/>
        </w:rPr>
        <w:t>divpusējo centrālo kursu</w:t>
      </w:r>
      <w:r w:rsidR="007671AD" w:rsidRPr="00D57296">
        <w:rPr>
          <w:rFonts w:ascii="Times New Roman" w:hAnsi="Times New Roman" w:cs="Times New Roman"/>
          <w:color w:val="000000"/>
          <w:sz w:val="24"/>
          <w:szCs w:val="24"/>
        </w:rPr>
        <w:t xml:space="preserve"> attiecībā pret euro</w:t>
      </w:r>
      <w:r w:rsidRPr="00D57296">
        <w:rPr>
          <w:rFonts w:ascii="Times New Roman" w:hAnsi="Times New Roman" w:cs="Times New Roman"/>
          <w:color w:val="000000"/>
          <w:sz w:val="24"/>
          <w:szCs w:val="24"/>
        </w:rPr>
        <w:t>"</w:t>
      </w:r>
      <w:r w:rsidR="007671AD" w:rsidRPr="00D572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57296" w:rsidRDefault="00D57296" w:rsidP="007601FB">
      <w:pPr>
        <w:spacing w:after="0" w:line="240" w:lineRule="auto"/>
        <w:jc w:val="both"/>
        <w:rPr>
          <w:rFonts w:ascii="Times New Roman" w:hAnsi="Times New Roman" w:cs="Times New Roman"/>
          <w:color w:val="000000"/>
          <w:sz w:val="24"/>
          <w:szCs w:val="24"/>
        </w:rPr>
      </w:pPr>
    </w:p>
    <w:p w:rsidR="00D57296" w:rsidRDefault="001F0DC3" w:rsidP="001F0DC3">
      <w:pPr>
        <w:autoSpaceDE w:val="0"/>
        <w:autoSpaceDN w:val="0"/>
        <w:adjustRightInd w:val="0"/>
        <w:spacing w:after="0" w:line="240" w:lineRule="auto"/>
        <w:jc w:val="both"/>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Novērtējot valūtas kursa stabilitāti attiecībā pret e</w:t>
      </w:r>
      <w:r w:rsidR="0007243D">
        <w:rPr>
          <w:rFonts w:ascii="Times New Roman" w:eastAsia="Times New Roman" w:hAnsi="Times New Roman" w:cs="Times New Roman"/>
          <w:sz w:val="24"/>
          <w:szCs w:val="24"/>
        </w:rPr>
        <w:t>i</w:t>
      </w:r>
      <w:r w:rsidRPr="001F0DC3">
        <w:rPr>
          <w:rFonts w:ascii="Times New Roman" w:eastAsia="Times New Roman" w:hAnsi="Times New Roman" w:cs="Times New Roman"/>
          <w:sz w:val="24"/>
          <w:szCs w:val="24"/>
        </w:rPr>
        <w:t>ro, uzmanība pievērsta tam, vai valūtas</w:t>
      </w:r>
      <w:r>
        <w:rPr>
          <w:rFonts w:ascii="Times New Roman" w:eastAsia="Times New Roman" w:hAnsi="Times New Roman" w:cs="Times New Roman"/>
          <w:sz w:val="24"/>
          <w:szCs w:val="24"/>
        </w:rPr>
        <w:t xml:space="preserve"> </w:t>
      </w:r>
      <w:r w:rsidRPr="001F0DC3">
        <w:rPr>
          <w:rFonts w:ascii="Times New Roman" w:eastAsia="Times New Roman" w:hAnsi="Times New Roman" w:cs="Times New Roman"/>
          <w:sz w:val="24"/>
          <w:szCs w:val="24"/>
        </w:rPr>
        <w:t>kurss</w:t>
      </w:r>
      <w:r>
        <w:rPr>
          <w:rFonts w:ascii="Times New Roman" w:eastAsia="Times New Roman" w:hAnsi="Times New Roman" w:cs="Times New Roman"/>
          <w:sz w:val="24"/>
          <w:szCs w:val="24"/>
        </w:rPr>
        <w:t xml:space="preserve"> </w:t>
      </w:r>
      <w:r w:rsidRPr="001F0DC3">
        <w:rPr>
          <w:rFonts w:ascii="Times New Roman" w:eastAsia="Times New Roman" w:hAnsi="Times New Roman" w:cs="Times New Roman"/>
          <w:sz w:val="24"/>
          <w:szCs w:val="24"/>
        </w:rPr>
        <w:t>ir tuvs VKM II centrālajam kursam, ņemot vērā arī faktorus, kuri varētu veicināt attiecīgā valūtas</w:t>
      </w:r>
      <w:r>
        <w:rPr>
          <w:rFonts w:ascii="Times New Roman" w:eastAsia="Times New Roman" w:hAnsi="Times New Roman" w:cs="Times New Roman"/>
          <w:sz w:val="24"/>
          <w:szCs w:val="24"/>
        </w:rPr>
        <w:t xml:space="preserve"> </w:t>
      </w:r>
      <w:r w:rsidRPr="001F0DC3">
        <w:rPr>
          <w:rFonts w:ascii="Times New Roman" w:eastAsia="Times New Roman" w:hAnsi="Times New Roman" w:cs="Times New Roman"/>
          <w:sz w:val="24"/>
          <w:szCs w:val="24"/>
        </w:rPr>
        <w:t>kursa kāpumu, kas atbilst iepriekš izmantotajai pieejai. Tāpēc svārstību koridora diapazons</w:t>
      </w:r>
      <w:r>
        <w:rPr>
          <w:rFonts w:ascii="Times New Roman" w:eastAsia="Times New Roman" w:hAnsi="Times New Roman" w:cs="Times New Roman"/>
          <w:sz w:val="24"/>
          <w:szCs w:val="24"/>
        </w:rPr>
        <w:t xml:space="preserve"> </w:t>
      </w:r>
      <w:r w:rsidRPr="001F0DC3">
        <w:rPr>
          <w:rFonts w:ascii="Times New Roman" w:eastAsia="Times New Roman" w:hAnsi="Times New Roman" w:cs="Times New Roman"/>
          <w:sz w:val="24"/>
          <w:szCs w:val="24"/>
        </w:rPr>
        <w:t>VKM II nerada problēmas valūtas kursa stabilitātes kritērija novērtēšanā.</w:t>
      </w:r>
    </w:p>
    <w:p w:rsidR="001F0DC3" w:rsidRPr="001F0DC3" w:rsidRDefault="001F0DC3" w:rsidP="001F0DC3">
      <w:pPr>
        <w:autoSpaceDE w:val="0"/>
        <w:autoSpaceDN w:val="0"/>
        <w:adjustRightInd w:val="0"/>
        <w:spacing w:after="0" w:line="240" w:lineRule="auto"/>
        <w:jc w:val="both"/>
        <w:rPr>
          <w:rFonts w:ascii="Times New Roman" w:hAnsi="Times New Roman" w:cs="Times New Roman"/>
          <w:color w:val="000000"/>
          <w:sz w:val="24"/>
          <w:szCs w:val="24"/>
        </w:rPr>
      </w:pPr>
    </w:p>
    <w:p w:rsidR="001F0DC3" w:rsidRPr="001F0DC3" w:rsidRDefault="001F0DC3" w:rsidP="001F0DC3">
      <w:pPr>
        <w:autoSpaceDE w:val="0"/>
        <w:autoSpaceDN w:val="0"/>
        <w:adjustRightInd w:val="0"/>
        <w:spacing w:after="0" w:line="240" w:lineRule="auto"/>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Turklāt jautājumu par to, vai valstij nav bijušas "nopietnas grūtības", parasti izskata šādi:</w:t>
      </w:r>
    </w:p>
    <w:p w:rsidR="001F0DC3" w:rsidRPr="001F0DC3" w:rsidRDefault="001F0DC3" w:rsidP="001F0DC3">
      <w:pPr>
        <w:autoSpaceDE w:val="0"/>
        <w:autoSpaceDN w:val="0"/>
        <w:adjustRightInd w:val="0"/>
        <w:spacing w:after="0" w:line="240" w:lineRule="auto"/>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1) novērtējot valūtas kursa novirzi no VKM II centrālā kursa attiecībā pret e</w:t>
      </w:r>
      <w:r>
        <w:rPr>
          <w:rFonts w:ascii="Times New Roman" w:eastAsia="Times New Roman" w:hAnsi="Times New Roman" w:cs="Times New Roman"/>
          <w:sz w:val="24"/>
          <w:szCs w:val="24"/>
        </w:rPr>
        <w:t>i</w:t>
      </w:r>
      <w:r w:rsidRPr="001F0DC3">
        <w:rPr>
          <w:rFonts w:ascii="Times New Roman" w:eastAsia="Times New Roman" w:hAnsi="Times New Roman" w:cs="Times New Roman"/>
          <w:sz w:val="24"/>
          <w:szCs w:val="24"/>
        </w:rPr>
        <w:t>ro, 2) izmantojot</w:t>
      </w:r>
    </w:p>
    <w:p w:rsidR="001F0DC3" w:rsidRPr="001F0DC3" w:rsidRDefault="001F0DC3" w:rsidP="001F0DC3">
      <w:pPr>
        <w:autoSpaceDE w:val="0"/>
        <w:autoSpaceDN w:val="0"/>
        <w:adjustRightInd w:val="0"/>
        <w:spacing w:after="0" w:line="240" w:lineRule="auto"/>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rādītājus, piemēram, valūtas kursa svārstības attiecībā pret e</w:t>
      </w:r>
      <w:r>
        <w:rPr>
          <w:rFonts w:ascii="Times New Roman" w:eastAsia="Times New Roman" w:hAnsi="Times New Roman" w:cs="Times New Roman"/>
          <w:sz w:val="24"/>
          <w:szCs w:val="24"/>
        </w:rPr>
        <w:t>i</w:t>
      </w:r>
      <w:r w:rsidRPr="001F0DC3">
        <w:rPr>
          <w:rFonts w:ascii="Times New Roman" w:eastAsia="Times New Roman" w:hAnsi="Times New Roman" w:cs="Times New Roman"/>
          <w:sz w:val="24"/>
          <w:szCs w:val="24"/>
        </w:rPr>
        <w:t xml:space="preserve">ro un to tendenci, kā arī </w:t>
      </w:r>
      <w:r>
        <w:rPr>
          <w:rFonts w:ascii="Times New Roman" w:eastAsia="Times New Roman" w:hAnsi="Times New Roman" w:cs="Times New Roman"/>
          <w:sz w:val="24"/>
          <w:szCs w:val="24"/>
        </w:rPr>
        <w:t>ī</w:t>
      </w:r>
      <w:r w:rsidRPr="001F0DC3">
        <w:rPr>
          <w:rFonts w:ascii="Times New Roman" w:eastAsia="Times New Roman" w:hAnsi="Times New Roman" w:cs="Times New Roman"/>
          <w:sz w:val="24"/>
          <w:szCs w:val="24"/>
        </w:rPr>
        <w:t>stermiņa</w:t>
      </w:r>
    </w:p>
    <w:p w:rsidR="001F0DC3" w:rsidRPr="001F0DC3" w:rsidRDefault="001F0DC3" w:rsidP="001F0DC3">
      <w:pPr>
        <w:autoSpaceDE w:val="0"/>
        <w:autoSpaceDN w:val="0"/>
        <w:adjustRightInd w:val="0"/>
        <w:spacing w:after="0" w:line="240" w:lineRule="auto"/>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procentu likmju starpības attiecībā pret e</w:t>
      </w:r>
      <w:r>
        <w:rPr>
          <w:rFonts w:ascii="Times New Roman" w:eastAsia="Times New Roman" w:hAnsi="Times New Roman" w:cs="Times New Roman"/>
          <w:sz w:val="24"/>
          <w:szCs w:val="24"/>
        </w:rPr>
        <w:t>i</w:t>
      </w:r>
      <w:r w:rsidRPr="001F0DC3">
        <w:rPr>
          <w:rFonts w:ascii="Times New Roman" w:eastAsia="Times New Roman" w:hAnsi="Times New Roman" w:cs="Times New Roman"/>
          <w:sz w:val="24"/>
          <w:szCs w:val="24"/>
        </w:rPr>
        <w:t>ro zonu un to dinamiku, 3) apsverot ārvalstu valūtas intervenču nozīmi un 4) izvērtējot starptautisko finanšu palīdzības programmu nozīmi valūtas</w:t>
      </w:r>
    </w:p>
    <w:p w:rsidR="00D57296" w:rsidRDefault="001F0DC3" w:rsidP="001F0DC3">
      <w:pPr>
        <w:spacing w:after="0" w:line="240" w:lineRule="auto"/>
        <w:jc w:val="both"/>
        <w:rPr>
          <w:rFonts w:ascii="Times New Roman" w:eastAsia="Times New Roman" w:hAnsi="Times New Roman" w:cs="Times New Roman"/>
          <w:sz w:val="24"/>
          <w:szCs w:val="24"/>
        </w:rPr>
      </w:pPr>
      <w:r w:rsidRPr="001F0DC3">
        <w:rPr>
          <w:rFonts w:ascii="Times New Roman" w:eastAsia="Times New Roman" w:hAnsi="Times New Roman" w:cs="Times New Roman"/>
          <w:sz w:val="24"/>
          <w:szCs w:val="24"/>
        </w:rPr>
        <w:t>stabilizēšanā.</w:t>
      </w:r>
    </w:p>
    <w:p w:rsidR="001F0DC3" w:rsidRPr="001F0DC3" w:rsidRDefault="001F0DC3" w:rsidP="001F0DC3">
      <w:pPr>
        <w:spacing w:after="0" w:line="240" w:lineRule="auto"/>
        <w:jc w:val="both"/>
        <w:rPr>
          <w:rFonts w:ascii="Times New Roman" w:hAnsi="Times New Roman" w:cs="Times New Roman"/>
          <w:color w:val="000000"/>
          <w:sz w:val="24"/>
          <w:szCs w:val="24"/>
        </w:rPr>
      </w:pPr>
    </w:p>
    <w:p w:rsidR="00D57296" w:rsidRPr="008B7E1C" w:rsidRDefault="008B7E1C" w:rsidP="00D77285">
      <w:pPr>
        <w:pStyle w:val="ListParagraph"/>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Ilgtermiņa procentu likmju līmeņa kritērijs</w:t>
      </w:r>
    </w:p>
    <w:p w:rsidR="00936B77" w:rsidRPr="007671AD" w:rsidRDefault="00936B77" w:rsidP="007601FB">
      <w:pPr>
        <w:spacing w:after="0" w:line="240" w:lineRule="auto"/>
        <w:jc w:val="both"/>
        <w:rPr>
          <w:rFonts w:ascii="Times New Roman" w:hAnsi="Times New Roman" w:cs="Times New Roman"/>
          <w:color w:val="000000"/>
          <w:sz w:val="24"/>
          <w:szCs w:val="24"/>
        </w:rPr>
      </w:pPr>
    </w:p>
    <w:p w:rsidR="008B7E1C" w:rsidRDefault="008B7E1C"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Līguma 140.panta 1.</w:t>
      </w:r>
      <w:r w:rsidR="007671AD" w:rsidRPr="007671AD">
        <w:rPr>
          <w:rFonts w:ascii="Times New Roman" w:hAnsi="Times New Roman" w:cs="Times New Roman"/>
          <w:color w:val="000000"/>
          <w:sz w:val="24"/>
          <w:szCs w:val="24"/>
        </w:rPr>
        <w:t xml:space="preserve">punkta ceturtajā </w:t>
      </w:r>
      <w:r w:rsidR="007671AD" w:rsidRPr="00771432">
        <w:rPr>
          <w:rFonts w:ascii="Times New Roman" w:hAnsi="Times New Roman" w:cs="Times New Roman"/>
          <w:color w:val="000000"/>
          <w:sz w:val="24"/>
          <w:szCs w:val="24"/>
        </w:rPr>
        <w:t>ievilkumā</w:t>
      </w:r>
      <w:r w:rsidR="007671AD" w:rsidRPr="008B7E1C">
        <w:rPr>
          <w:rFonts w:ascii="Times New Roman" w:hAnsi="Times New Roman" w:cs="Times New Roman"/>
          <w:color w:val="000000"/>
          <w:sz w:val="24"/>
          <w:szCs w:val="24"/>
        </w:rPr>
        <w:t xml:space="preserve"> </w:t>
      </w:r>
      <w:r w:rsidRPr="008B7E1C">
        <w:rPr>
          <w:rFonts w:ascii="Times New Roman" w:hAnsi="Times New Roman" w:cs="Times New Roman"/>
          <w:color w:val="000000"/>
          <w:sz w:val="24"/>
          <w:szCs w:val="24"/>
        </w:rPr>
        <w:t xml:space="preserve">procentu likmju konverģences kritērijs saskaņā ar </w:t>
      </w:r>
      <w:r w:rsidR="007671AD" w:rsidRPr="008B7E1C">
        <w:rPr>
          <w:rFonts w:ascii="Times New Roman" w:hAnsi="Times New Roman" w:cs="Times New Roman"/>
          <w:color w:val="000000"/>
          <w:sz w:val="24"/>
          <w:szCs w:val="24"/>
        </w:rPr>
        <w:t xml:space="preserve">Protokola </w:t>
      </w:r>
      <w:r w:rsidRPr="008B7E1C">
        <w:rPr>
          <w:rFonts w:ascii="Times New Roman" w:hAnsi="Times New Roman" w:cs="Times New Roman"/>
          <w:color w:val="000000"/>
          <w:sz w:val="24"/>
          <w:szCs w:val="24"/>
        </w:rPr>
        <w:t>4.</w:t>
      </w:r>
      <w:r w:rsidR="007671AD" w:rsidRPr="008B7E1C">
        <w:rPr>
          <w:rFonts w:ascii="Times New Roman" w:hAnsi="Times New Roman" w:cs="Times New Roman"/>
          <w:color w:val="000000"/>
          <w:sz w:val="24"/>
          <w:szCs w:val="24"/>
        </w:rPr>
        <w:t>pant</w:t>
      </w:r>
      <w:r w:rsidRPr="008B7E1C">
        <w:rPr>
          <w:rFonts w:ascii="Times New Roman" w:hAnsi="Times New Roman" w:cs="Times New Roman"/>
          <w:color w:val="000000"/>
          <w:sz w:val="24"/>
          <w:szCs w:val="24"/>
        </w:rPr>
        <w:t>ā</w:t>
      </w:r>
      <w:r w:rsidR="007671AD" w:rsidRPr="008B7E1C">
        <w:rPr>
          <w:rFonts w:ascii="Times New Roman" w:hAnsi="Times New Roman" w:cs="Times New Roman"/>
          <w:color w:val="000000"/>
          <w:sz w:val="24"/>
          <w:szCs w:val="24"/>
        </w:rPr>
        <w:t xml:space="preserve"> no</w:t>
      </w:r>
      <w:r w:rsidRPr="008B7E1C">
        <w:rPr>
          <w:rFonts w:ascii="Times New Roman" w:hAnsi="Times New Roman" w:cs="Times New Roman"/>
          <w:color w:val="000000"/>
          <w:sz w:val="24"/>
          <w:szCs w:val="24"/>
        </w:rPr>
        <w:t>teikto nozīmē</w:t>
      </w:r>
      <w:r w:rsidR="007671AD" w:rsidRPr="008B7E1C">
        <w:rPr>
          <w:rFonts w:ascii="Times New Roman" w:hAnsi="Times New Roman" w:cs="Times New Roman"/>
          <w:color w:val="000000"/>
          <w:sz w:val="24"/>
          <w:szCs w:val="24"/>
        </w:rPr>
        <w:t xml:space="preserve">, ka </w:t>
      </w:r>
      <w:r w:rsidRPr="008B7E1C">
        <w:rPr>
          <w:rFonts w:ascii="Times New Roman" w:hAnsi="Times New Roman" w:cs="Times New Roman"/>
          <w:color w:val="000000"/>
          <w:sz w:val="24"/>
          <w:szCs w:val="24"/>
        </w:rPr>
        <w:t>"dalībvalsts vidējā nominālā ilgtermiņa procentu likme, kas pirms novērtējuma novērota vienu gadu, pārsniedz ne vairāk kā par 2 procentu punktiem likmes, augstākais, trijās dalībvalstīs, kur cenu stabilitāte ir vislielākā. Procentu likmes mēra, par pamatu ņemot valdības ilgtermiņa obligācijas vai līdzīgus vērtspapīrus un ņemot vērā to, ka dažādās valstīs tās nosaka dažādi</w:t>
      </w:r>
      <w:r>
        <w:rPr>
          <w:rFonts w:ascii="Times New Roman" w:hAnsi="Times New Roman" w:cs="Times New Roman"/>
          <w:color w:val="000000"/>
          <w:sz w:val="24"/>
          <w:szCs w:val="24"/>
        </w:rPr>
        <w:t>"</w:t>
      </w:r>
      <w:r w:rsidR="003C7025">
        <w:rPr>
          <w:rFonts w:ascii="Times New Roman" w:hAnsi="Times New Roman" w:cs="Times New Roman"/>
          <w:color w:val="000000"/>
          <w:sz w:val="24"/>
          <w:szCs w:val="24"/>
        </w:rPr>
        <w:t>.</w:t>
      </w:r>
    </w:p>
    <w:p w:rsidR="008B7E1C" w:rsidRDefault="008B7E1C" w:rsidP="007601FB">
      <w:pPr>
        <w:spacing w:after="0" w:line="240" w:lineRule="auto"/>
        <w:jc w:val="both"/>
        <w:rPr>
          <w:rFonts w:ascii="Times New Roman" w:hAnsi="Times New Roman" w:cs="Times New Roman"/>
          <w:color w:val="000000"/>
          <w:sz w:val="24"/>
          <w:szCs w:val="24"/>
        </w:rPr>
      </w:pPr>
    </w:p>
    <w:p w:rsidR="008B7E1C" w:rsidRPr="008B7E1C" w:rsidRDefault="00D32D64"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Normā minētā </w:t>
      </w:r>
      <w:r w:rsidR="008B7E1C" w:rsidRPr="008B7E1C">
        <w:rPr>
          <w:rFonts w:ascii="Times New Roman" w:hAnsi="Times New Roman" w:cs="Times New Roman"/>
          <w:color w:val="000000"/>
          <w:sz w:val="24"/>
          <w:szCs w:val="24"/>
        </w:rPr>
        <w:t>ilgtermiņa procentu likme tiek aprēķināta kā aritmētiskais vidējais rādītājs pēdējo 12 mēnešu laikā tajās pašās trijās E</w:t>
      </w:r>
      <w:r>
        <w:rPr>
          <w:rFonts w:ascii="Times New Roman" w:hAnsi="Times New Roman" w:cs="Times New Roman"/>
          <w:color w:val="000000"/>
          <w:sz w:val="24"/>
          <w:szCs w:val="24"/>
        </w:rPr>
        <w:t>iropas Savienības dalīb</w:t>
      </w:r>
      <w:r w:rsidR="008B7E1C" w:rsidRPr="008B7E1C">
        <w:rPr>
          <w:rFonts w:ascii="Times New Roman" w:hAnsi="Times New Roman" w:cs="Times New Roman"/>
          <w:color w:val="000000"/>
          <w:sz w:val="24"/>
          <w:szCs w:val="24"/>
        </w:rPr>
        <w:t xml:space="preserve">valstīs, kuru dati lietoti cenu stabilitātes kritērija novērtēšanas atsauces vērtības aprēķinā. Procentu likmes </w:t>
      </w:r>
      <w:r>
        <w:rPr>
          <w:rFonts w:ascii="Times New Roman" w:hAnsi="Times New Roman" w:cs="Times New Roman"/>
          <w:color w:val="000000"/>
          <w:sz w:val="24"/>
          <w:szCs w:val="24"/>
        </w:rPr>
        <w:t xml:space="preserve">tiek </w:t>
      </w:r>
      <w:r w:rsidR="008B7E1C" w:rsidRPr="008B7E1C">
        <w:rPr>
          <w:rFonts w:ascii="Times New Roman" w:hAnsi="Times New Roman" w:cs="Times New Roman"/>
          <w:color w:val="000000"/>
          <w:sz w:val="24"/>
          <w:szCs w:val="24"/>
        </w:rPr>
        <w:t xml:space="preserve">aprēķinātas, pamatojoties uz saskaņotajām ilgtermiņa procentu likmēm, kuras noteiktas konverģences novērtēšanai. </w:t>
      </w:r>
    </w:p>
    <w:p w:rsidR="008B7E1C" w:rsidRDefault="008B7E1C" w:rsidP="007601FB">
      <w:pPr>
        <w:spacing w:after="0" w:line="240" w:lineRule="auto"/>
        <w:jc w:val="both"/>
        <w:rPr>
          <w:rFonts w:ascii="Times New Roman" w:hAnsi="Times New Roman" w:cs="Times New Roman"/>
          <w:color w:val="000000"/>
          <w:sz w:val="24"/>
          <w:szCs w:val="24"/>
        </w:rPr>
      </w:pPr>
    </w:p>
    <w:p w:rsidR="00723135" w:rsidRDefault="003C7025"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Bez šiem četriem pamatkritērijiem</w:t>
      </w:r>
      <w:r w:rsidR="00723135">
        <w:rPr>
          <w:rFonts w:ascii="Times New Roman" w:hAnsi="Times New Roman" w:cs="Times New Roman"/>
          <w:color w:val="000000"/>
          <w:sz w:val="24"/>
          <w:szCs w:val="24"/>
        </w:rPr>
        <w:t xml:space="preserve"> Līguma</w:t>
      </w:r>
      <w:r w:rsidR="007671AD" w:rsidRPr="007671AD">
        <w:rPr>
          <w:rFonts w:ascii="Times New Roman" w:hAnsi="Times New Roman" w:cs="Times New Roman"/>
          <w:color w:val="000000"/>
          <w:sz w:val="24"/>
          <w:szCs w:val="24"/>
        </w:rPr>
        <w:t xml:space="preserve"> 140. panta 1. punktā ir noteikta prasība vērtēt arī citus faktorus, kas ir nozīmīgi ekonomikas integrācijai un konverģencei. Minētie papildu faktori aptver </w:t>
      </w:r>
      <w:r w:rsidR="00456187" w:rsidRPr="00FF7901">
        <w:rPr>
          <w:rFonts w:ascii="Times New Roman" w:hAnsi="Times New Roman" w:cs="Times New Roman"/>
          <w:color w:val="000000"/>
          <w:sz w:val="24"/>
          <w:szCs w:val="24"/>
        </w:rPr>
        <w:t>tirgu integrācijā</w:t>
      </w:r>
      <w:r w:rsidR="00456187">
        <w:rPr>
          <w:rFonts w:ascii="Times New Roman" w:hAnsi="Times New Roman" w:cs="Times New Roman"/>
          <w:color w:val="000000"/>
          <w:sz w:val="24"/>
          <w:szCs w:val="24"/>
        </w:rPr>
        <w:t xml:space="preserve"> </w:t>
      </w:r>
      <w:r w:rsidR="00456187" w:rsidRPr="00FF7901">
        <w:rPr>
          <w:rFonts w:ascii="Times New Roman" w:hAnsi="Times New Roman" w:cs="Times New Roman"/>
          <w:color w:val="000000"/>
          <w:sz w:val="24"/>
          <w:szCs w:val="24"/>
        </w:rPr>
        <w:t>gūtos sasniegumus</w:t>
      </w:r>
      <w:r w:rsidR="007671AD" w:rsidRPr="007671AD">
        <w:rPr>
          <w:rFonts w:ascii="Times New Roman" w:hAnsi="Times New Roman" w:cs="Times New Roman"/>
          <w:color w:val="000000"/>
          <w:sz w:val="24"/>
          <w:szCs w:val="24"/>
        </w:rPr>
        <w:t xml:space="preserve">, </w:t>
      </w:r>
      <w:r w:rsidR="00456187">
        <w:rPr>
          <w:rFonts w:ascii="Times New Roman" w:hAnsi="Times New Roman" w:cs="Times New Roman"/>
          <w:color w:val="000000"/>
          <w:sz w:val="24"/>
          <w:szCs w:val="24"/>
        </w:rPr>
        <w:t>kārtējo maksājumu bilanci un to dinamiku</w:t>
      </w:r>
      <w:r w:rsidR="007671AD" w:rsidRPr="007671AD">
        <w:rPr>
          <w:rFonts w:ascii="Times New Roman" w:hAnsi="Times New Roman" w:cs="Times New Roman"/>
          <w:color w:val="000000"/>
          <w:sz w:val="24"/>
          <w:szCs w:val="24"/>
        </w:rPr>
        <w:t xml:space="preserve">, kā arī darbaspēka </w:t>
      </w:r>
      <w:r w:rsidR="00456187" w:rsidRPr="007671AD">
        <w:rPr>
          <w:rFonts w:ascii="Times New Roman" w:hAnsi="Times New Roman" w:cs="Times New Roman"/>
          <w:color w:val="000000"/>
          <w:sz w:val="24"/>
          <w:szCs w:val="24"/>
        </w:rPr>
        <w:t>vienīb</w:t>
      </w:r>
      <w:r w:rsidR="00456187">
        <w:rPr>
          <w:rFonts w:ascii="Times New Roman" w:hAnsi="Times New Roman" w:cs="Times New Roman"/>
          <w:color w:val="000000"/>
          <w:sz w:val="24"/>
          <w:szCs w:val="24"/>
        </w:rPr>
        <w:t>u</w:t>
      </w:r>
      <w:r w:rsidR="00456187" w:rsidRPr="007671AD">
        <w:rPr>
          <w:rFonts w:ascii="Times New Roman" w:hAnsi="Times New Roman" w:cs="Times New Roman"/>
          <w:color w:val="000000"/>
          <w:sz w:val="24"/>
          <w:szCs w:val="24"/>
        </w:rPr>
        <w:t xml:space="preserve"> </w:t>
      </w:r>
      <w:r w:rsidR="007671AD" w:rsidRPr="007671AD">
        <w:rPr>
          <w:rFonts w:ascii="Times New Roman" w:hAnsi="Times New Roman" w:cs="Times New Roman"/>
          <w:color w:val="000000"/>
          <w:sz w:val="24"/>
          <w:szCs w:val="24"/>
        </w:rPr>
        <w:t xml:space="preserve">izmaksu un citu cenu indeksu attīstību. </w:t>
      </w:r>
    </w:p>
    <w:p w:rsidR="00723135" w:rsidRDefault="00723135" w:rsidP="007601FB">
      <w:pPr>
        <w:spacing w:after="0" w:line="240" w:lineRule="auto"/>
        <w:jc w:val="both"/>
        <w:rPr>
          <w:rFonts w:ascii="Times New Roman" w:hAnsi="Times New Roman" w:cs="Times New Roman"/>
          <w:color w:val="000000"/>
          <w:sz w:val="24"/>
          <w:szCs w:val="24"/>
        </w:rPr>
      </w:pPr>
    </w:p>
    <w:p w:rsidR="007601FB" w:rsidRPr="00385EC0" w:rsidRDefault="00385EC0" w:rsidP="007601FB">
      <w:pPr>
        <w:pStyle w:val="ListBullet"/>
        <w:numPr>
          <w:ilvl w:val="0"/>
          <w:numId w:val="0"/>
        </w:numPr>
        <w:spacing w:after="0" w:line="240" w:lineRule="auto"/>
        <w:ind w:left="360" w:hanging="360"/>
        <w:rPr>
          <w:rFonts w:ascii="Times New Roman" w:hAnsi="Times New Roman" w:cs="Times New Roman"/>
          <w:sz w:val="24"/>
          <w:szCs w:val="24"/>
        </w:rPr>
      </w:pPr>
      <w:r w:rsidRPr="00385EC0">
        <w:rPr>
          <w:rFonts w:ascii="Times New Roman" w:hAnsi="Times New Roman" w:cs="Times New Roman"/>
          <w:sz w:val="24"/>
          <w:szCs w:val="24"/>
        </w:rPr>
        <w:t xml:space="preserve">II </w:t>
      </w:r>
      <w:r w:rsidR="007601FB" w:rsidRPr="00385EC0">
        <w:rPr>
          <w:rFonts w:ascii="Times New Roman" w:hAnsi="Times New Roman" w:cs="Times New Roman"/>
          <w:sz w:val="24"/>
          <w:szCs w:val="24"/>
        </w:rPr>
        <w:t>Ekonomiskās konverģences kritēriju izpilde</w:t>
      </w:r>
    </w:p>
    <w:p w:rsidR="007601FB" w:rsidRPr="00AE4EB1" w:rsidRDefault="007601FB" w:rsidP="007601FB">
      <w:pPr>
        <w:pStyle w:val="ListBullet"/>
        <w:numPr>
          <w:ilvl w:val="0"/>
          <w:numId w:val="0"/>
        </w:numPr>
        <w:spacing w:after="0" w:line="240" w:lineRule="auto"/>
        <w:ind w:left="360" w:hanging="360"/>
        <w:rPr>
          <w:rFonts w:ascii="Times New Roman" w:hAnsi="Times New Roman" w:cs="Times New Roman"/>
          <w:sz w:val="24"/>
          <w:szCs w:val="24"/>
        </w:rPr>
      </w:pPr>
    </w:p>
    <w:p w:rsidR="007601FB" w:rsidRDefault="007601FB" w:rsidP="007601FB">
      <w:pPr>
        <w:spacing w:after="0" w:line="240" w:lineRule="auto"/>
        <w:jc w:val="both"/>
        <w:rPr>
          <w:rFonts w:ascii="Times New Roman" w:hAnsi="Times New Roman" w:cs="Times New Roman"/>
          <w:color w:val="000000"/>
          <w:sz w:val="24"/>
          <w:szCs w:val="24"/>
        </w:rPr>
      </w:pPr>
      <w:r w:rsidRPr="00AE4EB1">
        <w:rPr>
          <w:rFonts w:ascii="Times New Roman" w:hAnsi="Times New Roman" w:cs="Times New Roman"/>
          <w:color w:val="000000"/>
          <w:sz w:val="24"/>
          <w:szCs w:val="24"/>
        </w:rPr>
        <w:t xml:space="preserve">Visu Māstrihtas kritēriju </w:t>
      </w:r>
      <w:r>
        <w:rPr>
          <w:rFonts w:ascii="Times New Roman" w:hAnsi="Times New Roman" w:cs="Times New Roman"/>
          <w:color w:val="000000"/>
          <w:sz w:val="24"/>
          <w:szCs w:val="24"/>
        </w:rPr>
        <w:t>izpildīšana</w:t>
      </w:r>
      <w:r w:rsidRPr="00AE4EB1">
        <w:rPr>
          <w:rFonts w:ascii="Times New Roman" w:hAnsi="Times New Roman" w:cs="Times New Roman"/>
          <w:color w:val="000000"/>
          <w:sz w:val="24"/>
          <w:szCs w:val="24"/>
        </w:rPr>
        <w:t xml:space="preserve"> ir priekšnosacījums, lai valsts pievienotos eiro</w:t>
      </w:r>
      <w:r w:rsidR="00456187">
        <w:rPr>
          <w:rFonts w:ascii="Times New Roman" w:hAnsi="Times New Roman" w:cs="Times New Roman"/>
          <w:color w:val="000000"/>
          <w:sz w:val="24"/>
          <w:szCs w:val="24"/>
        </w:rPr>
        <w:t xml:space="preserve"> </w:t>
      </w:r>
      <w:r w:rsidRPr="00AE4EB1">
        <w:rPr>
          <w:rFonts w:ascii="Times New Roman" w:hAnsi="Times New Roman" w:cs="Times New Roman"/>
          <w:color w:val="000000"/>
          <w:sz w:val="24"/>
          <w:szCs w:val="24"/>
        </w:rPr>
        <w:t xml:space="preserve">zonai. Papildus tam, vērtējot valsts gatavību ieviest eiro, </w:t>
      </w:r>
      <w:r w:rsidR="008C52DA">
        <w:rPr>
          <w:rFonts w:ascii="Times New Roman" w:hAnsi="Times New Roman" w:cs="Times New Roman"/>
          <w:color w:val="000000"/>
          <w:sz w:val="24"/>
          <w:szCs w:val="24"/>
        </w:rPr>
        <w:t>ECB</w:t>
      </w:r>
      <w:r w:rsidRPr="00AE4EB1">
        <w:rPr>
          <w:rFonts w:ascii="Times New Roman" w:hAnsi="Times New Roman" w:cs="Times New Roman"/>
          <w:color w:val="000000"/>
          <w:sz w:val="24"/>
          <w:szCs w:val="24"/>
        </w:rPr>
        <w:t xml:space="preserve"> un </w:t>
      </w:r>
      <w:r w:rsidR="008C52DA">
        <w:rPr>
          <w:rFonts w:ascii="Times New Roman" w:hAnsi="Times New Roman" w:cs="Times New Roman"/>
          <w:color w:val="000000"/>
          <w:sz w:val="24"/>
          <w:szCs w:val="24"/>
        </w:rPr>
        <w:t>EK</w:t>
      </w:r>
      <w:r w:rsidRPr="00AE4EB1">
        <w:rPr>
          <w:rFonts w:ascii="Times New Roman" w:hAnsi="Times New Roman" w:cs="Times New Roman"/>
          <w:color w:val="000000"/>
          <w:sz w:val="24"/>
          <w:szCs w:val="24"/>
        </w:rPr>
        <w:t xml:space="preserve"> vērtē Māstrihtas kritēriju atbilstības ilgtspēju. </w:t>
      </w:r>
    </w:p>
    <w:p w:rsidR="007601FB" w:rsidRPr="00AE4EB1" w:rsidRDefault="007601FB" w:rsidP="007601FB">
      <w:pPr>
        <w:spacing w:after="0" w:line="240" w:lineRule="auto"/>
        <w:jc w:val="both"/>
        <w:rPr>
          <w:rFonts w:ascii="Times New Roman" w:hAnsi="Times New Roman" w:cs="Times New Roman"/>
          <w:color w:val="000000"/>
          <w:sz w:val="24"/>
          <w:szCs w:val="24"/>
        </w:rPr>
      </w:pPr>
    </w:p>
    <w:p w:rsidR="007601FB" w:rsidRDefault="007601FB" w:rsidP="007601FB">
      <w:pPr>
        <w:spacing w:after="0" w:line="240" w:lineRule="auto"/>
        <w:jc w:val="both"/>
        <w:rPr>
          <w:rFonts w:ascii="Times New Roman" w:hAnsi="Times New Roman" w:cs="Times New Roman"/>
          <w:color w:val="000000"/>
          <w:sz w:val="24"/>
          <w:szCs w:val="24"/>
        </w:rPr>
      </w:pPr>
      <w:r w:rsidRPr="00AE4EB1">
        <w:rPr>
          <w:rFonts w:ascii="Times New Roman" w:hAnsi="Times New Roman" w:cs="Times New Roman"/>
          <w:color w:val="000000"/>
          <w:sz w:val="24"/>
          <w:szCs w:val="24"/>
        </w:rPr>
        <w:t>Būtiski ir atzīmēt to, ka vairāku Māstrihtas kritēriju izpildi ietekmē citu E</w:t>
      </w:r>
      <w:r w:rsidR="008C52DA">
        <w:rPr>
          <w:rFonts w:ascii="Times New Roman" w:hAnsi="Times New Roman" w:cs="Times New Roman"/>
          <w:color w:val="000000"/>
          <w:sz w:val="24"/>
          <w:szCs w:val="24"/>
        </w:rPr>
        <w:t xml:space="preserve">iropas </w:t>
      </w:r>
      <w:r w:rsidRPr="00AE4EB1">
        <w:rPr>
          <w:rFonts w:ascii="Times New Roman" w:hAnsi="Times New Roman" w:cs="Times New Roman"/>
          <w:color w:val="000000"/>
          <w:sz w:val="24"/>
          <w:szCs w:val="24"/>
        </w:rPr>
        <w:t>S</w:t>
      </w:r>
      <w:r w:rsidR="008C52DA">
        <w:rPr>
          <w:rFonts w:ascii="Times New Roman" w:hAnsi="Times New Roman" w:cs="Times New Roman"/>
          <w:color w:val="000000"/>
          <w:sz w:val="24"/>
          <w:szCs w:val="24"/>
        </w:rPr>
        <w:t>avienības</w:t>
      </w:r>
      <w:r w:rsidRPr="00AE4EB1">
        <w:rPr>
          <w:rFonts w:ascii="Times New Roman" w:hAnsi="Times New Roman" w:cs="Times New Roman"/>
          <w:color w:val="000000"/>
          <w:sz w:val="24"/>
          <w:szCs w:val="24"/>
        </w:rPr>
        <w:t xml:space="preserve"> valstu makroekonomiskie rādītāji, </w:t>
      </w:r>
      <w:r>
        <w:rPr>
          <w:rFonts w:ascii="Times New Roman" w:hAnsi="Times New Roman" w:cs="Times New Roman"/>
          <w:color w:val="000000"/>
          <w:sz w:val="24"/>
          <w:szCs w:val="24"/>
        </w:rPr>
        <w:t>tādējādi</w:t>
      </w:r>
      <w:r w:rsidRPr="00AE4EB1">
        <w:rPr>
          <w:rFonts w:ascii="Times New Roman" w:hAnsi="Times New Roman" w:cs="Times New Roman"/>
          <w:color w:val="000000"/>
          <w:sz w:val="24"/>
          <w:szCs w:val="24"/>
        </w:rPr>
        <w:t xml:space="preserve"> ir neiespējami garantēt visu rādītāju</w:t>
      </w:r>
      <w:r>
        <w:rPr>
          <w:rFonts w:ascii="Times New Roman" w:hAnsi="Times New Roman" w:cs="Times New Roman"/>
          <w:color w:val="000000"/>
          <w:sz w:val="24"/>
          <w:szCs w:val="24"/>
        </w:rPr>
        <w:t xml:space="preserve"> izpildi jebkurā brīdī nākotnē. </w:t>
      </w:r>
      <w:r w:rsidRPr="00AE4EB1">
        <w:rPr>
          <w:rFonts w:ascii="Times New Roman" w:hAnsi="Times New Roman" w:cs="Times New Roman"/>
          <w:color w:val="000000"/>
          <w:sz w:val="24"/>
          <w:szCs w:val="24"/>
        </w:rPr>
        <w:t>Līdz ar to ilgtspējas novērtējums balstās uz prognozēm par to, vai valsts ekonomikas attīstība un</w:t>
      </w:r>
      <w:r>
        <w:rPr>
          <w:rFonts w:ascii="Times New Roman" w:hAnsi="Times New Roman" w:cs="Times New Roman"/>
          <w:color w:val="000000"/>
          <w:sz w:val="24"/>
          <w:szCs w:val="24"/>
        </w:rPr>
        <w:t xml:space="preserve"> īstenotā</w:t>
      </w:r>
      <w:r w:rsidRPr="00AE4EB1">
        <w:rPr>
          <w:rFonts w:ascii="Times New Roman" w:hAnsi="Times New Roman" w:cs="Times New Roman"/>
          <w:color w:val="000000"/>
          <w:sz w:val="24"/>
          <w:szCs w:val="24"/>
        </w:rPr>
        <w:t xml:space="preserve"> fiskālā politika nodrošinās</w:t>
      </w:r>
      <w:r>
        <w:rPr>
          <w:rFonts w:ascii="Times New Roman" w:hAnsi="Times New Roman" w:cs="Times New Roman"/>
          <w:color w:val="000000"/>
          <w:sz w:val="24"/>
          <w:szCs w:val="24"/>
        </w:rPr>
        <w:t xml:space="preserve"> to</w:t>
      </w:r>
      <w:r w:rsidRPr="00AE4EB1">
        <w:rPr>
          <w:rFonts w:ascii="Times New Roman" w:hAnsi="Times New Roman" w:cs="Times New Roman"/>
          <w:color w:val="000000"/>
          <w:sz w:val="24"/>
          <w:szCs w:val="24"/>
        </w:rPr>
        <w:t xml:space="preserve">, ka </w:t>
      </w:r>
      <w:r>
        <w:rPr>
          <w:rFonts w:ascii="Times New Roman" w:hAnsi="Times New Roman" w:cs="Times New Roman"/>
          <w:color w:val="000000"/>
          <w:sz w:val="24"/>
          <w:szCs w:val="24"/>
        </w:rPr>
        <w:t>nebūs vērojamas</w:t>
      </w:r>
      <w:r w:rsidRPr="00AE4EB1">
        <w:rPr>
          <w:rFonts w:ascii="Times New Roman" w:hAnsi="Times New Roman" w:cs="Times New Roman"/>
          <w:color w:val="000000"/>
          <w:sz w:val="24"/>
          <w:szCs w:val="24"/>
        </w:rPr>
        <w:t xml:space="preserve"> būtiskas un sistemātiskas novirzes no Māstrihtas kritērijiem. Zems parāda līmenis, atbildīga fiskālā politika un veiktie </w:t>
      </w:r>
      <w:r w:rsidR="00F5565D">
        <w:rPr>
          <w:rFonts w:ascii="Times New Roman" w:hAnsi="Times New Roman" w:cs="Times New Roman"/>
          <w:color w:val="000000"/>
          <w:sz w:val="24"/>
          <w:szCs w:val="24"/>
        </w:rPr>
        <w:t>normatīvo aktu</w:t>
      </w:r>
      <w:r w:rsidR="00F5565D" w:rsidRPr="00AE4EB1">
        <w:rPr>
          <w:rFonts w:ascii="Times New Roman" w:hAnsi="Times New Roman" w:cs="Times New Roman"/>
          <w:color w:val="000000"/>
          <w:sz w:val="24"/>
          <w:szCs w:val="24"/>
        </w:rPr>
        <w:t xml:space="preserve"> </w:t>
      </w:r>
      <w:r w:rsidRPr="00AE4EB1">
        <w:rPr>
          <w:rFonts w:ascii="Times New Roman" w:hAnsi="Times New Roman" w:cs="Times New Roman"/>
          <w:color w:val="000000"/>
          <w:sz w:val="24"/>
          <w:szCs w:val="24"/>
        </w:rPr>
        <w:t>uzlabojumi jaunu ekonomisko burbuļu nepieļaušanai Latvijai nodrošina ilgtspējas kritērija izpildi. Šie nosacījumi vēl vairāk tiks nostiprināti</w:t>
      </w:r>
      <w:r w:rsidR="00456187">
        <w:rPr>
          <w:rFonts w:ascii="Times New Roman" w:hAnsi="Times New Roman" w:cs="Times New Roman"/>
          <w:color w:val="000000"/>
          <w:sz w:val="24"/>
          <w:szCs w:val="24"/>
        </w:rPr>
        <w:t>,</w:t>
      </w:r>
      <w:r w:rsidRPr="00AE4EB1">
        <w:rPr>
          <w:rFonts w:ascii="Times New Roman" w:hAnsi="Times New Roman" w:cs="Times New Roman"/>
          <w:color w:val="000000"/>
          <w:sz w:val="24"/>
          <w:szCs w:val="24"/>
        </w:rPr>
        <w:t xml:space="preserve"> Latvijai ies</w:t>
      </w:r>
      <w:r>
        <w:rPr>
          <w:rFonts w:ascii="Times New Roman" w:hAnsi="Times New Roman" w:cs="Times New Roman"/>
          <w:color w:val="000000"/>
          <w:sz w:val="24"/>
          <w:szCs w:val="24"/>
        </w:rPr>
        <w:t>tājoties eiro zonā, kuras</w:t>
      </w:r>
      <w:r w:rsidRPr="00AE4EB1">
        <w:rPr>
          <w:rFonts w:ascii="Times New Roman" w:hAnsi="Times New Roman" w:cs="Times New Roman"/>
          <w:color w:val="000000"/>
          <w:sz w:val="24"/>
          <w:szCs w:val="24"/>
        </w:rPr>
        <w:t xml:space="preserve"> tiesiskais regulējums samazina risku, ka valsts varētu atteikties no atbildīgas fiskālās politikas.  </w:t>
      </w:r>
    </w:p>
    <w:p w:rsidR="007601FB" w:rsidRPr="00AE4EB1" w:rsidRDefault="007601FB" w:rsidP="007601FB">
      <w:pPr>
        <w:spacing w:after="0" w:line="240" w:lineRule="auto"/>
        <w:jc w:val="both"/>
        <w:rPr>
          <w:rFonts w:ascii="Times New Roman" w:hAnsi="Times New Roman" w:cs="Times New Roman"/>
          <w:color w:val="000000"/>
          <w:sz w:val="24"/>
          <w:szCs w:val="24"/>
        </w:rPr>
      </w:pPr>
    </w:p>
    <w:p w:rsidR="007601FB"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Analizējot iepriekšējo gadu datus</w:t>
      </w:r>
      <w:r>
        <w:rPr>
          <w:rFonts w:ascii="Times New Roman" w:hAnsi="Times New Roman" w:cs="Times New Roman"/>
          <w:sz w:val="24"/>
          <w:szCs w:val="24"/>
        </w:rPr>
        <w:t xml:space="preserve"> par Māstrihtas kritēriju izpildi</w:t>
      </w:r>
      <w:r w:rsidR="00456187">
        <w:rPr>
          <w:rFonts w:ascii="Times New Roman" w:hAnsi="Times New Roman" w:cs="Times New Roman"/>
          <w:sz w:val="24"/>
          <w:szCs w:val="24"/>
        </w:rPr>
        <w:t>,</w:t>
      </w:r>
      <w:r w:rsidRPr="00321E45">
        <w:rPr>
          <w:rFonts w:ascii="Times New Roman" w:hAnsi="Times New Roman" w:cs="Times New Roman"/>
          <w:sz w:val="24"/>
          <w:szCs w:val="24"/>
        </w:rPr>
        <w:t xml:space="preserve"> var secināt, ka Latviju no dalības eiro</w:t>
      </w:r>
      <w:r w:rsidR="00456187">
        <w:rPr>
          <w:rFonts w:ascii="Times New Roman" w:hAnsi="Times New Roman" w:cs="Times New Roman"/>
          <w:sz w:val="24"/>
          <w:szCs w:val="24"/>
        </w:rPr>
        <w:t xml:space="preserve"> </w:t>
      </w:r>
      <w:r w:rsidRPr="00321E45">
        <w:rPr>
          <w:rFonts w:ascii="Times New Roman" w:hAnsi="Times New Roman" w:cs="Times New Roman"/>
          <w:sz w:val="24"/>
          <w:szCs w:val="24"/>
        </w:rPr>
        <w:t>zonā, atbilstoši sākotnēji nospraustajam mērķim pievienoties 2008.gadā, ir atturējusi gan inflācijas kritērija un budžeta deficīta kritērija neizpilde, kas spilgti raksturo ekonomikas pārkaršanas sekas un valdības ekspansīvās fiskālās politikas īstenošanu, gan arī valsts vērtspapīru ilgtermiņa procentu likmes kritērija neizpilde, kas norāda uz ārējām bažām par valdības</w:t>
      </w:r>
      <w:r>
        <w:rPr>
          <w:rFonts w:ascii="Times New Roman" w:hAnsi="Times New Roman" w:cs="Times New Roman"/>
          <w:sz w:val="24"/>
          <w:szCs w:val="24"/>
        </w:rPr>
        <w:t xml:space="preserve"> īstenotās</w:t>
      </w:r>
      <w:r w:rsidRPr="00321E45">
        <w:rPr>
          <w:rFonts w:ascii="Times New Roman" w:hAnsi="Times New Roman" w:cs="Times New Roman"/>
          <w:sz w:val="24"/>
          <w:szCs w:val="24"/>
        </w:rPr>
        <w:t xml:space="preserve"> ekonomiskās politikas ilgtspējību.</w:t>
      </w:r>
    </w:p>
    <w:p w:rsidR="007601FB" w:rsidRPr="00321E45" w:rsidRDefault="007601FB" w:rsidP="007601FB">
      <w:pPr>
        <w:spacing w:after="0" w:line="240" w:lineRule="auto"/>
        <w:jc w:val="both"/>
        <w:rPr>
          <w:rFonts w:ascii="Times New Roman" w:hAnsi="Times New Roman" w:cs="Times New Roman"/>
          <w:sz w:val="24"/>
          <w:szCs w:val="24"/>
        </w:rPr>
      </w:pPr>
    </w:p>
    <w:p w:rsidR="007601FB" w:rsidRPr="00321E45" w:rsidRDefault="00456187"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Sākot ar</w:t>
      </w:r>
      <w:r w:rsidRPr="00321E45">
        <w:rPr>
          <w:rFonts w:ascii="Times New Roman" w:hAnsi="Times New Roman" w:cs="Times New Roman"/>
          <w:sz w:val="24"/>
          <w:szCs w:val="24"/>
        </w:rPr>
        <w:t xml:space="preserve"> </w:t>
      </w:r>
      <w:r w:rsidR="007601FB" w:rsidRPr="00321E45">
        <w:rPr>
          <w:rFonts w:ascii="Times New Roman" w:hAnsi="Times New Roman" w:cs="Times New Roman"/>
          <w:sz w:val="24"/>
          <w:szCs w:val="24"/>
        </w:rPr>
        <w:t xml:space="preserve">2012.gada </w:t>
      </w:r>
      <w:r w:rsidRPr="00321E45">
        <w:rPr>
          <w:rFonts w:ascii="Times New Roman" w:hAnsi="Times New Roman" w:cs="Times New Roman"/>
          <w:sz w:val="24"/>
          <w:szCs w:val="24"/>
        </w:rPr>
        <w:t>septembr</w:t>
      </w:r>
      <w:r>
        <w:rPr>
          <w:rFonts w:ascii="Times New Roman" w:hAnsi="Times New Roman" w:cs="Times New Roman"/>
          <w:sz w:val="24"/>
          <w:szCs w:val="24"/>
        </w:rPr>
        <w:t>i</w:t>
      </w:r>
      <w:r w:rsidRPr="00321E45">
        <w:rPr>
          <w:rFonts w:ascii="Times New Roman" w:hAnsi="Times New Roman" w:cs="Times New Roman"/>
          <w:sz w:val="24"/>
          <w:szCs w:val="24"/>
        </w:rPr>
        <w:t xml:space="preserve"> </w:t>
      </w:r>
      <w:r w:rsidR="007601FB" w:rsidRPr="00321E45">
        <w:rPr>
          <w:rFonts w:ascii="Times New Roman" w:hAnsi="Times New Roman" w:cs="Times New Roman"/>
          <w:sz w:val="24"/>
          <w:szCs w:val="24"/>
        </w:rPr>
        <w:t xml:space="preserve">Latvija </w:t>
      </w:r>
      <w:r>
        <w:rPr>
          <w:rFonts w:ascii="Times New Roman" w:hAnsi="Times New Roman" w:cs="Times New Roman"/>
          <w:sz w:val="24"/>
          <w:szCs w:val="24"/>
        </w:rPr>
        <w:t>izpilda</w:t>
      </w:r>
      <w:r w:rsidR="007601FB" w:rsidRPr="00321E45">
        <w:rPr>
          <w:rFonts w:ascii="Times New Roman" w:hAnsi="Times New Roman" w:cs="Times New Roman"/>
          <w:sz w:val="24"/>
          <w:szCs w:val="24"/>
        </w:rPr>
        <w:t xml:space="preserve"> visus Māstrihtas kritērijus. Kopumā jāsecina, ka sasniegtais progress kritēr</w:t>
      </w:r>
      <w:r w:rsidR="007601FB">
        <w:rPr>
          <w:rFonts w:ascii="Times New Roman" w:hAnsi="Times New Roman" w:cs="Times New Roman"/>
          <w:sz w:val="24"/>
          <w:szCs w:val="24"/>
        </w:rPr>
        <w:t>iju izpildē ir valdības apzināta</w:t>
      </w:r>
      <w:r w:rsidR="007601FB" w:rsidRPr="00321E45">
        <w:rPr>
          <w:rFonts w:ascii="Times New Roman" w:hAnsi="Times New Roman" w:cs="Times New Roman"/>
          <w:sz w:val="24"/>
          <w:szCs w:val="24"/>
        </w:rPr>
        <w:t xml:space="preserve">s fiskālās un ekonomiskās stratēģijas rezultāts, labojot iepriekšējos gados pieļautās kļūdas un radot pārliecību par Latviju kā uzticamu sadarbības partneri. </w:t>
      </w:r>
    </w:p>
    <w:p w:rsidR="007601FB" w:rsidRDefault="007601FB" w:rsidP="007601FB">
      <w:pPr>
        <w:spacing w:after="0" w:line="240" w:lineRule="auto"/>
        <w:rPr>
          <w:rFonts w:ascii="Times New Roman" w:hAnsi="Times New Roman" w:cs="Times New Roman"/>
          <w:sz w:val="24"/>
          <w:szCs w:val="24"/>
        </w:rPr>
      </w:pPr>
    </w:p>
    <w:p w:rsidR="00EA4150" w:rsidRDefault="00EA4150" w:rsidP="002C1AAD">
      <w:pPr>
        <w:spacing w:after="0"/>
        <w:jc w:val="center"/>
        <w:rPr>
          <w:rFonts w:ascii="Calibri" w:hAnsi="Calibri" w:cs="Times New Roman"/>
        </w:rPr>
      </w:pPr>
      <w:r>
        <w:rPr>
          <w:noProof/>
          <w:lang w:eastAsia="lv-LV"/>
        </w:rPr>
        <w:drawing>
          <wp:inline distT="0" distB="0" distL="0" distR="0">
            <wp:extent cx="4818643" cy="2552700"/>
            <wp:effectExtent l="0" t="0" r="1270" b="0"/>
            <wp:docPr id="8" name="Picture 8" descr="cid:image001.png@01CE14DA.DC8C9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E14DA.DC8C95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18643" cy="2552700"/>
                    </a:xfrm>
                    <a:prstGeom prst="rect">
                      <a:avLst/>
                    </a:prstGeom>
                    <a:noFill/>
                    <a:ln>
                      <a:noFill/>
                    </a:ln>
                  </pic:spPr>
                </pic:pic>
              </a:graphicData>
            </a:graphic>
          </wp:inline>
        </w:drawing>
      </w:r>
    </w:p>
    <w:p w:rsidR="002C1AAD" w:rsidRDefault="002C1AAD" w:rsidP="00EA4150">
      <w:pPr>
        <w:spacing w:after="0"/>
        <w:ind w:right="1558"/>
        <w:jc w:val="center"/>
        <w:rPr>
          <w:rFonts w:ascii="Times New Roman" w:hAnsi="Times New Roman"/>
          <w:b/>
          <w:iCs/>
          <w:sz w:val="20"/>
          <w:szCs w:val="20"/>
        </w:rPr>
      </w:pPr>
    </w:p>
    <w:p w:rsidR="00EA4150" w:rsidRPr="002C1AAD" w:rsidRDefault="00EA4150" w:rsidP="002C1AAD">
      <w:pPr>
        <w:spacing w:after="0"/>
        <w:ind w:right="1558"/>
        <w:rPr>
          <w:rFonts w:ascii="Times New Roman" w:hAnsi="Times New Roman"/>
          <w:b/>
          <w:iCs/>
          <w:szCs w:val="20"/>
        </w:rPr>
      </w:pPr>
      <w:r w:rsidRPr="002C1AAD">
        <w:rPr>
          <w:rFonts w:ascii="Times New Roman" w:hAnsi="Times New Roman"/>
          <w:b/>
          <w:iCs/>
          <w:szCs w:val="20"/>
        </w:rPr>
        <w:t xml:space="preserve">1.attēls. </w:t>
      </w:r>
      <w:r w:rsidR="002C1AAD" w:rsidRPr="002C1AAD">
        <w:rPr>
          <w:rFonts w:ascii="Times New Roman" w:hAnsi="Times New Roman"/>
          <w:b/>
          <w:iCs/>
          <w:szCs w:val="20"/>
        </w:rPr>
        <w:t>Vispārējās valdības budžeta deficīts Latvijā, % no IKP</w:t>
      </w:r>
    </w:p>
    <w:p w:rsidR="002C1AAD" w:rsidRPr="002C1AAD" w:rsidRDefault="002C1AAD" w:rsidP="002C1AAD">
      <w:pPr>
        <w:spacing w:after="0"/>
        <w:ind w:right="1558"/>
        <w:rPr>
          <w:rFonts w:ascii="Times New Roman" w:hAnsi="Times New Roman"/>
          <w:b/>
          <w:iCs/>
          <w:szCs w:val="20"/>
        </w:rPr>
      </w:pPr>
    </w:p>
    <w:p w:rsidR="00EA4150" w:rsidRPr="002C1AAD" w:rsidRDefault="002C1AAD" w:rsidP="002C1AAD">
      <w:pPr>
        <w:spacing w:after="0"/>
        <w:ind w:right="140"/>
        <w:jc w:val="both"/>
        <w:rPr>
          <w:rFonts w:ascii="Times New Roman" w:hAnsi="Times New Roman"/>
          <w:i/>
          <w:iCs/>
          <w:szCs w:val="20"/>
        </w:rPr>
      </w:pPr>
      <w:r>
        <w:rPr>
          <w:rFonts w:ascii="Times New Roman" w:hAnsi="Times New Roman"/>
          <w:i/>
          <w:iCs/>
          <w:szCs w:val="20"/>
        </w:rPr>
        <w:t>Avots</w:t>
      </w:r>
      <w:r w:rsidR="00EA4150" w:rsidRPr="002C1AAD">
        <w:rPr>
          <w:rFonts w:ascii="Times New Roman" w:hAnsi="Times New Roman"/>
          <w:i/>
          <w:iCs/>
          <w:szCs w:val="20"/>
        </w:rPr>
        <w:t>: Centrālā statistikas pārvalde</w:t>
      </w:r>
      <w:r>
        <w:rPr>
          <w:rFonts w:ascii="Times New Roman" w:hAnsi="Times New Roman"/>
          <w:i/>
          <w:iCs/>
          <w:szCs w:val="20"/>
        </w:rPr>
        <w:t>,</w:t>
      </w:r>
      <w:r w:rsidRPr="002C1AAD">
        <w:rPr>
          <w:rFonts w:ascii="Times New Roman" w:hAnsi="Times New Roman"/>
          <w:i/>
          <w:iCs/>
          <w:szCs w:val="20"/>
        </w:rPr>
        <w:t xml:space="preserve"> 2012.gada novērtējums atbilstoši Finanšu ministrijas aprēķiniem, 2013. – 2015.gada budžeta mērķi atbilstoši Latvijas Konverģences programmai 2012. – 2015.gadam.</w:t>
      </w:r>
    </w:p>
    <w:p w:rsidR="00EA4150" w:rsidRDefault="00EA4150" w:rsidP="00EA4150">
      <w:pPr>
        <w:spacing w:after="0"/>
        <w:rPr>
          <w:rFonts w:ascii="Times New Roman" w:hAnsi="Times New Roman"/>
          <w:i/>
          <w:iCs/>
          <w:sz w:val="24"/>
          <w:szCs w:val="24"/>
        </w:rPr>
      </w:pPr>
    </w:p>
    <w:p w:rsidR="007601FB"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 xml:space="preserve">Fiskālās ilgtspējas jomā Latvija ir panākusi būtisku progresu, samazinot budžeta deficītu no </w:t>
      </w:r>
      <w:r>
        <w:rPr>
          <w:rFonts w:ascii="Times New Roman" w:hAnsi="Times New Roman" w:cs="Times New Roman"/>
          <w:sz w:val="24"/>
          <w:szCs w:val="24"/>
        </w:rPr>
        <w:t>pārmērīgi augstiem</w:t>
      </w:r>
      <w:r w:rsidRPr="00321E45">
        <w:rPr>
          <w:rFonts w:ascii="Times New Roman" w:hAnsi="Times New Roman" w:cs="Times New Roman"/>
          <w:sz w:val="24"/>
          <w:szCs w:val="24"/>
        </w:rPr>
        <w:t xml:space="preserve"> apmēriem 2009</w:t>
      </w:r>
      <w:r>
        <w:rPr>
          <w:rFonts w:ascii="Times New Roman" w:hAnsi="Times New Roman" w:cs="Times New Roman"/>
          <w:sz w:val="24"/>
          <w:szCs w:val="24"/>
        </w:rPr>
        <w:t>.</w:t>
      </w:r>
      <w:r w:rsidRPr="00321E45">
        <w:rPr>
          <w:rFonts w:ascii="Times New Roman" w:hAnsi="Times New Roman" w:cs="Times New Roman"/>
          <w:sz w:val="24"/>
          <w:szCs w:val="24"/>
        </w:rPr>
        <w:t xml:space="preserve"> un 2010.gadā uz saprātīgu fiskālo pozīciju 2011. gadā, kas ir gan būtiskas fiskālās konsolidācijas rezultāts starptautiskās aizdevumu programmas ietvaros, gan īstenoto strukturālo reform</w:t>
      </w:r>
      <w:r>
        <w:rPr>
          <w:rFonts w:ascii="Times New Roman" w:hAnsi="Times New Roman" w:cs="Times New Roman"/>
          <w:sz w:val="24"/>
          <w:szCs w:val="24"/>
        </w:rPr>
        <w:t>u</w:t>
      </w:r>
      <w:r w:rsidRPr="00321E45">
        <w:rPr>
          <w:rFonts w:ascii="Times New Roman" w:hAnsi="Times New Roman" w:cs="Times New Roman"/>
          <w:sz w:val="24"/>
          <w:szCs w:val="24"/>
        </w:rPr>
        <w:t xml:space="preserve"> rezultāts (skat. </w:t>
      </w:r>
      <w:r>
        <w:rPr>
          <w:rFonts w:ascii="Times New Roman" w:hAnsi="Times New Roman" w:cs="Times New Roman"/>
          <w:sz w:val="24"/>
          <w:szCs w:val="24"/>
        </w:rPr>
        <w:t>2</w:t>
      </w:r>
      <w:r w:rsidRPr="00321E45">
        <w:rPr>
          <w:rFonts w:ascii="Times New Roman" w:hAnsi="Times New Roman" w:cs="Times New Roman"/>
          <w:sz w:val="24"/>
          <w:szCs w:val="24"/>
        </w:rPr>
        <w:t xml:space="preserve">. attēlu). Atbilstoši </w:t>
      </w:r>
      <w:r w:rsidR="00826E41">
        <w:rPr>
          <w:rFonts w:ascii="Times New Roman" w:hAnsi="Times New Roman" w:cs="Times New Roman"/>
          <w:sz w:val="24"/>
          <w:szCs w:val="24"/>
        </w:rPr>
        <w:t>Finanšu ministrijas novērtējumam,</w:t>
      </w:r>
      <w:r w:rsidRPr="00321E45">
        <w:rPr>
          <w:rFonts w:ascii="Times New Roman" w:hAnsi="Times New Roman" w:cs="Times New Roman"/>
          <w:sz w:val="24"/>
          <w:szCs w:val="24"/>
        </w:rPr>
        <w:t xml:space="preserve"> budžeta deficīta apmērs 2012.gadā ir plānots</w:t>
      </w:r>
      <w:r>
        <w:rPr>
          <w:rFonts w:ascii="Times New Roman" w:hAnsi="Times New Roman" w:cs="Times New Roman"/>
          <w:sz w:val="24"/>
          <w:szCs w:val="24"/>
        </w:rPr>
        <w:t xml:space="preserve"> </w:t>
      </w:r>
      <w:r w:rsidR="00826E41">
        <w:rPr>
          <w:rFonts w:ascii="Times New Roman" w:hAnsi="Times New Roman" w:cs="Times New Roman"/>
          <w:sz w:val="24"/>
          <w:szCs w:val="24"/>
        </w:rPr>
        <w:t>1,5</w:t>
      </w:r>
      <w:r w:rsidRPr="00321E45">
        <w:rPr>
          <w:rFonts w:ascii="Times New Roman" w:hAnsi="Times New Roman" w:cs="Times New Roman"/>
          <w:sz w:val="24"/>
          <w:szCs w:val="24"/>
        </w:rPr>
        <w:t>% no IKP, kas ļauj Latvijai kvalificēties</w:t>
      </w:r>
      <w:r w:rsidR="00826E41">
        <w:rPr>
          <w:rFonts w:ascii="Times New Roman" w:hAnsi="Times New Roman" w:cs="Times New Roman"/>
          <w:sz w:val="24"/>
          <w:szCs w:val="24"/>
        </w:rPr>
        <w:t xml:space="preserve"> Māstrihtas</w:t>
      </w:r>
      <w:r w:rsidRPr="00321E45">
        <w:rPr>
          <w:rFonts w:ascii="Times New Roman" w:hAnsi="Times New Roman" w:cs="Times New Roman"/>
          <w:sz w:val="24"/>
          <w:szCs w:val="24"/>
        </w:rPr>
        <w:t xml:space="preserve"> budžeta deficīta kritērija izpildei.</w:t>
      </w:r>
    </w:p>
    <w:p w:rsidR="007601FB" w:rsidRPr="00321E45" w:rsidRDefault="007601FB" w:rsidP="007601FB">
      <w:pPr>
        <w:spacing w:after="0" w:line="240" w:lineRule="auto"/>
        <w:jc w:val="both"/>
        <w:rPr>
          <w:rFonts w:ascii="Times New Roman" w:hAnsi="Times New Roman" w:cs="Times New Roman"/>
          <w:sz w:val="24"/>
          <w:szCs w:val="24"/>
        </w:rPr>
      </w:pPr>
    </w:p>
    <w:p w:rsidR="007601FB" w:rsidRPr="00321E45"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 xml:space="preserve">Būtiski ir atzīmēt, ka ir nozīmīgi stiprināts fiskālās </w:t>
      </w:r>
      <w:r>
        <w:rPr>
          <w:rFonts w:ascii="Times New Roman" w:hAnsi="Times New Roman" w:cs="Times New Roman"/>
          <w:sz w:val="24"/>
          <w:szCs w:val="24"/>
        </w:rPr>
        <w:t>disciplīnas regulējums</w:t>
      </w:r>
      <w:r w:rsidR="00456187">
        <w:rPr>
          <w:rFonts w:ascii="Times New Roman" w:hAnsi="Times New Roman" w:cs="Times New Roman"/>
          <w:sz w:val="24"/>
          <w:szCs w:val="24"/>
        </w:rPr>
        <w:t>,</w:t>
      </w:r>
      <w:r>
        <w:rPr>
          <w:rFonts w:ascii="Times New Roman" w:hAnsi="Times New Roman" w:cs="Times New Roman"/>
          <w:sz w:val="24"/>
          <w:szCs w:val="24"/>
        </w:rPr>
        <w:t xml:space="preserve"> š.</w:t>
      </w:r>
      <w:r w:rsidRPr="00321E45">
        <w:rPr>
          <w:rFonts w:ascii="Times New Roman" w:hAnsi="Times New Roman" w:cs="Times New Roman"/>
          <w:sz w:val="24"/>
          <w:szCs w:val="24"/>
        </w:rPr>
        <w:t>g</w:t>
      </w:r>
      <w:r>
        <w:rPr>
          <w:rFonts w:ascii="Times New Roman" w:hAnsi="Times New Roman" w:cs="Times New Roman"/>
          <w:sz w:val="24"/>
          <w:szCs w:val="24"/>
        </w:rPr>
        <w:t>. 31. janvārī</w:t>
      </w:r>
      <w:r w:rsidRPr="00321E45">
        <w:rPr>
          <w:rFonts w:ascii="Times New Roman" w:hAnsi="Times New Roman" w:cs="Times New Roman"/>
          <w:sz w:val="24"/>
          <w:szCs w:val="24"/>
        </w:rPr>
        <w:t xml:space="preserve"> Saeimai pieņemot Fiskālās disciplīnas likumu, kurā ir iestrādāti jaunie Eiropas Savienības fiskālās disciplīnas nosacījumi, kas ir ietverti Līgumā par stabilitāti, koordināciju un pārvaldību ekonomiskajā un monetārajā savienībā, ko Latvija ratificēja 2012.gada 22. jūnijā.</w:t>
      </w:r>
      <w:r>
        <w:rPr>
          <w:rFonts w:ascii="Times New Roman" w:hAnsi="Times New Roman" w:cs="Times New Roman"/>
          <w:sz w:val="24"/>
          <w:szCs w:val="24"/>
        </w:rPr>
        <w:t xml:space="preserve"> Likums paredz nostiprināt vidēja termiņa plānošanu ar likuma spēku, tādējādi mazinot procikliskas fiskālās politikas īstenošanas iespējas.</w:t>
      </w:r>
      <w:r w:rsidRPr="00321E45">
        <w:rPr>
          <w:rFonts w:ascii="Times New Roman" w:hAnsi="Times New Roman" w:cs="Times New Roman"/>
          <w:sz w:val="24"/>
          <w:szCs w:val="24"/>
        </w:rPr>
        <w:t xml:space="preserve"> Tas iezīmē jaunu pavērsienu valdības</w:t>
      </w:r>
      <w:r>
        <w:rPr>
          <w:rFonts w:ascii="Times New Roman" w:hAnsi="Times New Roman" w:cs="Times New Roman"/>
          <w:sz w:val="24"/>
          <w:szCs w:val="24"/>
        </w:rPr>
        <w:t xml:space="preserve"> fiskālās politikas kursā</w:t>
      </w:r>
      <w:r w:rsidRPr="00321E45">
        <w:rPr>
          <w:rFonts w:ascii="Times New Roman" w:hAnsi="Times New Roman" w:cs="Times New Roman"/>
          <w:sz w:val="24"/>
          <w:szCs w:val="24"/>
        </w:rPr>
        <w:t>, jo pirmo reizi ar likumu tiks noteikts, ka Latvijā ir jāveido ekonomiskajā ciklā sabalansēts budžets</w:t>
      </w:r>
      <w:r>
        <w:rPr>
          <w:rFonts w:ascii="Times New Roman" w:hAnsi="Times New Roman" w:cs="Times New Roman"/>
          <w:sz w:val="24"/>
          <w:szCs w:val="24"/>
        </w:rPr>
        <w:t>, ar to saprotot, ka strukturālais deficīts nedrīkst pārsniegt 0,5% no IKP.</w:t>
      </w:r>
      <w:r w:rsidRPr="00321E45">
        <w:rPr>
          <w:rFonts w:ascii="Times New Roman" w:hAnsi="Times New Roman" w:cs="Times New Roman"/>
          <w:sz w:val="24"/>
          <w:szCs w:val="24"/>
        </w:rPr>
        <w:t xml:space="preserve"> </w:t>
      </w:r>
    </w:p>
    <w:p w:rsidR="006A6AE9" w:rsidRDefault="006A6AE9" w:rsidP="002C1AAD">
      <w:pPr>
        <w:spacing w:before="100" w:beforeAutospacing="1" w:after="0"/>
        <w:jc w:val="center"/>
      </w:pPr>
      <w:r w:rsidRPr="00970F67">
        <w:rPr>
          <w:noProof/>
          <w:color w:val="1F497D"/>
          <w:lang w:eastAsia="lv-LV"/>
        </w:rPr>
        <w:drawing>
          <wp:inline distT="0" distB="0" distL="0" distR="0" wp14:anchorId="782EC520" wp14:editId="354D4334">
            <wp:extent cx="5381625" cy="2495259"/>
            <wp:effectExtent l="0" t="0" r="0" b="635"/>
            <wp:docPr id="7" name="Picture 7" descr="cid:_com_android_email_attachmentprovider_3_6874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com_android_email_attachmentprovider_3_6874_RAW@sec.galaxyta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31798" cy="2518522"/>
                    </a:xfrm>
                    <a:prstGeom prst="rect">
                      <a:avLst/>
                    </a:prstGeom>
                    <a:noFill/>
                    <a:ln>
                      <a:noFill/>
                    </a:ln>
                  </pic:spPr>
                </pic:pic>
              </a:graphicData>
            </a:graphic>
          </wp:inline>
        </w:drawing>
      </w:r>
    </w:p>
    <w:p w:rsidR="007601FB" w:rsidRPr="002C1AAD" w:rsidRDefault="007601FB" w:rsidP="002C1AAD">
      <w:pPr>
        <w:spacing w:after="0" w:line="240" w:lineRule="auto"/>
        <w:rPr>
          <w:rFonts w:ascii="Times New Roman" w:hAnsi="Times New Roman" w:cs="Times New Roman"/>
          <w:b/>
          <w:szCs w:val="24"/>
        </w:rPr>
      </w:pPr>
      <w:r w:rsidRPr="002C1AAD">
        <w:rPr>
          <w:rFonts w:ascii="Times New Roman" w:hAnsi="Times New Roman" w:cs="Times New Roman"/>
          <w:b/>
          <w:szCs w:val="24"/>
        </w:rPr>
        <w:t>2.attēls</w:t>
      </w:r>
      <w:r w:rsidR="00EA4150" w:rsidRPr="002C1AAD">
        <w:rPr>
          <w:rFonts w:ascii="Times New Roman" w:hAnsi="Times New Roman" w:cs="Times New Roman"/>
          <w:b/>
          <w:szCs w:val="24"/>
        </w:rPr>
        <w:t>.</w:t>
      </w:r>
      <w:r w:rsidRPr="002C1AAD">
        <w:rPr>
          <w:rFonts w:ascii="Times New Roman" w:hAnsi="Times New Roman" w:cs="Times New Roman"/>
          <w:b/>
          <w:szCs w:val="24"/>
        </w:rPr>
        <w:t xml:space="preserve"> Vispārējās valdības parāds, % no IKP</w:t>
      </w:r>
    </w:p>
    <w:p w:rsidR="002C1AAD" w:rsidRPr="002C1AAD" w:rsidRDefault="002C1AAD" w:rsidP="002C1AAD">
      <w:pPr>
        <w:spacing w:after="0" w:line="240" w:lineRule="auto"/>
        <w:rPr>
          <w:rFonts w:ascii="Times New Roman" w:hAnsi="Times New Roman" w:cs="Times New Roman"/>
          <w:b/>
          <w:szCs w:val="24"/>
        </w:rPr>
      </w:pPr>
    </w:p>
    <w:p w:rsidR="007601FB" w:rsidRPr="002C1AAD" w:rsidRDefault="007601FB" w:rsidP="002C1AAD">
      <w:pPr>
        <w:spacing w:after="0" w:line="240" w:lineRule="auto"/>
        <w:rPr>
          <w:rFonts w:ascii="Times New Roman" w:hAnsi="Times New Roman" w:cs="Times New Roman"/>
          <w:i/>
          <w:szCs w:val="24"/>
        </w:rPr>
      </w:pPr>
      <w:r w:rsidRPr="002C1AAD">
        <w:rPr>
          <w:rFonts w:ascii="Times New Roman" w:hAnsi="Times New Roman" w:cs="Times New Roman"/>
          <w:i/>
          <w:szCs w:val="24"/>
        </w:rPr>
        <w:t>Avots : Valsts kase</w:t>
      </w:r>
    </w:p>
    <w:p w:rsidR="002C1AAD" w:rsidRPr="007601FB" w:rsidRDefault="002C1AAD" w:rsidP="002C1AAD">
      <w:pPr>
        <w:spacing w:after="0" w:line="240" w:lineRule="auto"/>
        <w:rPr>
          <w:rFonts w:ascii="Times New Roman" w:hAnsi="Times New Roman" w:cs="Times New Roman"/>
          <w:i/>
          <w:sz w:val="20"/>
          <w:szCs w:val="24"/>
        </w:rPr>
      </w:pPr>
    </w:p>
    <w:p w:rsidR="007601FB"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 xml:space="preserve">Attiecībā uz valsts parāda apmēru var secināt, ka Valsts kase ir īstenojusi konservatīvu parāda vadības politiku, kas </w:t>
      </w:r>
      <w:r w:rsidR="00456187">
        <w:rPr>
          <w:rFonts w:ascii="Times New Roman" w:hAnsi="Times New Roman" w:cs="Times New Roman"/>
          <w:sz w:val="24"/>
          <w:szCs w:val="24"/>
        </w:rPr>
        <w:t xml:space="preserve">palīdzēja </w:t>
      </w:r>
      <w:r w:rsidRPr="00321E45">
        <w:rPr>
          <w:rFonts w:ascii="Times New Roman" w:hAnsi="Times New Roman" w:cs="Times New Roman"/>
          <w:sz w:val="24"/>
          <w:szCs w:val="24"/>
        </w:rPr>
        <w:t>pēdējās dekādes laikā valsts parādu noturēt vidējā līmenī, nepārsniedzot Māstrihtas kritēriju noteiktos griestus. Papildus tam īstenotā fiskālā konsolidācija ir ļāvusi sabalansēt parāda apmēru</w:t>
      </w:r>
      <w:r w:rsidR="00456187">
        <w:rPr>
          <w:rFonts w:ascii="Times New Roman" w:hAnsi="Times New Roman" w:cs="Times New Roman"/>
          <w:sz w:val="24"/>
          <w:szCs w:val="24"/>
        </w:rPr>
        <w:t>,</w:t>
      </w:r>
      <w:r w:rsidRPr="00321E45">
        <w:rPr>
          <w:rFonts w:ascii="Times New Roman" w:hAnsi="Times New Roman" w:cs="Times New Roman"/>
          <w:sz w:val="24"/>
          <w:szCs w:val="24"/>
        </w:rPr>
        <w:t xml:space="preserve"> un budžeta sabalansēšana ir mazinājusi nepieciešamību aizņemties papildu resursus.</w:t>
      </w:r>
    </w:p>
    <w:p w:rsidR="007601FB" w:rsidRPr="00321E45" w:rsidRDefault="007601FB" w:rsidP="007601FB">
      <w:pPr>
        <w:spacing w:after="0" w:line="240" w:lineRule="auto"/>
        <w:jc w:val="both"/>
        <w:rPr>
          <w:rFonts w:ascii="Times New Roman" w:hAnsi="Times New Roman" w:cs="Times New Roman"/>
          <w:sz w:val="24"/>
          <w:szCs w:val="24"/>
        </w:rPr>
      </w:pPr>
    </w:p>
    <w:p w:rsidR="007601FB"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Jau 2011.gadā tika atsākta</w:t>
      </w:r>
      <w:r>
        <w:rPr>
          <w:rFonts w:ascii="Times New Roman" w:hAnsi="Times New Roman" w:cs="Times New Roman"/>
          <w:sz w:val="24"/>
          <w:szCs w:val="24"/>
        </w:rPr>
        <w:t xml:space="preserve"> sekmīga</w:t>
      </w:r>
      <w:r w:rsidRPr="00321E45">
        <w:rPr>
          <w:rFonts w:ascii="Times New Roman" w:hAnsi="Times New Roman" w:cs="Times New Roman"/>
          <w:sz w:val="24"/>
          <w:szCs w:val="24"/>
        </w:rPr>
        <w:t xml:space="preserve"> valsts vērtspapīru emisija finanšu tirgos, vēl nenoslēdzot starptautisko aizņēmumu programmu. 2012.gada noslēgumā tika emitētas septiņu gadu obligācijas 1,25 miljardu ASV dolāru </w:t>
      </w:r>
      <w:r w:rsidR="00456187">
        <w:rPr>
          <w:rFonts w:ascii="Times New Roman" w:hAnsi="Times New Roman" w:cs="Times New Roman"/>
          <w:sz w:val="24"/>
          <w:szCs w:val="24"/>
        </w:rPr>
        <w:t xml:space="preserve">apmērā </w:t>
      </w:r>
      <w:r w:rsidRPr="00321E45">
        <w:rPr>
          <w:rFonts w:ascii="Times New Roman" w:hAnsi="Times New Roman" w:cs="Times New Roman"/>
          <w:sz w:val="24"/>
          <w:szCs w:val="24"/>
        </w:rPr>
        <w:t>ar vēsturiski zemāko vērtspapīru procentu likmi</w:t>
      </w:r>
      <w:r w:rsidR="00456187">
        <w:rPr>
          <w:rFonts w:ascii="Times New Roman" w:hAnsi="Times New Roman" w:cs="Times New Roman"/>
          <w:sz w:val="24"/>
          <w:szCs w:val="24"/>
        </w:rPr>
        <w:t>,</w:t>
      </w:r>
      <w:r w:rsidRPr="00321E45">
        <w:rPr>
          <w:rFonts w:ascii="Times New Roman" w:hAnsi="Times New Roman" w:cs="Times New Roman"/>
          <w:sz w:val="24"/>
          <w:szCs w:val="24"/>
        </w:rPr>
        <w:t xml:space="preserve"> kopš Latvija veic aizņēmumus starptautiskajos finanšu tirgos, kas liecina par investoru pārliecību par Latviju kā drošu vidi investīcijām.</w:t>
      </w:r>
    </w:p>
    <w:p w:rsidR="007601FB" w:rsidRDefault="007601FB" w:rsidP="007601FB">
      <w:pPr>
        <w:spacing w:after="0" w:line="240" w:lineRule="auto"/>
        <w:jc w:val="both"/>
        <w:rPr>
          <w:rFonts w:ascii="Times New Roman" w:hAnsi="Times New Roman" w:cs="Times New Roman"/>
          <w:sz w:val="24"/>
          <w:szCs w:val="24"/>
        </w:rPr>
      </w:pPr>
    </w:p>
    <w:p w:rsidR="007601FB" w:rsidRDefault="007601FB"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Apsveicami ir arī tas, ka pat 2014.</w:t>
      </w:r>
      <w:r w:rsidR="00456187">
        <w:rPr>
          <w:rFonts w:ascii="Times New Roman" w:hAnsi="Times New Roman" w:cs="Times New Roman"/>
          <w:sz w:val="24"/>
          <w:szCs w:val="24"/>
        </w:rPr>
        <w:t xml:space="preserve"> </w:t>
      </w:r>
      <w:r>
        <w:rPr>
          <w:rFonts w:ascii="Times New Roman" w:hAnsi="Times New Roman" w:cs="Times New Roman"/>
          <w:sz w:val="24"/>
          <w:szCs w:val="24"/>
        </w:rPr>
        <w:t xml:space="preserve">un 2015.gadā, kad Valsts kase plāno veikt būtiskāko starptautiskā aizdevuma atmaksu un esošā aizdevuma pārfinansēšanu, parāda līmenis joprojām </w:t>
      </w:r>
      <w:r w:rsidR="00456187">
        <w:rPr>
          <w:rFonts w:ascii="Times New Roman" w:hAnsi="Times New Roman" w:cs="Times New Roman"/>
          <w:sz w:val="24"/>
          <w:szCs w:val="24"/>
        </w:rPr>
        <w:t>būs būtiski</w:t>
      </w:r>
      <w:r>
        <w:rPr>
          <w:rFonts w:ascii="Times New Roman" w:hAnsi="Times New Roman" w:cs="Times New Roman"/>
          <w:sz w:val="24"/>
          <w:szCs w:val="24"/>
        </w:rPr>
        <w:t xml:space="preserve"> zem</w:t>
      </w:r>
      <w:r w:rsidR="00456187">
        <w:rPr>
          <w:rFonts w:ascii="Times New Roman" w:hAnsi="Times New Roman" w:cs="Times New Roman"/>
          <w:sz w:val="24"/>
          <w:szCs w:val="24"/>
        </w:rPr>
        <w:t>āks</w:t>
      </w:r>
      <w:r>
        <w:rPr>
          <w:rFonts w:ascii="Times New Roman" w:hAnsi="Times New Roman" w:cs="Times New Roman"/>
          <w:sz w:val="24"/>
          <w:szCs w:val="24"/>
        </w:rPr>
        <w:t xml:space="preserve"> </w:t>
      </w:r>
      <w:r w:rsidR="00456187">
        <w:rPr>
          <w:rFonts w:ascii="Times New Roman" w:hAnsi="Times New Roman" w:cs="Times New Roman"/>
          <w:sz w:val="24"/>
          <w:szCs w:val="24"/>
        </w:rPr>
        <w:t xml:space="preserve">par noteikto </w:t>
      </w:r>
      <w:r>
        <w:rPr>
          <w:rFonts w:ascii="Times New Roman" w:hAnsi="Times New Roman" w:cs="Times New Roman"/>
          <w:sz w:val="24"/>
          <w:szCs w:val="24"/>
        </w:rPr>
        <w:t xml:space="preserve">Māstrihtas kritērija </w:t>
      </w:r>
      <w:r w:rsidR="00456187">
        <w:rPr>
          <w:rFonts w:ascii="Times New Roman" w:hAnsi="Times New Roman" w:cs="Times New Roman"/>
          <w:sz w:val="24"/>
          <w:szCs w:val="24"/>
        </w:rPr>
        <w:t>robežu</w:t>
      </w:r>
      <w:r>
        <w:rPr>
          <w:rFonts w:ascii="Times New Roman" w:hAnsi="Times New Roman" w:cs="Times New Roman"/>
          <w:sz w:val="24"/>
          <w:szCs w:val="24"/>
        </w:rPr>
        <w:t>.</w:t>
      </w:r>
    </w:p>
    <w:p w:rsidR="002C1AAD" w:rsidRPr="00321E45" w:rsidRDefault="002C1AAD" w:rsidP="007601FB">
      <w:pPr>
        <w:spacing w:after="0" w:line="240" w:lineRule="auto"/>
        <w:jc w:val="both"/>
        <w:rPr>
          <w:rFonts w:ascii="Times New Roman" w:hAnsi="Times New Roman" w:cs="Times New Roman"/>
          <w:sz w:val="24"/>
          <w:szCs w:val="24"/>
        </w:rPr>
      </w:pPr>
    </w:p>
    <w:p w:rsidR="007601FB" w:rsidRPr="00321E45" w:rsidRDefault="007601FB" w:rsidP="007601FB">
      <w:pPr>
        <w:spacing w:after="0" w:line="240" w:lineRule="auto"/>
        <w:jc w:val="both"/>
        <w:rPr>
          <w:rFonts w:ascii="Times New Roman" w:hAnsi="Times New Roman" w:cs="Times New Roman"/>
          <w:sz w:val="24"/>
          <w:szCs w:val="24"/>
        </w:rPr>
      </w:pPr>
    </w:p>
    <w:p w:rsidR="0002550F" w:rsidRPr="00321E45" w:rsidRDefault="0002550F" w:rsidP="0002550F">
      <w:pPr>
        <w:spacing w:after="0" w:line="240" w:lineRule="auto"/>
        <w:rPr>
          <w:rFonts w:ascii="Times New Roman" w:hAnsi="Times New Roman" w:cs="Times New Roman"/>
          <w:sz w:val="24"/>
          <w:szCs w:val="24"/>
        </w:rPr>
      </w:pPr>
      <w:r w:rsidRPr="007946E9">
        <w:rPr>
          <w:noProof/>
          <w:lang w:eastAsia="lv-LV"/>
        </w:rPr>
        <w:drawing>
          <wp:inline distT="0" distB="0" distL="0" distR="0" wp14:anchorId="6C2AB23F" wp14:editId="3D051099">
            <wp:extent cx="581954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144" cy="1381406"/>
                    </a:xfrm>
                    <a:prstGeom prst="rect">
                      <a:avLst/>
                    </a:prstGeom>
                    <a:noFill/>
                    <a:ln>
                      <a:noFill/>
                    </a:ln>
                  </pic:spPr>
                </pic:pic>
              </a:graphicData>
            </a:graphic>
          </wp:inline>
        </w:drawing>
      </w:r>
    </w:p>
    <w:p w:rsidR="007601FB" w:rsidRPr="002C1AAD" w:rsidRDefault="007601FB" w:rsidP="002C1AAD">
      <w:pPr>
        <w:spacing w:after="0" w:line="240" w:lineRule="auto"/>
        <w:rPr>
          <w:rFonts w:ascii="Times New Roman" w:hAnsi="Times New Roman" w:cs="Times New Roman"/>
          <w:b/>
          <w:szCs w:val="24"/>
        </w:rPr>
      </w:pPr>
      <w:r w:rsidRPr="002C1AAD">
        <w:rPr>
          <w:rFonts w:ascii="Times New Roman" w:hAnsi="Times New Roman" w:cs="Times New Roman"/>
          <w:b/>
          <w:szCs w:val="24"/>
        </w:rPr>
        <w:t>3.attēls</w:t>
      </w:r>
      <w:r w:rsidR="00EA4150" w:rsidRPr="002C1AAD">
        <w:rPr>
          <w:rFonts w:ascii="Times New Roman" w:hAnsi="Times New Roman" w:cs="Times New Roman"/>
          <w:b/>
          <w:szCs w:val="24"/>
        </w:rPr>
        <w:t>.</w:t>
      </w:r>
      <w:r w:rsidRPr="002C1AAD">
        <w:rPr>
          <w:rFonts w:ascii="Times New Roman" w:hAnsi="Times New Roman" w:cs="Times New Roman"/>
          <w:b/>
          <w:szCs w:val="24"/>
        </w:rPr>
        <w:t xml:space="preserve"> Vispārējās valdības parāds ES dalībvalstīs 2011.gadā, % no IKP</w:t>
      </w:r>
    </w:p>
    <w:p w:rsidR="002C1AAD" w:rsidRPr="002C1AAD" w:rsidRDefault="002C1AAD" w:rsidP="002C1AAD">
      <w:pPr>
        <w:spacing w:after="0" w:line="240" w:lineRule="auto"/>
        <w:rPr>
          <w:rFonts w:ascii="Times New Roman" w:hAnsi="Times New Roman" w:cs="Times New Roman"/>
          <w:b/>
          <w:szCs w:val="24"/>
        </w:rPr>
      </w:pPr>
    </w:p>
    <w:p w:rsidR="007601FB" w:rsidRPr="002C1AAD" w:rsidRDefault="007601FB" w:rsidP="002C1AAD">
      <w:pPr>
        <w:spacing w:after="0" w:line="240" w:lineRule="auto"/>
        <w:rPr>
          <w:rFonts w:ascii="Times New Roman" w:hAnsi="Times New Roman" w:cs="Times New Roman"/>
          <w:i/>
          <w:szCs w:val="24"/>
        </w:rPr>
      </w:pPr>
      <w:r w:rsidRPr="002C1AAD">
        <w:rPr>
          <w:rFonts w:ascii="Times New Roman" w:hAnsi="Times New Roman" w:cs="Times New Roman"/>
          <w:i/>
          <w:szCs w:val="24"/>
        </w:rPr>
        <w:t>Avots : Eurostat</w:t>
      </w:r>
    </w:p>
    <w:p w:rsidR="002C1AAD" w:rsidRPr="007601FB" w:rsidRDefault="002C1AAD" w:rsidP="002C1AAD">
      <w:pPr>
        <w:spacing w:after="0" w:line="240" w:lineRule="auto"/>
        <w:rPr>
          <w:rFonts w:ascii="Times New Roman" w:hAnsi="Times New Roman" w:cs="Times New Roman"/>
          <w:i/>
          <w:sz w:val="20"/>
          <w:szCs w:val="24"/>
        </w:rPr>
      </w:pPr>
    </w:p>
    <w:p w:rsidR="007601FB" w:rsidRDefault="007601FB" w:rsidP="007601FB">
      <w:pPr>
        <w:spacing w:after="0" w:line="240" w:lineRule="auto"/>
        <w:jc w:val="both"/>
        <w:rPr>
          <w:rFonts w:ascii="Times New Roman" w:hAnsi="Times New Roman" w:cs="Times New Roman"/>
          <w:sz w:val="24"/>
          <w:szCs w:val="24"/>
        </w:rPr>
      </w:pPr>
      <w:r w:rsidRPr="00AE4EB1">
        <w:rPr>
          <w:rFonts w:ascii="Times New Roman" w:hAnsi="Times New Roman" w:cs="Times New Roman"/>
          <w:sz w:val="24"/>
          <w:szCs w:val="24"/>
        </w:rPr>
        <w:t xml:space="preserve">Latvija ir zemas inflācijas valsts ar gada vidējo inflāciju aptuveni 2,5% līmenī. </w:t>
      </w:r>
      <w:r w:rsidR="00456187" w:rsidRPr="00AE4EB1">
        <w:rPr>
          <w:rFonts w:ascii="Times New Roman" w:hAnsi="Times New Roman" w:cs="Times New Roman"/>
          <w:sz w:val="24"/>
          <w:szCs w:val="24"/>
        </w:rPr>
        <w:t>A</w:t>
      </w:r>
      <w:r w:rsidR="00456187">
        <w:rPr>
          <w:rFonts w:ascii="Times New Roman" w:hAnsi="Times New Roman" w:cs="Times New Roman"/>
          <w:sz w:val="24"/>
          <w:szCs w:val="24"/>
        </w:rPr>
        <w:t>nalizējot</w:t>
      </w:r>
      <w:r w:rsidR="00456187" w:rsidRPr="00AE4EB1">
        <w:rPr>
          <w:rFonts w:ascii="Times New Roman" w:hAnsi="Times New Roman" w:cs="Times New Roman"/>
          <w:sz w:val="24"/>
          <w:szCs w:val="24"/>
        </w:rPr>
        <w:t xml:space="preserve"> </w:t>
      </w:r>
      <w:r w:rsidRPr="00AE4EB1">
        <w:rPr>
          <w:rFonts w:ascii="Times New Roman" w:hAnsi="Times New Roman" w:cs="Times New Roman"/>
          <w:sz w:val="24"/>
          <w:szCs w:val="24"/>
        </w:rPr>
        <w:t>laika periodus bez izteikta ārējo faktoru spiediena uz</w:t>
      </w:r>
      <w:r>
        <w:rPr>
          <w:rFonts w:ascii="Times New Roman" w:hAnsi="Times New Roman" w:cs="Times New Roman"/>
          <w:sz w:val="24"/>
          <w:szCs w:val="24"/>
        </w:rPr>
        <w:t xml:space="preserve"> kopējo cenu līmeni - no</w:t>
      </w:r>
      <w:r w:rsidRPr="00AE4EB1">
        <w:rPr>
          <w:rFonts w:ascii="Times New Roman" w:hAnsi="Times New Roman" w:cs="Times New Roman"/>
          <w:sz w:val="24"/>
          <w:szCs w:val="24"/>
        </w:rPr>
        <w:t xml:space="preserve"> </w:t>
      </w:r>
      <w:r>
        <w:rPr>
          <w:rFonts w:ascii="Times New Roman" w:hAnsi="Times New Roman" w:cs="Times New Roman"/>
          <w:sz w:val="24"/>
          <w:szCs w:val="24"/>
        </w:rPr>
        <w:t>90.gadu beigām</w:t>
      </w:r>
      <w:r w:rsidRPr="00AE4EB1">
        <w:rPr>
          <w:rFonts w:ascii="Times New Roman" w:hAnsi="Times New Roman" w:cs="Times New Roman"/>
          <w:sz w:val="24"/>
          <w:szCs w:val="24"/>
        </w:rPr>
        <w:t xml:space="preserve"> līdz Latvija iestājās E</w:t>
      </w:r>
      <w:r w:rsidR="008C52DA">
        <w:rPr>
          <w:rFonts w:ascii="Times New Roman" w:hAnsi="Times New Roman" w:cs="Times New Roman"/>
          <w:sz w:val="24"/>
          <w:szCs w:val="24"/>
        </w:rPr>
        <w:t xml:space="preserve">iropas </w:t>
      </w:r>
      <w:r w:rsidRPr="00AE4EB1">
        <w:rPr>
          <w:rFonts w:ascii="Times New Roman" w:hAnsi="Times New Roman" w:cs="Times New Roman"/>
          <w:sz w:val="24"/>
          <w:szCs w:val="24"/>
        </w:rPr>
        <w:t>S</w:t>
      </w:r>
      <w:r w:rsidR="008C52DA">
        <w:rPr>
          <w:rFonts w:ascii="Times New Roman" w:hAnsi="Times New Roman" w:cs="Times New Roman"/>
          <w:sz w:val="24"/>
          <w:szCs w:val="24"/>
        </w:rPr>
        <w:t>avienībā</w:t>
      </w:r>
      <w:r w:rsidRPr="00AE4EB1">
        <w:rPr>
          <w:rFonts w:ascii="Times New Roman" w:hAnsi="Times New Roman" w:cs="Times New Roman"/>
          <w:sz w:val="24"/>
          <w:szCs w:val="24"/>
        </w:rPr>
        <w:t xml:space="preserve"> un kopš 2010.gada – var secināt, ka šajos laika periodos Latvijā nebija novērojami citi būtiski inflāciju palielinoši faktori. </w:t>
      </w:r>
    </w:p>
    <w:p w:rsidR="007601FB" w:rsidRPr="00AE4EB1" w:rsidRDefault="007601FB" w:rsidP="007601FB">
      <w:pPr>
        <w:spacing w:after="0" w:line="240" w:lineRule="auto"/>
        <w:jc w:val="both"/>
        <w:rPr>
          <w:rFonts w:ascii="Times New Roman" w:hAnsi="Times New Roman" w:cs="Times New Roman"/>
          <w:sz w:val="24"/>
          <w:szCs w:val="24"/>
        </w:rPr>
      </w:pPr>
    </w:p>
    <w:p w:rsidR="007601FB" w:rsidRPr="00AE4EB1" w:rsidRDefault="00F1272E"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601FB" w:rsidRPr="00AE4EB1">
        <w:rPr>
          <w:rFonts w:ascii="Times New Roman" w:hAnsi="Times New Roman" w:cs="Times New Roman"/>
          <w:sz w:val="24"/>
          <w:szCs w:val="24"/>
        </w:rPr>
        <w:t>ēdējos gados Latvijā ir bijusi valsts ar zemu pamatinflāciju un aptuveni ¾ no inflācijas veidojās pasaules cenu spiediena vai nodokļu politikas izmaiņu re</w:t>
      </w:r>
      <w:r w:rsidR="007601FB">
        <w:rPr>
          <w:rFonts w:ascii="Times New Roman" w:hAnsi="Times New Roman" w:cs="Times New Roman"/>
          <w:sz w:val="24"/>
          <w:szCs w:val="24"/>
        </w:rPr>
        <w:t xml:space="preserve">zultātā. </w:t>
      </w:r>
      <w:r w:rsidR="00BF3E6B">
        <w:rPr>
          <w:rFonts w:ascii="Times New Roman" w:hAnsi="Times New Roman" w:cs="Times New Roman"/>
          <w:sz w:val="24"/>
          <w:szCs w:val="24"/>
        </w:rPr>
        <w:t xml:space="preserve">Strauju </w:t>
      </w:r>
      <w:r w:rsidR="007601FB">
        <w:rPr>
          <w:rFonts w:ascii="Times New Roman" w:hAnsi="Times New Roman" w:cs="Times New Roman"/>
          <w:sz w:val="24"/>
          <w:szCs w:val="24"/>
        </w:rPr>
        <w:t xml:space="preserve">cenu </w:t>
      </w:r>
      <w:r w:rsidR="00BF3E6B">
        <w:rPr>
          <w:rFonts w:ascii="Times New Roman" w:hAnsi="Times New Roman" w:cs="Times New Roman"/>
          <w:sz w:val="24"/>
          <w:szCs w:val="24"/>
        </w:rPr>
        <w:t>pieaugumu</w:t>
      </w:r>
      <w:r w:rsidR="00BF3E6B" w:rsidRPr="00AE4EB1">
        <w:rPr>
          <w:rFonts w:ascii="Times New Roman" w:hAnsi="Times New Roman" w:cs="Times New Roman"/>
          <w:sz w:val="24"/>
          <w:szCs w:val="24"/>
        </w:rPr>
        <w:t xml:space="preserve"> </w:t>
      </w:r>
      <w:r w:rsidR="007601FB" w:rsidRPr="00AE4EB1">
        <w:rPr>
          <w:rFonts w:ascii="Times New Roman" w:hAnsi="Times New Roman" w:cs="Times New Roman"/>
          <w:sz w:val="24"/>
          <w:szCs w:val="24"/>
        </w:rPr>
        <w:t xml:space="preserve">pēc pievienošanās Eiropas </w:t>
      </w:r>
      <w:r w:rsidR="00BF3E6B">
        <w:rPr>
          <w:rFonts w:ascii="Times New Roman" w:hAnsi="Times New Roman" w:cs="Times New Roman"/>
          <w:sz w:val="24"/>
          <w:szCs w:val="24"/>
        </w:rPr>
        <w:t>S</w:t>
      </w:r>
      <w:r w:rsidR="00BF3E6B" w:rsidRPr="00AE4EB1">
        <w:rPr>
          <w:rFonts w:ascii="Times New Roman" w:hAnsi="Times New Roman" w:cs="Times New Roman"/>
          <w:sz w:val="24"/>
          <w:szCs w:val="24"/>
        </w:rPr>
        <w:t xml:space="preserve">avienībai </w:t>
      </w:r>
      <w:r w:rsidR="007601FB" w:rsidRPr="00AE4EB1">
        <w:rPr>
          <w:rFonts w:ascii="Times New Roman" w:hAnsi="Times New Roman" w:cs="Times New Roman"/>
          <w:sz w:val="24"/>
          <w:szCs w:val="24"/>
        </w:rPr>
        <w:t xml:space="preserve">2004.gadā </w:t>
      </w:r>
      <w:r w:rsidR="00BF3E6B">
        <w:rPr>
          <w:rFonts w:ascii="Times New Roman" w:hAnsi="Times New Roman" w:cs="Times New Roman"/>
          <w:sz w:val="24"/>
          <w:szCs w:val="24"/>
        </w:rPr>
        <w:t>ietekmēja</w:t>
      </w:r>
      <w:r w:rsidR="007601FB" w:rsidRPr="00AE4EB1">
        <w:rPr>
          <w:rFonts w:ascii="Times New Roman" w:hAnsi="Times New Roman" w:cs="Times New Roman"/>
          <w:sz w:val="24"/>
          <w:szCs w:val="24"/>
        </w:rPr>
        <w:t xml:space="preserve"> vairāku faktoru kopums:</w:t>
      </w:r>
    </w:p>
    <w:p w:rsidR="007601FB" w:rsidRPr="00321E45" w:rsidRDefault="007601FB" w:rsidP="007601FB">
      <w:pPr>
        <w:spacing w:after="0" w:line="240" w:lineRule="auto"/>
        <w:jc w:val="both"/>
        <w:rPr>
          <w:rFonts w:ascii="Times New Roman" w:hAnsi="Times New Roman" w:cs="Times New Roman"/>
          <w:sz w:val="24"/>
          <w:szCs w:val="24"/>
        </w:rPr>
      </w:pPr>
    </w:p>
    <w:p w:rsidR="007601FB" w:rsidRPr="00321E45" w:rsidRDefault="007601FB" w:rsidP="00D77285">
      <w:pPr>
        <w:pStyle w:val="ListParagraph"/>
        <w:numPr>
          <w:ilvl w:val="0"/>
          <w:numId w:val="13"/>
        </w:num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Zems privātā sektora parāds</w:t>
      </w:r>
    </w:p>
    <w:p w:rsidR="007601FB" w:rsidRPr="00321E45" w:rsidRDefault="007601FB" w:rsidP="00D77285">
      <w:pPr>
        <w:pStyle w:val="ListParagraph"/>
        <w:numPr>
          <w:ilvl w:val="0"/>
          <w:numId w:val="13"/>
        </w:num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Neattīstīts finanšu sektors un vājš regulējums</w:t>
      </w:r>
    </w:p>
    <w:p w:rsidR="007601FB" w:rsidRPr="00321E45" w:rsidRDefault="007601FB" w:rsidP="00D77285">
      <w:pPr>
        <w:pStyle w:val="ListParagraph"/>
        <w:numPr>
          <w:ilvl w:val="0"/>
          <w:numId w:val="13"/>
        </w:num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Agresīva ārvalstu banku cīņa par tirgus daļām</w:t>
      </w:r>
    </w:p>
    <w:p w:rsidR="007601FB" w:rsidRPr="00321E45" w:rsidRDefault="007601FB" w:rsidP="00D77285">
      <w:pPr>
        <w:pStyle w:val="ListParagraph"/>
        <w:numPr>
          <w:ilvl w:val="0"/>
          <w:numId w:val="13"/>
        </w:num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Strukturāla rakstura pieprasījums pēc mājokļiem</w:t>
      </w:r>
    </w:p>
    <w:p w:rsidR="007601FB" w:rsidRPr="00321E45" w:rsidRDefault="007601FB" w:rsidP="00D77285">
      <w:pPr>
        <w:pStyle w:val="ListParagraph"/>
        <w:numPr>
          <w:ilvl w:val="0"/>
          <w:numId w:val="13"/>
        </w:num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Procikliskas fiskālās politikas īstenošana</w:t>
      </w:r>
    </w:p>
    <w:p w:rsidR="007601FB" w:rsidRPr="00321E45" w:rsidRDefault="007601FB" w:rsidP="007601FB">
      <w:pPr>
        <w:spacing w:after="0" w:line="240" w:lineRule="auto"/>
        <w:jc w:val="both"/>
        <w:rPr>
          <w:rFonts w:ascii="Times New Roman" w:hAnsi="Times New Roman" w:cs="Times New Roman"/>
          <w:sz w:val="24"/>
          <w:szCs w:val="24"/>
        </w:rPr>
      </w:pPr>
    </w:p>
    <w:p w:rsidR="007601FB" w:rsidRPr="00321E45" w:rsidRDefault="00A33833" w:rsidP="007601FB">
      <w:pPr>
        <w:spacing w:after="0" w:line="240" w:lineRule="auto"/>
        <w:jc w:val="center"/>
        <w:rPr>
          <w:rFonts w:ascii="Times New Roman" w:hAnsi="Times New Roman" w:cs="Times New Roman"/>
          <w:sz w:val="24"/>
          <w:szCs w:val="24"/>
        </w:rPr>
      </w:pPr>
      <w:r w:rsidRPr="00A33833">
        <w:rPr>
          <w:noProof/>
          <w:lang w:eastAsia="lv-LV"/>
        </w:rPr>
        <w:drawing>
          <wp:inline distT="0" distB="0" distL="0" distR="0">
            <wp:extent cx="5451895" cy="3048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7513" cy="3051980"/>
                    </a:xfrm>
                    <a:prstGeom prst="rect">
                      <a:avLst/>
                    </a:prstGeom>
                    <a:noFill/>
                    <a:ln>
                      <a:noFill/>
                    </a:ln>
                  </pic:spPr>
                </pic:pic>
              </a:graphicData>
            </a:graphic>
          </wp:inline>
        </w:drawing>
      </w:r>
    </w:p>
    <w:p w:rsidR="007601FB" w:rsidRPr="002C1AAD" w:rsidRDefault="007601FB" w:rsidP="002C1AAD">
      <w:pPr>
        <w:spacing w:after="0" w:line="240" w:lineRule="auto"/>
        <w:rPr>
          <w:rFonts w:ascii="Times New Roman" w:hAnsi="Times New Roman" w:cs="Times New Roman"/>
          <w:b/>
          <w:szCs w:val="24"/>
        </w:rPr>
      </w:pPr>
      <w:r w:rsidRPr="002C1AAD">
        <w:rPr>
          <w:rFonts w:ascii="Times New Roman" w:hAnsi="Times New Roman" w:cs="Times New Roman"/>
          <w:b/>
          <w:szCs w:val="24"/>
        </w:rPr>
        <w:t>4.attēls. Gada vidējā inflācija Latvijā, izmaiņas % pret iepriekšējā gada atbilstošo periodu</w:t>
      </w:r>
    </w:p>
    <w:p w:rsidR="002C1AAD" w:rsidRPr="002C1AAD" w:rsidRDefault="002C1AAD" w:rsidP="002C1AAD">
      <w:pPr>
        <w:spacing w:after="0" w:line="240" w:lineRule="auto"/>
        <w:rPr>
          <w:rFonts w:ascii="Times New Roman" w:hAnsi="Times New Roman" w:cs="Times New Roman"/>
          <w:b/>
          <w:szCs w:val="24"/>
        </w:rPr>
      </w:pPr>
    </w:p>
    <w:p w:rsidR="007601FB" w:rsidRPr="002C1AAD" w:rsidRDefault="007601FB" w:rsidP="002C1AAD">
      <w:pPr>
        <w:spacing w:after="0" w:line="240" w:lineRule="auto"/>
        <w:rPr>
          <w:rFonts w:ascii="Times New Roman" w:hAnsi="Times New Roman" w:cs="Times New Roman"/>
          <w:i/>
          <w:szCs w:val="24"/>
        </w:rPr>
      </w:pPr>
      <w:r w:rsidRPr="002C1AAD">
        <w:rPr>
          <w:rFonts w:ascii="Times New Roman" w:hAnsi="Times New Roman" w:cs="Times New Roman"/>
          <w:i/>
          <w:szCs w:val="24"/>
        </w:rPr>
        <w:t>Avots : Eurostat, Finanšu ministrijas aprēķini</w:t>
      </w:r>
    </w:p>
    <w:p w:rsidR="00360A6B" w:rsidRPr="007601FB" w:rsidRDefault="00360A6B" w:rsidP="007601FB">
      <w:pPr>
        <w:spacing w:after="0" w:line="240" w:lineRule="auto"/>
        <w:jc w:val="center"/>
        <w:rPr>
          <w:rFonts w:ascii="Times New Roman" w:hAnsi="Times New Roman" w:cs="Times New Roman"/>
          <w:i/>
          <w:sz w:val="20"/>
          <w:szCs w:val="24"/>
        </w:rPr>
      </w:pPr>
    </w:p>
    <w:p w:rsidR="007601FB" w:rsidRPr="00321E45"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Lai nodrošinātu inflācijas ilgtspēju un neļautu atkārtoties nekustamā īpašuma burbulim</w:t>
      </w:r>
      <w:r>
        <w:rPr>
          <w:rFonts w:ascii="Times New Roman" w:hAnsi="Times New Roman" w:cs="Times New Roman"/>
          <w:sz w:val="24"/>
          <w:szCs w:val="24"/>
        </w:rPr>
        <w:t>,</w:t>
      </w:r>
      <w:r w:rsidRPr="00321E45">
        <w:rPr>
          <w:rFonts w:ascii="Times New Roman" w:hAnsi="Times New Roman" w:cs="Times New Roman"/>
          <w:sz w:val="24"/>
          <w:szCs w:val="24"/>
        </w:rPr>
        <w:t xml:space="preserve"> ir būtiski stiprināts finanšu sektora regulējums</w:t>
      </w:r>
      <w:r w:rsidR="00771432">
        <w:rPr>
          <w:rFonts w:ascii="Times New Roman" w:hAnsi="Times New Roman" w:cs="Times New Roman"/>
          <w:sz w:val="24"/>
          <w:szCs w:val="24"/>
        </w:rPr>
        <w:t>,</w:t>
      </w:r>
      <w:r w:rsidRPr="00321E45">
        <w:rPr>
          <w:rFonts w:ascii="Times New Roman" w:hAnsi="Times New Roman" w:cs="Times New Roman"/>
          <w:sz w:val="24"/>
          <w:szCs w:val="24"/>
        </w:rPr>
        <w:t xml:space="preserve"> kā arī veiktas nozīmīgas izmaiņas nodokļu poli</w:t>
      </w:r>
      <w:r>
        <w:rPr>
          <w:rFonts w:ascii="Times New Roman" w:hAnsi="Times New Roman" w:cs="Times New Roman"/>
          <w:sz w:val="24"/>
          <w:szCs w:val="24"/>
        </w:rPr>
        <w:t>tikā</w:t>
      </w:r>
      <w:r w:rsidRPr="00321E45">
        <w:rPr>
          <w:rFonts w:ascii="Times New Roman" w:hAnsi="Times New Roman" w:cs="Times New Roman"/>
          <w:sz w:val="24"/>
          <w:szCs w:val="24"/>
        </w:rPr>
        <w:t xml:space="preserve">: </w:t>
      </w:r>
      <w:r>
        <w:rPr>
          <w:rFonts w:ascii="Times New Roman" w:hAnsi="Times New Roman" w:cs="Times New Roman"/>
          <w:sz w:val="24"/>
          <w:szCs w:val="24"/>
        </w:rPr>
        <w:t>paplašināta</w:t>
      </w:r>
      <w:r w:rsidRPr="00321E45">
        <w:rPr>
          <w:rFonts w:ascii="Times New Roman" w:hAnsi="Times New Roman" w:cs="Times New Roman"/>
          <w:sz w:val="24"/>
          <w:szCs w:val="24"/>
        </w:rPr>
        <w:t xml:space="preserve"> </w:t>
      </w:r>
      <w:r>
        <w:rPr>
          <w:rFonts w:ascii="Times New Roman" w:hAnsi="Times New Roman" w:cs="Times New Roman"/>
          <w:sz w:val="24"/>
          <w:szCs w:val="24"/>
        </w:rPr>
        <w:t>K</w:t>
      </w:r>
      <w:r w:rsidRPr="00321E45">
        <w:rPr>
          <w:rFonts w:ascii="Times New Roman" w:hAnsi="Times New Roman" w:cs="Times New Roman"/>
          <w:sz w:val="24"/>
          <w:szCs w:val="24"/>
        </w:rPr>
        <w:t>redīt</w:t>
      </w:r>
      <w:r>
        <w:rPr>
          <w:rFonts w:ascii="Times New Roman" w:hAnsi="Times New Roman" w:cs="Times New Roman"/>
          <w:sz w:val="24"/>
          <w:szCs w:val="24"/>
        </w:rPr>
        <w:t>u reģistrā iekļautā informācija par aizņēmējiem</w:t>
      </w:r>
      <w:r w:rsidRPr="00321E45">
        <w:rPr>
          <w:rFonts w:ascii="Times New Roman" w:hAnsi="Times New Roman" w:cs="Times New Roman"/>
          <w:sz w:val="24"/>
          <w:szCs w:val="24"/>
        </w:rPr>
        <w:t xml:space="preserve">, nekustamā īpašuma ķīlas tiek izsniegtas pret ienākumu deklarāciju no </w:t>
      </w:r>
      <w:r>
        <w:rPr>
          <w:rFonts w:ascii="Times New Roman" w:hAnsi="Times New Roman" w:cs="Times New Roman"/>
          <w:sz w:val="24"/>
          <w:szCs w:val="24"/>
        </w:rPr>
        <w:t>Valsts ieņēmumu dienesta</w:t>
      </w:r>
      <w:r w:rsidRPr="00321E45">
        <w:rPr>
          <w:rFonts w:ascii="Times New Roman" w:hAnsi="Times New Roman" w:cs="Times New Roman"/>
          <w:sz w:val="24"/>
          <w:szCs w:val="24"/>
        </w:rPr>
        <w:t>,</w:t>
      </w:r>
      <w:r>
        <w:rPr>
          <w:rFonts w:ascii="Times New Roman" w:hAnsi="Times New Roman" w:cs="Times New Roman"/>
          <w:sz w:val="24"/>
          <w:szCs w:val="24"/>
        </w:rPr>
        <w:t xml:space="preserve"> paplašināta nekustamā īpašuma nodokļa bāze, iekļaujot tajā arī</w:t>
      </w:r>
      <w:r w:rsidRPr="00321E45">
        <w:rPr>
          <w:rFonts w:ascii="Times New Roman" w:hAnsi="Times New Roman" w:cs="Times New Roman"/>
          <w:sz w:val="24"/>
          <w:szCs w:val="24"/>
        </w:rPr>
        <w:t xml:space="preserve"> dzīvojamā</w:t>
      </w:r>
      <w:r>
        <w:rPr>
          <w:rFonts w:ascii="Times New Roman" w:hAnsi="Times New Roman" w:cs="Times New Roman"/>
          <w:sz w:val="24"/>
          <w:szCs w:val="24"/>
        </w:rPr>
        <w:t>s</w:t>
      </w:r>
      <w:r w:rsidRPr="00321E45">
        <w:rPr>
          <w:rFonts w:ascii="Times New Roman" w:hAnsi="Times New Roman" w:cs="Times New Roman"/>
          <w:sz w:val="24"/>
          <w:szCs w:val="24"/>
        </w:rPr>
        <w:t xml:space="preserve"> platīb</w:t>
      </w:r>
      <w:r>
        <w:rPr>
          <w:rFonts w:ascii="Times New Roman" w:hAnsi="Times New Roman" w:cs="Times New Roman"/>
          <w:sz w:val="24"/>
          <w:szCs w:val="24"/>
        </w:rPr>
        <w:t>as, kapitāla pieaugums tiek aplikts ar iedzīvotāju ienākuma nodokli</w:t>
      </w:r>
      <w:r w:rsidRPr="00321E45">
        <w:rPr>
          <w:rFonts w:ascii="Times New Roman" w:hAnsi="Times New Roman" w:cs="Times New Roman"/>
          <w:sz w:val="24"/>
          <w:szCs w:val="24"/>
        </w:rPr>
        <w:t xml:space="preserve">.  </w:t>
      </w:r>
    </w:p>
    <w:p w:rsidR="007601FB" w:rsidRDefault="007601FB"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jāatzīmē arī citi faktori, kas </w:t>
      </w:r>
      <w:r w:rsidRPr="00321E45">
        <w:rPr>
          <w:rFonts w:ascii="Times New Roman" w:hAnsi="Times New Roman" w:cs="Times New Roman"/>
          <w:sz w:val="24"/>
          <w:szCs w:val="24"/>
        </w:rPr>
        <w:t>principā izslēdz piedāvājuma puses šokus</w:t>
      </w:r>
      <w:r>
        <w:rPr>
          <w:rFonts w:ascii="Times New Roman" w:hAnsi="Times New Roman" w:cs="Times New Roman"/>
          <w:sz w:val="24"/>
          <w:szCs w:val="24"/>
        </w:rPr>
        <w:t>:</w:t>
      </w:r>
      <w:r w:rsidRPr="00321E45">
        <w:rPr>
          <w:rFonts w:ascii="Times New Roman" w:hAnsi="Times New Roman" w:cs="Times New Roman"/>
          <w:sz w:val="24"/>
          <w:szCs w:val="24"/>
        </w:rPr>
        <w:t xml:space="preserve"> </w:t>
      </w:r>
    </w:p>
    <w:p w:rsidR="007601FB" w:rsidRDefault="007601FB" w:rsidP="00D77285">
      <w:pPr>
        <w:pStyle w:val="ListParagraph"/>
        <w:numPr>
          <w:ilvl w:val="0"/>
          <w:numId w:val="14"/>
        </w:numPr>
        <w:spacing w:after="0" w:line="240" w:lineRule="auto"/>
        <w:jc w:val="both"/>
        <w:rPr>
          <w:rFonts w:ascii="Times New Roman" w:hAnsi="Times New Roman" w:cs="Times New Roman"/>
          <w:sz w:val="24"/>
          <w:szCs w:val="24"/>
        </w:rPr>
      </w:pPr>
      <w:r w:rsidRPr="00227DB3">
        <w:rPr>
          <w:rFonts w:ascii="Times New Roman" w:hAnsi="Times New Roman" w:cs="Times New Roman"/>
          <w:sz w:val="24"/>
          <w:szCs w:val="24"/>
        </w:rPr>
        <w:t xml:space="preserve">banku sektors ir kļuvis daudz piesardzīgāks, izvērtējot potenciālos kredītņēmējus, </w:t>
      </w:r>
    </w:p>
    <w:p w:rsidR="007601FB" w:rsidRDefault="007601FB" w:rsidP="00D77285">
      <w:pPr>
        <w:pStyle w:val="ListParagraph"/>
        <w:numPr>
          <w:ilvl w:val="0"/>
          <w:numId w:val="14"/>
        </w:numPr>
        <w:spacing w:after="0" w:line="240" w:lineRule="auto"/>
        <w:jc w:val="both"/>
        <w:rPr>
          <w:rFonts w:ascii="Times New Roman" w:hAnsi="Times New Roman" w:cs="Times New Roman"/>
          <w:sz w:val="24"/>
          <w:szCs w:val="24"/>
        </w:rPr>
      </w:pPr>
      <w:r w:rsidRPr="00227DB3">
        <w:rPr>
          <w:rFonts w:ascii="Times New Roman" w:hAnsi="Times New Roman" w:cs="Times New Roman"/>
          <w:sz w:val="24"/>
          <w:szCs w:val="24"/>
        </w:rPr>
        <w:t>privātā sektora parādsaistības joprojām ir ļoti augstas,</w:t>
      </w:r>
      <w:r>
        <w:rPr>
          <w:rFonts w:ascii="Times New Roman" w:hAnsi="Times New Roman" w:cs="Times New Roman"/>
          <w:sz w:val="24"/>
          <w:szCs w:val="24"/>
        </w:rPr>
        <w:t xml:space="preserve"> kas mazina strauja pieprasījuma pieaugumu pēc kredītiem varbūtību; </w:t>
      </w:r>
      <w:r w:rsidRPr="00227DB3">
        <w:rPr>
          <w:rFonts w:ascii="Times New Roman" w:hAnsi="Times New Roman" w:cs="Times New Roman"/>
          <w:sz w:val="24"/>
          <w:szCs w:val="24"/>
        </w:rPr>
        <w:t xml:space="preserve"> </w:t>
      </w:r>
    </w:p>
    <w:p w:rsidR="007601FB" w:rsidRDefault="007601FB" w:rsidP="00D7728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būtiski ir palielinājies </w:t>
      </w:r>
      <w:r w:rsidRPr="00227DB3">
        <w:rPr>
          <w:rFonts w:ascii="Times New Roman" w:hAnsi="Times New Roman" w:cs="Times New Roman"/>
          <w:sz w:val="24"/>
          <w:szCs w:val="24"/>
        </w:rPr>
        <w:t>dzīvojamai</w:t>
      </w:r>
      <w:r>
        <w:rPr>
          <w:rFonts w:ascii="Times New Roman" w:hAnsi="Times New Roman" w:cs="Times New Roman"/>
          <w:sz w:val="24"/>
          <w:szCs w:val="24"/>
        </w:rPr>
        <w:t>s fonds;</w:t>
      </w:r>
    </w:p>
    <w:p w:rsidR="007601FB" w:rsidRDefault="007601FB" w:rsidP="00D77285">
      <w:pPr>
        <w:pStyle w:val="ListParagraph"/>
        <w:numPr>
          <w:ilvl w:val="0"/>
          <w:numId w:val="14"/>
        </w:numPr>
        <w:spacing w:after="0" w:line="240" w:lineRule="auto"/>
        <w:jc w:val="both"/>
        <w:rPr>
          <w:rFonts w:ascii="Times New Roman" w:hAnsi="Times New Roman" w:cs="Times New Roman"/>
          <w:sz w:val="24"/>
          <w:szCs w:val="24"/>
        </w:rPr>
      </w:pPr>
      <w:r w:rsidRPr="00227DB3">
        <w:rPr>
          <w:rFonts w:ascii="Times New Roman" w:hAnsi="Times New Roman" w:cs="Times New Roman"/>
          <w:sz w:val="24"/>
          <w:szCs w:val="24"/>
        </w:rPr>
        <w:t>līdz ar Fiskālās disciplīnas likuma apstiprināšanu Saeimā</w:t>
      </w:r>
      <w:r>
        <w:rPr>
          <w:rFonts w:ascii="Times New Roman" w:hAnsi="Times New Roman" w:cs="Times New Roman"/>
          <w:sz w:val="24"/>
          <w:szCs w:val="24"/>
        </w:rPr>
        <w:t>,</w:t>
      </w:r>
      <w:r w:rsidRPr="00227DB3">
        <w:rPr>
          <w:rFonts w:ascii="Times New Roman" w:hAnsi="Times New Roman" w:cs="Times New Roman"/>
          <w:sz w:val="24"/>
          <w:szCs w:val="24"/>
        </w:rPr>
        <w:t xml:space="preserve"> nacionālaj</w:t>
      </w:r>
      <w:r w:rsidR="00F5565D">
        <w:rPr>
          <w:rFonts w:ascii="Times New Roman" w:hAnsi="Times New Roman" w:cs="Times New Roman"/>
          <w:sz w:val="24"/>
          <w:szCs w:val="24"/>
        </w:rPr>
        <w:t>os</w:t>
      </w:r>
      <w:r w:rsidRPr="00227DB3">
        <w:rPr>
          <w:rFonts w:ascii="Times New Roman" w:hAnsi="Times New Roman" w:cs="Times New Roman"/>
          <w:sz w:val="24"/>
          <w:szCs w:val="24"/>
        </w:rPr>
        <w:t xml:space="preserve"> </w:t>
      </w:r>
      <w:r w:rsidR="00F5565D">
        <w:rPr>
          <w:rFonts w:ascii="Times New Roman" w:hAnsi="Times New Roman" w:cs="Times New Roman"/>
          <w:sz w:val="24"/>
          <w:szCs w:val="24"/>
        </w:rPr>
        <w:t>normatīvajos aktos</w:t>
      </w:r>
      <w:r w:rsidRPr="00227DB3">
        <w:rPr>
          <w:rFonts w:ascii="Times New Roman" w:hAnsi="Times New Roman" w:cs="Times New Roman"/>
          <w:sz w:val="24"/>
          <w:szCs w:val="24"/>
        </w:rPr>
        <w:t xml:space="preserve"> iestrādātie ilgtspējīgas fiskālās politikas principi</w:t>
      </w:r>
      <w:r>
        <w:rPr>
          <w:rFonts w:ascii="Times New Roman" w:hAnsi="Times New Roman" w:cs="Times New Roman"/>
          <w:sz w:val="24"/>
          <w:szCs w:val="24"/>
        </w:rPr>
        <w:t xml:space="preserve"> būtiski mazinās iespēju, ka nākotnē valdības fiskālā politika varētu </w:t>
      </w:r>
      <w:r w:rsidR="00771432">
        <w:rPr>
          <w:rFonts w:ascii="Times New Roman" w:hAnsi="Times New Roman" w:cs="Times New Roman"/>
          <w:sz w:val="24"/>
          <w:szCs w:val="24"/>
        </w:rPr>
        <w:t xml:space="preserve">veicināt </w:t>
      </w:r>
      <w:r>
        <w:rPr>
          <w:rFonts w:ascii="Times New Roman" w:hAnsi="Times New Roman" w:cs="Times New Roman"/>
          <w:sz w:val="24"/>
          <w:szCs w:val="24"/>
        </w:rPr>
        <w:t>ekonomikas pārkaršanas risku</w:t>
      </w:r>
      <w:r w:rsidR="00BF3E6B">
        <w:rPr>
          <w:rFonts w:ascii="Times New Roman" w:hAnsi="Times New Roman" w:cs="Times New Roman"/>
          <w:sz w:val="24"/>
          <w:szCs w:val="24"/>
        </w:rPr>
        <w:t xml:space="preserve"> pieaugumu</w:t>
      </w:r>
      <w:r>
        <w:rPr>
          <w:rFonts w:ascii="Times New Roman" w:hAnsi="Times New Roman" w:cs="Times New Roman"/>
          <w:sz w:val="24"/>
          <w:szCs w:val="24"/>
        </w:rPr>
        <w:t>.</w:t>
      </w:r>
      <w:r w:rsidRPr="00227DB3">
        <w:rPr>
          <w:rFonts w:ascii="Times New Roman" w:hAnsi="Times New Roman" w:cs="Times New Roman"/>
          <w:sz w:val="24"/>
          <w:szCs w:val="24"/>
        </w:rPr>
        <w:t xml:space="preserve"> </w:t>
      </w:r>
    </w:p>
    <w:p w:rsidR="001F4855" w:rsidRPr="001F4855" w:rsidRDefault="001F4855" w:rsidP="001F4855">
      <w:pPr>
        <w:spacing w:after="0" w:line="240" w:lineRule="auto"/>
        <w:jc w:val="both"/>
        <w:rPr>
          <w:rFonts w:ascii="Times New Roman" w:hAnsi="Times New Roman" w:cs="Times New Roman"/>
          <w:sz w:val="24"/>
          <w:szCs w:val="24"/>
        </w:rPr>
      </w:pPr>
    </w:p>
    <w:p w:rsidR="007601FB" w:rsidRDefault="007601FB" w:rsidP="007601FB">
      <w:pPr>
        <w:spacing w:after="0" w:line="240" w:lineRule="auto"/>
        <w:jc w:val="both"/>
        <w:rPr>
          <w:rFonts w:ascii="Times New Roman" w:hAnsi="Times New Roman" w:cs="Times New Roman"/>
          <w:sz w:val="24"/>
          <w:szCs w:val="24"/>
        </w:rPr>
      </w:pPr>
      <w:r w:rsidRPr="00227DB3">
        <w:rPr>
          <w:rFonts w:ascii="Times New Roman" w:hAnsi="Times New Roman" w:cs="Times New Roman"/>
          <w:sz w:val="24"/>
          <w:szCs w:val="24"/>
        </w:rPr>
        <w:t xml:space="preserve">Attiecībā uz piedāvājuma puses inflācijas riskiem – ir </w:t>
      </w:r>
      <w:r>
        <w:rPr>
          <w:rFonts w:ascii="Times New Roman" w:hAnsi="Times New Roman" w:cs="Times New Roman"/>
          <w:sz w:val="24"/>
          <w:szCs w:val="24"/>
        </w:rPr>
        <w:t>nozīmīgi</w:t>
      </w:r>
      <w:r w:rsidRPr="00227DB3">
        <w:rPr>
          <w:rFonts w:ascii="Times New Roman" w:hAnsi="Times New Roman" w:cs="Times New Roman"/>
          <w:sz w:val="24"/>
          <w:szCs w:val="24"/>
        </w:rPr>
        <w:t xml:space="preserve"> stiprināta darba tirgus vide un plānotas turpmākas reformas, kas nepieļaus algu – cenu spirāles veidošanos: atbalstoša nodokļu politika darbaspēkam, uzlaboti apmācības pasākumi, lai veicinātu strukturālā bezdarba mazināšanos, pasākumi jauniešu bezdarba mazināšanai u.c.</w:t>
      </w:r>
    </w:p>
    <w:p w:rsidR="001F4855" w:rsidRPr="00227DB3" w:rsidRDefault="001F4855" w:rsidP="007601FB">
      <w:pPr>
        <w:spacing w:after="0" w:line="240" w:lineRule="auto"/>
        <w:jc w:val="both"/>
        <w:rPr>
          <w:rFonts w:ascii="Times New Roman" w:hAnsi="Times New Roman" w:cs="Times New Roman"/>
          <w:sz w:val="24"/>
          <w:szCs w:val="24"/>
        </w:rPr>
      </w:pPr>
    </w:p>
    <w:p w:rsidR="007601FB" w:rsidRPr="00321E45" w:rsidRDefault="007601FB" w:rsidP="007601FB">
      <w:pPr>
        <w:spacing w:after="0" w:line="240" w:lineRule="auto"/>
        <w:jc w:val="both"/>
        <w:rPr>
          <w:rFonts w:ascii="Times New Roman" w:hAnsi="Times New Roman" w:cs="Times New Roman"/>
          <w:sz w:val="24"/>
          <w:szCs w:val="24"/>
        </w:rPr>
      </w:pPr>
      <w:r w:rsidRPr="00321E45">
        <w:rPr>
          <w:rFonts w:ascii="Times New Roman" w:hAnsi="Times New Roman" w:cs="Times New Roman"/>
          <w:sz w:val="24"/>
          <w:szCs w:val="24"/>
        </w:rPr>
        <w:t>Raugoties no ekonomikas izaugsmes perspektīvas</w:t>
      </w:r>
      <w:r w:rsidR="00BF3E6B">
        <w:rPr>
          <w:rFonts w:ascii="Times New Roman" w:hAnsi="Times New Roman" w:cs="Times New Roman"/>
          <w:sz w:val="24"/>
          <w:szCs w:val="24"/>
        </w:rPr>
        <w:t>,</w:t>
      </w:r>
      <w:r w:rsidRPr="00321E45">
        <w:rPr>
          <w:rFonts w:ascii="Times New Roman" w:hAnsi="Times New Roman" w:cs="Times New Roman"/>
          <w:sz w:val="24"/>
          <w:szCs w:val="24"/>
        </w:rPr>
        <w:t xml:space="preserve"> Latvijā inflācijas līmeni</w:t>
      </w:r>
      <w:r>
        <w:rPr>
          <w:rFonts w:ascii="Times New Roman" w:hAnsi="Times New Roman" w:cs="Times New Roman"/>
          <w:sz w:val="24"/>
          <w:szCs w:val="24"/>
        </w:rPr>
        <w:t>s vidējā un ilgākā termiņā visticamāk būs augstāks</w:t>
      </w:r>
      <w:r w:rsidRPr="00321E45">
        <w:rPr>
          <w:rFonts w:ascii="Times New Roman" w:hAnsi="Times New Roman" w:cs="Times New Roman"/>
          <w:sz w:val="24"/>
          <w:szCs w:val="24"/>
        </w:rPr>
        <w:t xml:space="preserve"> nekā pašlaik, </w:t>
      </w:r>
      <w:r w:rsidR="00BF3E6B">
        <w:rPr>
          <w:rFonts w:ascii="Times New Roman" w:hAnsi="Times New Roman" w:cs="Times New Roman"/>
          <w:sz w:val="24"/>
          <w:szCs w:val="24"/>
        </w:rPr>
        <w:t xml:space="preserve">ko varētu veicināt pakāpeniska tuvošanās </w:t>
      </w:r>
      <w:r w:rsidRPr="00321E45">
        <w:rPr>
          <w:rFonts w:ascii="Times New Roman" w:hAnsi="Times New Roman" w:cs="Times New Roman"/>
          <w:sz w:val="24"/>
          <w:szCs w:val="24"/>
        </w:rPr>
        <w:t>attīstīto ES valstu labklājības līmenim. Tomēr sagaidāms, ka cenu līmeņa konverģenci ar eiro</w:t>
      </w:r>
      <w:r w:rsidR="00BF3E6B">
        <w:rPr>
          <w:rFonts w:ascii="Times New Roman" w:hAnsi="Times New Roman" w:cs="Times New Roman"/>
          <w:sz w:val="24"/>
          <w:szCs w:val="24"/>
        </w:rPr>
        <w:t xml:space="preserve"> </w:t>
      </w:r>
      <w:r w:rsidRPr="00321E45">
        <w:rPr>
          <w:rFonts w:ascii="Times New Roman" w:hAnsi="Times New Roman" w:cs="Times New Roman"/>
          <w:sz w:val="24"/>
          <w:szCs w:val="24"/>
        </w:rPr>
        <w:t xml:space="preserve">zonas valstīm pamatā noteiks produktivitātes pieaugums tirgojamo preču un pakalpojumu sfērā nevis citi faktori. </w:t>
      </w:r>
    </w:p>
    <w:p w:rsidR="007601FB" w:rsidRPr="00321E45" w:rsidRDefault="007E2351" w:rsidP="002C1AAD">
      <w:pPr>
        <w:spacing w:after="0" w:line="240" w:lineRule="auto"/>
        <w:jc w:val="center"/>
        <w:rPr>
          <w:rFonts w:ascii="Times New Roman" w:hAnsi="Times New Roman" w:cs="Times New Roman"/>
          <w:sz w:val="24"/>
          <w:szCs w:val="24"/>
        </w:rPr>
      </w:pPr>
      <w:r w:rsidRPr="007E2351">
        <w:drawing>
          <wp:inline distT="0" distB="0" distL="0" distR="0">
            <wp:extent cx="5760085" cy="3179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179030"/>
                    </a:xfrm>
                    <a:prstGeom prst="rect">
                      <a:avLst/>
                    </a:prstGeom>
                    <a:noFill/>
                    <a:ln>
                      <a:noFill/>
                    </a:ln>
                  </pic:spPr>
                </pic:pic>
              </a:graphicData>
            </a:graphic>
          </wp:inline>
        </w:drawing>
      </w:r>
    </w:p>
    <w:p w:rsidR="007601FB" w:rsidRDefault="007601FB" w:rsidP="002C1AAD">
      <w:pPr>
        <w:spacing w:after="0" w:line="240" w:lineRule="auto"/>
        <w:rPr>
          <w:rFonts w:ascii="Times New Roman" w:hAnsi="Times New Roman" w:cs="Times New Roman"/>
          <w:b/>
          <w:szCs w:val="24"/>
        </w:rPr>
      </w:pPr>
      <w:r w:rsidRPr="002C1AAD">
        <w:rPr>
          <w:rFonts w:ascii="Times New Roman" w:hAnsi="Times New Roman" w:cs="Times New Roman"/>
          <w:b/>
          <w:szCs w:val="24"/>
        </w:rPr>
        <w:t>5.attēls.</w:t>
      </w:r>
      <w:r w:rsidRPr="002C1AAD">
        <w:rPr>
          <w:rFonts w:ascii="Times New Roman" w:hAnsi="Times New Roman" w:cs="Times New Roman"/>
          <w:szCs w:val="24"/>
        </w:rPr>
        <w:t xml:space="preserve"> </w:t>
      </w:r>
      <w:r w:rsidRPr="002C1AAD">
        <w:rPr>
          <w:rFonts w:ascii="Times New Roman" w:hAnsi="Times New Roman" w:cs="Times New Roman"/>
          <w:b/>
          <w:szCs w:val="24"/>
        </w:rPr>
        <w:t>Latvijas valsts ilgtermiņa parāda vērtspapīru procentu likmes, 12 mēnešu vidējais, %</w:t>
      </w:r>
    </w:p>
    <w:p w:rsidR="002C1AAD" w:rsidRPr="002C1AAD" w:rsidRDefault="002C1AAD" w:rsidP="002C1AAD">
      <w:pPr>
        <w:spacing w:after="0" w:line="240" w:lineRule="auto"/>
        <w:rPr>
          <w:rFonts w:ascii="Times New Roman" w:hAnsi="Times New Roman" w:cs="Times New Roman"/>
          <w:szCs w:val="24"/>
        </w:rPr>
      </w:pPr>
    </w:p>
    <w:p w:rsidR="007601FB" w:rsidRPr="002C1AAD" w:rsidRDefault="007601FB" w:rsidP="002C1AAD">
      <w:pPr>
        <w:spacing w:after="0" w:line="240" w:lineRule="auto"/>
        <w:rPr>
          <w:rFonts w:ascii="Times New Roman" w:hAnsi="Times New Roman" w:cs="Times New Roman"/>
          <w:i/>
          <w:szCs w:val="24"/>
        </w:rPr>
      </w:pPr>
      <w:r w:rsidRPr="002C1AAD">
        <w:rPr>
          <w:rFonts w:ascii="Times New Roman" w:hAnsi="Times New Roman" w:cs="Times New Roman"/>
          <w:i/>
          <w:szCs w:val="24"/>
        </w:rPr>
        <w:t>Avots : Eurostat, Latvijas bankas aprēķini</w:t>
      </w:r>
    </w:p>
    <w:p w:rsidR="001F4855" w:rsidRPr="001F4855" w:rsidRDefault="001F4855" w:rsidP="001F4855">
      <w:pPr>
        <w:spacing w:after="0" w:line="240" w:lineRule="auto"/>
        <w:jc w:val="center"/>
        <w:rPr>
          <w:rFonts w:ascii="Times New Roman" w:hAnsi="Times New Roman" w:cs="Times New Roman"/>
          <w:i/>
          <w:sz w:val="20"/>
          <w:szCs w:val="24"/>
        </w:rPr>
      </w:pPr>
    </w:p>
    <w:p w:rsidR="007601FB" w:rsidRDefault="007601FB"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Kopš straujā valsts ilgtermiņa parāda vērtspapīru procentu likmju kāpuma ekonomiskās krīzes vidū, kas bija gan rezultāts finanšu tirgus spēlētāju spekulācijām, gan arī neskaidrībai par turpmāko Latvijas ekonomisko attīstību, procentu likmes turpina samazināties, kas atspoguļo </w:t>
      </w:r>
      <w:r w:rsidRPr="00B47E8F">
        <w:rPr>
          <w:rFonts w:ascii="Times New Roman" w:hAnsi="Times New Roman" w:cs="Times New Roman"/>
          <w:sz w:val="24"/>
          <w:szCs w:val="24"/>
        </w:rPr>
        <w:t>ārējās vides pārliecību par to, ka Latvijas ekonomika</w:t>
      </w:r>
      <w:r>
        <w:rPr>
          <w:rFonts w:ascii="Times New Roman" w:hAnsi="Times New Roman" w:cs="Times New Roman"/>
          <w:sz w:val="24"/>
          <w:szCs w:val="24"/>
        </w:rPr>
        <w:t xml:space="preserve"> </w:t>
      </w:r>
      <w:r w:rsidRPr="00B47E8F">
        <w:rPr>
          <w:rFonts w:ascii="Times New Roman" w:hAnsi="Times New Roman" w:cs="Times New Roman"/>
          <w:sz w:val="24"/>
          <w:szCs w:val="24"/>
        </w:rPr>
        <w:t>ir stabils garants ieguldījumam valstī</w:t>
      </w:r>
      <w:r>
        <w:rPr>
          <w:rFonts w:ascii="Times New Roman" w:hAnsi="Times New Roman" w:cs="Times New Roman"/>
          <w:sz w:val="24"/>
          <w:szCs w:val="24"/>
        </w:rPr>
        <w:t>, kas ir ticis panākts ar fiskālās ilgtspējas nodrošināšanu un ekonomiskās izaugsmes sekmīgu atjaunošanos.</w:t>
      </w:r>
    </w:p>
    <w:p w:rsidR="001F4855" w:rsidRDefault="001F4855" w:rsidP="007601FB">
      <w:pPr>
        <w:spacing w:after="0" w:line="240" w:lineRule="auto"/>
        <w:jc w:val="both"/>
        <w:rPr>
          <w:rFonts w:ascii="Times New Roman" w:hAnsi="Times New Roman" w:cs="Times New Roman"/>
          <w:sz w:val="24"/>
          <w:szCs w:val="24"/>
        </w:rPr>
      </w:pPr>
    </w:p>
    <w:p w:rsidR="007601FB" w:rsidRDefault="007601FB" w:rsidP="00760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B47E8F">
        <w:rPr>
          <w:rFonts w:ascii="Times New Roman" w:hAnsi="Times New Roman" w:cs="Times New Roman"/>
          <w:sz w:val="24"/>
          <w:szCs w:val="24"/>
        </w:rPr>
        <w:t>ekmīga starptautiskās aizdevuma programmas noslēgšana, atgriešanās starptautiskajos finanšu tirgos,</w:t>
      </w:r>
      <w:r>
        <w:rPr>
          <w:rFonts w:ascii="Times New Roman" w:hAnsi="Times New Roman" w:cs="Times New Roman"/>
          <w:sz w:val="24"/>
          <w:szCs w:val="24"/>
        </w:rPr>
        <w:t xml:space="preserve"> aizdevuma</w:t>
      </w:r>
      <w:r w:rsidRPr="00B47E8F">
        <w:rPr>
          <w:rFonts w:ascii="Times New Roman" w:hAnsi="Times New Roman" w:cs="Times New Roman"/>
          <w:sz w:val="24"/>
          <w:szCs w:val="24"/>
        </w:rPr>
        <w:t xml:space="preserve"> atmaksa</w:t>
      </w:r>
      <w:r>
        <w:rPr>
          <w:rFonts w:ascii="Times New Roman" w:hAnsi="Times New Roman" w:cs="Times New Roman"/>
          <w:sz w:val="24"/>
          <w:szCs w:val="24"/>
        </w:rPr>
        <w:t xml:space="preserve"> Starptautiskajam Valūtas fondam</w:t>
      </w:r>
      <w:r w:rsidRPr="00B47E8F">
        <w:rPr>
          <w:rFonts w:ascii="Times New Roman" w:hAnsi="Times New Roman" w:cs="Times New Roman"/>
          <w:sz w:val="24"/>
          <w:szCs w:val="24"/>
        </w:rPr>
        <w:t xml:space="preserve">, </w:t>
      </w:r>
      <w:r>
        <w:rPr>
          <w:rFonts w:ascii="Times New Roman" w:hAnsi="Times New Roman" w:cs="Times New Roman"/>
          <w:sz w:val="24"/>
          <w:szCs w:val="24"/>
        </w:rPr>
        <w:t>valsts kredīt</w:t>
      </w:r>
      <w:r w:rsidRPr="00B47E8F">
        <w:rPr>
          <w:rFonts w:ascii="Times New Roman" w:hAnsi="Times New Roman" w:cs="Times New Roman"/>
          <w:sz w:val="24"/>
          <w:szCs w:val="24"/>
        </w:rPr>
        <w:t xml:space="preserve">reitingu </w:t>
      </w:r>
      <w:r>
        <w:rPr>
          <w:rFonts w:ascii="Times New Roman" w:hAnsi="Times New Roman" w:cs="Times New Roman"/>
          <w:sz w:val="24"/>
          <w:szCs w:val="24"/>
        </w:rPr>
        <w:t>atjaunošana līdz investīciju pakāpei, kopējās ekonomiskās attīstības tendences un fiskālās disciplīnas stiprināšana</w:t>
      </w:r>
      <w:r w:rsidRPr="00B47E8F">
        <w:rPr>
          <w:rFonts w:ascii="Times New Roman" w:hAnsi="Times New Roman" w:cs="Times New Roman"/>
          <w:sz w:val="24"/>
          <w:szCs w:val="24"/>
        </w:rPr>
        <w:t xml:space="preserve"> – </w:t>
      </w:r>
      <w:r>
        <w:rPr>
          <w:rFonts w:ascii="Times New Roman" w:hAnsi="Times New Roman" w:cs="Times New Roman"/>
          <w:sz w:val="24"/>
          <w:szCs w:val="24"/>
        </w:rPr>
        <w:t xml:space="preserve">tie ir </w:t>
      </w:r>
      <w:r w:rsidRPr="00B47E8F">
        <w:rPr>
          <w:rFonts w:ascii="Times New Roman" w:hAnsi="Times New Roman" w:cs="Times New Roman"/>
          <w:sz w:val="24"/>
          <w:szCs w:val="24"/>
        </w:rPr>
        <w:t xml:space="preserve">pozitīvie </w:t>
      </w:r>
      <w:r>
        <w:rPr>
          <w:rFonts w:ascii="Times New Roman" w:hAnsi="Times New Roman" w:cs="Times New Roman"/>
          <w:sz w:val="24"/>
          <w:szCs w:val="24"/>
        </w:rPr>
        <w:t>aspekti</w:t>
      </w:r>
      <w:r w:rsidRPr="00B47E8F">
        <w:rPr>
          <w:rFonts w:ascii="Times New Roman" w:hAnsi="Times New Roman" w:cs="Times New Roman"/>
          <w:sz w:val="24"/>
          <w:szCs w:val="24"/>
        </w:rPr>
        <w:t>, k</w:t>
      </w:r>
      <w:r>
        <w:rPr>
          <w:rFonts w:ascii="Times New Roman" w:hAnsi="Times New Roman" w:cs="Times New Roman"/>
          <w:sz w:val="24"/>
          <w:szCs w:val="24"/>
        </w:rPr>
        <w:t>urus ārējie partneri novērtē un kuri liek būtisku pamatu tendencei, ka valsts vērtspapīru procentu</w:t>
      </w:r>
      <w:r w:rsidRPr="00B47E8F">
        <w:rPr>
          <w:rFonts w:ascii="Times New Roman" w:hAnsi="Times New Roman" w:cs="Times New Roman"/>
          <w:sz w:val="24"/>
          <w:szCs w:val="24"/>
        </w:rPr>
        <w:t xml:space="preserve"> likm</w:t>
      </w:r>
      <w:r>
        <w:rPr>
          <w:rFonts w:ascii="Times New Roman" w:hAnsi="Times New Roman" w:cs="Times New Roman"/>
          <w:sz w:val="24"/>
          <w:szCs w:val="24"/>
        </w:rPr>
        <w:t>es saglabāsies zemā un ilgtspē</w:t>
      </w:r>
      <w:r w:rsidRPr="00B47E8F">
        <w:rPr>
          <w:rFonts w:ascii="Times New Roman" w:hAnsi="Times New Roman" w:cs="Times New Roman"/>
          <w:sz w:val="24"/>
          <w:szCs w:val="24"/>
        </w:rPr>
        <w:t>jīgā līmenī.</w:t>
      </w:r>
    </w:p>
    <w:p w:rsidR="00FF7901" w:rsidRDefault="00FF7901" w:rsidP="007601FB">
      <w:pPr>
        <w:spacing w:after="0" w:line="240" w:lineRule="auto"/>
        <w:jc w:val="both"/>
        <w:rPr>
          <w:rFonts w:ascii="Times New Roman" w:hAnsi="Times New Roman" w:cs="Times New Roman"/>
          <w:color w:val="000000"/>
          <w:sz w:val="24"/>
          <w:szCs w:val="24"/>
        </w:rPr>
      </w:pPr>
    </w:p>
    <w:p w:rsidR="003F6B4F" w:rsidRDefault="003F6B4F" w:rsidP="007601FB">
      <w:pPr>
        <w:spacing w:after="0" w:line="240" w:lineRule="auto"/>
        <w:jc w:val="both"/>
        <w:rPr>
          <w:rFonts w:ascii="Times New Roman" w:hAnsi="Times New Roman" w:cs="Times New Roman"/>
          <w:color w:val="000000"/>
          <w:sz w:val="24"/>
          <w:szCs w:val="24"/>
        </w:rPr>
      </w:pPr>
    </w:p>
    <w:p w:rsidR="007601FB" w:rsidRDefault="007601FB" w:rsidP="007601FB">
      <w:pPr>
        <w:pStyle w:val="naiskr"/>
        <w:spacing w:before="0" w:after="0"/>
        <w:jc w:val="both"/>
        <w:rPr>
          <w:b/>
          <w:u w:val="single"/>
        </w:rPr>
      </w:pPr>
      <w:r w:rsidRPr="00F03700">
        <w:rPr>
          <w:b/>
          <w:u w:val="single"/>
        </w:rPr>
        <w:t>Konverģences ziņojuma pieprasīšana</w:t>
      </w:r>
    </w:p>
    <w:p w:rsidR="00FF7901" w:rsidRDefault="00FF7901" w:rsidP="007601FB">
      <w:pPr>
        <w:spacing w:after="0" w:line="240" w:lineRule="auto"/>
        <w:jc w:val="both"/>
        <w:rPr>
          <w:rFonts w:ascii="Times New Roman" w:hAnsi="Times New Roman" w:cs="Times New Roman"/>
          <w:color w:val="000000"/>
          <w:sz w:val="24"/>
          <w:szCs w:val="24"/>
        </w:rPr>
      </w:pPr>
    </w:p>
    <w:p w:rsidR="007601FB" w:rsidRDefault="0085300C" w:rsidP="007601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94438F">
        <w:rPr>
          <w:rFonts w:ascii="Times New Roman" w:hAnsi="Times New Roman" w:cs="Times New Roman"/>
          <w:color w:val="000000"/>
          <w:sz w:val="24"/>
          <w:szCs w:val="24"/>
        </w:rPr>
        <w:t>evērojot to, ka</w:t>
      </w:r>
      <w:r w:rsidR="0094438F" w:rsidRPr="006D00CD">
        <w:rPr>
          <w:rFonts w:ascii="Times New Roman" w:hAnsi="Times New Roman" w:cs="Times New Roman"/>
          <w:color w:val="000000"/>
          <w:sz w:val="24"/>
          <w:szCs w:val="24"/>
        </w:rPr>
        <w:t xml:space="preserve"> </w:t>
      </w:r>
      <w:r w:rsidR="00FF7901" w:rsidRPr="006D00CD">
        <w:rPr>
          <w:rFonts w:ascii="Times New Roman" w:hAnsi="Times New Roman" w:cs="Times New Roman"/>
          <w:color w:val="000000"/>
          <w:sz w:val="24"/>
          <w:szCs w:val="24"/>
        </w:rPr>
        <w:t xml:space="preserve">Latvija ir sekmīgi </w:t>
      </w:r>
      <w:r w:rsidR="0094438F">
        <w:rPr>
          <w:rFonts w:ascii="Times New Roman" w:hAnsi="Times New Roman" w:cs="Times New Roman"/>
          <w:color w:val="000000"/>
          <w:sz w:val="24"/>
          <w:szCs w:val="24"/>
        </w:rPr>
        <w:t>īstenojusi</w:t>
      </w:r>
      <w:r w:rsidR="00FF7901" w:rsidRPr="006D00CD">
        <w:rPr>
          <w:rFonts w:ascii="Times New Roman" w:hAnsi="Times New Roman" w:cs="Times New Roman"/>
          <w:color w:val="000000"/>
          <w:sz w:val="24"/>
          <w:szCs w:val="24"/>
        </w:rPr>
        <w:t xml:space="preserve"> tiesisko</w:t>
      </w:r>
      <w:r w:rsidR="007601FB">
        <w:rPr>
          <w:rFonts w:ascii="Times New Roman" w:hAnsi="Times New Roman" w:cs="Times New Roman"/>
          <w:color w:val="000000"/>
          <w:sz w:val="24"/>
          <w:szCs w:val="24"/>
        </w:rPr>
        <w:t xml:space="preserve"> un </w:t>
      </w:r>
      <w:r w:rsidR="007601FB" w:rsidRPr="006D00CD">
        <w:rPr>
          <w:rFonts w:ascii="Times New Roman" w:hAnsi="Times New Roman" w:cs="Times New Roman"/>
          <w:color w:val="000000"/>
          <w:sz w:val="24"/>
          <w:szCs w:val="24"/>
        </w:rPr>
        <w:t>ekonomisk</w:t>
      </w:r>
      <w:r w:rsidR="007601FB">
        <w:rPr>
          <w:rFonts w:ascii="Times New Roman" w:hAnsi="Times New Roman" w:cs="Times New Roman"/>
          <w:color w:val="000000"/>
          <w:sz w:val="24"/>
          <w:szCs w:val="24"/>
        </w:rPr>
        <w:t>o</w:t>
      </w:r>
      <w:r w:rsidR="00FF7901" w:rsidRPr="006D00CD">
        <w:rPr>
          <w:rFonts w:ascii="Times New Roman" w:hAnsi="Times New Roman" w:cs="Times New Roman"/>
          <w:color w:val="000000"/>
          <w:sz w:val="24"/>
          <w:szCs w:val="24"/>
        </w:rPr>
        <w:t xml:space="preserve"> konverģenci</w:t>
      </w:r>
      <w:r w:rsidR="00FF7901">
        <w:rPr>
          <w:rFonts w:ascii="Times New Roman" w:hAnsi="Times New Roman" w:cs="Times New Roman"/>
          <w:color w:val="000000"/>
          <w:sz w:val="24"/>
          <w:szCs w:val="24"/>
        </w:rPr>
        <w:t xml:space="preserve">, </w:t>
      </w:r>
      <w:r w:rsidR="00D03BE5">
        <w:rPr>
          <w:rFonts w:ascii="Times New Roman" w:hAnsi="Times New Roman" w:cs="Times New Roman"/>
          <w:color w:val="000000"/>
          <w:sz w:val="24"/>
          <w:szCs w:val="24"/>
        </w:rPr>
        <w:t xml:space="preserve">kas saskaņā ar Līguma 140.panta 2.punktu ir priekšnosacījums eiro ieviešanai, </w:t>
      </w:r>
      <w:r w:rsidR="004661F2">
        <w:rPr>
          <w:rFonts w:ascii="Times New Roman" w:hAnsi="Times New Roman" w:cs="Times New Roman"/>
          <w:color w:val="000000"/>
          <w:sz w:val="24"/>
          <w:szCs w:val="24"/>
        </w:rPr>
        <w:t xml:space="preserve">lai sasniegtu </w:t>
      </w:r>
      <w:r w:rsidR="004661F2">
        <w:rPr>
          <w:rFonts w:ascii="Times New Roman" w:hAnsi="Times New Roman"/>
          <w:color w:val="000000"/>
          <w:sz w:val="24"/>
          <w:szCs w:val="24"/>
        </w:rPr>
        <w:t xml:space="preserve">Deklarācijā par Valda Dombrovska vadītā Ministru kabineta iecerēto darbību un Ministru kabineta 2012.gada 19.septembra rīkojuma Nr.441 "Par Latvijas Nacionālo </w:t>
      </w:r>
      <w:r w:rsidR="004661F2">
        <w:rPr>
          <w:rFonts w:ascii="Times New Roman" w:hAnsi="Times New Roman"/>
          <w:i/>
          <w:iCs/>
          <w:color w:val="000000"/>
          <w:sz w:val="24"/>
          <w:szCs w:val="24"/>
        </w:rPr>
        <w:t>euro</w:t>
      </w:r>
      <w:r w:rsidR="004661F2">
        <w:rPr>
          <w:rFonts w:ascii="Times New Roman" w:hAnsi="Times New Roman"/>
          <w:color w:val="000000"/>
          <w:sz w:val="24"/>
          <w:szCs w:val="24"/>
        </w:rPr>
        <w:t xml:space="preserve"> ieviešanas plānu" 6.punktā noteikto mērķi, </w:t>
      </w:r>
      <w:r>
        <w:rPr>
          <w:rFonts w:ascii="Times New Roman" w:hAnsi="Times New Roman" w:cs="Times New Roman"/>
          <w:color w:val="000000"/>
          <w:sz w:val="24"/>
          <w:szCs w:val="24"/>
        </w:rPr>
        <w:t xml:space="preserve">ņemot vērā </w:t>
      </w:r>
      <w:r w:rsidR="00FF7901" w:rsidRPr="006D00CD">
        <w:rPr>
          <w:rFonts w:ascii="Times New Roman" w:hAnsi="Times New Roman" w:cs="Times New Roman"/>
          <w:sz w:val="24"/>
          <w:szCs w:val="24"/>
        </w:rPr>
        <w:t>Līguma 140.panta 1.punkt</w:t>
      </w:r>
      <w:r w:rsidR="004661F2">
        <w:rPr>
          <w:rFonts w:ascii="Times New Roman" w:hAnsi="Times New Roman" w:cs="Times New Roman"/>
          <w:sz w:val="24"/>
          <w:szCs w:val="24"/>
        </w:rPr>
        <w:t>a</w:t>
      </w:r>
      <w:r>
        <w:rPr>
          <w:rFonts w:ascii="Times New Roman" w:hAnsi="Times New Roman" w:cs="Times New Roman"/>
          <w:sz w:val="24"/>
          <w:szCs w:val="24"/>
        </w:rPr>
        <w:t xml:space="preserve"> noteik</w:t>
      </w:r>
      <w:r w:rsidR="004661F2">
        <w:rPr>
          <w:rFonts w:ascii="Times New Roman" w:hAnsi="Times New Roman" w:cs="Times New Roman"/>
          <w:sz w:val="24"/>
          <w:szCs w:val="24"/>
        </w:rPr>
        <w:t>umu</w:t>
      </w:r>
      <w:r>
        <w:rPr>
          <w:rFonts w:ascii="Times New Roman" w:hAnsi="Times New Roman" w:cs="Times New Roman"/>
          <w:sz w:val="24"/>
          <w:szCs w:val="24"/>
        </w:rPr>
        <w:t xml:space="preserve">, ka </w:t>
      </w:r>
      <w:r w:rsidR="00C5354C" w:rsidRPr="006D00CD">
        <w:rPr>
          <w:rFonts w:ascii="Times New Roman" w:hAnsi="Times New Roman" w:cs="Times New Roman"/>
          <w:sz w:val="24"/>
          <w:szCs w:val="24"/>
        </w:rPr>
        <w:t xml:space="preserve">EK </w:t>
      </w:r>
      <w:r w:rsidR="00FF7901" w:rsidRPr="006D00CD">
        <w:rPr>
          <w:rFonts w:ascii="Times New Roman" w:hAnsi="Times New Roman" w:cs="Times New Roman"/>
          <w:sz w:val="24"/>
          <w:szCs w:val="24"/>
        </w:rPr>
        <w:t>un</w:t>
      </w:r>
      <w:r w:rsidR="00FF7901">
        <w:rPr>
          <w:rFonts w:ascii="Times New Roman" w:hAnsi="Times New Roman" w:cs="Times New Roman"/>
          <w:sz w:val="24"/>
          <w:szCs w:val="24"/>
        </w:rPr>
        <w:t xml:space="preserve"> </w:t>
      </w:r>
      <w:r w:rsidR="00C5354C" w:rsidRPr="006D00CD">
        <w:rPr>
          <w:rFonts w:ascii="Times New Roman" w:hAnsi="Times New Roman" w:cs="Times New Roman"/>
          <w:sz w:val="24"/>
          <w:szCs w:val="24"/>
        </w:rPr>
        <w:t>ECB</w:t>
      </w:r>
      <w:r w:rsidR="00C535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pēc dalībvalsts ar izņēmuma statusu (</w:t>
      </w:r>
      <w:r w:rsidR="004661F2">
        <w:rPr>
          <w:rFonts w:ascii="Times New Roman" w:hAnsi="Times New Roman" w:cs="Times New Roman"/>
          <w:color w:val="000000"/>
          <w:sz w:val="24"/>
          <w:szCs w:val="24"/>
        </w:rPr>
        <w:t xml:space="preserve">kas ir arī </w:t>
      </w:r>
      <w:r>
        <w:rPr>
          <w:rFonts w:ascii="Times New Roman" w:hAnsi="Times New Roman" w:cs="Times New Roman"/>
          <w:color w:val="000000"/>
          <w:sz w:val="24"/>
          <w:szCs w:val="24"/>
        </w:rPr>
        <w:t xml:space="preserve">Latvija) </w:t>
      </w:r>
      <w:r w:rsidR="00FF7901" w:rsidRPr="006D00CD">
        <w:rPr>
          <w:rFonts w:ascii="Times New Roman" w:hAnsi="Times New Roman" w:cs="Times New Roman"/>
          <w:color w:val="000000"/>
          <w:sz w:val="24"/>
          <w:szCs w:val="24"/>
        </w:rPr>
        <w:t>pieprasījum</w:t>
      </w:r>
      <w:r>
        <w:rPr>
          <w:rFonts w:ascii="Times New Roman" w:hAnsi="Times New Roman" w:cs="Times New Roman"/>
          <w:color w:val="000000"/>
          <w:sz w:val="24"/>
          <w:szCs w:val="24"/>
        </w:rPr>
        <w:t xml:space="preserve">a sniedz ziņojumu </w:t>
      </w:r>
      <w:r w:rsidR="004661F2">
        <w:rPr>
          <w:rFonts w:ascii="Times New Roman" w:hAnsi="Times New Roman" w:cs="Times New Roman"/>
          <w:color w:val="000000"/>
          <w:sz w:val="24"/>
          <w:szCs w:val="24"/>
        </w:rPr>
        <w:t xml:space="preserve">Eiropas Savienības </w:t>
      </w:r>
      <w:r>
        <w:rPr>
          <w:rFonts w:ascii="Times New Roman" w:hAnsi="Times New Roman" w:cs="Times New Roman"/>
          <w:color w:val="000000"/>
          <w:sz w:val="24"/>
          <w:szCs w:val="24"/>
        </w:rPr>
        <w:t>Padomei par panākumiem, ko guvušas dalībvalstis ar izņēmumu statusu, pildot saistības attiecībā uz ekonomiskās un monetārās savienības izveidi,</w:t>
      </w:r>
      <w:r w:rsidR="00FF7901" w:rsidRPr="006D00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Latvijai</w:t>
      </w:r>
      <w:r w:rsidR="004661F2">
        <w:rPr>
          <w:rFonts w:ascii="Times New Roman" w:hAnsi="Times New Roman" w:cs="Times New Roman"/>
          <w:color w:val="000000"/>
          <w:sz w:val="24"/>
          <w:szCs w:val="24"/>
        </w:rPr>
        <w:t xml:space="preserve"> ir</w:t>
      </w:r>
      <w:r>
        <w:rPr>
          <w:rFonts w:ascii="Times New Roman" w:hAnsi="Times New Roman" w:cs="Times New Roman"/>
          <w:color w:val="000000"/>
          <w:sz w:val="24"/>
          <w:szCs w:val="24"/>
        </w:rPr>
        <w:t xml:space="preserve"> jā</w:t>
      </w:r>
      <w:r w:rsidR="00D03BE5">
        <w:rPr>
          <w:rFonts w:ascii="Times New Roman" w:hAnsi="Times New Roman" w:cs="Times New Roman"/>
          <w:color w:val="000000"/>
          <w:sz w:val="24"/>
          <w:szCs w:val="24"/>
        </w:rPr>
        <w:t>vēršas</w:t>
      </w:r>
      <w:r w:rsidR="00C5354C">
        <w:rPr>
          <w:rFonts w:ascii="Times New Roman" w:hAnsi="Times New Roman" w:cs="Times New Roman"/>
          <w:color w:val="000000"/>
          <w:sz w:val="24"/>
          <w:szCs w:val="24"/>
        </w:rPr>
        <w:t xml:space="preserve"> EK un ECB </w:t>
      </w:r>
      <w:r w:rsidR="00D03BE5">
        <w:rPr>
          <w:rFonts w:ascii="Times New Roman" w:hAnsi="Times New Roman" w:cs="Times New Roman"/>
          <w:color w:val="000000"/>
          <w:sz w:val="24"/>
          <w:szCs w:val="24"/>
        </w:rPr>
        <w:t xml:space="preserve">ar </w:t>
      </w:r>
      <w:r w:rsidR="00C5354C">
        <w:rPr>
          <w:rFonts w:ascii="Times New Roman" w:hAnsi="Times New Roman" w:cs="Times New Roman"/>
          <w:color w:val="000000"/>
          <w:sz w:val="24"/>
          <w:szCs w:val="24"/>
        </w:rPr>
        <w:t>pieprasījum</w:t>
      </w:r>
      <w:r w:rsidR="00D03BE5">
        <w:rPr>
          <w:rFonts w:ascii="Times New Roman" w:hAnsi="Times New Roman" w:cs="Times New Roman"/>
          <w:color w:val="000000"/>
          <w:sz w:val="24"/>
          <w:szCs w:val="24"/>
        </w:rPr>
        <w:t>iem</w:t>
      </w:r>
      <w:r w:rsidR="00C5354C">
        <w:rPr>
          <w:rFonts w:ascii="Times New Roman" w:hAnsi="Times New Roman" w:cs="Times New Roman"/>
          <w:color w:val="000000"/>
          <w:sz w:val="24"/>
          <w:szCs w:val="24"/>
        </w:rPr>
        <w:t xml:space="preserve"> par šāda ziņojuma sagatavošanu.</w:t>
      </w:r>
      <w:r w:rsidR="00FF7901" w:rsidRPr="006D00CD">
        <w:rPr>
          <w:rFonts w:ascii="Times New Roman" w:hAnsi="Times New Roman" w:cs="Times New Roman"/>
          <w:color w:val="000000"/>
          <w:sz w:val="24"/>
          <w:szCs w:val="24"/>
        </w:rPr>
        <w:t xml:space="preserve"> </w:t>
      </w:r>
    </w:p>
    <w:p w:rsidR="001F4855" w:rsidRDefault="001F4855" w:rsidP="007601FB">
      <w:pPr>
        <w:spacing w:after="0" w:line="240" w:lineRule="auto"/>
        <w:jc w:val="both"/>
        <w:rPr>
          <w:rFonts w:ascii="Times New Roman" w:hAnsi="Times New Roman" w:cs="Times New Roman"/>
          <w:color w:val="000000"/>
          <w:sz w:val="24"/>
          <w:szCs w:val="24"/>
        </w:rPr>
      </w:pPr>
    </w:p>
    <w:p w:rsidR="002F1EAF" w:rsidRDefault="002F1EAF" w:rsidP="007601FB">
      <w:pPr>
        <w:spacing w:after="0" w:line="240" w:lineRule="auto"/>
        <w:jc w:val="both"/>
        <w:rPr>
          <w:rFonts w:ascii="Times New Roman" w:hAnsi="Times New Roman" w:cs="Times New Roman"/>
          <w:color w:val="000000"/>
          <w:sz w:val="24"/>
          <w:szCs w:val="24"/>
        </w:rPr>
      </w:pPr>
    </w:p>
    <w:p w:rsidR="002F1EAF" w:rsidRDefault="002F1EAF" w:rsidP="007601FB">
      <w:pPr>
        <w:spacing w:after="0" w:line="240" w:lineRule="auto"/>
        <w:jc w:val="both"/>
        <w:rPr>
          <w:rFonts w:ascii="Times New Roman" w:hAnsi="Times New Roman" w:cs="Times New Roman"/>
          <w:color w:val="000000"/>
          <w:sz w:val="24"/>
          <w:szCs w:val="24"/>
        </w:rPr>
      </w:pPr>
    </w:p>
    <w:p w:rsidR="001F4855" w:rsidRDefault="001F4855" w:rsidP="007601FB">
      <w:pPr>
        <w:spacing w:after="0" w:line="240" w:lineRule="auto"/>
        <w:jc w:val="both"/>
        <w:rPr>
          <w:rFonts w:ascii="Times New Roman" w:hAnsi="Times New Roman" w:cs="Times New Roman"/>
          <w:color w:val="000000"/>
          <w:sz w:val="24"/>
          <w:szCs w:val="24"/>
        </w:rPr>
      </w:pPr>
    </w:p>
    <w:p w:rsidR="002F1EAF" w:rsidRDefault="002F1EAF" w:rsidP="002F1EAF">
      <w:pPr>
        <w:pStyle w:val="ListBullet"/>
        <w:numPr>
          <w:ilvl w:val="0"/>
          <w:numId w:val="0"/>
        </w:num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Finanšu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A.Vilks</w:t>
      </w:r>
    </w:p>
    <w:p w:rsidR="002F1EAF" w:rsidRDefault="002F1EAF" w:rsidP="002F1EAF">
      <w:pPr>
        <w:pStyle w:val="ListBullet"/>
        <w:numPr>
          <w:ilvl w:val="0"/>
          <w:numId w:val="0"/>
        </w:numPr>
        <w:spacing w:line="240" w:lineRule="auto"/>
        <w:ind w:left="360" w:hanging="360"/>
        <w:rPr>
          <w:rFonts w:ascii="Times New Roman" w:hAnsi="Times New Roman" w:cs="Times New Roman"/>
          <w:sz w:val="24"/>
          <w:szCs w:val="24"/>
        </w:rPr>
      </w:pPr>
    </w:p>
    <w:p w:rsidR="002F1EAF" w:rsidRDefault="002F1EAF" w:rsidP="002F1EAF">
      <w:pPr>
        <w:pStyle w:val="ListBullet"/>
        <w:numPr>
          <w:ilvl w:val="0"/>
          <w:numId w:val="0"/>
        </w:numPr>
        <w:spacing w:line="240" w:lineRule="auto"/>
        <w:ind w:left="360" w:hanging="360"/>
        <w:rPr>
          <w:rFonts w:ascii="Times New Roman" w:hAnsi="Times New Roman" w:cs="Times New Roman"/>
          <w:sz w:val="24"/>
          <w:szCs w:val="24"/>
        </w:rPr>
      </w:pPr>
    </w:p>
    <w:p w:rsidR="002F1EAF" w:rsidRDefault="002F1EAF" w:rsidP="002F1EAF">
      <w:pPr>
        <w:pStyle w:val="ListBullet"/>
        <w:numPr>
          <w:ilvl w:val="0"/>
          <w:numId w:val="0"/>
        </w:numPr>
        <w:spacing w:line="240" w:lineRule="auto"/>
        <w:ind w:left="360" w:hanging="360"/>
        <w:rPr>
          <w:rFonts w:ascii="Times New Roman" w:hAnsi="Times New Roman" w:cs="Times New Roman"/>
          <w:sz w:val="24"/>
          <w:szCs w:val="24"/>
        </w:rPr>
      </w:pPr>
    </w:p>
    <w:p w:rsidR="002F1EAF" w:rsidRDefault="002F1EAF" w:rsidP="002F1EAF">
      <w:pPr>
        <w:pStyle w:val="ListBullet"/>
        <w:numPr>
          <w:ilvl w:val="0"/>
          <w:numId w:val="0"/>
        </w:numPr>
        <w:spacing w:line="240" w:lineRule="auto"/>
        <w:ind w:left="360" w:hanging="360"/>
        <w:rPr>
          <w:rFonts w:ascii="Times New Roman" w:hAnsi="Times New Roman" w:cs="Times New Roman"/>
          <w:sz w:val="24"/>
          <w:szCs w:val="24"/>
        </w:rPr>
      </w:pPr>
    </w:p>
    <w:p w:rsidR="002F1EAF" w:rsidRPr="008514D3" w:rsidRDefault="007C14BF" w:rsidP="002F1EAF">
      <w:pPr>
        <w:spacing w:after="0"/>
        <w:rPr>
          <w:rFonts w:ascii="Times New Roman" w:hAnsi="Times New Roman" w:cs="Times New Roman"/>
          <w:sz w:val="20"/>
        </w:rPr>
      </w:pPr>
      <w:r>
        <w:rPr>
          <w:rFonts w:ascii="Times New Roman" w:hAnsi="Times New Roman" w:cs="Times New Roman"/>
          <w:sz w:val="20"/>
        </w:rPr>
        <w:t>01.03</w:t>
      </w:r>
      <w:r w:rsidR="002F1EAF" w:rsidRPr="008514D3">
        <w:rPr>
          <w:rFonts w:ascii="Times New Roman" w:hAnsi="Times New Roman" w:cs="Times New Roman"/>
          <w:sz w:val="20"/>
        </w:rPr>
        <w:t xml:space="preserve">.2013. </w:t>
      </w:r>
      <w:r>
        <w:rPr>
          <w:rFonts w:ascii="Times New Roman" w:hAnsi="Times New Roman" w:cs="Times New Roman"/>
          <w:sz w:val="20"/>
        </w:rPr>
        <w:t>09</w:t>
      </w:r>
      <w:r w:rsidR="002F1EAF" w:rsidRPr="008514D3">
        <w:rPr>
          <w:rFonts w:ascii="Times New Roman" w:hAnsi="Times New Roman" w:cs="Times New Roman"/>
          <w:sz w:val="20"/>
        </w:rPr>
        <w:t>:51</w:t>
      </w:r>
    </w:p>
    <w:p w:rsidR="002F1EAF" w:rsidRPr="008514D3" w:rsidRDefault="00AD1B6F" w:rsidP="002F1EAF">
      <w:pPr>
        <w:spacing w:after="0"/>
        <w:rPr>
          <w:rFonts w:ascii="Times New Roman" w:hAnsi="Times New Roman" w:cs="Times New Roman"/>
          <w:sz w:val="20"/>
        </w:rPr>
      </w:pPr>
      <w:r>
        <w:rPr>
          <w:rFonts w:ascii="Times New Roman" w:hAnsi="Times New Roman" w:cs="Times New Roman"/>
          <w:sz w:val="20"/>
        </w:rPr>
        <w:t>2860</w:t>
      </w:r>
    </w:p>
    <w:p w:rsidR="002F1EAF" w:rsidRPr="008514D3" w:rsidRDefault="00735A1A" w:rsidP="002F1EAF">
      <w:pPr>
        <w:spacing w:after="0"/>
        <w:rPr>
          <w:rFonts w:ascii="Times New Roman" w:hAnsi="Times New Roman" w:cs="Times New Roman"/>
          <w:sz w:val="20"/>
        </w:rPr>
      </w:pPr>
      <w:r>
        <w:rPr>
          <w:rFonts w:ascii="Times New Roman" w:hAnsi="Times New Roman" w:cs="Times New Roman"/>
          <w:sz w:val="20"/>
        </w:rPr>
        <w:t>I.</w:t>
      </w:r>
      <w:r w:rsidR="002F1EAF" w:rsidRPr="008514D3">
        <w:rPr>
          <w:rFonts w:ascii="Times New Roman" w:hAnsi="Times New Roman" w:cs="Times New Roman"/>
          <w:sz w:val="20"/>
        </w:rPr>
        <w:t>Jermacāne</w:t>
      </w:r>
    </w:p>
    <w:p w:rsidR="002F1EAF" w:rsidRPr="008514D3" w:rsidRDefault="002F1EAF" w:rsidP="002F1EAF">
      <w:pPr>
        <w:spacing w:after="0"/>
        <w:rPr>
          <w:rFonts w:ascii="Times New Roman" w:hAnsi="Times New Roman" w:cs="Times New Roman"/>
          <w:sz w:val="20"/>
        </w:rPr>
      </w:pPr>
      <w:r w:rsidRPr="008514D3">
        <w:rPr>
          <w:rFonts w:ascii="Times New Roman" w:hAnsi="Times New Roman" w:cs="Times New Roman"/>
          <w:sz w:val="20"/>
        </w:rPr>
        <w:t>Fiskālās politikas departamenta</w:t>
      </w:r>
    </w:p>
    <w:p w:rsidR="002F1EAF" w:rsidRPr="008514D3" w:rsidRDefault="002F1EAF" w:rsidP="002F1EAF">
      <w:pPr>
        <w:spacing w:after="0"/>
        <w:rPr>
          <w:rFonts w:ascii="Times New Roman" w:hAnsi="Times New Roman" w:cs="Times New Roman"/>
          <w:sz w:val="20"/>
        </w:rPr>
      </w:pPr>
      <w:r w:rsidRPr="008514D3">
        <w:rPr>
          <w:rFonts w:ascii="Times New Roman" w:hAnsi="Times New Roman" w:cs="Times New Roman"/>
          <w:sz w:val="20"/>
        </w:rPr>
        <w:t>Fiskālās pārvaldības nodaļas</w:t>
      </w:r>
    </w:p>
    <w:p w:rsidR="002F1EAF" w:rsidRPr="008514D3" w:rsidRDefault="002F1EAF" w:rsidP="002F1EAF">
      <w:pPr>
        <w:spacing w:after="0"/>
        <w:rPr>
          <w:rFonts w:ascii="Times New Roman" w:hAnsi="Times New Roman" w:cs="Times New Roman"/>
          <w:sz w:val="20"/>
        </w:rPr>
      </w:pPr>
      <w:r w:rsidRPr="008514D3">
        <w:rPr>
          <w:rFonts w:ascii="Times New Roman" w:hAnsi="Times New Roman" w:cs="Times New Roman"/>
          <w:sz w:val="20"/>
        </w:rPr>
        <w:t>juriskonsulte</w:t>
      </w:r>
    </w:p>
    <w:p w:rsidR="002F1EAF" w:rsidRPr="008514D3" w:rsidRDefault="002F1EAF" w:rsidP="002F1EAF">
      <w:pPr>
        <w:tabs>
          <w:tab w:val="center" w:pos="4536"/>
        </w:tabs>
        <w:spacing w:after="0"/>
        <w:rPr>
          <w:rFonts w:ascii="Times New Roman" w:hAnsi="Times New Roman" w:cs="Times New Roman"/>
          <w:sz w:val="20"/>
        </w:rPr>
      </w:pPr>
      <w:bookmarkStart w:id="0" w:name="OLE_LINK1"/>
      <w:bookmarkStart w:id="1" w:name="OLE_LINK2"/>
      <w:r w:rsidRPr="008514D3">
        <w:rPr>
          <w:rFonts w:ascii="Times New Roman" w:hAnsi="Times New Roman" w:cs="Times New Roman"/>
          <w:sz w:val="20"/>
        </w:rPr>
        <w:t>tālr.: 670</w:t>
      </w:r>
      <w:bookmarkEnd w:id="0"/>
      <w:bookmarkEnd w:id="1"/>
      <w:r w:rsidRPr="008514D3">
        <w:rPr>
          <w:rFonts w:ascii="Times New Roman" w:hAnsi="Times New Roman" w:cs="Times New Roman"/>
          <w:sz w:val="20"/>
        </w:rPr>
        <w:t>95429, fakss: 67083830</w:t>
      </w:r>
    </w:p>
    <w:p w:rsidR="002F1EAF" w:rsidRPr="008514D3" w:rsidRDefault="001264AE" w:rsidP="002F1EAF">
      <w:pPr>
        <w:tabs>
          <w:tab w:val="center" w:pos="4536"/>
        </w:tabs>
        <w:spacing w:after="0"/>
        <w:rPr>
          <w:rFonts w:ascii="Times New Roman" w:hAnsi="Times New Roman" w:cs="Times New Roman"/>
          <w:sz w:val="20"/>
        </w:rPr>
      </w:pPr>
      <w:hyperlink r:id="rId14" w:history="1">
        <w:r w:rsidR="002F1EAF" w:rsidRPr="008514D3">
          <w:rPr>
            <w:rStyle w:val="Hyperlink"/>
            <w:rFonts w:ascii="Times New Roman" w:hAnsi="Times New Roman" w:cs="Times New Roman"/>
            <w:sz w:val="20"/>
          </w:rPr>
          <w:t>Ilga.Jermacane@fm.gov.lv</w:t>
        </w:r>
      </w:hyperlink>
    </w:p>
    <w:p w:rsidR="007601FB" w:rsidRDefault="007601FB" w:rsidP="007601FB">
      <w:pPr>
        <w:spacing w:after="0" w:line="240" w:lineRule="auto"/>
        <w:jc w:val="both"/>
        <w:rPr>
          <w:rFonts w:ascii="Times New Roman" w:eastAsia="Times New Roman" w:hAnsi="Times New Roman" w:cs="Times New Roman"/>
          <w:sz w:val="24"/>
          <w:szCs w:val="24"/>
          <w:lang w:eastAsia="lv-LV"/>
        </w:rPr>
      </w:pPr>
    </w:p>
    <w:sectPr w:rsidR="007601FB" w:rsidSect="00AE208F">
      <w:footerReference w:type="default" r:id="rId15"/>
      <w:pgSz w:w="11907" w:h="16840" w:code="9"/>
      <w:pgMar w:top="1418" w:right="1418" w:bottom="1701" w:left="1418" w:header="737"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AE" w:rsidRDefault="001264AE" w:rsidP="007671AD">
      <w:pPr>
        <w:spacing w:after="0" w:line="240" w:lineRule="auto"/>
      </w:pPr>
      <w:r>
        <w:separator/>
      </w:r>
    </w:p>
  </w:endnote>
  <w:endnote w:type="continuationSeparator" w:id="0">
    <w:p w:rsidR="001264AE" w:rsidRDefault="001264AE" w:rsidP="0076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5757"/>
      <w:docPartObj>
        <w:docPartGallery w:val="Page Numbers (Bottom of Page)"/>
        <w:docPartUnique/>
      </w:docPartObj>
    </w:sdtPr>
    <w:sdtEndPr>
      <w:rPr>
        <w:noProof/>
      </w:rPr>
    </w:sdtEndPr>
    <w:sdtContent>
      <w:p w:rsidR="00F155A5" w:rsidRDefault="00F155A5">
        <w:pPr>
          <w:pStyle w:val="Footer"/>
          <w:jc w:val="center"/>
        </w:pPr>
        <w:r>
          <w:fldChar w:fldCharType="begin"/>
        </w:r>
        <w:r>
          <w:instrText xml:space="preserve"> PAGE   \* MERGEFORMAT </w:instrText>
        </w:r>
        <w:r>
          <w:fldChar w:fldCharType="separate"/>
        </w:r>
        <w:r w:rsidR="008F68CB">
          <w:rPr>
            <w:noProof/>
          </w:rPr>
          <w:t>10</w:t>
        </w:r>
        <w:r>
          <w:rPr>
            <w:noProof/>
          </w:rPr>
          <w:fldChar w:fldCharType="end"/>
        </w:r>
      </w:p>
    </w:sdtContent>
  </w:sdt>
  <w:p w:rsidR="00F155A5" w:rsidRPr="00DF75C6" w:rsidRDefault="00DF75C6" w:rsidP="00DF75C6">
    <w:pPr>
      <w:pStyle w:val="Footer"/>
      <w:jc w:val="both"/>
      <w:rPr>
        <w:rFonts w:ascii="Times New Roman" w:hAnsi="Times New Roman" w:cs="Times New Roman"/>
        <w:sz w:val="20"/>
        <w:szCs w:val="20"/>
      </w:rPr>
    </w:pPr>
    <w:r w:rsidRPr="008514D3">
      <w:rPr>
        <w:rFonts w:ascii="Times New Roman" w:hAnsi="Times New Roman" w:cs="Times New Roman"/>
        <w:sz w:val="20"/>
      </w:rPr>
      <w:t>FM</w:t>
    </w:r>
    <w:r>
      <w:rPr>
        <w:rFonts w:ascii="Times New Roman" w:hAnsi="Times New Roman" w:cs="Times New Roman"/>
        <w:sz w:val="20"/>
      </w:rPr>
      <w:t>Info</w:t>
    </w:r>
    <w:r w:rsidRPr="008514D3">
      <w:rPr>
        <w:rFonts w:ascii="Times New Roman" w:hAnsi="Times New Roman" w:cs="Times New Roman"/>
        <w:sz w:val="20"/>
      </w:rPr>
      <w:t>_</w:t>
    </w:r>
    <w:r w:rsidR="007C14BF">
      <w:rPr>
        <w:rFonts w:ascii="Times New Roman" w:hAnsi="Times New Roman" w:cs="Times New Roman"/>
        <w:sz w:val="20"/>
      </w:rPr>
      <w:t>0103</w:t>
    </w:r>
    <w:r w:rsidRPr="008514D3">
      <w:rPr>
        <w:rFonts w:ascii="Times New Roman" w:hAnsi="Times New Roman" w:cs="Times New Roman"/>
        <w:sz w:val="20"/>
      </w:rPr>
      <w:t>13_</w:t>
    </w:r>
    <w:r w:rsidR="007C14BF">
      <w:rPr>
        <w:rFonts w:ascii="Times New Roman" w:hAnsi="Times New Roman" w:cs="Times New Roman"/>
        <w:sz w:val="20"/>
      </w:rPr>
      <w:t>K</w:t>
    </w:r>
    <w:r>
      <w:rPr>
        <w:rFonts w:ascii="Times New Roman" w:hAnsi="Times New Roman" w:cs="Times New Roman"/>
        <w:sz w:val="20"/>
      </w:rPr>
      <w:t>onv</w:t>
    </w:r>
    <w:r w:rsidRPr="008514D3">
      <w:rPr>
        <w:rFonts w:ascii="Times New Roman" w:hAnsi="Times New Roman" w:cs="Times New Roman"/>
        <w:sz w:val="20"/>
      </w:rPr>
      <w:t xml:space="preserve">; </w:t>
    </w:r>
    <w:r w:rsidRPr="008514D3">
      <w:rPr>
        <w:rFonts w:ascii="Times New Roman" w:hAnsi="Times New Roman" w:cs="Times New Roman"/>
        <w:sz w:val="20"/>
        <w:szCs w:val="20"/>
      </w:rPr>
      <w:t>Informatīvais ziņojums par Konverģences ziņojuma pieprasīšanu Eiropas Komisijai un Eiropas Centrālajai bankai, Māstrihtas kritēriju izpildi un tiesisko konverģenci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AE" w:rsidRDefault="001264AE" w:rsidP="007671AD">
      <w:pPr>
        <w:spacing w:after="0" w:line="240" w:lineRule="auto"/>
      </w:pPr>
      <w:r>
        <w:separator/>
      </w:r>
    </w:p>
  </w:footnote>
  <w:footnote w:type="continuationSeparator" w:id="0">
    <w:p w:rsidR="001264AE" w:rsidRDefault="001264AE" w:rsidP="0076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CB8B8E8"/>
    <w:lvl w:ilvl="0">
      <w:start w:val="1"/>
      <w:numFmt w:val="decimal"/>
      <w:pStyle w:val="ListNumber2"/>
      <w:lvlText w:val="%1."/>
      <w:lvlJc w:val="left"/>
      <w:pPr>
        <w:tabs>
          <w:tab w:val="num" w:pos="643"/>
        </w:tabs>
        <w:ind w:left="643" w:hanging="360"/>
      </w:pPr>
      <w:rPr>
        <w:rFonts w:cs="Times New Roman"/>
      </w:rPr>
    </w:lvl>
  </w:abstractNum>
  <w:abstractNum w:abstractNumId="1">
    <w:nsid w:val="FFFFFF89"/>
    <w:multiLevelType w:val="singleLevel"/>
    <w:tmpl w:val="64D478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3">
    <w:nsid w:val="02DF4F6B"/>
    <w:multiLevelType w:val="hybridMultilevel"/>
    <w:tmpl w:val="052E34F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13968"/>
    <w:multiLevelType w:val="multilevel"/>
    <w:tmpl w:val="A538F0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249E1"/>
    <w:multiLevelType w:val="hybridMultilevel"/>
    <w:tmpl w:val="053ACB52"/>
    <w:lvl w:ilvl="0" w:tplc="D830417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AF62E48"/>
    <w:multiLevelType w:val="multilevel"/>
    <w:tmpl w:val="79E47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E72B9"/>
    <w:multiLevelType w:val="hybridMultilevel"/>
    <w:tmpl w:val="E3107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DA5D8C"/>
    <w:multiLevelType w:val="multilevel"/>
    <w:tmpl w:val="6BF40AC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DD10B4B"/>
    <w:multiLevelType w:val="hybridMultilevel"/>
    <w:tmpl w:val="8932D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80266E3"/>
    <w:multiLevelType w:val="hybridMultilevel"/>
    <w:tmpl w:val="A37E9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E8072E5"/>
    <w:multiLevelType w:val="hybridMultilevel"/>
    <w:tmpl w:val="79C03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7C1E6691"/>
    <w:multiLevelType w:val="hybridMultilevel"/>
    <w:tmpl w:val="1FDA7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11"/>
  </w:num>
  <w:num w:numId="6">
    <w:abstractNumId w:val="6"/>
  </w:num>
  <w:num w:numId="7">
    <w:abstractNumId w:val="10"/>
  </w:num>
  <w:num w:numId="8">
    <w:abstractNumId w:val="0"/>
  </w:num>
  <w:num w:numId="9">
    <w:abstractNumId w:val="5"/>
  </w:num>
  <w:num w:numId="10">
    <w:abstractNumId w:val="7"/>
  </w:num>
  <w:num w:numId="11">
    <w:abstractNumId w:val="13"/>
  </w:num>
  <w:num w:numId="12">
    <w:abstractNumId w:val="1"/>
  </w:num>
  <w:num w:numId="13">
    <w:abstractNumId w:val="8"/>
  </w:num>
  <w:num w:numId="14">
    <w:abstractNumId w:val="12"/>
  </w:num>
  <w:num w:numId="15">
    <w:abstractNumId w:val="15"/>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01"/>
    <w:rsid w:val="0000147A"/>
    <w:rsid w:val="00001DE2"/>
    <w:rsid w:val="00007986"/>
    <w:rsid w:val="00011CD2"/>
    <w:rsid w:val="000134EF"/>
    <w:rsid w:val="00014705"/>
    <w:rsid w:val="00015023"/>
    <w:rsid w:val="00015A09"/>
    <w:rsid w:val="000163CA"/>
    <w:rsid w:val="00017061"/>
    <w:rsid w:val="00020159"/>
    <w:rsid w:val="00023502"/>
    <w:rsid w:val="00023625"/>
    <w:rsid w:val="00024E18"/>
    <w:rsid w:val="0002550F"/>
    <w:rsid w:val="00030DBF"/>
    <w:rsid w:val="000325D4"/>
    <w:rsid w:val="00035861"/>
    <w:rsid w:val="00036812"/>
    <w:rsid w:val="00041B94"/>
    <w:rsid w:val="00043616"/>
    <w:rsid w:val="0004453B"/>
    <w:rsid w:val="00054F9F"/>
    <w:rsid w:val="0005775E"/>
    <w:rsid w:val="00057A08"/>
    <w:rsid w:val="00057A94"/>
    <w:rsid w:val="000708E9"/>
    <w:rsid w:val="0007243D"/>
    <w:rsid w:val="000775B9"/>
    <w:rsid w:val="00082597"/>
    <w:rsid w:val="00082A3D"/>
    <w:rsid w:val="0008493A"/>
    <w:rsid w:val="00085492"/>
    <w:rsid w:val="00093909"/>
    <w:rsid w:val="00096109"/>
    <w:rsid w:val="00096BA4"/>
    <w:rsid w:val="00097916"/>
    <w:rsid w:val="000A039F"/>
    <w:rsid w:val="000A0979"/>
    <w:rsid w:val="000A1BE4"/>
    <w:rsid w:val="000A510A"/>
    <w:rsid w:val="000C2996"/>
    <w:rsid w:val="000C67D1"/>
    <w:rsid w:val="000D0556"/>
    <w:rsid w:val="000D2D47"/>
    <w:rsid w:val="000D3109"/>
    <w:rsid w:val="000D3565"/>
    <w:rsid w:val="000E1F53"/>
    <w:rsid w:val="000E3EEC"/>
    <w:rsid w:val="000E6BA9"/>
    <w:rsid w:val="000E7BF1"/>
    <w:rsid w:val="000F4845"/>
    <w:rsid w:val="0010017A"/>
    <w:rsid w:val="001004F4"/>
    <w:rsid w:val="001040E4"/>
    <w:rsid w:val="00104BAE"/>
    <w:rsid w:val="0010533D"/>
    <w:rsid w:val="0011080D"/>
    <w:rsid w:val="001110C7"/>
    <w:rsid w:val="00112821"/>
    <w:rsid w:val="00112A92"/>
    <w:rsid w:val="001138BF"/>
    <w:rsid w:val="00114956"/>
    <w:rsid w:val="00116B90"/>
    <w:rsid w:val="00125E1B"/>
    <w:rsid w:val="001264AE"/>
    <w:rsid w:val="001329C8"/>
    <w:rsid w:val="00137057"/>
    <w:rsid w:val="00137072"/>
    <w:rsid w:val="001435B2"/>
    <w:rsid w:val="00152E83"/>
    <w:rsid w:val="00153979"/>
    <w:rsid w:val="00153C66"/>
    <w:rsid w:val="00153F8C"/>
    <w:rsid w:val="00155B0D"/>
    <w:rsid w:val="001560B5"/>
    <w:rsid w:val="0016007D"/>
    <w:rsid w:val="00160E13"/>
    <w:rsid w:val="001630F0"/>
    <w:rsid w:val="001708FA"/>
    <w:rsid w:val="00171149"/>
    <w:rsid w:val="001715FC"/>
    <w:rsid w:val="00171EF1"/>
    <w:rsid w:val="00173DF8"/>
    <w:rsid w:val="00175421"/>
    <w:rsid w:val="00176137"/>
    <w:rsid w:val="00182C10"/>
    <w:rsid w:val="00185AD5"/>
    <w:rsid w:val="0019321F"/>
    <w:rsid w:val="0019516D"/>
    <w:rsid w:val="00195CCB"/>
    <w:rsid w:val="00196ADC"/>
    <w:rsid w:val="00196E4E"/>
    <w:rsid w:val="00196F09"/>
    <w:rsid w:val="00197257"/>
    <w:rsid w:val="001A0907"/>
    <w:rsid w:val="001A7D34"/>
    <w:rsid w:val="001B03CE"/>
    <w:rsid w:val="001B1DB7"/>
    <w:rsid w:val="001B3B60"/>
    <w:rsid w:val="001C1DD7"/>
    <w:rsid w:val="001C244A"/>
    <w:rsid w:val="001C27C3"/>
    <w:rsid w:val="001C3681"/>
    <w:rsid w:val="001C3BAA"/>
    <w:rsid w:val="001C504F"/>
    <w:rsid w:val="001C7F5C"/>
    <w:rsid w:val="001D1B7E"/>
    <w:rsid w:val="001D317E"/>
    <w:rsid w:val="001D3C6F"/>
    <w:rsid w:val="001D75A4"/>
    <w:rsid w:val="001E2595"/>
    <w:rsid w:val="001E2C22"/>
    <w:rsid w:val="001E3B9B"/>
    <w:rsid w:val="001E53D4"/>
    <w:rsid w:val="001E749C"/>
    <w:rsid w:val="001E7EBE"/>
    <w:rsid w:val="001F0DC3"/>
    <w:rsid w:val="001F17B0"/>
    <w:rsid w:val="001F29FE"/>
    <w:rsid w:val="001F4031"/>
    <w:rsid w:val="001F4855"/>
    <w:rsid w:val="001F5536"/>
    <w:rsid w:val="001F67EF"/>
    <w:rsid w:val="0020002A"/>
    <w:rsid w:val="00200A6F"/>
    <w:rsid w:val="00202002"/>
    <w:rsid w:val="00203A3D"/>
    <w:rsid w:val="00204366"/>
    <w:rsid w:val="00206F34"/>
    <w:rsid w:val="00207258"/>
    <w:rsid w:val="002138FE"/>
    <w:rsid w:val="002158FD"/>
    <w:rsid w:val="00222E9B"/>
    <w:rsid w:val="002230BB"/>
    <w:rsid w:val="002257D9"/>
    <w:rsid w:val="00225C01"/>
    <w:rsid w:val="00227605"/>
    <w:rsid w:val="00227914"/>
    <w:rsid w:val="002279CE"/>
    <w:rsid w:val="0023122F"/>
    <w:rsid w:val="00232DEE"/>
    <w:rsid w:val="00234635"/>
    <w:rsid w:val="00235385"/>
    <w:rsid w:val="00236130"/>
    <w:rsid w:val="002365C6"/>
    <w:rsid w:val="00236E8A"/>
    <w:rsid w:val="002371B6"/>
    <w:rsid w:val="00241BA9"/>
    <w:rsid w:val="00244162"/>
    <w:rsid w:val="002449D2"/>
    <w:rsid w:val="002468C9"/>
    <w:rsid w:val="00255279"/>
    <w:rsid w:val="002563DD"/>
    <w:rsid w:val="00261A0B"/>
    <w:rsid w:val="00262D44"/>
    <w:rsid w:val="00263AA2"/>
    <w:rsid w:val="002641BC"/>
    <w:rsid w:val="00265204"/>
    <w:rsid w:val="0026735F"/>
    <w:rsid w:val="00273142"/>
    <w:rsid w:val="00275D7A"/>
    <w:rsid w:val="00277390"/>
    <w:rsid w:val="00285482"/>
    <w:rsid w:val="00287095"/>
    <w:rsid w:val="002936FF"/>
    <w:rsid w:val="00294221"/>
    <w:rsid w:val="002952DE"/>
    <w:rsid w:val="0029576D"/>
    <w:rsid w:val="00297241"/>
    <w:rsid w:val="002A49E7"/>
    <w:rsid w:val="002A4A1D"/>
    <w:rsid w:val="002A5735"/>
    <w:rsid w:val="002A57BC"/>
    <w:rsid w:val="002A5DAB"/>
    <w:rsid w:val="002B4B10"/>
    <w:rsid w:val="002B6CC9"/>
    <w:rsid w:val="002C05CA"/>
    <w:rsid w:val="002C1AAD"/>
    <w:rsid w:val="002C3AA0"/>
    <w:rsid w:val="002C7521"/>
    <w:rsid w:val="002D148B"/>
    <w:rsid w:val="002D2EFC"/>
    <w:rsid w:val="002D4B22"/>
    <w:rsid w:val="002D6178"/>
    <w:rsid w:val="002E01FE"/>
    <w:rsid w:val="002E093B"/>
    <w:rsid w:val="002E0DB3"/>
    <w:rsid w:val="002E139D"/>
    <w:rsid w:val="002E1BA8"/>
    <w:rsid w:val="002E2710"/>
    <w:rsid w:val="002E32D9"/>
    <w:rsid w:val="002F0AD8"/>
    <w:rsid w:val="002F1EAF"/>
    <w:rsid w:val="002F3826"/>
    <w:rsid w:val="002F3DA3"/>
    <w:rsid w:val="002F422E"/>
    <w:rsid w:val="0030033F"/>
    <w:rsid w:val="00302014"/>
    <w:rsid w:val="00302CBA"/>
    <w:rsid w:val="00303B31"/>
    <w:rsid w:val="003068F6"/>
    <w:rsid w:val="00325E41"/>
    <w:rsid w:val="0033162A"/>
    <w:rsid w:val="00333FE0"/>
    <w:rsid w:val="00343EE5"/>
    <w:rsid w:val="00345FE4"/>
    <w:rsid w:val="00346830"/>
    <w:rsid w:val="00347E29"/>
    <w:rsid w:val="0035409C"/>
    <w:rsid w:val="003546E6"/>
    <w:rsid w:val="00355ADB"/>
    <w:rsid w:val="00355D40"/>
    <w:rsid w:val="00356D57"/>
    <w:rsid w:val="00360A6B"/>
    <w:rsid w:val="00364029"/>
    <w:rsid w:val="00364087"/>
    <w:rsid w:val="0036460D"/>
    <w:rsid w:val="00365125"/>
    <w:rsid w:val="00365AFE"/>
    <w:rsid w:val="0036768B"/>
    <w:rsid w:val="00374D85"/>
    <w:rsid w:val="00376380"/>
    <w:rsid w:val="0038128F"/>
    <w:rsid w:val="00383AB1"/>
    <w:rsid w:val="00385EC0"/>
    <w:rsid w:val="00385F22"/>
    <w:rsid w:val="00390ED2"/>
    <w:rsid w:val="003944DC"/>
    <w:rsid w:val="003A2C43"/>
    <w:rsid w:val="003A389F"/>
    <w:rsid w:val="003B2AF8"/>
    <w:rsid w:val="003C0254"/>
    <w:rsid w:val="003C168A"/>
    <w:rsid w:val="003C2112"/>
    <w:rsid w:val="003C5BEF"/>
    <w:rsid w:val="003C7025"/>
    <w:rsid w:val="003D102B"/>
    <w:rsid w:val="003D1E95"/>
    <w:rsid w:val="003D53FD"/>
    <w:rsid w:val="003D6866"/>
    <w:rsid w:val="003E10C4"/>
    <w:rsid w:val="003E5B23"/>
    <w:rsid w:val="003E7665"/>
    <w:rsid w:val="003F0CCC"/>
    <w:rsid w:val="003F291A"/>
    <w:rsid w:val="003F4812"/>
    <w:rsid w:val="003F6B4F"/>
    <w:rsid w:val="00412DF5"/>
    <w:rsid w:val="0041430F"/>
    <w:rsid w:val="00416460"/>
    <w:rsid w:val="004222A1"/>
    <w:rsid w:val="00422F1A"/>
    <w:rsid w:val="0042713C"/>
    <w:rsid w:val="004276FC"/>
    <w:rsid w:val="00427A85"/>
    <w:rsid w:val="00431E30"/>
    <w:rsid w:val="0043398E"/>
    <w:rsid w:val="004358B6"/>
    <w:rsid w:val="00436D7F"/>
    <w:rsid w:val="00440665"/>
    <w:rsid w:val="00441921"/>
    <w:rsid w:val="00441D13"/>
    <w:rsid w:val="00443C4A"/>
    <w:rsid w:val="00444560"/>
    <w:rsid w:val="00444613"/>
    <w:rsid w:val="004471D8"/>
    <w:rsid w:val="00447BCC"/>
    <w:rsid w:val="00450561"/>
    <w:rsid w:val="00456187"/>
    <w:rsid w:val="004569CD"/>
    <w:rsid w:val="00457EE2"/>
    <w:rsid w:val="00463280"/>
    <w:rsid w:val="004640FD"/>
    <w:rsid w:val="004661F2"/>
    <w:rsid w:val="00467693"/>
    <w:rsid w:val="00472BF2"/>
    <w:rsid w:val="00475DD7"/>
    <w:rsid w:val="0048349D"/>
    <w:rsid w:val="0048494C"/>
    <w:rsid w:val="00485837"/>
    <w:rsid w:val="004918A0"/>
    <w:rsid w:val="0049425C"/>
    <w:rsid w:val="00495968"/>
    <w:rsid w:val="00497FB4"/>
    <w:rsid w:val="004A3B12"/>
    <w:rsid w:val="004A40A6"/>
    <w:rsid w:val="004A5B54"/>
    <w:rsid w:val="004B01D8"/>
    <w:rsid w:val="004B020E"/>
    <w:rsid w:val="004B1D53"/>
    <w:rsid w:val="004B2E07"/>
    <w:rsid w:val="004B3422"/>
    <w:rsid w:val="004B3D99"/>
    <w:rsid w:val="004B3DDE"/>
    <w:rsid w:val="004B5C27"/>
    <w:rsid w:val="004C2D06"/>
    <w:rsid w:val="004C4688"/>
    <w:rsid w:val="004C5004"/>
    <w:rsid w:val="004D3726"/>
    <w:rsid w:val="004D3E28"/>
    <w:rsid w:val="004D4E56"/>
    <w:rsid w:val="004D5B01"/>
    <w:rsid w:val="004D7B2C"/>
    <w:rsid w:val="004E1BC2"/>
    <w:rsid w:val="004E49BF"/>
    <w:rsid w:val="004E6BD8"/>
    <w:rsid w:val="004F00F4"/>
    <w:rsid w:val="004F0A1D"/>
    <w:rsid w:val="004F0B83"/>
    <w:rsid w:val="004F1113"/>
    <w:rsid w:val="004F181C"/>
    <w:rsid w:val="004F3866"/>
    <w:rsid w:val="004F65FA"/>
    <w:rsid w:val="005026E3"/>
    <w:rsid w:val="00504B0B"/>
    <w:rsid w:val="00504DB3"/>
    <w:rsid w:val="0050618D"/>
    <w:rsid w:val="005105E7"/>
    <w:rsid w:val="005113A6"/>
    <w:rsid w:val="00520EB0"/>
    <w:rsid w:val="005253C4"/>
    <w:rsid w:val="005253E4"/>
    <w:rsid w:val="0052634C"/>
    <w:rsid w:val="00526B6D"/>
    <w:rsid w:val="00531D49"/>
    <w:rsid w:val="0053496E"/>
    <w:rsid w:val="00535465"/>
    <w:rsid w:val="00535542"/>
    <w:rsid w:val="00540F2E"/>
    <w:rsid w:val="00542A5A"/>
    <w:rsid w:val="00546EFF"/>
    <w:rsid w:val="0056187E"/>
    <w:rsid w:val="00563BBD"/>
    <w:rsid w:val="005640B0"/>
    <w:rsid w:val="005663CE"/>
    <w:rsid w:val="00566D3D"/>
    <w:rsid w:val="005671D4"/>
    <w:rsid w:val="005677C2"/>
    <w:rsid w:val="0057132C"/>
    <w:rsid w:val="00572387"/>
    <w:rsid w:val="00572A61"/>
    <w:rsid w:val="00573A38"/>
    <w:rsid w:val="00573E61"/>
    <w:rsid w:val="00577A43"/>
    <w:rsid w:val="005841A3"/>
    <w:rsid w:val="0059040A"/>
    <w:rsid w:val="00591D99"/>
    <w:rsid w:val="00595062"/>
    <w:rsid w:val="005962C7"/>
    <w:rsid w:val="005A1C83"/>
    <w:rsid w:val="005A37EA"/>
    <w:rsid w:val="005A4AD8"/>
    <w:rsid w:val="005A73FD"/>
    <w:rsid w:val="005B0D2D"/>
    <w:rsid w:val="005B1A4C"/>
    <w:rsid w:val="005B4699"/>
    <w:rsid w:val="005B79D6"/>
    <w:rsid w:val="005C00BC"/>
    <w:rsid w:val="005C4A69"/>
    <w:rsid w:val="005C5FA2"/>
    <w:rsid w:val="005D0C5D"/>
    <w:rsid w:val="005D0E7A"/>
    <w:rsid w:val="005D26D6"/>
    <w:rsid w:val="005D3FC8"/>
    <w:rsid w:val="005D4632"/>
    <w:rsid w:val="005D65F9"/>
    <w:rsid w:val="005D7342"/>
    <w:rsid w:val="005E38C1"/>
    <w:rsid w:val="005E3AC6"/>
    <w:rsid w:val="005E412A"/>
    <w:rsid w:val="005F0AF4"/>
    <w:rsid w:val="005F0EAF"/>
    <w:rsid w:val="005F4A8A"/>
    <w:rsid w:val="005F500A"/>
    <w:rsid w:val="005F5D2E"/>
    <w:rsid w:val="00600041"/>
    <w:rsid w:val="0060075C"/>
    <w:rsid w:val="00605949"/>
    <w:rsid w:val="00606549"/>
    <w:rsid w:val="00610095"/>
    <w:rsid w:val="00614360"/>
    <w:rsid w:val="00616D5A"/>
    <w:rsid w:val="0062222A"/>
    <w:rsid w:val="006312CA"/>
    <w:rsid w:val="00635973"/>
    <w:rsid w:val="00641A72"/>
    <w:rsid w:val="00643FC0"/>
    <w:rsid w:val="00644463"/>
    <w:rsid w:val="006451E6"/>
    <w:rsid w:val="00647462"/>
    <w:rsid w:val="00651DEE"/>
    <w:rsid w:val="00652351"/>
    <w:rsid w:val="006544AC"/>
    <w:rsid w:val="006609CC"/>
    <w:rsid w:val="00660E97"/>
    <w:rsid w:val="006623EF"/>
    <w:rsid w:val="0066735F"/>
    <w:rsid w:val="00670E0C"/>
    <w:rsid w:val="00671711"/>
    <w:rsid w:val="00672520"/>
    <w:rsid w:val="0067286E"/>
    <w:rsid w:val="00672BF2"/>
    <w:rsid w:val="0067484B"/>
    <w:rsid w:val="006771FA"/>
    <w:rsid w:val="0068054B"/>
    <w:rsid w:val="00680B35"/>
    <w:rsid w:val="006865E5"/>
    <w:rsid w:val="00686DF3"/>
    <w:rsid w:val="0068747A"/>
    <w:rsid w:val="00687F9F"/>
    <w:rsid w:val="006917DF"/>
    <w:rsid w:val="00691E8F"/>
    <w:rsid w:val="006930DB"/>
    <w:rsid w:val="006969C5"/>
    <w:rsid w:val="00697AE7"/>
    <w:rsid w:val="006A09D2"/>
    <w:rsid w:val="006A0C6A"/>
    <w:rsid w:val="006A0D43"/>
    <w:rsid w:val="006A199D"/>
    <w:rsid w:val="006A2FA4"/>
    <w:rsid w:val="006A5089"/>
    <w:rsid w:val="006A6AE9"/>
    <w:rsid w:val="006B05FD"/>
    <w:rsid w:val="006B1D99"/>
    <w:rsid w:val="006B1DE3"/>
    <w:rsid w:val="006B21E2"/>
    <w:rsid w:val="006B3C5A"/>
    <w:rsid w:val="006B499F"/>
    <w:rsid w:val="006B6246"/>
    <w:rsid w:val="006C039E"/>
    <w:rsid w:val="006C1278"/>
    <w:rsid w:val="006C14C3"/>
    <w:rsid w:val="006C1AE3"/>
    <w:rsid w:val="006C4A31"/>
    <w:rsid w:val="006C4DB0"/>
    <w:rsid w:val="006C5688"/>
    <w:rsid w:val="006C5C91"/>
    <w:rsid w:val="006C6183"/>
    <w:rsid w:val="006C6A2C"/>
    <w:rsid w:val="006D326B"/>
    <w:rsid w:val="006D460B"/>
    <w:rsid w:val="006D50CB"/>
    <w:rsid w:val="006D5D0E"/>
    <w:rsid w:val="006E6D04"/>
    <w:rsid w:val="006F1287"/>
    <w:rsid w:val="006F231B"/>
    <w:rsid w:val="006F27C1"/>
    <w:rsid w:val="006F347C"/>
    <w:rsid w:val="006F459F"/>
    <w:rsid w:val="006F4F7E"/>
    <w:rsid w:val="007016BD"/>
    <w:rsid w:val="00705BAD"/>
    <w:rsid w:val="00707738"/>
    <w:rsid w:val="00707D74"/>
    <w:rsid w:val="00711AEE"/>
    <w:rsid w:val="00711CD8"/>
    <w:rsid w:val="00712FF9"/>
    <w:rsid w:val="00716D42"/>
    <w:rsid w:val="007172D4"/>
    <w:rsid w:val="00723135"/>
    <w:rsid w:val="00724AB7"/>
    <w:rsid w:val="007273A6"/>
    <w:rsid w:val="00732FB3"/>
    <w:rsid w:val="007353BE"/>
    <w:rsid w:val="00735A1A"/>
    <w:rsid w:val="00741DEC"/>
    <w:rsid w:val="00742DC1"/>
    <w:rsid w:val="00744257"/>
    <w:rsid w:val="00744D90"/>
    <w:rsid w:val="00745B94"/>
    <w:rsid w:val="00751C8C"/>
    <w:rsid w:val="007533EB"/>
    <w:rsid w:val="00755DAB"/>
    <w:rsid w:val="007572A4"/>
    <w:rsid w:val="007601FB"/>
    <w:rsid w:val="007645BF"/>
    <w:rsid w:val="00765455"/>
    <w:rsid w:val="007671AD"/>
    <w:rsid w:val="00771432"/>
    <w:rsid w:val="00771E70"/>
    <w:rsid w:val="00773513"/>
    <w:rsid w:val="0077395F"/>
    <w:rsid w:val="00777F98"/>
    <w:rsid w:val="00785433"/>
    <w:rsid w:val="0078592A"/>
    <w:rsid w:val="00786C09"/>
    <w:rsid w:val="00792C7F"/>
    <w:rsid w:val="00794A97"/>
    <w:rsid w:val="00795341"/>
    <w:rsid w:val="00795FCB"/>
    <w:rsid w:val="007A0277"/>
    <w:rsid w:val="007A0672"/>
    <w:rsid w:val="007A11B4"/>
    <w:rsid w:val="007A184B"/>
    <w:rsid w:val="007A2734"/>
    <w:rsid w:val="007A52C8"/>
    <w:rsid w:val="007B0175"/>
    <w:rsid w:val="007B3F06"/>
    <w:rsid w:val="007B51CA"/>
    <w:rsid w:val="007B6BB5"/>
    <w:rsid w:val="007C06CC"/>
    <w:rsid w:val="007C14BF"/>
    <w:rsid w:val="007C6AF9"/>
    <w:rsid w:val="007D294D"/>
    <w:rsid w:val="007D2CC9"/>
    <w:rsid w:val="007D7488"/>
    <w:rsid w:val="007D7DED"/>
    <w:rsid w:val="007E0BE9"/>
    <w:rsid w:val="007E2351"/>
    <w:rsid w:val="007E6616"/>
    <w:rsid w:val="007E7C5F"/>
    <w:rsid w:val="007F22DA"/>
    <w:rsid w:val="007F2464"/>
    <w:rsid w:val="007F3C24"/>
    <w:rsid w:val="007F43F0"/>
    <w:rsid w:val="008029A8"/>
    <w:rsid w:val="00802D51"/>
    <w:rsid w:val="008046A6"/>
    <w:rsid w:val="008057C1"/>
    <w:rsid w:val="00807187"/>
    <w:rsid w:val="00807AB6"/>
    <w:rsid w:val="008115A3"/>
    <w:rsid w:val="00822D59"/>
    <w:rsid w:val="00822F82"/>
    <w:rsid w:val="0082331A"/>
    <w:rsid w:val="008245BF"/>
    <w:rsid w:val="00826E41"/>
    <w:rsid w:val="0082731A"/>
    <w:rsid w:val="00827456"/>
    <w:rsid w:val="008311BF"/>
    <w:rsid w:val="008328D1"/>
    <w:rsid w:val="008333ED"/>
    <w:rsid w:val="00833C49"/>
    <w:rsid w:val="008358AD"/>
    <w:rsid w:val="00835CA7"/>
    <w:rsid w:val="008446B9"/>
    <w:rsid w:val="00845BDB"/>
    <w:rsid w:val="008469E3"/>
    <w:rsid w:val="0085300C"/>
    <w:rsid w:val="00856771"/>
    <w:rsid w:val="00864B42"/>
    <w:rsid w:val="0087108A"/>
    <w:rsid w:val="00873029"/>
    <w:rsid w:val="00876472"/>
    <w:rsid w:val="00881DA5"/>
    <w:rsid w:val="0088343A"/>
    <w:rsid w:val="0089034C"/>
    <w:rsid w:val="008A1928"/>
    <w:rsid w:val="008A1AC5"/>
    <w:rsid w:val="008A29ED"/>
    <w:rsid w:val="008A3365"/>
    <w:rsid w:val="008A52A0"/>
    <w:rsid w:val="008B0066"/>
    <w:rsid w:val="008B0D63"/>
    <w:rsid w:val="008B336A"/>
    <w:rsid w:val="008B7BA9"/>
    <w:rsid w:val="008B7E1C"/>
    <w:rsid w:val="008C1B94"/>
    <w:rsid w:val="008C2990"/>
    <w:rsid w:val="008C31BF"/>
    <w:rsid w:val="008C4289"/>
    <w:rsid w:val="008C52DA"/>
    <w:rsid w:val="008D3672"/>
    <w:rsid w:val="008E31FF"/>
    <w:rsid w:val="008E45D5"/>
    <w:rsid w:val="008E5C9F"/>
    <w:rsid w:val="008E61B8"/>
    <w:rsid w:val="008F40F1"/>
    <w:rsid w:val="008F481F"/>
    <w:rsid w:val="008F5349"/>
    <w:rsid w:val="008F68CB"/>
    <w:rsid w:val="00901F14"/>
    <w:rsid w:val="0090218A"/>
    <w:rsid w:val="0090702D"/>
    <w:rsid w:val="0091331E"/>
    <w:rsid w:val="00915158"/>
    <w:rsid w:val="009152BD"/>
    <w:rsid w:val="00916B4D"/>
    <w:rsid w:val="0091731F"/>
    <w:rsid w:val="00917D86"/>
    <w:rsid w:val="0092084D"/>
    <w:rsid w:val="0092519B"/>
    <w:rsid w:val="00936B77"/>
    <w:rsid w:val="0094171B"/>
    <w:rsid w:val="009433D5"/>
    <w:rsid w:val="0094424B"/>
    <w:rsid w:val="0094438F"/>
    <w:rsid w:val="00946AB8"/>
    <w:rsid w:val="009474A9"/>
    <w:rsid w:val="00952C98"/>
    <w:rsid w:val="009541AA"/>
    <w:rsid w:val="0095468B"/>
    <w:rsid w:val="00960123"/>
    <w:rsid w:val="009617CE"/>
    <w:rsid w:val="00961835"/>
    <w:rsid w:val="00961CFA"/>
    <w:rsid w:val="00962D42"/>
    <w:rsid w:val="00962E22"/>
    <w:rsid w:val="009631B8"/>
    <w:rsid w:val="00964A29"/>
    <w:rsid w:val="00967343"/>
    <w:rsid w:val="00970F67"/>
    <w:rsid w:val="009731C9"/>
    <w:rsid w:val="00980019"/>
    <w:rsid w:val="009813E4"/>
    <w:rsid w:val="009814F9"/>
    <w:rsid w:val="0098230B"/>
    <w:rsid w:val="009830B0"/>
    <w:rsid w:val="009840C3"/>
    <w:rsid w:val="00987024"/>
    <w:rsid w:val="00990C6A"/>
    <w:rsid w:val="0099173A"/>
    <w:rsid w:val="00993A57"/>
    <w:rsid w:val="009954C7"/>
    <w:rsid w:val="0099672A"/>
    <w:rsid w:val="009A208F"/>
    <w:rsid w:val="009A2E8C"/>
    <w:rsid w:val="009A393A"/>
    <w:rsid w:val="009A413C"/>
    <w:rsid w:val="009A4994"/>
    <w:rsid w:val="009A5641"/>
    <w:rsid w:val="009B06D1"/>
    <w:rsid w:val="009B4953"/>
    <w:rsid w:val="009B621A"/>
    <w:rsid w:val="009B6B49"/>
    <w:rsid w:val="009C2170"/>
    <w:rsid w:val="009C2ECE"/>
    <w:rsid w:val="009C5713"/>
    <w:rsid w:val="009D1B9F"/>
    <w:rsid w:val="009D1EE9"/>
    <w:rsid w:val="009D2A17"/>
    <w:rsid w:val="009D421E"/>
    <w:rsid w:val="009D5E78"/>
    <w:rsid w:val="009D6322"/>
    <w:rsid w:val="009D6664"/>
    <w:rsid w:val="009D7154"/>
    <w:rsid w:val="009D7A76"/>
    <w:rsid w:val="009E02FC"/>
    <w:rsid w:val="009E0782"/>
    <w:rsid w:val="009E260C"/>
    <w:rsid w:val="009E5B08"/>
    <w:rsid w:val="009E5EC9"/>
    <w:rsid w:val="009E6DB1"/>
    <w:rsid w:val="009F3960"/>
    <w:rsid w:val="009F39F3"/>
    <w:rsid w:val="009F7335"/>
    <w:rsid w:val="009F7452"/>
    <w:rsid w:val="009F7709"/>
    <w:rsid w:val="00A056DE"/>
    <w:rsid w:val="00A11F96"/>
    <w:rsid w:val="00A13AC3"/>
    <w:rsid w:val="00A15375"/>
    <w:rsid w:val="00A156A1"/>
    <w:rsid w:val="00A266E8"/>
    <w:rsid w:val="00A2695D"/>
    <w:rsid w:val="00A278D1"/>
    <w:rsid w:val="00A32078"/>
    <w:rsid w:val="00A33833"/>
    <w:rsid w:val="00A3392C"/>
    <w:rsid w:val="00A361FA"/>
    <w:rsid w:val="00A36206"/>
    <w:rsid w:val="00A36865"/>
    <w:rsid w:val="00A37370"/>
    <w:rsid w:val="00A37432"/>
    <w:rsid w:val="00A37F1E"/>
    <w:rsid w:val="00A431FA"/>
    <w:rsid w:val="00A504A4"/>
    <w:rsid w:val="00A51A15"/>
    <w:rsid w:val="00A51CB8"/>
    <w:rsid w:val="00A526AD"/>
    <w:rsid w:val="00A5291C"/>
    <w:rsid w:val="00A52C4F"/>
    <w:rsid w:val="00A5537D"/>
    <w:rsid w:val="00A55FA8"/>
    <w:rsid w:val="00A57799"/>
    <w:rsid w:val="00A71936"/>
    <w:rsid w:val="00A729F1"/>
    <w:rsid w:val="00A73446"/>
    <w:rsid w:val="00A736D6"/>
    <w:rsid w:val="00A76718"/>
    <w:rsid w:val="00A76C13"/>
    <w:rsid w:val="00A82613"/>
    <w:rsid w:val="00A82E31"/>
    <w:rsid w:val="00A83BA7"/>
    <w:rsid w:val="00A8476B"/>
    <w:rsid w:val="00A86F80"/>
    <w:rsid w:val="00A908DD"/>
    <w:rsid w:val="00A90F0C"/>
    <w:rsid w:val="00A917E4"/>
    <w:rsid w:val="00A925BA"/>
    <w:rsid w:val="00A9428A"/>
    <w:rsid w:val="00A9521D"/>
    <w:rsid w:val="00A963F4"/>
    <w:rsid w:val="00AA2FE5"/>
    <w:rsid w:val="00AA3EB8"/>
    <w:rsid w:val="00AA4396"/>
    <w:rsid w:val="00AA55CE"/>
    <w:rsid w:val="00AB0AE3"/>
    <w:rsid w:val="00AB485C"/>
    <w:rsid w:val="00AC0D3B"/>
    <w:rsid w:val="00AC14EA"/>
    <w:rsid w:val="00AC45F5"/>
    <w:rsid w:val="00AC4FE5"/>
    <w:rsid w:val="00AC7D0D"/>
    <w:rsid w:val="00AD172B"/>
    <w:rsid w:val="00AD1B6F"/>
    <w:rsid w:val="00AD5515"/>
    <w:rsid w:val="00AD6964"/>
    <w:rsid w:val="00AE208F"/>
    <w:rsid w:val="00AE34CC"/>
    <w:rsid w:val="00AE5E34"/>
    <w:rsid w:val="00AE6CD5"/>
    <w:rsid w:val="00AF2784"/>
    <w:rsid w:val="00AF3E38"/>
    <w:rsid w:val="00AF4DAC"/>
    <w:rsid w:val="00AF65AC"/>
    <w:rsid w:val="00B04FFA"/>
    <w:rsid w:val="00B050C0"/>
    <w:rsid w:val="00B05E1F"/>
    <w:rsid w:val="00B10B81"/>
    <w:rsid w:val="00B1306B"/>
    <w:rsid w:val="00B22228"/>
    <w:rsid w:val="00B22353"/>
    <w:rsid w:val="00B23EF3"/>
    <w:rsid w:val="00B27C9D"/>
    <w:rsid w:val="00B310E1"/>
    <w:rsid w:val="00B3173E"/>
    <w:rsid w:val="00B34A24"/>
    <w:rsid w:val="00B37432"/>
    <w:rsid w:val="00B37891"/>
    <w:rsid w:val="00B40931"/>
    <w:rsid w:val="00B43AD8"/>
    <w:rsid w:val="00B43C2C"/>
    <w:rsid w:val="00B47628"/>
    <w:rsid w:val="00B478B2"/>
    <w:rsid w:val="00B50FC9"/>
    <w:rsid w:val="00B53D28"/>
    <w:rsid w:val="00B56C3A"/>
    <w:rsid w:val="00B56FED"/>
    <w:rsid w:val="00B60664"/>
    <w:rsid w:val="00B67119"/>
    <w:rsid w:val="00B71A72"/>
    <w:rsid w:val="00B72084"/>
    <w:rsid w:val="00B74348"/>
    <w:rsid w:val="00B74872"/>
    <w:rsid w:val="00B76DEC"/>
    <w:rsid w:val="00B770A8"/>
    <w:rsid w:val="00B7734D"/>
    <w:rsid w:val="00B778FD"/>
    <w:rsid w:val="00B83954"/>
    <w:rsid w:val="00B83C98"/>
    <w:rsid w:val="00B85C4D"/>
    <w:rsid w:val="00B8691C"/>
    <w:rsid w:val="00B91FF7"/>
    <w:rsid w:val="00B921AB"/>
    <w:rsid w:val="00B92273"/>
    <w:rsid w:val="00B94ACF"/>
    <w:rsid w:val="00B97CC8"/>
    <w:rsid w:val="00B97CD3"/>
    <w:rsid w:val="00BA0AF6"/>
    <w:rsid w:val="00BA171F"/>
    <w:rsid w:val="00BA34C2"/>
    <w:rsid w:val="00BA4CAB"/>
    <w:rsid w:val="00BA7ED7"/>
    <w:rsid w:val="00BB2C2B"/>
    <w:rsid w:val="00BB3330"/>
    <w:rsid w:val="00BC3388"/>
    <w:rsid w:val="00BD1E3A"/>
    <w:rsid w:val="00BD212A"/>
    <w:rsid w:val="00BD2182"/>
    <w:rsid w:val="00BD6D27"/>
    <w:rsid w:val="00BE4703"/>
    <w:rsid w:val="00BE5467"/>
    <w:rsid w:val="00BF08EC"/>
    <w:rsid w:val="00BF1774"/>
    <w:rsid w:val="00BF3E6B"/>
    <w:rsid w:val="00BF798D"/>
    <w:rsid w:val="00BF7C85"/>
    <w:rsid w:val="00C02C42"/>
    <w:rsid w:val="00C03626"/>
    <w:rsid w:val="00C06F2E"/>
    <w:rsid w:val="00C07E3B"/>
    <w:rsid w:val="00C12D91"/>
    <w:rsid w:val="00C135C8"/>
    <w:rsid w:val="00C136E6"/>
    <w:rsid w:val="00C1390A"/>
    <w:rsid w:val="00C168AC"/>
    <w:rsid w:val="00C232A9"/>
    <w:rsid w:val="00C25D67"/>
    <w:rsid w:val="00C25F5F"/>
    <w:rsid w:val="00C30FA7"/>
    <w:rsid w:val="00C31C4C"/>
    <w:rsid w:val="00C32501"/>
    <w:rsid w:val="00C32AF3"/>
    <w:rsid w:val="00C32C2C"/>
    <w:rsid w:val="00C365E3"/>
    <w:rsid w:val="00C36B24"/>
    <w:rsid w:val="00C4073B"/>
    <w:rsid w:val="00C40E47"/>
    <w:rsid w:val="00C419AD"/>
    <w:rsid w:val="00C423C3"/>
    <w:rsid w:val="00C42AE3"/>
    <w:rsid w:val="00C437BB"/>
    <w:rsid w:val="00C439F2"/>
    <w:rsid w:val="00C4757F"/>
    <w:rsid w:val="00C5354C"/>
    <w:rsid w:val="00C6090C"/>
    <w:rsid w:val="00C61EAB"/>
    <w:rsid w:val="00C62CBB"/>
    <w:rsid w:val="00C65631"/>
    <w:rsid w:val="00C65D24"/>
    <w:rsid w:val="00C66291"/>
    <w:rsid w:val="00C676DD"/>
    <w:rsid w:val="00C7264D"/>
    <w:rsid w:val="00C742FE"/>
    <w:rsid w:val="00C747EF"/>
    <w:rsid w:val="00C74A97"/>
    <w:rsid w:val="00C76C66"/>
    <w:rsid w:val="00C772F7"/>
    <w:rsid w:val="00C77CAC"/>
    <w:rsid w:val="00C8062E"/>
    <w:rsid w:val="00C827DE"/>
    <w:rsid w:val="00C85AB2"/>
    <w:rsid w:val="00C87CBB"/>
    <w:rsid w:val="00C90EE1"/>
    <w:rsid w:val="00C95341"/>
    <w:rsid w:val="00C95452"/>
    <w:rsid w:val="00C96DF7"/>
    <w:rsid w:val="00CA111A"/>
    <w:rsid w:val="00CA25E9"/>
    <w:rsid w:val="00CA4063"/>
    <w:rsid w:val="00CA5EE5"/>
    <w:rsid w:val="00CA7738"/>
    <w:rsid w:val="00CA7F78"/>
    <w:rsid w:val="00CB1E31"/>
    <w:rsid w:val="00CB1F1D"/>
    <w:rsid w:val="00CB44B1"/>
    <w:rsid w:val="00CC140B"/>
    <w:rsid w:val="00CC22AC"/>
    <w:rsid w:val="00CC4562"/>
    <w:rsid w:val="00CC529E"/>
    <w:rsid w:val="00CD1C4E"/>
    <w:rsid w:val="00CD26A5"/>
    <w:rsid w:val="00CD2DDE"/>
    <w:rsid w:val="00CE015C"/>
    <w:rsid w:val="00CE07D2"/>
    <w:rsid w:val="00CE43A9"/>
    <w:rsid w:val="00CE5A31"/>
    <w:rsid w:val="00CF05B8"/>
    <w:rsid w:val="00CF0B0B"/>
    <w:rsid w:val="00CF0CF0"/>
    <w:rsid w:val="00CF1C82"/>
    <w:rsid w:val="00CF260E"/>
    <w:rsid w:val="00CF70C7"/>
    <w:rsid w:val="00CF7F51"/>
    <w:rsid w:val="00D00E3A"/>
    <w:rsid w:val="00D01435"/>
    <w:rsid w:val="00D015F1"/>
    <w:rsid w:val="00D03BE5"/>
    <w:rsid w:val="00D04C79"/>
    <w:rsid w:val="00D131D2"/>
    <w:rsid w:val="00D17D1B"/>
    <w:rsid w:val="00D20473"/>
    <w:rsid w:val="00D2092F"/>
    <w:rsid w:val="00D20D66"/>
    <w:rsid w:val="00D23F6B"/>
    <w:rsid w:val="00D27DD9"/>
    <w:rsid w:val="00D32D64"/>
    <w:rsid w:val="00D34198"/>
    <w:rsid w:val="00D341FF"/>
    <w:rsid w:val="00D34B22"/>
    <w:rsid w:val="00D36B08"/>
    <w:rsid w:val="00D36FB0"/>
    <w:rsid w:val="00D40861"/>
    <w:rsid w:val="00D43C64"/>
    <w:rsid w:val="00D45076"/>
    <w:rsid w:val="00D474B0"/>
    <w:rsid w:val="00D479E4"/>
    <w:rsid w:val="00D51BF4"/>
    <w:rsid w:val="00D52BF4"/>
    <w:rsid w:val="00D53221"/>
    <w:rsid w:val="00D53FC6"/>
    <w:rsid w:val="00D5621D"/>
    <w:rsid w:val="00D56C04"/>
    <w:rsid w:val="00D57296"/>
    <w:rsid w:val="00D6180C"/>
    <w:rsid w:val="00D65668"/>
    <w:rsid w:val="00D714C9"/>
    <w:rsid w:val="00D74733"/>
    <w:rsid w:val="00D752A4"/>
    <w:rsid w:val="00D77285"/>
    <w:rsid w:val="00D87FF5"/>
    <w:rsid w:val="00D90E2E"/>
    <w:rsid w:val="00D947E5"/>
    <w:rsid w:val="00D95299"/>
    <w:rsid w:val="00DA1DC9"/>
    <w:rsid w:val="00DA3443"/>
    <w:rsid w:val="00DA40F5"/>
    <w:rsid w:val="00DB0F7D"/>
    <w:rsid w:val="00DB5C08"/>
    <w:rsid w:val="00DC5471"/>
    <w:rsid w:val="00DC56CE"/>
    <w:rsid w:val="00DC5CD1"/>
    <w:rsid w:val="00DD1288"/>
    <w:rsid w:val="00DD6429"/>
    <w:rsid w:val="00DE636B"/>
    <w:rsid w:val="00DE7564"/>
    <w:rsid w:val="00DF0485"/>
    <w:rsid w:val="00DF06DB"/>
    <w:rsid w:val="00DF70C8"/>
    <w:rsid w:val="00DF733E"/>
    <w:rsid w:val="00DF75C6"/>
    <w:rsid w:val="00DF78EF"/>
    <w:rsid w:val="00E00E8A"/>
    <w:rsid w:val="00E019B8"/>
    <w:rsid w:val="00E03D64"/>
    <w:rsid w:val="00E04A57"/>
    <w:rsid w:val="00E06839"/>
    <w:rsid w:val="00E06870"/>
    <w:rsid w:val="00E10465"/>
    <w:rsid w:val="00E10878"/>
    <w:rsid w:val="00E10E22"/>
    <w:rsid w:val="00E129EC"/>
    <w:rsid w:val="00E1313A"/>
    <w:rsid w:val="00E13360"/>
    <w:rsid w:val="00E200BE"/>
    <w:rsid w:val="00E229CB"/>
    <w:rsid w:val="00E257F7"/>
    <w:rsid w:val="00E27DEE"/>
    <w:rsid w:val="00E315C1"/>
    <w:rsid w:val="00E323C8"/>
    <w:rsid w:val="00E332E9"/>
    <w:rsid w:val="00E35208"/>
    <w:rsid w:val="00E433FC"/>
    <w:rsid w:val="00E436A4"/>
    <w:rsid w:val="00E44416"/>
    <w:rsid w:val="00E44432"/>
    <w:rsid w:val="00E50087"/>
    <w:rsid w:val="00E508DF"/>
    <w:rsid w:val="00E50FC0"/>
    <w:rsid w:val="00E529B1"/>
    <w:rsid w:val="00E532A7"/>
    <w:rsid w:val="00E5380B"/>
    <w:rsid w:val="00E62A53"/>
    <w:rsid w:val="00E63761"/>
    <w:rsid w:val="00E640C7"/>
    <w:rsid w:val="00E7155D"/>
    <w:rsid w:val="00E727B2"/>
    <w:rsid w:val="00E7509E"/>
    <w:rsid w:val="00E75320"/>
    <w:rsid w:val="00E760FF"/>
    <w:rsid w:val="00E767E9"/>
    <w:rsid w:val="00E7776B"/>
    <w:rsid w:val="00E778EA"/>
    <w:rsid w:val="00E8060D"/>
    <w:rsid w:val="00E80A62"/>
    <w:rsid w:val="00E83D32"/>
    <w:rsid w:val="00E840EF"/>
    <w:rsid w:val="00E84D63"/>
    <w:rsid w:val="00E93658"/>
    <w:rsid w:val="00E942F3"/>
    <w:rsid w:val="00E94BDE"/>
    <w:rsid w:val="00EA1412"/>
    <w:rsid w:val="00EA183A"/>
    <w:rsid w:val="00EA3E92"/>
    <w:rsid w:val="00EA4150"/>
    <w:rsid w:val="00EA49EA"/>
    <w:rsid w:val="00EA5439"/>
    <w:rsid w:val="00EA5F35"/>
    <w:rsid w:val="00EA65EE"/>
    <w:rsid w:val="00EA6E75"/>
    <w:rsid w:val="00EA7666"/>
    <w:rsid w:val="00EB2BA8"/>
    <w:rsid w:val="00EB614C"/>
    <w:rsid w:val="00EC2DC1"/>
    <w:rsid w:val="00EC4208"/>
    <w:rsid w:val="00EC553D"/>
    <w:rsid w:val="00EC5A6D"/>
    <w:rsid w:val="00EC6FFE"/>
    <w:rsid w:val="00ED34E1"/>
    <w:rsid w:val="00ED606F"/>
    <w:rsid w:val="00EF0B8A"/>
    <w:rsid w:val="00EF1D45"/>
    <w:rsid w:val="00EF4A0D"/>
    <w:rsid w:val="00F04B09"/>
    <w:rsid w:val="00F1272E"/>
    <w:rsid w:val="00F1514D"/>
    <w:rsid w:val="00F155A5"/>
    <w:rsid w:val="00F16970"/>
    <w:rsid w:val="00F20088"/>
    <w:rsid w:val="00F21A2D"/>
    <w:rsid w:val="00F21BE4"/>
    <w:rsid w:val="00F262F5"/>
    <w:rsid w:val="00F3378F"/>
    <w:rsid w:val="00F367B0"/>
    <w:rsid w:val="00F36B45"/>
    <w:rsid w:val="00F36CC3"/>
    <w:rsid w:val="00F43FC8"/>
    <w:rsid w:val="00F4577C"/>
    <w:rsid w:val="00F511BF"/>
    <w:rsid w:val="00F53ADE"/>
    <w:rsid w:val="00F54CBF"/>
    <w:rsid w:val="00F5565D"/>
    <w:rsid w:val="00F5663B"/>
    <w:rsid w:val="00F56DDD"/>
    <w:rsid w:val="00F5750E"/>
    <w:rsid w:val="00F61B41"/>
    <w:rsid w:val="00F65D7F"/>
    <w:rsid w:val="00F65F2B"/>
    <w:rsid w:val="00F70BC2"/>
    <w:rsid w:val="00F70BFC"/>
    <w:rsid w:val="00F74157"/>
    <w:rsid w:val="00F80B98"/>
    <w:rsid w:val="00F83126"/>
    <w:rsid w:val="00F83EBE"/>
    <w:rsid w:val="00F853B2"/>
    <w:rsid w:val="00F8558E"/>
    <w:rsid w:val="00F86848"/>
    <w:rsid w:val="00F874F1"/>
    <w:rsid w:val="00F8773E"/>
    <w:rsid w:val="00F90985"/>
    <w:rsid w:val="00F9221F"/>
    <w:rsid w:val="00F964BB"/>
    <w:rsid w:val="00FA3C35"/>
    <w:rsid w:val="00FA5276"/>
    <w:rsid w:val="00FB2C57"/>
    <w:rsid w:val="00FB624F"/>
    <w:rsid w:val="00FC172E"/>
    <w:rsid w:val="00FC2BCA"/>
    <w:rsid w:val="00FC7F23"/>
    <w:rsid w:val="00FD0DAB"/>
    <w:rsid w:val="00FD1EBE"/>
    <w:rsid w:val="00FD34B5"/>
    <w:rsid w:val="00FD39EA"/>
    <w:rsid w:val="00FE2470"/>
    <w:rsid w:val="00FE3661"/>
    <w:rsid w:val="00FE46BE"/>
    <w:rsid w:val="00FE4CD3"/>
    <w:rsid w:val="00FE764F"/>
    <w:rsid w:val="00FF0A09"/>
    <w:rsid w:val="00FF2126"/>
    <w:rsid w:val="00FF374E"/>
    <w:rsid w:val="00FF3F56"/>
    <w:rsid w:val="00FF6F12"/>
    <w:rsid w:val="00FF7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E58399-EC2B-4ADA-8147-CCB6690B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01"/>
    <w:pPr>
      <w:spacing w:after="160" w:line="259" w:lineRule="auto"/>
    </w:pPr>
    <w:rPr>
      <w:rFonts w:asciiTheme="minorHAnsi" w:eastAsiaTheme="minorHAnsi" w:hAnsiTheme="minorHAnsi" w:cstheme="minorBidi"/>
      <w:sz w:val="22"/>
      <w:szCs w:val="22"/>
      <w:lang w:val="lv-LV"/>
    </w:rPr>
  </w:style>
  <w:style w:type="paragraph" w:styleId="Heading1">
    <w:name w:val="heading 1"/>
    <w:basedOn w:val="Normal"/>
    <w:autoRedefine/>
    <w:qFormat/>
    <w:rsid w:val="00A15375"/>
    <w:pPr>
      <w:keepNext/>
      <w:keepLines/>
      <w:numPr>
        <w:numId w:val="2"/>
      </w:numPr>
      <w:spacing w:before="480"/>
      <w:outlineLvl w:val="0"/>
    </w:pPr>
    <w:rPr>
      <w:caps/>
      <w:kern w:val="28"/>
    </w:rPr>
  </w:style>
  <w:style w:type="paragraph" w:styleId="Heading2">
    <w:name w:val="heading 2"/>
    <w:basedOn w:val="Normal"/>
    <w:autoRedefine/>
    <w:qFormat/>
    <w:rsid w:val="00A15375"/>
    <w:pPr>
      <w:keepLines/>
      <w:numPr>
        <w:ilvl w:val="1"/>
        <w:numId w:val="2"/>
      </w:numPr>
      <w:spacing w:before="240"/>
      <w:outlineLvl w:val="1"/>
    </w:pPr>
  </w:style>
  <w:style w:type="paragraph" w:styleId="Heading3">
    <w:name w:val="heading 3"/>
    <w:basedOn w:val="Normal"/>
    <w:autoRedefine/>
    <w:qFormat/>
    <w:rsid w:val="00A15375"/>
    <w:pPr>
      <w:keepLines/>
      <w:numPr>
        <w:ilvl w:val="2"/>
        <w:numId w:val="2"/>
      </w:numPr>
      <w:spacing w:before="240"/>
      <w:outlineLvl w:val="2"/>
    </w:pPr>
  </w:style>
  <w:style w:type="paragraph" w:styleId="Heading4">
    <w:name w:val="heading 4"/>
    <w:basedOn w:val="Normal"/>
    <w:autoRedefine/>
    <w:qFormat/>
    <w:rsid w:val="00A15375"/>
    <w:pPr>
      <w:keepLines/>
      <w:numPr>
        <w:ilvl w:val="3"/>
        <w:numId w:val="2"/>
      </w:numPr>
      <w:spacing w:before="120"/>
      <w:outlineLvl w:val="3"/>
    </w:pPr>
  </w:style>
  <w:style w:type="paragraph" w:styleId="Heading5">
    <w:name w:val="heading 5"/>
    <w:basedOn w:val="Normal"/>
    <w:autoRedefine/>
    <w:qFormat/>
    <w:rsid w:val="00A15375"/>
    <w:pPr>
      <w:numPr>
        <w:ilvl w:val="4"/>
        <w:numId w:val="2"/>
      </w:numPr>
      <w:outlineLvl w:val="4"/>
    </w:pPr>
  </w:style>
  <w:style w:type="paragraph" w:styleId="Heading6">
    <w:name w:val="heading 6"/>
    <w:basedOn w:val="Normal"/>
    <w:autoRedefine/>
    <w:qFormat/>
    <w:rsid w:val="00A15375"/>
    <w:pPr>
      <w:keepLines/>
      <w:numPr>
        <w:ilvl w:val="5"/>
        <w:numId w:val="2"/>
      </w:numPr>
      <w:outlineLvl w:val="5"/>
    </w:pPr>
  </w:style>
  <w:style w:type="paragraph" w:styleId="Heading7">
    <w:name w:val="heading 7"/>
    <w:basedOn w:val="Normal"/>
    <w:autoRedefine/>
    <w:qFormat/>
    <w:rsid w:val="00A15375"/>
    <w:pPr>
      <w:keepLines/>
      <w:numPr>
        <w:ilvl w:val="6"/>
        <w:numId w:val="2"/>
      </w:numPr>
      <w:outlineLvl w:val="6"/>
    </w:pPr>
  </w:style>
  <w:style w:type="paragraph" w:styleId="Heading8">
    <w:name w:val="heading 8"/>
    <w:basedOn w:val="Normal"/>
    <w:autoRedefine/>
    <w:qFormat/>
    <w:rsid w:val="00A15375"/>
    <w:pPr>
      <w:keepLines/>
      <w:numPr>
        <w:ilvl w:val="7"/>
        <w:numId w:val="2"/>
      </w:numPr>
      <w:outlineLvl w:val="7"/>
    </w:pPr>
  </w:style>
  <w:style w:type="paragraph" w:styleId="Heading9">
    <w:name w:val="heading 9"/>
    <w:basedOn w:val="Normal"/>
    <w:autoRedefine/>
    <w:qFormat/>
    <w:rsid w:val="00A15375"/>
    <w:pPr>
      <w:keepLines/>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autoRedefine/>
    <w:rsid w:val="00B53D28"/>
    <w:pPr>
      <w:tabs>
        <w:tab w:val="right" w:pos="9072"/>
      </w:tabs>
    </w:pPr>
  </w:style>
  <w:style w:type="paragraph" w:customStyle="1" w:styleId="TekstsN1">
    <w:name w:val="TekstsN1"/>
    <w:basedOn w:val="Normal"/>
    <w:autoRedefine/>
    <w:rsid w:val="00AE208F"/>
    <w:pPr>
      <w:keepLines/>
      <w:numPr>
        <w:numId w:val="1"/>
      </w:numPr>
      <w:spacing w:before="240"/>
      <w:outlineLvl w:val="0"/>
    </w:pPr>
  </w:style>
  <w:style w:type="paragraph" w:styleId="Footer">
    <w:name w:val="footer"/>
    <w:basedOn w:val="Normal"/>
    <w:link w:val="FooterChar"/>
    <w:autoRedefine/>
    <w:rsid w:val="00B53D28"/>
    <w:pPr>
      <w:tabs>
        <w:tab w:val="right" w:pos="9072"/>
      </w:tabs>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1"/>
      </w:numPr>
      <w:spacing w:before="240"/>
      <w:outlineLvl w:val="1"/>
    </w:pPr>
  </w:style>
  <w:style w:type="paragraph" w:customStyle="1" w:styleId="TekstsN3">
    <w:name w:val="TekstsN3"/>
    <w:basedOn w:val="Normal"/>
    <w:autoRedefine/>
    <w:rsid w:val="00AE208F"/>
    <w:pPr>
      <w:keepLines/>
      <w:numPr>
        <w:ilvl w:val="2"/>
        <w:numId w:val="1"/>
      </w:numPr>
      <w:spacing w:before="120"/>
      <w:outlineLvl w:val="2"/>
    </w:pPr>
  </w:style>
  <w:style w:type="paragraph" w:customStyle="1" w:styleId="TekstsN4">
    <w:name w:val="TekstsN4"/>
    <w:basedOn w:val="Normal"/>
    <w:autoRedefine/>
    <w:rsid w:val="00AE208F"/>
    <w:pPr>
      <w:keepLines/>
      <w:numPr>
        <w:ilvl w:val="3"/>
        <w:numId w:val="1"/>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A15375"/>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3"/>
      </w:numPr>
      <w:spacing w:before="240" w:after="240"/>
      <w:outlineLvl w:val="1"/>
    </w:pPr>
    <w:rPr>
      <w:b/>
      <w:lang w:eastAsia="lv-LV"/>
    </w:rPr>
  </w:style>
  <w:style w:type="paragraph" w:customStyle="1" w:styleId="NAatsauce">
    <w:name w:val="NA atsauce"/>
    <w:basedOn w:val="Normal"/>
    <w:rsid w:val="00B53D28"/>
    <w:pPr>
      <w:jc w:val="right"/>
    </w:pPr>
    <w:rPr>
      <w:lang w:eastAsia="lv-LV"/>
    </w:rPr>
  </w:style>
  <w:style w:type="paragraph" w:customStyle="1" w:styleId="NAdatumsunnumurs">
    <w:name w:val="NA datums un numurs"/>
    <w:basedOn w:val="Normal"/>
    <w:rsid w:val="00B53D28"/>
    <w:pPr>
      <w:tabs>
        <w:tab w:val="right" w:pos="9072"/>
      </w:tabs>
      <w:spacing w:before="240"/>
    </w:pPr>
    <w:rPr>
      <w:lang w:eastAsia="lv-LV"/>
    </w:rPr>
  </w:style>
  <w:style w:type="paragraph" w:customStyle="1" w:styleId="NAizdevejs">
    <w:name w:val="NA izdevejs"/>
    <w:basedOn w:val="Normal"/>
    <w:rsid w:val="00B53D28"/>
    <w:pPr>
      <w:spacing w:before="480"/>
      <w:jc w:val="center"/>
    </w:pPr>
    <w:rPr>
      <w:rFonts w:ascii="Times New Roman Bold" w:hAnsi="Times New Roman Bold"/>
      <w:b/>
      <w:bCs/>
      <w:caps/>
      <w:lang w:eastAsia="lv-LV"/>
    </w:rPr>
  </w:style>
  <w:style w:type="paragraph" w:customStyle="1" w:styleId="NAnodala">
    <w:name w:val="NA nodala"/>
    <w:basedOn w:val="Normal"/>
    <w:next w:val="Normal"/>
    <w:autoRedefine/>
    <w:qFormat/>
    <w:rsid w:val="00A15375"/>
    <w:pPr>
      <w:keepNext/>
      <w:keepLines/>
      <w:numPr>
        <w:numId w:val="3"/>
      </w:numPr>
      <w:spacing w:before="240"/>
      <w:outlineLvl w:val="0"/>
    </w:pPr>
    <w:rPr>
      <w:b/>
      <w:lang w:eastAsia="lv-LV"/>
    </w:rPr>
  </w:style>
  <w:style w:type="paragraph" w:customStyle="1" w:styleId="NAnodalaromiesucipari">
    <w:name w:val="NA nodala (romiesu cipari)"/>
    <w:basedOn w:val="Normal"/>
    <w:next w:val="Normal"/>
    <w:qFormat/>
    <w:rsid w:val="00A15375"/>
    <w:pPr>
      <w:numPr>
        <w:numId w:val="4"/>
      </w:numPr>
      <w:spacing w:before="240"/>
      <w:outlineLvl w:val="0"/>
    </w:pPr>
    <w:rPr>
      <w:b/>
      <w:lang w:eastAsia="lv-LV"/>
    </w:rPr>
  </w:style>
  <w:style w:type="paragraph" w:customStyle="1" w:styleId="NAnosaukums">
    <w:name w:val="NA nosaukums"/>
    <w:basedOn w:val="Normal"/>
    <w:rsid w:val="00B53D28"/>
    <w:pPr>
      <w:spacing w:before="240" w:after="240"/>
    </w:pPr>
    <w:rPr>
      <w:b/>
      <w:lang w:eastAsia="lv-LV"/>
    </w:rPr>
  </w:style>
  <w:style w:type="paragraph" w:customStyle="1" w:styleId="NAparakstitajs">
    <w:name w:val="NA parakstitajs"/>
    <w:basedOn w:val="Normal"/>
    <w:rsid w:val="00B53D28"/>
    <w:pPr>
      <w:tabs>
        <w:tab w:val="right" w:pos="9072"/>
      </w:tabs>
      <w:spacing w:before="1560"/>
    </w:pPr>
    <w:rPr>
      <w:lang w:eastAsia="lv-LV"/>
    </w:rPr>
  </w:style>
  <w:style w:type="paragraph" w:customStyle="1" w:styleId="NApielikums">
    <w:name w:val="NA pielikums"/>
    <w:basedOn w:val="Normal"/>
    <w:rsid w:val="00B53D28"/>
    <w:pPr>
      <w:jc w:val="right"/>
    </w:pPr>
    <w:rPr>
      <w:lang w:eastAsia="lv-LV"/>
    </w:rPr>
  </w:style>
  <w:style w:type="paragraph" w:customStyle="1" w:styleId="NAprojekts">
    <w:name w:val="NA projekts"/>
    <w:basedOn w:val="Normal"/>
    <w:rsid w:val="00B53D28"/>
    <w:pPr>
      <w:jc w:val="right"/>
    </w:pPr>
    <w:rPr>
      <w:lang w:eastAsia="lv-LV"/>
    </w:rPr>
  </w:style>
  <w:style w:type="paragraph" w:customStyle="1" w:styleId="NApunkts1">
    <w:name w:val="NA punkts 1"/>
    <w:basedOn w:val="Normal"/>
    <w:qFormat/>
    <w:rsid w:val="00A15375"/>
    <w:pPr>
      <w:numPr>
        <w:numId w:val="5"/>
      </w:numPr>
      <w:spacing w:before="240"/>
      <w:outlineLvl w:val="0"/>
    </w:pPr>
    <w:rPr>
      <w:lang w:eastAsia="lv-LV"/>
    </w:rPr>
  </w:style>
  <w:style w:type="paragraph" w:customStyle="1" w:styleId="NApunkts2">
    <w:name w:val="NA punkts 2"/>
    <w:basedOn w:val="Normal"/>
    <w:qFormat/>
    <w:rsid w:val="00A15375"/>
    <w:pPr>
      <w:keepLines/>
      <w:numPr>
        <w:ilvl w:val="1"/>
        <w:numId w:val="5"/>
      </w:numPr>
      <w:outlineLvl w:val="1"/>
    </w:pPr>
    <w:rPr>
      <w:lang w:eastAsia="lv-LV"/>
    </w:rPr>
  </w:style>
  <w:style w:type="paragraph" w:customStyle="1" w:styleId="NApunkts3">
    <w:name w:val="NA punkts 3"/>
    <w:basedOn w:val="Normal"/>
    <w:qFormat/>
    <w:rsid w:val="00A15375"/>
    <w:pPr>
      <w:keepLines/>
      <w:numPr>
        <w:ilvl w:val="2"/>
        <w:numId w:val="5"/>
      </w:numPr>
      <w:outlineLvl w:val="2"/>
    </w:pPr>
    <w:rPr>
      <w:lang w:eastAsia="lv-LV"/>
    </w:rPr>
  </w:style>
  <w:style w:type="paragraph" w:customStyle="1" w:styleId="NApunkts4">
    <w:name w:val="NA punkts 4"/>
    <w:basedOn w:val="Normal"/>
    <w:qFormat/>
    <w:rsid w:val="00A15375"/>
    <w:pPr>
      <w:keepLines/>
      <w:numPr>
        <w:ilvl w:val="3"/>
        <w:numId w:val="5"/>
      </w:numPr>
      <w:outlineLvl w:val="3"/>
    </w:pPr>
    <w:rPr>
      <w:lang w:eastAsia="lv-LV"/>
    </w:rPr>
  </w:style>
  <w:style w:type="paragraph" w:customStyle="1" w:styleId="NAveids">
    <w:name w:val="NA veids"/>
    <w:basedOn w:val="Normal"/>
    <w:rsid w:val="00B53D28"/>
    <w:pPr>
      <w:jc w:val="right"/>
    </w:pPr>
    <w:rPr>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styleId="Subtitle">
    <w:name w:val="Subtitle"/>
    <w:basedOn w:val="Normal"/>
    <w:next w:val="Normal"/>
    <w:link w:val="SubtitleChar"/>
    <w:qFormat/>
    <w:rsid w:val="00A1537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15375"/>
    <w:rPr>
      <w:rFonts w:asciiTheme="majorHAnsi" w:eastAsiaTheme="majorEastAsia" w:hAnsiTheme="majorHAnsi" w:cstheme="majorBidi"/>
      <w:i/>
      <w:iCs/>
      <w:color w:val="4F81BD" w:themeColor="accent1"/>
      <w:spacing w:val="15"/>
      <w:szCs w:val="24"/>
      <w:lang w:val="lv-LV"/>
    </w:rPr>
  </w:style>
  <w:style w:type="paragraph" w:styleId="ListParagraph">
    <w:name w:val="List Paragraph"/>
    <w:basedOn w:val="Normal"/>
    <w:uiPriority w:val="34"/>
    <w:qFormat/>
    <w:rsid w:val="00FF7901"/>
    <w:pPr>
      <w:ind w:left="720"/>
      <w:contextualSpacing/>
    </w:pPr>
  </w:style>
  <w:style w:type="paragraph" w:customStyle="1" w:styleId="naiskr">
    <w:name w:val="naiskr"/>
    <w:basedOn w:val="Normal"/>
    <w:rsid w:val="00FF7901"/>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7671AD"/>
    <w:pPr>
      <w:spacing w:after="0" w:line="240" w:lineRule="auto"/>
    </w:pPr>
    <w:rPr>
      <w:sz w:val="20"/>
      <w:szCs w:val="20"/>
    </w:rPr>
  </w:style>
  <w:style w:type="character" w:customStyle="1" w:styleId="FootnoteTextChar">
    <w:name w:val="Footnote Text Char"/>
    <w:basedOn w:val="DefaultParagraphFont"/>
    <w:link w:val="FootnoteText"/>
    <w:rsid w:val="007671AD"/>
    <w:rPr>
      <w:rFonts w:asciiTheme="minorHAnsi" w:eastAsiaTheme="minorHAnsi" w:hAnsiTheme="minorHAnsi" w:cstheme="minorBidi"/>
      <w:sz w:val="20"/>
      <w:szCs w:val="20"/>
      <w:lang w:val="lv-LV"/>
    </w:rPr>
  </w:style>
  <w:style w:type="character" w:styleId="FootnoteReference">
    <w:name w:val="footnote reference"/>
    <w:basedOn w:val="DefaultParagraphFont"/>
    <w:rsid w:val="007671AD"/>
    <w:rPr>
      <w:shd w:val="clear" w:color="auto" w:fill="auto"/>
      <w:vertAlign w:val="superscript"/>
    </w:rPr>
  </w:style>
  <w:style w:type="paragraph" w:styleId="ListNumber2">
    <w:name w:val="List Number 2"/>
    <w:basedOn w:val="Normal"/>
    <w:rsid w:val="007671AD"/>
    <w:pPr>
      <w:numPr>
        <w:numId w:val="8"/>
      </w:numPr>
      <w:spacing w:before="120" w:after="120" w:line="240" w:lineRule="auto"/>
      <w:contextualSpacing/>
      <w:jc w:val="both"/>
    </w:pPr>
    <w:rPr>
      <w:rFonts w:ascii="Times New Roman" w:eastAsia="Times New Roman" w:hAnsi="Times New Roman" w:cs="Times New Roman"/>
      <w:sz w:val="24"/>
      <w:szCs w:val="24"/>
    </w:rPr>
  </w:style>
  <w:style w:type="paragraph" w:styleId="ListBullet">
    <w:name w:val="List Bullet"/>
    <w:basedOn w:val="Normal"/>
    <w:uiPriority w:val="99"/>
    <w:unhideWhenUsed/>
    <w:rsid w:val="007601FB"/>
    <w:pPr>
      <w:numPr>
        <w:numId w:val="12"/>
      </w:numPr>
      <w:contextualSpacing/>
    </w:pPr>
  </w:style>
  <w:style w:type="paragraph" w:styleId="BalloonText">
    <w:name w:val="Balloon Text"/>
    <w:basedOn w:val="Normal"/>
    <w:link w:val="BalloonTextChar"/>
    <w:rsid w:val="0076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01FB"/>
    <w:rPr>
      <w:rFonts w:ascii="Tahoma" w:eastAsiaTheme="minorHAnsi" w:hAnsi="Tahoma" w:cs="Tahoma"/>
      <w:sz w:val="16"/>
      <w:szCs w:val="16"/>
      <w:lang w:val="lv-LV"/>
    </w:rPr>
  </w:style>
  <w:style w:type="character" w:styleId="CommentReference">
    <w:name w:val="annotation reference"/>
    <w:basedOn w:val="DefaultParagraphFont"/>
    <w:rsid w:val="002230BB"/>
    <w:rPr>
      <w:sz w:val="16"/>
      <w:szCs w:val="16"/>
    </w:rPr>
  </w:style>
  <w:style w:type="paragraph" w:styleId="CommentSubject">
    <w:name w:val="annotation subject"/>
    <w:basedOn w:val="CommentText"/>
    <w:next w:val="CommentText"/>
    <w:link w:val="CommentSubjectChar"/>
    <w:rsid w:val="002230BB"/>
    <w:pPr>
      <w:tabs>
        <w:tab w:val="clear" w:pos="284"/>
      </w:tabs>
      <w:spacing w:line="240" w:lineRule="auto"/>
    </w:pPr>
    <w:rPr>
      <w:b/>
      <w:bCs/>
      <w:szCs w:val="20"/>
    </w:rPr>
  </w:style>
  <w:style w:type="character" w:customStyle="1" w:styleId="CommentSubjectChar">
    <w:name w:val="Comment Subject Char"/>
    <w:basedOn w:val="CommentTextChar"/>
    <w:link w:val="CommentSubject"/>
    <w:rsid w:val="002230BB"/>
    <w:rPr>
      <w:rFonts w:asciiTheme="minorHAnsi" w:eastAsiaTheme="minorHAnsi" w:hAnsiTheme="minorHAnsi" w:cstheme="minorBidi"/>
      <w:b/>
      <w:bCs/>
      <w:sz w:val="20"/>
      <w:szCs w:val="20"/>
      <w:lang w:val="lv-LV"/>
    </w:rPr>
  </w:style>
  <w:style w:type="character" w:styleId="Hyperlink">
    <w:name w:val="Hyperlink"/>
    <w:basedOn w:val="DefaultParagraphFont"/>
    <w:rsid w:val="006A6AE9"/>
    <w:rPr>
      <w:color w:val="0000FF"/>
      <w:u w:val="single"/>
    </w:rPr>
  </w:style>
  <w:style w:type="character" w:styleId="FollowedHyperlink">
    <w:name w:val="FollowedHyperlink"/>
    <w:basedOn w:val="DefaultParagraphFont"/>
    <w:semiHidden/>
    <w:unhideWhenUsed/>
    <w:rsid w:val="006A6AE9"/>
    <w:rPr>
      <w:color w:val="800080" w:themeColor="followedHyperlink"/>
      <w:u w:val="single"/>
    </w:rPr>
  </w:style>
  <w:style w:type="character" w:customStyle="1" w:styleId="FooterChar">
    <w:name w:val="Footer Char"/>
    <w:basedOn w:val="DefaultParagraphFont"/>
    <w:link w:val="Footer"/>
    <w:uiPriority w:val="99"/>
    <w:rsid w:val="00F155A5"/>
    <w:rPr>
      <w:rFonts w:asciiTheme="minorHAnsi" w:eastAsiaTheme="minorHAnsi" w:hAnsiTheme="minorHAnsi" w:cstheme="minorBidi"/>
      <w:sz w:val="22"/>
      <w:szCs w:val="22"/>
      <w:lang w:val="lv-LV"/>
    </w:rPr>
  </w:style>
  <w:style w:type="character" w:customStyle="1" w:styleId="c4">
    <w:name w:val="c4"/>
    <w:rsid w:val="00BF7C85"/>
    <w:rPr>
      <w:rFonts w:ascii="Times New Roman" w:hAnsi="Times New Roman" w:cs="Times New Roman"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86">
      <w:bodyDiv w:val="1"/>
      <w:marLeft w:val="0"/>
      <w:marRight w:val="0"/>
      <w:marTop w:val="0"/>
      <w:marBottom w:val="0"/>
      <w:divBdr>
        <w:top w:val="none" w:sz="0" w:space="0" w:color="auto"/>
        <w:left w:val="none" w:sz="0" w:space="0" w:color="auto"/>
        <w:bottom w:val="none" w:sz="0" w:space="0" w:color="auto"/>
        <w:right w:val="none" w:sz="0" w:space="0" w:color="auto"/>
      </w:divBdr>
      <w:divsChild>
        <w:div w:id="588122646">
          <w:marLeft w:val="0"/>
          <w:marRight w:val="0"/>
          <w:marTop w:val="0"/>
          <w:marBottom w:val="0"/>
          <w:divBdr>
            <w:top w:val="none" w:sz="0" w:space="0" w:color="auto"/>
            <w:left w:val="none" w:sz="0" w:space="0" w:color="auto"/>
            <w:bottom w:val="none" w:sz="0" w:space="0" w:color="auto"/>
            <w:right w:val="none" w:sz="0" w:space="0" w:color="auto"/>
          </w:divBdr>
          <w:divsChild>
            <w:div w:id="470101306">
              <w:marLeft w:val="2314"/>
              <w:marRight w:val="1929"/>
              <w:marTop w:val="514"/>
              <w:marBottom w:val="0"/>
              <w:divBdr>
                <w:top w:val="none" w:sz="0" w:space="0" w:color="auto"/>
                <w:left w:val="none" w:sz="0" w:space="0" w:color="auto"/>
                <w:bottom w:val="none" w:sz="0" w:space="0" w:color="auto"/>
                <w:right w:val="none" w:sz="0" w:space="0" w:color="auto"/>
              </w:divBdr>
              <w:divsChild>
                <w:div w:id="520240863">
                  <w:marLeft w:val="0"/>
                  <w:marRight w:val="0"/>
                  <w:marTop w:val="0"/>
                  <w:marBottom w:val="193"/>
                  <w:divBdr>
                    <w:top w:val="none" w:sz="0" w:space="0" w:color="auto"/>
                    <w:left w:val="none" w:sz="0" w:space="0" w:color="auto"/>
                    <w:bottom w:val="none" w:sz="0" w:space="0" w:color="auto"/>
                    <w:right w:val="none" w:sz="0" w:space="0" w:color="auto"/>
                  </w:divBdr>
                </w:div>
              </w:divsChild>
            </w:div>
          </w:divsChild>
        </w:div>
      </w:divsChild>
    </w:div>
    <w:div w:id="10691660">
      <w:bodyDiv w:val="1"/>
      <w:marLeft w:val="0"/>
      <w:marRight w:val="0"/>
      <w:marTop w:val="0"/>
      <w:marBottom w:val="0"/>
      <w:divBdr>
        <w:top w:val="none" w:sz="0" w:space="0" w:color="auto"/>
        <w:left w:val="none" w:sz="0" w:space="0" w:color="auto"/>
        <w:bottom w:val="none" w:sz="0" w:space="0" w:color="auto"/>
        <w:right w:val="none" w:sz="0" w:space="0" w:color="auto"/>
      </w:divBdr>
    </w:div>
    <w:div w:id="177352438">
      <w:bodyDiv w:val="1"/>
      <w:marLeft w:val="0"/>
      <w:marRight w:val="0"/>
      <w:marTop w:val="0"/>
      <w:marBottom w:val="0"/>
      <w:divBdr>
        <w:top w:val="none" w:sz="0" w:space="0" w:color="auto"/>
        <w:left w:val="none" w:sz="0" w:space="0" w:color="auto"/>
        <w:bottom w:val="none" w:sz="0" w:space="0" w:color="auto"/>
        <w:right w:val="none" w:sz="0" w:space="0" w:color="auto"/>
      </w:divBdr>
    </w:div>
    <w:div w:id="260381526">
      <w:bodyDiv w:val="1"/>
      <w:marLeft w:val="0"/>
      <w:marRight w:val="0"/>
      <w:marTop w:val="0"/>
      <w:marBottom w:val="0"/>
      <w:divBdr>
        <w:top w:val="none" w:sz="0" w:space="0" w:color="auto"/>
        <w:left w:val="none" w:sz="0" w:space="0" w:color="auto"/>
        <w:bottom w:val="none" w:sz="0" w:space="0" w:color="auto"/>
        <w:right w:val="none" w:sz="0" w:space="0" w:color="auto"/>
      </w:divBdr>
      <w:divsChild>
        <w:div w:id="1087118295">
          <w:marLeft w:val="0"/>
          <w:marRight w:val="0"/>
          <w:marTop w:val="0"/>
          <w:marBottom w:val="0"/>
          <w:divBdr>
            <w:top w:val="none" w:sz="0" w:space="0" w:color="auto"/>
            <w:left w:val="none" w:sz="0" w:space="0" w:color="auto"/>
            <w:bottom w:val="none" w:sz="0" w:space="0" w:color="auto"/>
            <w:right w:val="none" w:sz="0" w:space="0" w:color="auto"/>
          </w:divBdr>
          <w:divsChild>
            <w:div w:id="1038971353">
              <w:marLeft w:val="2314"/>
              <w:marRight w:val="1929"/>
              <w:marTop w:val="514"/>
              <w:marBottom w:val="0"/>
              <w:divBdr>
                <w:top w:val="none" w:sz="0" w:space="0" w:color="auto"/>
                <w:left w:val="none" w:sz="0" w:space="0" w:color="auto"/>
                <w:bottom w:val="none" w:sz="0" w:space="0" w:color="auto"/>
                <w:right w:val="none" w:sz="0" w:space="0" w:color="auto"/>
              </w:divBdr>
              <w:divsChild>
                <w:div w:id="669678595">
                  <w:marLeft w:val="0"/>
                  <w:marRight w:val="0"/>
                  <w:marTop w:val="0"/>
                  <w:marBottom w:val="193"/>
                  <w:divBdr>
                    <w:top w:val="none" w:sz="0" w:space="0" w:color="auto"/>
                    <w:left w:val="none" w:sz="0" w:space="0" w:color="auto"/>
                    <w:bottom w:val="none" w:sz="0" w:space="0" w:color="auto"/>
                    <w:right w:val="none" w:sz="0" w:space="0" w:color="auto"/>
                  </w:divBdr>
                </w:div>
              </w:divsChild>
            </w:div>
          </w:divsChild>
        </w:div>
      </w:divsChild>
    </w:div>
    <w:div w:id="872303132">
      <w:bodyDiv w:val="1"/>
      <w:marLeft w:val="0"/>
      <w:marRight w:val="0"/>
      <w:marTop w:val="0"/>
      <w:marBottom w:val="0"/>
      <w:divBdr>
        <w:top w:val="none" w:sz="0" w:space="0" w:color="auto"/>
        <w:left w:val="none" w:sz="0" w:space="0" w:color="auto"/>
        <w:bottom w:val="none" w:sz="0" w:space="0" w:color="auto"/>
        <w:right w:val="none" w:sz="0" w:space="0" w:color="auto"/>
      </w:divBdr>
      <w:divsChild>
        <w:div w:id="710152361">
          <w:marLeft w:val="0"/>
          <w:marRight w:val="0"/>
          <w:marTop w:val="0"/>
          <w:marBottom w:val="0"/>
          <w:divBdr>
            <w:top w:val="none" w:sz="0" w:space="0" w:color="auto"/>
            <w:left w:val="none" w:sz="0" w:space="0" w:color="auto"/>
            <w:bottom w:val="none" w:sz="0" w:space="0" w:color="auto"/>
            <w:right w:val="none" w:sz="0" w:space="0" w:color="auto"/>
          </w:divBdr>
          <w:divsChild>
            <w:div w:id="1642153943">
              <w:marLeft w:val="2314"/>
              <w:marRight w:val="1929"/>
              <w:marTop w:val="514"/>
              <w:marBottom w:val="0"/>
              <w:divBdr>
                <w:top w:val="none" w:sz="0" w:space="0" w:color="auto"/>
                <w:left w:val="none" w:sz="0" w:space="0" w:color="auto"/>
                <w:bottom w:val="none" w:sz="0" w:space="0" w:color="auto"/>
                <w:right w:val="none" w:sz="0" w:space="0" w:color="auto"/>
              </w:divBdr>
              <w:divsChild>
                <w:div w:id="856651517">
                  <w:marLeft w:val="0"/>
                  <w:marRight w:val="0"/>
                  <w:marTop w:val="0"/>
                  <w:marBottom w:val="193"/>
                  <w:divBdr>
                    <w:top w:val="none" w:sz="0" w:space="0" w:color="auto"/>
                    <w:left w:val="none" w:sz="0" w:space="0" w:color="auto"/>
                    <w:bottom w:val="none" w:sz="0" w:space="0" w:color="auto"/>
                    <w:right w:val="none" w:sz="0" w:space="0" w:color="auto"/>
                  </w:divBdr>
                </w:div>
              </w:divsChild>
            </w:div>
          </w:divsChild>
        </w:div>
      </w:divsChild>
    </w:div>
    <w:div w:id="1045108520">
      <w:bodyDiv w:val="1"/>
      <w:marLeft w:val="0"/>
      <w:marRight w:val="0"/>
      <w:marTop w:val="0"/>
      <w:marBottom w:val="0"/>
      <w:divBdr>
        <w:top w:val="none" w:sz="0" w:space="0" w:color="auto"/>
        <w:left w:val="none" w:sz="0" w:space="0" w:color="auto"/>
        <w:bottom w:val="none" w:sz="0" w:space="0" w:color="auto"/>
        <w:right w:val="none" w:sz="0" w:space="0" w:color="auto"/>
      </w:divBdr>
    </w:div>
    <w:div w:id="1226066147">
      <w:bodyDiv w:val="1"/>
      <w:marLeft w:val="0"/>
      <w:marRight w:val="0"/>
      <w:marTop w:val="0"/>
      <w:marBottom w:val="0"/>
      <w:divBdr>
        <w:top w:val="none" w:sz="0" w:space="0" w:color="auto"/>
        <w:left w:val="none" w:sz="0" w:space="0" w:color="auto"/>
        <w:bottom w:val="none" w:sz="0" w:space="0" w:color="auto"/>
        <w:right w:val="none" w:sz="0" w:space="0" w:color="auto"/>
      </w:divBdr>
      <w:divsChild>
        <w:div w:id="416949906">
          <w:marLeft w:val="0"/>
          <w:marRight w:val="0"/>
          <w:marTop w:val="0"/>
          <w:marBottom w:val="0"/>
          <w:divBdr>
            <w:top w:val="none" w:sz="0" w:space="0" w:color="auto"/>
            <w:left w:val="none" w:sz="0" w:space="0" w:color="auto"/>
            <w:bottom w:val="none" w:sz="0" w:space="0" w:color="auto"/>
            <w:right w:val="none" w:sz="0" w:space="0" w:color="auto"/>
          </w:divBdr>
          <w:divsChild>
            <w:div w:id="290215332">
              <w:marLeft w:val="2700"/>
              <w:marRight w:val="2250"/>
              <w:marTop w:val="600"/>
              <w:marBottom w:val="0"/>
              <w:divBdr>
                <w:top w:val="none" w:sz="0" w:space="0" w:color="auto"/>
                <w:left w:val="none" w:sz="0" w:space="0" w:color="auto"/>
                <w:bottom w:val="none" w:sz="0" w:space="0" w:color="auto"/>
                <w:right w:val="none" w:sz="0" w:space="0" w:color="auto"/>
              </w:divBdr>
              <w:divsChild>
                <w:div w:id="14806124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97222469">
      <w:bodyDiv w:val="1"/>
      <w:marLeft w:val="0"/>
      <w:marRight w:val="0"/>
      <w:marTop w:val="0"/>
      <w:marBottom w:val="0"/>
      <w:divBdr>
        <w:top w:val="none" w:sz="0" w:space="0" w:color="auto"/>
        <w:left w:val="none" w:sz="0" w:space="0" w:color="auto"/>
        <w:bottom w:val="none" w:sz="0" w:space="0" w:color="auto"/>
        <w:right w:val="none" w:sz="0" w:space="0" w:color="auto"/>
      </w:divBdr>
    </w:div>
    <w:div w:id="1378123529">
      <w:bodyDiv w:val="1"/>
      <w:marLeft w:val="0"/>
      <w:marRight w:val="0"/>
      <w:marTop w:val="0"/>
      <w:marBottom w:val="0"/>
      <w:divBdr>
        <w:top w:val="none" w:sz="0" w:space="0" w:color="auto"/>
        <w:left w:val="none" w:sz="0" w:space="0" w:color="auto"/>
        <w:bottom w:val="none" w:sz="0" w:space="0" w:color="auto"/>
        <w:right w:val="none" w:sz="0" w:space="0" w:color="auto"/>
      </w:divBdr>
    </w:div>
    <w:div w:id="14151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E14DA.DC8C95B0"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_com_android_email_attachmentprovider_3_6874_RAW@sec.galaxyt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lga.Jermacane@f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14470</Words>
  <Characters>8249</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tiesiskās un ekonomiskās konverģences kritēriju izpildi un Konverģences ziņojuma pieprasīšanu Eiropas Komisijai un Eiropas Centrālajai bankai</vt:lpstr>
      <vt:lpstr/>
    </vt:vector>
  </TitlesOfParts>
  <Company>Latvijas Banka</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tiesiskās un ekonomiskās konverģences kritēriju izpildi un Konverģences ziņojuma pieprasīšanu Eiropas Komisijai un Eiropas Centrālajai bankai</dc:title>
  <dc:subject>Informatīvais ziņojums</dc:subject>
  <dc:creator>Ilga Jermacāne</dc:creator>
  <dc:description>tālr.: 67095429, fakss: 67083830
Ilga.Jermacane@fm.gov.lv</dc:description>
  <cp:lastModifiedBy>Trupovnieks Gints</cp:lastModifiedBy>
  <cp:revision>2</cp:revision>
  <cp:lastPrinted>2013-02-22T12:25:00Z</cp:lastPrinted>
  <dcterms:created xsi:type="dcterms:W3CDTF">2013-03-01T09:11:00Z</dcterms:created>
  <dcterms:modified xsi:type="dcterms:W3CDTF">2013-03-01T09:11:00Z</dcterms:modified>
</cp:coreProperties>
</file>