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F0" w:rsidRPr="00EB4C77" w:rsidRDefault="00AB22F0" w:rsidP="00EB4C77">
      <w:pPr>
        <w:pStyle w:val="Subtitle"/>
        <w:widowControl/>
        <w:spacing w:before="0" w:after="0" w:line="276" w:lineRule="auto"/>
        <w:ind w:right="84"/>
        <w:jc w:val="right"/>
        <w:rPr>
          <w:b w:val="0"/>
          <w:szCs w:val="26"/>
          <w:lang w:val="lv-LV"/>
        </w:rPr>
      </w:pPr>
      <w:r w:rsidRPr="00EB4C77">
        <w:rPr>
          <w:b w:val="0"/>
          <w:szCs w:val="26"/>
          <w:lang w:val="lv-LV"/>
        </w:rPr>
        <w:t>PROJEKTS</w:t>
      </w:r>
    </w:p>
    <w:p w:rsidR="00AB22F0" w:rsidRPr="00EB4C77" w:rsidRDefault="00AB22F0" w:rsidP="00EB4C77">
      <w:pPr>
        <w:spacing w:before="0" w:after="0" w:line="276" w:lineRule="auto"/>
        <w:jc w:val="right"/>
        <w:rPr>
          <w:szCs w:val="26"/>
          <w:lang w:val="lv-LV"/>
        </w:rPr>
      </w:pPr>
      <w:r w:rsidRPr="00EB4C77">
        <w:rPr>
          <w:szCs w:val="26"/>
          <w:lang w:val="lv-LV"/>
        </w:rPr>
        <w:t>Saeimas Pieprasījumu komisijai</w:t>
      </w:r>
    </w:p>
    <w:p w:rsidR="00AB22F0" w:rsidRPr="00EB4C77" w:rsidRDefault="00AB22F0" w:rsidP="00EB4C77">
      <w:pPr>
        <w:pStyle w:val="Subtitle"/>
        <w:widowControl/>
        <w:spacing w:line="276" w:lineRule="auto"/>
        <w:rPr>
          <w:b w:val="0"/>
          <w:i/>
          <w:szCs w:val="26"/>
          <w:lang w:val="lv-LV"/>
        </w:rPr>
      </w:pPr>
      <w:bookmarkStart w:id="0" w:name="_GoBack"/>
      <w:r w:rsidRPr="00EB4C77">
        <w:rPr>
          <w:b w:val="0"/>
          <w:i/>
          <w:szCs w:val="26"/>
          <w:lang w:val="lv-LV"/>
        </w:rPr>
        <w:t>Par 2013.gada 18.decembra rezolūciju Nr.90/TA-3673</w:t>
      </w:r>
    </w:p>
    <w:bookmarkEnd w:id="0"/>
    <w:p w:rsidR="00AB22F0" w:rsidRPr="00EB4C77" w:rsidRDefault="00AB22F0" w:rsidP="00EB4C77">
      <w:pPr>
        <w:spacing w:before="0" w:after="0" w:line="276" w:lineRule="auto"/>
        <w:rPr>
          <w:szCs w:val="26"/>
          <w:lang w:val="lv-LV"/>
        </w:rPr>
      </w:pPr>
      <w:r w:rsidRPr="00EB4C77">
        <w:rPr>
          <w:szCs w:val="26"/>
          <w:lang w:val="lv-LV"/>
        </w:rPr>
        <w:t>Atbildot uz Saeimas Pieprasījumu komisijas 2013.gada 11.decembra vēstuli Nr.9/11˗2</w:t>
      </w:r>
      <w:r w:rsidR="00EB4C77" w:rsidRPr="00EB4C77">
        <w:rPr>
          <w:szCs w:val="26"/>
          <w:lang w:val="lv-LV"/>
        </w:rPr>
        <w:t>-n/53˗11/13 (turpmāk – vēstule)</w:t>
      </w:r>
      <w:r w:rsidRPr="00EB4C77">
        <w:rPr>
          <w:szCs w:val="26"/>
          <w:lang w:val="lv-LV"/>
        </w:rPr>
        <w:t xml:space="preserve">, </w:t>
      </w:r>
      <w:r w:rsidR="00EB4C77" w:rsidRPr="00EB4C77">
        <w:rPr>
          <w:szCs w:val="26"/>
          <w:lang w:val="lv-LV"/>
        </w:rPr>
        <w:t xml:space="preserve">informēju, ka Ministru kabinets ir izskatījis </w:t>
      </w:r>
      <w:r w:rsidRPr="00EB4C77">
        <w:rPr>
          <w:szCs w:val="26"/>
          <w:lang w:val="lv-LV"/>
        </w:rPr>
        <w:t>tajā ietverto priekšlikumu centralizēt elektroenerģijas iepirkuma organizēšanu visām valsts pārvaldes iestādēm un valsts kapitālsabiedrībām.</w:t>
      </w:r>
    </w:p>
    <w:p w:rsidR="00AB22F0" w:rsidRPr="00EB4C77" w:rsidRDefault="00AB22F0" w:rsidP="00EB4C77">
      <w:pPr>
        <w:spacing w:before="0" w:after="0" w:line="276" w:lineRule="auto"/>
        <w:rPr>
          <w:szCs w:val="26"/>
          <w:lang w:val="lv-LV"/>
        </w:rPr>
      </w:pPr>
      <w:r w:rsidRPr="00EB4C77">
        <w:rPr>
          <w:szCs w:val="26"/>
          <w:lang w:val="lv-LV"/>
        </w:rPr>
        <w:t>Centralizēta elektroenerģijas iepirkuma organizēšana visām valsts pārvaldes iestādēm un valsts kapitālsabiedrībām kā</w:t>
      </w:r>
      <w:r w:rsidR="00EB4C77">
        <w:rPr>
          <w:szCs w:val="26"/>
          <w:lang w:val="lv-LV"/>
        </w:rPr>
        <w:t xml:space="preserve"> tāda nenonāk pretrunā nedz ar Elektroenerģijas tirgus </w:t>
      </w:r>
      <w:r w:rsidR="00EB4C77" w:rsidRPr="00F57F6C">
        <w:rPr>
          <w:szCs w:val="26"/>
          <w:lang w:val="lv-LV"/>
        </w:rPr>
        <w:t>likumu</w:t>
      </w:r>
      <w:r w:rsidRPr="00F57F6C">
        <w:rPr>
          <w:szCs w:val="26"/>
          <w:lang w:val="lv-LV"/>
        </w:rPr>
        <w:t xml:space="preserve"> (turpmāk – ETL), 2011.gada 29.novembra Ministru kabineta noteikumiem Nr.914 „Elektroenerģijas tirdzniecības un lietošanas noteikumi”, nedz ar likumu "Par sabiedrisko pakalpojumu regulatoriem"</w:t>
      </w:r>
      <w:r w:rsidR="00F57F6C" w:rsidRPr="00F57F6C">
        <w:rPr>
          <w:szCs w:val="26"/>
          <w:lang w:val="lv-LV"/>
        </w:rPr>
        <w:t xml:space="preserve">, </w:t>
      </w:r>
      <w:proofErr w:type="spellStart"/>
      <w:r w:rsidR="00F57F6C" w:rsidRPr="00F57F6C">
        <w:rPr>
          <w:bCs/>
          <w:szCs w:val="26"/>
        </w:rPr>
        <w:t>Sabiedrisko</w:t>
      </w:r>
      <w:proofErr w:type="spellEnd"/>
      <w:r w:rsidR="00F57F6C" w:rsidRPr="00F57F6C">
        <w:rPr>
          <w:bCs/>
          <w:szCs w:val="26"/>
        </w:rPr>
        <w:t xml:space="preserve"> </w:t>
      </w:r>
      <w:proofErr w:type="spellStart"/>
      <w:r w:rsidR="00F57F6C" w:rsidRPr="00F57F6C">
        <w:rPr>
          <w:bCs/>
          <w:szCs w:val="26"/>
        </w:rPr>
        <w:t>pakalpojumu</w:t>
      </w:r>
      <w:proofErr w:type="spellEnd"/>
      <w:r w:rsidR="00F57F6C" w:rsidRPr="00F57F6C">
        <w:rPr>
          <w:bCs/>
          <w:szCs w:val="26"/>
        </w:rPr>
        <w:t xml:space="preserve"> </w:t>
      </w:r>
      <w:proofErr w:type="spellStart"/>
      <w:r w:rsidR="00F57F6C" w:rsidRPr="00F57F6C">
        <w:rPr>
          <w:bCs/>
          <w:szCs w:val="26"/>
        </w:rPr>
        <w:t>sniedzēju</w:t>
      </w:r>
      <w:proofErr w:type="spellEnd"/>
      <w:r w:rsidR="00F57F6C" w:rsidRPr="00F57F6C">
        <w:rPr>
          <w:bCs/>
          <w:szCs w:val="26"/>
        </w:rPr>
        <w:t xml:space="preserve"> </w:t>
      </w:r>
      <w:proofErr w:type="spellStart"/>
      <w:r w:rsidR="00F57F6C" w:rsidRPr="00F57F6C">
        <w:rPr>
          <w:bCs/>
          <w:szCs w:val="26"/>
        </w:rPr>
        <w:t>iepirkumu</w:t>
      </w:r>
      <w:proofErr w:type="spellEnd"/>
      <w:r w:rsidR="00F57F6C" w:rsidRPr="00F57F6C">
        <w:rPr>
          <w:bCs/>
          <w:szCs w:val="26"/>
        </w:rPr>
        <w:t xml:space="preserve"> </w:t>
      </w:r>
      <w:proofErr w:type="spellStart"/>
      <w:r w:rsidR="00F57F6C" w:rsidRPr="00F57F6C">
        <w:rPr>
          <w:bCs/>
          <w:szCs w:val="26"/>
        </w:rPr>
        <w:t>likumam</w:t>
      </w:r>
      <w:proofErr w:type="spellEnd"/>
      <w:r w:rsidRPr="00F57F6C">
        <w:rPr>
          <w:szCs w:val="26"/>
          <w:lang w:val="lv-LV"/>
        </w:rPr>
        <w:t xml:space="preserve"> vai citiem Latvijas Republikā spēkā esošiem tiesību aktiem. </w:t>
      </w:r>
    </w:p>
    <w:p w:rsidR="00AB22F0" w:rsidRPr="00EB4C77" w:rsidRDefault="00AB22F0" w:rsidP="00EB4C77">
      <w:pPr>
        <w:spacing w:before="0" w:after="0" w:line="276" w:lineRule="auto"/>
        <w:rPr>
          <w:szCs w:val="26"/>
          <w:lang w:val="lv-LV"/>
        </w:rPr>
      </w:pPr>
      <w:r w:rsidRPr="00EB4C77">
        <w:rPr>
          <w:szCs w:val="26"/>
          <w:lang w:val="lv-LV"/>
        </w:rPr>
        <w:t>Tajā pašā laikā, priekšlikums visām valsts pārvaldes iestādēm un valsts kapitālsabiedrībām izraudzīties vienu elektroenerģijas piegādātāju eventuāli varētu konfrontēt ar Eiropas Parlamenta un Padomes 2009.  gada 13.  jūlija Direktīvas 2009/72/EK par kopīgiem noteikumiem attiecībā uz elektroenerģijas iekšējo tirgu un par Direktīvas 2003/54/EK atcelšanu (turpmāk – Direktīva) 39.punktu, kas nosaka, ka Eiropas Savienības dalībvalstīm: „Jāuzlabo konkurētspēja un piegādes drošums, visās dalībvalstīs atvieglojot jaunu spēkstaciju integrēšanu elektroenerģijas tīklā, jo īpaši iedrošinot jaunus tirgus dalībniekus. Ir jāpalielina uzticība tirgum, tā likviditāte un tirgus dalībnieku skaits, un tādēļ ir jāveic elektroenerģijas piegādes uzņēmumu plašāka regulatīvā pārraudzība”. Direktīvas prasības ir obligāti pārņemamas arī Latvijas</w:t>
      </w:r>
      <w:r w:rsidR="00F57F6C">
        <w:rPr>
          <w:szCs w:val="26"/>
          <w:lang w:val="lv-LV"/>
        </w:rPr>
        <w:t xml:space="preserve"> Republikas tiesību aktos. </w:t>
      </w:r>
      <w:r w:rsidR="00F57F6C" w:rsidRPr="00F57F6C">
        <w:rPr>
          <w:b/>
          <w:szCs w:val="26"/>
          <w:lang w:val="lv-LV"/>
        </w:rPr>
        <w:t>Tādejādi</w:t>
      </w:r>
      <w:r w:rsidRPr="00F57F6C">
        <w:rPr>
          <w:b/>
          <w:szCs w:val="26"/>
          <w:lang w:val="lv-LV"/>
        </w:rPr>
        <w:t>, ļoti liela elektroenerģijas tirgus dalībnieku segmenta konsolidācija būtu pretrunā ar liberalizēta elektroenerģijas tirgus principiem.</w:t>
      </w:r>
    </w:p>
    <w:p w:rsidR="00AB22F0" w:rsidRPr="00EB4C77" w:rsidRDefault="00EB4C77" w:rsidP="00EB4C77">
      <w:pPr>
        <w:spacing w:before="0" w:after="0" w:line="276" w:lineRule="auto"/>
        <w:rPr>
          <w:szCs w:val="26"/>
          <w:lang w:val="lv-LV"/>
        </w:rPr>
      </w:pPr>
      <w:r w:rsidRPr="00EB4C77">
        <w:rPr>
          <w:szCs w:val="26"/>
          <w:lang w:val="lv-LV"/>
        </w:rPr>
        <w:t>V</w:t>
      </w:r>
      <w:r w:rsidR="00AB22F0" w:rsidRPr="00EB4C77">
        <w:rPr>
          <w:szCs w:val="26"/>
          <w:lang w:val="lv-LV"/>
        </w:rPr>
        <w:t xml:space="preserve">ērtējot priekšlikumu pēc būtības, zemākās cenas reference nevar kalpot par vienīgo kritēriju elektroenerģijas piegādātāja izvēlei lielai elektroenerģijas lietotāju grupai – īpaši, ja to veido valsts pārvaldes institūcijas vai valsts kapitālsabiedrības. Papildus tam, izvēloties vienu elektroenerģijas piegādātāju </w:t>
      </w:r>
      <w:r w:rsidR="00AB22F0" w:rsidRPr="00EB4C77">
        <w:rPr>
          <w:szCs w:val="26"/>
          <w:lang w:val="lv-LV"/>
        </w:rPr>
        <w:lastRenderedPageBreak/>
        <w:t>potenciāli palielinās drošas elektroenerģijas apgādes riski, savukārt, lielāks elektroenerģijas piegādātāju skaits garantē piegāžu diversifikāciju un, attiecīgi, minēto risku samazinājumu.</w:t>
      </w:r>
    </w:p>
    <w:p w:rsidR="00AB22F0" w:rsidRPr="00EB4C77" w:rsidRDefault="00AB22F0" w:rsidP="00EB4C77">
      <w:pPr>
        <w:spacing w:before="0" w:after="0" w:line="276" w:lineRule="auto"/>
        <w:rPr>
          <w:szCs w:val="26"/>
          <w:lang w:val="lv-LV"/>
        </w:rPr>
      </w:pPr>
      <w:r w:rsidRPr="00EB4C77">
        <w:rPr>
          <w:szCs w:val="26"/>
          <w:lang w:val="lv-LV"/>
        </w:rPr>
        <w:t>Detalizēti būtu jāvērtē arī iniciatīvas realizācijas objektīvie apgrūtinājumi gan nacionālā tiesiskā ietvara, gan Eiropas Savienības direktīvo dokumentu izpratnē. Kā vienu no šādiem apgrūtinājumiem jāmin tiesiski pretrunīgas, pozitīvi diskriminējošas situācijas veidošanās risku attiecībā pret tām valsts kapitālsabiedrībām, kas pašas darbojas Latvijas elektroenerģijas tirgū kā elektroenerģijas ražotāji un tirgotāji. Īpaši aktuāls iespējamās interešu lobēšanas vai protekcionisma mēģinājuma jautājums varētu būt gadījumā, ja ETL 37.</w:t>
      </w:r>
      <w:r w:rsidRPr="00EB4C77">
        <w:rPr>
          <w:szCs w:val="26"/>
          <w:vertAlign w:val="superscript"/>
          <w:lang w:val="lv-LV"/>
        </w:rPr>
        <w:t>3</w:t>
      </w:r>
      <w:r w:rsidRPr="00EB4C77">
        <w:rPr>
          <w:szCs w:val="26"/>
          <w:lang w:val="lv-LV"/>
        </w:rPr>
        <w:t xml:space="preserve"> panta ietvaros, tiktu realizēts tiešs elektroenerģijas iepirkums (apejot Baltijas – Ziemeļvalstu elektroenerģijas biržas </w:t>
      </w:r>
      <w:r w:rsidRPr="00EB4C77">
        <w:rPr>
          <w:i/>
          <w:szCs w:val="26"/>
          <w:lang w:val="lv-LV"/>
        </w:rPr>
        <w:t xml:space="preserve">Nord </w:t>
      </w:r>
      <w:proofErr w:type="spellStart"/>
      <w:r w:rsidRPr="00EB4C77">
        <w:rPr>
          <w:i/>
          <w:szCs w:val="26"/>
          <w:lang w:val="lv-LV"/>
        </w:rPr>
        <w:t>Pool</w:t>
      </w:r>
      <w:proofErr w:type="spellEnd"/>
      <w:r w:rsidRPr="00EB4C77">
        <w:rPr>
          <w:i/>
          <w:szCs w:val="26"/>
          <w:lang w:val="lv-LV"/>
        </w:rPr>
        <w:t xml:space="preserve"> </w:t>
      </w:r>
      <w:proofErr w:type="spellStart"/>
      <w:r w:rsidRPr="00EB4C77">
        <w:rPr>
          <w:i/>
          <w:szCs w:val="26"/>
          <w:lang w:val="lv-LV"/>
        </w:rPr>
        <w:t>Spot</w:t>
      </w:r>
      <w:proofErr w:type="spellEnd"/>
      <w:r w:rsidRPr="00EB4C77">
        <w:rPr>
          <w:szCs w:val="26"/>
          <w:lang w:val="lv-LV"/>
        </w:rPr>
        <w:t xml:space="preserve"> Latvijas cenu zonas tirdzniecības platformu).</w:t>
      </w:r>
    </w:p>
    <w:p w:rsidR="00AB22F0" w:rsidRDefault="00AB22F0" w:rsidP="00EB4C77">
      <w:pPr>
        <w:spacing w:before="0" w:after="0" w:line="276" w:lineRule="auto"/>
        <w:rPr>
          <w:szCs w:val="26"/>
          <w:lang w:val="lv-LV"/>
        </w:rPr>
      </w:pPr>
      <w:r w:rsidRPr="00EB4C77">
        <w:rPr>
          <w:szCs w:val="26"/>
          <w:lang w:val="lv-LV"/>
        </w:rPr>
        <w:t>Attiecībā uz iniciatīvas praktisko lietderīgumu, vēstulē paustais apgalvojums par iespējām šādā veidā samazināt valsts izdevumus elektroenerģijas iegādei, var tikt vērtēts vienīgi kā hipotētisks. Jāatzīmē, ka elektroenerģijas cenu ietekmē  no visiem enerģijas ģenerācijas avotiem iepirktās elektroenerģijas un importa cenas, elektroenerģijas pieprasījums, kā arī citi faktori. Latvijā licencēto, aktīvāko elektroenerģijas tirgotāju produktu cenu piedāvājumā vēsturiski nav vērojamas būtiskas atšķirības.</w:t>
      </w:r>
    </w:p>
    <w:p w:rsidR="00F76CF0" w:rsidRDefault="00F76CF0" w:rsidP="00EB4C77">
      <w:pPr>
        <w:spacing w:before="0" w:after="0" w:line="276" w:lineRule="auto"/>
        <w:rPr>
          <w:szCs w:val="26"/>
          <w:lang w:val="lv-LV"/>
        </w:rPr>
      </w:pPr>
    </w:p>
    <w:p w:rsidR="00F76CF0" w:rsidRDefault="00F76CF0" w:rsidP="00EB4C77">
      <w:pPr>
        <w:spacing w:before="0" w:after="0" w:line="276" w:lineRule="auto"/>
        <w:rPr>
          <w:szCs w:val="26"/>
          <w:lang w:val="lv-LV"/>
        </w:rPr>
      </w:pPr>
    </w:p>
    <w:p w:rsidR="00F76CF0" w:rsidRDefault="00F76CF0" w:rsidP="00EB4C77">
      <w:pPr>
        <w:spacing w:before="0" w:after="0" w:line="276" w:lineRule="auto"/>
        <w:rPr>
          <w:szCs w:val="26"/>
          <w:lang w:val="lv-LV"/>
        </w:rPr>
      </w:pPr>
    </w:p>
    <w:p w:rsidR="00F76CF0" w:rsidRDefault="00F76CF0" w:rsidP="00F76CF0">
      <w:pPr>
        <w:spacing w:before="0" w:after="0" w:line="276" w:lineRule="auto"/>
        <w:ind w:firstLine="0"/>
        <w:rPr>
          <w:szCs w:val="26"/>
          <w:lang w:val="lv-LV"/>
        </w:rPr>
      </w:pPr>
      <w:r>
        <w:rPr>
          <w:szCs w:val="26"/>
          <w:lang w:val="lv-LV"/>
        </w:rPr>
        <w:t>Ar cieņu</w:t>
      </w:r>
    </w:p>
    <w:p w:rsidR="00F76CF0" w:rsidRDefault="00F76CF0" w:rsidP="00EB4C77">
      <w:pPr>
        <w:spacing w:before="0" w:after="0" w:line="276" w:lineRule="auto"/>
        <w:rPr>
          <w:szCs w:val="26"/>
          <w:lang w:val="lv-LV"/>
        </w:rPr>
      </w:pPr>
    </w:p>
    <w:p w:rsidR="00F76CF0" w:rsidRDefault="00F76CF0" w:rsidP="00F76CF0">
      <w:pPr>
        <w:spacing w:before="0" w:after="0" w:line="276" w:lineRule="auto"/>
        <w:ind w:firstLine="0"/>
        <w:rPr>
          <w:szCs w:val="26"/>
          <w:lang w:val="lv-LV"/>
        </w:rPr>
      </w:pPr>
      <w:r>
        <w:rPr>
          <w:szCs w:val="26"/>
          <w:lang w:val="lv-LV"/>
        </w:rPr>
        <w:t xml:space="preserve">Ministru prezidents </w:t>
      </w:r>
      <w:r>
        <w:rPr>
          <w:szCs w:val="26"/>
          <w:lang w:val="lv-LV"/>
        </w:rPr>
        <w:tab/>
      </w:r>
      <w:r>
        <w:rPr>
          <w:szCs w:val="26"/>
          <w:lang w:val="lv-LV"/>
        </w:rPr>
        <w:tab/>
      </w:r>
      <w:r>
        <w:rPr>
          <w:szCs w:val="26"/>
          <w:lang w:val="lv-LV"/>
        </w:rPr>
        <w:tab/>
      </w:r>
      <w:r>
        <w:rPr>
          <w:szCs w:val="26"/>
          <w:lang w:val="lv-LV"/>
        </w:rPr>
        <w:tab/>
      </w:r>
      <w:r>
        <w:rPr>
          <w:szCs w:val="26"/>
          <w:lang w:val="lv-LV"/>
        </w:rPr>
        <w:tab/>
      </w:r>
      <w:r>
        <w:rPr>
          <w:szCs w:val="26"/>
          <w:lang w:val="lv-LV"/>
        </w:rPr>
        <w:tab/>
      </w:r>
      <w:r>
        <w:rPr>
          <w:szCs w:val="26"/>
          <w:lang w:val="lv-LV"/>
        </w:rPr>
        <w:tab/>
      </w:r>
      <w:proofErr w:type="spellStart"/>
      <w:r>
        <w:rPr>
          <w:szCs w:val="26"/>
          <w:lang w:val="lv-LV"/>
        </w:rPr>
        <w:t>V.Dombrovskis</w:t>
      </w:r>
      <w:proofErr w:type="spellEnd"/>
    </w:p>
    <w:p w:rsidR="00F76CF0" w:rsidRDefault="00F76CF0" w:rsidP="00EB4C77">
      <w:pPr>
        <w:spacing w:before="0" w:after="0" w:line="276" w:lineRule="auto"/>
        <w:rPr>
          <w:szCs w:val="26"/>
          <w:lang w:val="lv-LV"/>
        </w:rPr>
      </w:pPr>
    </w:p>
    <w:p w:rsidR="00F76CF0" w:rsidRDefault="00F76CF0" w:rsidP="00EB4C77">
      <w:pPr>
        <w:spacing w:before="0" w:after="0" w:line="276" w:lineRule="auto"/>
        <w:rPr>
          <w:szCs w:val="26"/>
          <w:lang w:val="lv-LV"/>
        </w:rPr>
      </w:pPr>
    </w:p>
    <w:p w:rsidR="00F76CF0" w:rsidRPr="00B869AB" w:rsidRDefault="00F76CF0" w:rsidP="00F76CF0">
      <w:pPr>
        <w:spacing w:line="240" w:lineRule="auto"/>
        <w:ind w:hanging="142"/>
        <w:jc w:val="left"/>
        <w:rPr>
          <w:sz w:val="20"/>
        </w:rPr>
      </w:pPr>
      <w:r w:rsidRPr="00B869AB">
        <w:rPr>
          <w:sz w:val="20"/>
        </w:rPr>
        <w:t>13.01.2014</w:t>
      </w:r>
      <w:proofErr w:type="gramStart"/>
      <w:r w:rsidRPr="00B869AB">
        <w:rPr>
          <w:sz w:val="20"/>
        </w:rPr>
        <w:t>.  16:10</w:t>
      </w:r>
      <w:proofErr w:type="gramEnd"/>
    </w:p>
    <w:p w:rsidR="00F76CF0" w:rsidRPr="00B869AB" w:rsidRDefault="00F76CF0" w:rsidP="00F76CF0">
      <w:pPr>
        <w:spacing w:line="240" w:lineRule="auto"/>
        <w:ind w:hanging="142"/>
        <w:jc w:val="left"/>
        <w:rPr>
          <w:sz w:val="20"/>
        </w:rPr>
      </w:pPr>
      <w:r>
        <w:rPr>
          <w:sz w:val="20"/>
        </w:rPr>
        <w:t>412</w:t>
      </w:r>
    </w:p>
    <w:p w:rsidR="00F76CF0" w:rsidRPr="00B869AB" w:rsidRDefault="00F76CF0" w:rsidP="00F76CF0">
      <w:pPr>
        <w:spacing w:line="240" w:lineRule="auto"/>
        <w:ind w:hanging="142"/>
        <w:jc w:val="left"/>
        <w:rPr>
          <w:sz w:val="20"/>
        </w:rPr>
      </w:pPr>
      <w:proofErr w:type="spellStart"/>
      <w:r w:rsidRPr="00B869AB">
        <w:rPr>
          <w:sz w:val="20"/>
        </w:rPr>
        <w:t>I.Lipovska</w:t>
      </w:r>
      <w:proofErr w:type="spellEnd"/>
    </w:p>
    <w:p w:rsidR="00F76CF0" w:rsidRPr="00B869AB" w:rsidRDefault="00F76CF0" w:rsidP="00F76CF0">
      <w:pPr>
        <w:spacing w:line="240" w:lineRule="auto"/>
        <w:ind w:hanging="142"/>
        <w:jc w:val="left"/>
        <w:rPr>
          <w:sz w:val="20"/>
        </w:rPr>
      </w:pPr>
      <w:r w:rsidRPr="00B869AB">
        <w:rPr>
          <w:sz w:val="20"/>
        </w:rPr>
        <w:t xml:space="preserve">67083965, </w:t>
      </w:r>
    </w:p>
    <w:p w:rsidR="00F76CF0" w:rsidRPr="00B869AB" w:rsidRDefault="00F76CF0" w:rsidP="00F76CF0">
      <w:pPr>
        <w:spacing w:line="240" w:lineRule="auto"/>
        <w:ind w:hanging="142"/>
        <w:jc w:val="left"/>
        <w:rPr>
          <w:rStyle w:val="Strong"/>
          <w:b w:val="0"/>
          <w:bCs w:val="0"/>
          <w:sz w:val="20"/>
          <w:lang w:val="lv-LV"/>
        </w:rPr>
      </w:pPr>
      <w:r w:rsidRPr="00B869AB">
        <w:rPr>
          <w:sz w:val="20"/>
        </w:rPr>
        <w:t>Inta.Lipovska@fm.gov.lv</w:t>
      </w:r>
    </w:p>
    <w:p w:rsidR="00F76CF0" w:rsidRPr="00EB4C77" w:rsidRDefault="00F76CF0" w:rsidP="00EB4C77">
      <w:pPr>
        <w:spacing w:before="0" w:after="0" w:line="276" w:lineRule="auto"/>
        <w:rPr>
          <w:szCs w:val="26"/>
          <w:lang w:val="lv-LV"/>
        </w:rPr>
      </w:pPr>
    </w:p>
    <w:sectPr w:rsidR="00F76CF0" w:rsidRPr="00EB4C77">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315" w:rsidRDefault="00BA6315" w:rsidP="00F76CF0">
      <w:pPr>
        <w:spacing w:before="0" w:after="0" w:line="240" w:lineRule="auto"/>
      </w:pPr>
      <w:r>
        <w:separator/>
      </w:r>
    </w:p>
  </w:endnote>
  <w:endnote w:type="continuationSeparator" w:id="0">
    <w:p w:rsidR="00BA6315" w:rsidRDefault="00BA6315" w:rsidP="00F76C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F0" w:rsidRPr="00F76CF0" w:rsidRDefault="00F76CF0" w:rsidP="00F76CF0">
    <w:pPr>
      <w:pStyle w:val="Subtitle"/>
      <w:widowControl/>
      <w:spacing w:line="276" w:lineRule="auto"/>
      <w:ind w:right="84"/>
      <w:rPr>
        <w:b w:val="0"/>
        <w:sz w:val="20"/>
        <w:lang w:val="lv-LV"/>
      </w:rPr>
    </w:pPr>
    <w:r w:rsidRPr="00F76CF0">
      <w:rPr>
        <w:b w:val="0"/>
        <w:sz w:val="20"/>
      </w:rPr>
      <w:t xml:space="preserve">FMInfo_100114_elektroenergija; </w:t>
    </w:r>
    <w:r w:rsidRPr="00F76CF0">
      <w:rPr>
        <w:b w:val="0"/>
        <w:sz w:val="20"/>
        <w:lang w:val="lv-LV"/>
      </w:rPr>
      <w:t>Par 2013.gada 18.decembra rezolūciju Nr.90/TA-3673</w:t>
    </w:r>
  </w:p>
  <w:p w:rsidR="00F76CF0" w:rsidRDefault="00F76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315" w:rsidRDefault="00BA6315" w:rsidP="00F76CF0">
      <w:pPr>
        <w:spacing w:before="0" w:after="0" w:line="240" w:lineRule="auto"/>
      </w:pPr>
      <w:r>
        <w:separator/>
      </w:r>
    </w:p>
  </w:footnote>
  <w:footnote w:type="continuationSeparator" w:id="0">
    <w:p w:rsidR="00BA6315" w:rsidRDefault="00BA6315" w:rsidP="00F76CF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F0"/>
    <w:rsid w:val="00314343"/>
    <w:rsid w:val="004D50CA"/>
    <w:rsid w:val="007F68E9"/>
    <w:rsid w:val="00AB22F0"/>
    <w:rsid w:val="00B83B5B"/>
    <w:rsid w:val="00BA6315"/>
    <w:rsid w:val="00C34EA1"/>
    <w:rsid w:val="00E11A5C"/>
    <w:rsid w:val="00EB4C77"/>
    <w:rsid w:val="00F57F6C"/>
    <w:rsid w:val="00F76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18AE9-7425-478B-A179-FF41233F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F0"/>
    <w:pPr>
      <w:widowControl w:val="0"/>
      <w:spacing w:before="60" w:after="60" w:line="360" w:lineRule="auto"/>
      <w:ind w:firstLine="720"/>
      <w:jc w:val="both"/>
    </w:pPr>
    <w:rPr>
      <w:rFonts w:eastAsia="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AB22F0"/>
    <w:pPr>
      <w:keepNext/>
      <w:keepLines/>
      <w:suppressAutoHyphens/>
      <w:spacing w:before="600" w:after="600" w:line="240" w:lineRule="auto"/>
      <w:ind w:right="4820" w:firstLine="0"/>
      <w:jc w:val="left"/>
    </w:pPr>
    <w:rPr>
      <w:b/>
    </w:rPr>
  </w:style>
  <w:style w:type="character" w:customStyle="1" w:styleId="SubtitleChar">
    <w:name w:val="Subtitle Char"/>
    <w:basedOn w:val="DefaultParagraphFont"/>
    <w:link w:val="Subtitle"/>
    <w:rsid w:val="00AB22F0"/>
    <w:rPr>
      <w:rFonts w:eastAsia="Times New Roman" w:cs="Times New Roman"/>
      <w:b/>
      <w:sz w:val="26"/>
      <w:szCs w:val="20"/>
      <w:lang w:val="en-AU"/>
    </w:rPr>
  </w:style>
  <w:style w:type="paragraph" w:styleId="BalloonText">
    <w:name w:val="Balloon Text"/>
    <w:basedOn w:val="Normal"/>
    <w:link w:val="BalloonTextChar"/>
    <w:uiPriority w:val="99"/>
    <w:semiHidden/>
    <w:unhideWhenUsed/>
    <w:rsid w:val="00EB4C7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77"/>
    <w:rPr>
      <w:rFonts w:ascii="Segoe UI" w:eastAsia="Times New Roman" w:hAnsi="Segoe UI" w:cs="Segoe UI"/>
      <w:sz w:val="18"/>
      <w:szCs w:val="18"/>
      <w:lang w:val="en-AU"/>
    </w:rPr>
  </w:style>
  <w:style w:type="paragraph" w:styleId="Header">
    <w:name w:val="header"/>
    <w:basedOn w:val="Normal"/>
    <w:link w:val="HeaderChar"/>
    <w:uiPriority w:val="99"/>
    <w:unhideWhenUsed/>
    <w:rsid w:val="00F76CF0"/>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F76CF0"/>
    <w:rPr>
      <w:rFonts w:eastAsia="Times New Roman" w:cs="Times New Roman"/>
      <w:sz w:val="26"/>
      <w:szCs w:val="20"/>
      <w:lang w:val="en-AU"/>
    </w:rPr>
  </w:style>
  <w:style w:type="paragraph" w:styleId="Footer">
    <w:name w:val="footer"/>
    <w:basedOn w:val="Normal"/>
    <w:link w:val="FooterChar"/>
    <w:uiPriority w:val="99"/>
    <w:unhideWhenUsed/>
    <w:rsid w:val="00F76CF0"/>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F76CF0"/>
    <w:rPr>
      <w:rFonts w:eastAsia="Times New Roman" w:cs="Times New Roman"/>
      <w:sz w:val="26"/>
      <w:szCs w:val="20"/>
      <w:lang w:val="en-AU"/>
    </w:rPr>
  </w:style>
  <w:style w:type="character" w:styleId="Strong">
    <w:name w:val="Strong"/>
    <w:qFormat/>
    <w:rsid w:val="00F76CF0"/>
    <w:rPr>
      <w:rFonts w:ascii="Tahoma" w:hAnsi="Tahoma"/>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2375</Words>
  <Characters>1355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2013.gada 18.decembra rezolūciju Nr.90/TA-3673</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2013.gada 18.decembra rezolūciju Nr.90/TA-3673</dc:title>
  <dc:subject>vēstules projekts</dc:subject>
  <dc:creator>Inta Lipovska</dc:creator>
  <cp:keywords/>
  <dc:description>67083965 Inta.Lipovska@fm.gov.lv</dc:description>
  <cp:lastModifiedBy>Inta Lipovska</cp:lastModifiedBy>
  <cp:revision>5</cp:revision>
  <cp:lastPrinted>2014-01-14T08:51:00Z</cp:lastPrinted>
  <dcterms:created xsi:type="dcterms:W3CDTF">2014-01-13T12:49:00Z</dcterms:created>
  <dcterms:modified xsi:type="dcterms:W3CDTF">2014-01-14T09:40:00Z</dcterms:modified>
</cp:coreProperties>
</file>