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843"/>
        <w:gridCol w:w="2843"/>
      </w:tblGrid>
      <w:tr w:rsidR="00746EE3" w:rsidRPr="00B94590" w:rsidTr="00746EE3">
        <w:tc>
          <w:tcPr>
            <w:tcW w:w="2843" w:type="dxa"/>
          </w:tcPr>
          <w:p w:rsidR="00746EE3" w:rsidRPr="00B94590" w:rsidRDefault="00746EE3" w:rsidP="00746EE3">
            <w:pPr>
              <w:ind w:right="57"/>
              <w:jc w:val="right"/>
              <w:rPr>
                <w:sz w:val="28"/>
                <w:szCs w:val="28"/>
              </w:rPr>
            </w:pPr>
            <w:bookmarkStart w:id="0" w:name="_GoBack"/>
            <w:bookmarkEnd w:id="0"/>
          </w:p>
        </w:tc>
        <w:tc>
          <w:tcPr>
            <w:tcW w:w="2843" w:type="dxa"/>
          </w:tcPr>
          <w:p w:rsidR="00746EE3" w:rsidRPr="00B94590" w:rsidRDefault="00746EE3" w:rsidP="00746EE3">
            <w:pPr>
              <w:ind w:right="57"/>
              <w:jc w:val="right"/>
              <w:rPr>
                <w:sz w:val="28"/>
                <w:szCs w:val="28"/>
              </w:rPr>
            </w:pPr>
          </w:p>
        </w:tc>
        <w:tc>
          <w:tcPr>
            <w:tcW w:w="2843" w:type="dxa"/>
          </w:tcPr>
          <w:p w:rsidR="00746EE3" w:rsidRPr="00B94590" w:rsidRDefault="00746EE3" w:rsidP="00746EE3">
            <w:pPr>
              <w:ind w:right="57"/>
              <w:rPr>
                <w:sz w:val="28"/>
                <w:szCs w:val="28"/>
              </w:rPr>
            </w:pPr>
            <w:r w:rsidRPr="00B94590">
              <w:rPr>
                <w:sz w:val="28"/>
                <w:szCs w:val="28"/>
              </w:rPr>
              <w:t>Projekts</w:t>
            </w:r>
          </w:p>
          <w:p w:rsidR="00746EE3" w:rsidRPr="00B94590" w:rsidRDefault="00746EE3" w:rsidP="00EB05C8">
            <w:pPr>
              <w:ind w:right="57"/>
              <w:rPr>
                <w:sz w:val="28"/>
                <w:szCs w:val="28"/>
              </w:rPr>
            </w:pPr>
            <w:r w:rsidRPr="00B94590">
              <w:rPr>
                <w:sz w:val="28"/>
                <w:szCs w:val="28"/>
              </w:rPr>
              <w:t>(Ministru kabineta 201</w:t>
            </w:r>
            <w:r w:rsidR="00EB05C8">
              <w:rPr>
                <w:sz w:val="28"/>
                <w:szCs w:val="28"/>
              </w:rPr>
              <w:t>2</w:t>
            </w:r>
            <w:r w:rsidRPr="00B94590">
              <w:rPr>
                <w:sz w:val="28"/>
                <w:szCs w:val="28"/>
              </w:rPr>
              <w:t>.gada                rīkojums Nr.          )</w:t>
            </w:r>
          </w:p>
        </w:tc>
      </w:tr>
    </w:tbl>
    <w:p w:rsidR="00746EE3" w:rsidRPr="00B94590" w:rsidRDefault="00746EE3" w:rsidP="00746EE3">
      <w:pPr>
        <w:ind w:right="57" w:firstLine="720"/>
        <w:jc w:val="right"/>
        <w:rPr>
          <w:sz w:val="28"/>
          <w:szCs w:val="28"/>
        </w:rPr>
      </w:pPr>
    </w:p>
    <w:p w:rsidR="00746EE3" w:rsidRPr="00B94590" w:rsidRDefault="00746EE3" w:rsidP="00746EE3">
      <w:pPr>
        <w:ind w:right="57" w:firstLine="720"/>
        <w:jc w:val="right"/>
        <w:rPr>
          <w:sz w:val="28"/>
          <w:szCs w:val="28"/>
        </w:rPr>
      </w:pPr>
    </w:p>
    <w:p w:rsidR="00746EE3" w:rsidRPr="00B94590" w:rsidRDefault="00746EE3" w:rsidP="00746EE3">
      <w:pPr>
        <w:ind w:right="57" w:firstLine="720"/>
        <w:jc w:val="right"/>
        <w:rPr>
          <w:sz w:val="28"/>
          <w:szCs w:val="28"/>
        </w:rPr>
      </w:pPr>
    </w:p>
    <w:p w:rsidR="00ED55CF" w:rsidRPr="00B94590" w:rsidRDefault="00ED55CF" w:rsidP="00A65510">
      <w:pPr>
        <w:jc w:val="both"/>
        <w:rPr>
          <w:sz w:val="52"/>
        </w:rPr>
      </w:pPr>
    </w:p>
    <w:p w:rsidR="00ED55CF" w:rsidRPr="004A7151" w:rsidRDefault="00D66855" w:rsidP="00D66855">
      <w:pPr>
        <w:spacing w:before="4000"/>
        <w:jc w:val="center"/>
        <w:rPr>
          <w:b/>
          <w:sz w:val="52"/>
          <w:szCs w:val="52"/>
        </w:rPr>
      </w:pPr>
      <w:r w:rsidRPr="00B94590">
        <w:rPr>
          <w:b/>
          <w:sz w:val="28"/>
          <w:szCs w:val="52"/>
        </w:rPr>
        <w:t xml:space="preserve">Vienotas valsts iestāžu finanšu un vadības grāmatvedības sistēmas </w:t>
      </w:r>
      <w:r w:rsidR="00AC392B" w:rsidRPr="004A7151">
        <w:rPr>
          <w:b/>
          <w:sz w:val="28"/>
          <w:szCs w:val="52"/>
        </w:rPr>
        <w:t xml:space="preserve">un finanšu analīzes rīka </w:t>
      </w:r>
      <w:r w:rsidRPr="004A7151">
        <w:rPr>
          <w:b/>
          <w:sz w:val="28"/>
          <w:szCs w:val="52"/>
        </w:rPr>
        <w:t>izveide</w:t>
      </w:r>
      <w:r w:rsidR="00AC392B" w:rsidRPr="004A7151">
        <w:rPr>
          <w:b/>
          <w:sz w:val="28"/>
          <w:szCs w:val="52"/>
        </w:rPr>
        <w:t xml:space="preserve">, nodrošinot finanšu un cilvēkresursu vadību </w:t>
      </w:r>
      <w:r w:rsidRPr="004A7151">
        <w:rPr>
          <w:b/>
          <w:sz w:val="28"/>
          <w:szCs w:val="52"/>
        </w:rPr>
        <w:t xml:space="preserve"> koncepcija</w:t>
      </w:r>
    </w:p>
    <w:p w:rsidR="00ED55CF" w:rsidRPr="00B94590" w:rsidRDefault="00ED55CF" w:rsidP="00A65510">
      <w:pPr>
        <w:jc w:val="both"/>
      </w:pPr>
    </w:p>
    <w:p w:rsidR="00930746" w:rsidRPr="00B94590" w:rsidRDefault="00930746" w:rsidP="00930746">
      <w:pPr>
        <w:jc w:val="center"/>
        <w:rPr>
          <w:sz w:val="28"/>
          <w:szCs w:val="28"/>
        </w:rPr>
      </w:pPr>
      <w:r w:rsidRPr="00B94590">
        <w:rPr>
          <w:sz w:val="28"/>
          <w:szCs w:val="28"/>
        </w:rPr>
        <w:t xml:space="preserve">(informatīvā daļa) </w:t>
      </w:r>
    </w:p>
    <w:p w:rsidR="00ED55CF" w:rsidRPr="00B94590" w:rsidRDefault="00ED55CF" w:rsidP="00E301C8">
      <w:pPr>
        <w:jc w:val="center"/>
      </w:pPr>
    </w:p>
    <w:p w:rsidR="00ED55CF" w:rsidRPr="00B94590" w:rsidRDefault="00ED55CF" w:rsidP="00A65510">
      <w:pPr>
        <w:jc w:val="both"/>
        <w:rPr>
          <w:b/>
          <w:spacing w:val="-20"/>
        </w:rPr>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pPr>
    </w:p>
    <w:p w:rsidR="00ED55CF" w:rsidRPr="00B94590" w:rsidRDefault="00ED55CF" w:rsidP="00A65510">
      <w:pPr>
        <w:jc w:val="both"/>
      </w:pPr>
    </w:p>
    <w:p w:rsidR="00ED55CF" w:rsidRPr="00B94590" w:rsidRDefault="00ED55CF" w:rsidP="00A65510">
      <w:pPr>
        <w:jc w:val="both"/>
      </w:pPr>
    </w:p>
    <w:p w:rsidR="00ED55CF" w:rsidRPr="00B94590" w:rsidRDefault="00ED55CF" w:rsidP="00A65510">
      <w:pPr>
        <w:jc w:val="both"/>
      </w:pPr>
    </w:p>
    <w:p w:rsidR="00ED55CF" w:rsidRPr="00B94590" w:rsidRDefault="00ED55CF" w:rsidP="00A65510">
      <w:pPr>
        <w:jc w:val="both"/>
        <w:rPr>
          <w:b/>
          <w:sz w:val="28"/>
          <w:szCs w:val="28"/>
        </w:rPr>
      </w:pPr>
    </w:p>
    <w:p w:rsidR="00ED55CF" w:rsidRPr="00B94590" w:rsidRDefault="00ED55CF" w:rsidP="00A65510">
      <w:pPr>
        <w:jc w:val="both"/>
        <w:rPr>
          <w:b/>
          <w:sz w:val="28"/>
          <w:szCs w:val="28"/>
        </w:rPr>
      </w:pPr>
    </w:p>
    <w:p w:rsidR="00ED55CF" w:rsidRPr="00B94590" w:rsidRDefault="00ED55CF" w:rsidP="00A65510">
      <w:pPr>
        <w:jc w:val="both"/>
        <w:rPr>
          <w:b/>
          <w:sz w:val="28"/>
          <w:szCs w:val="28"/>
        </w:rPr>
      </w:pPr>
    </w:p>
    <w:p w:rsidR="00ED55CF" w:rsidRPr="00B94590" w:rsidRDefault="00ED55CF" w:rsidP="00402A18">
      <w:pPr>
        <w:jc w:val="center"/>
        <w:rPr>
          <w:b/>
          <w:sz w:val="28"/>
          <w:szCs w:val="28"/>
        </w:rPr>
      </w:pPr>
      <w:r w:rsidRPr="00B94590">
        <w:rPr>
          <w:b/>
          <w:szCs w:val="28"/>
        </w:rPr>
        <w:t>Rīga 201</w:t>
      </w:r>
      <w:r w:rsidR="007477F7">
        <w:rPr>
          <w:b/>
          <w:szCs w:val="28"/>
        </w:rPr>
        <w:t>2</w:t>
      </w:r>
      <w:r w:rsidRPr="00B94590">
        <w:rPr>
          <w:b/>
          <w:szCs w:val="28"/>
        </w:rPr>
        <w:t xml:space="preserve">. gada </w:t>
      </w:r>
      <w:r w:rsidR="000C7D28">
        <w:rPr>
          <w:b/>
          <w:szCs w:val="28"/>
        </w:rPr>
        <w:t>marts</w:t>
      </w:r>
    </w:p>
    <w:p w:rsidR="00ED55CF" w:rsidRPr="00B94590" w:rsidRDefault="00ED55CF" w:rsidP="00A65510">
      <w:pPr>
        <w:jc w:val="both"/>
      </w:pPr>
    </w:p>
    <w:p w:rsidR="00ED55CF" w:rsidRPr="00B94590" w:rsidRDefault="00ED55CF" w:rsidP="00A65510">
      <w:pPr>
        <w:jc w:val="both"/>
        <w:rPr>
          <w:b/>
          <w:u w:val="single"/>
        </w:rPr>
      </w:pPr>
      <w:r w:rsidRPr="00B94590">
        <w:lastRenderedPageBreak/>
        <w:br w:type="page"/>
      </w:r>
    </w:p>
    <w:p w:rsidR="00ED55CF" w:rsidRPr="00B94590" w:rsidRDefault="00ED55CF" w:rsidP="00A65510">
      <w:pPr>
        <w:jc w:val="both"/>
        <w:rPr>
          <w:b/>
          <w:sz w:val="28"/>
          <w:szCs w:val="28"/>
        </w:rPr>
      </w:pPr>
      <w:r w:rsidRPr="00B94590">
        <w:rPr>
          <w:b/>
          <w:sz w:val="28"/>
          <w:szCs w:val="28"/>
        </w:rPr>
        <w:lastRenderedPageBreak/>
        <w:t>Satura rādītājs</w:t>
      </w:r>
    </w:p>
    <w:p w:rsidR="0063461A" w:rsidRPr="00B94590" w:rsidRDefault="00AC6746">
      <w:pPr>
        <w:pStyle w:val="TOC1"/>
        <w:rPr>
          <w:rFonts w:asciiTheme="minorHAnsi" w:eastAsiaTheme="minorEastAsia" w:hAnsiTheme="minorHAnsi" w:cstheme="minorBidi"/>
          <w:b w:val="0"/>
          <w:bCs w:val="0"/>
          <w:caps w:val="0"/>
          <w:noProof/>
          <w:sz w:val="22"/>
          <w:szCs w:val="22"/>
          <w:lang w:val="lv-LV" w:eastAsia="lv-LV"/>
        </w:rPr>
      </w:pPr>
      <w:r w:rsidRPr="00B94590">
        <w:rPr>
          <w:lang w:val="lv-LV"/>
        </w:rPr>
        <w:fldChar w:fldCharType="begin"/>
      </w:r>
      <w:r w:rsidR="00ED55CF" w:rsidRPr="00B94590">
        <w:rPr>
          <w:lang w:val="lv-LV"/>
        </w:rPr>
        <w:instrText xml:space="preserve"> TOC \o "1-4" </w:instrText>
      </w:r>
      <w:r w:rsidRPr="00B94590">
        <w:rPr>
          <w:lang w:val="lv-LV"/>
        </w:rPr>
        <w:fldChar w:fldCharType="separate"/>
      </w:r>
      <w:r w:rsidR="0063461A" w:rsidRPr="00B94590">
        <w:rPr>
          <w:noProof/>
          <w:lang w:val="lv-LV"/>
        </w:rPr>
        <w:t>1</w:t>
      </w:r>
      <w:r w:rsidR="0063461A" w:rsidRPr="00B94590">
        <w:rPr>
          <w:rFonts w:asciiTheme="minorHAnsi" w:eastAsiaTheme="minorEastAsia" w:hAnsiTheme="minorHAnsi" w:cstheme="minorBidi"/>
          <w:b w:val="0"/>
          <w:bCs w:val="0"/>
          <w:caps w:val="0"/>
          <w:noProof/>
          <w:sz w:val="22"/>
          <w:szCs w:val="22"/>
          <w:lang w:val="lv-LV" w:eastAsia="lv-LV"/>
        </w:rPr>
        <w:tab/>
      </w:r>
      <w:r w:rsidR="0063461A" w:rsidRPr="00B94590">
        <w:rPr>
          <w:noProof/>
          <w:lang w:val="lv-LV"/>
        </w:rPr>
        <w:t>Ievads</w:t>
      </w:r>
      <w:r w:rsidR="0063461A" w:rsidRPr="00B94590">
        <w:rPr>
          <w:noProof/>
        </w:rPr>
        <w:tab/>
      </w:r>
      <w:r w:rsidRPr="00B94590">
        <w:rPr>
          <w:noProof/>
        </w:rPr>
        <w:fldChar w:fldCharType="begin"/>
      </w:r>
      <w:r w:rsidR="0063461A" w:rsidRPr="00B94590">
        <w:rPr>
          <w:noProof/>
        </w:rPr>
        <w:instrText xml:space="preserve"> PAGEREF _Toc293616251 \h </w:instrText>
      </w:r>
      <w:r w:rsidRPr="00B94590">
        <w:rPr>
          <w:noProof/>
        </w:rPr>
      </w:r>
      <w:r w:rsidRPr="00B94590">
        <w:rPr>
          <w:noProof/>
        </w:rPr>
        <w:fldChar w:fldCharType="separate"/>
      </w:r>
      <w:r w:rsidR="00B34772">
        <w:rPr>
          <w:noProof/>
        </w:rPr>
        <w:t>4</w:t>
      </w:r>
      <w:r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1.1</w:t>
      </w:r>
      <w:r w:rsidRPr="00B94590">
        <w:rPr>
          <w:rFonts w:asciiTheme="minorHAnsi" w:eastAsiaTheme="minorEastAsia" w:hAnsiTheme="minorHAnsi" w:cstheme="minorBidi"/>
          <w:b w:val="0"/>
          <w:bCs w:val="0"/>
          <w:noProof/>
          <w:sz w:val="22"/>
          <w:szCs w:val="22"/>
          <w:lang w:eastAsia="lv-LV"/>
        </w:rPr>
        <w:tab/>
      </w:r>
      <w:r w:rsidRPr="00B94590">
        <w:rPr>
          <w:noProof/>
        </w:rPr>
        <w:t>Dokumenta nolūks</w:t>
      </w:r>
      <w:r w:rsidRPr="00B94590">
        <w:rPr>
          <w:noProof/>
        </w:rPr>
        <w:tab/>
      </w:r>
      <w:r w:rsidR="00AC6746" w:rsidRPr="00B94590">
        <w:rPr>
          <w:noProof/>
        </w:rPr>
        <w:fldChar w:fldCharType="begin"/>
      </w:r>
      <w:r w:rsidRPr="00B94590">
        <w:rPr>
          <w:noProof/>
        </w:rPr>
        <w:instrText xml:space="preserve"> PAGEREF _Toc293616252 \h </w:instrText>
      </w:r>
      <w:r w:rsidR="00AC6746" w:rsidRPr="00B94590">
        <w:rPr>
          <w:noProof/>
        </w:rPr>
      </w:r>
      <w:r w:rsidR="00AC6746" w:rsidRPr="00B94590">
        <w:rPr>
          <w:noProof/>
        </w:rPr>
        <w:fldChar w:fldCharType="separate"/>
      </w:r>
      <w:r w:rsidR="00B34772">
        <w:rPr>
          <w:noProof/>
        </w:rPr>
        <w:t>4</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1.2</w:t>
      </w:r>
      <w:r w:rsidRPr="00B94590">
        <w:rPr>
          <w:rFonts w:asciiTheme="minorHAnsi" w:eastAsiaTheme="minorEastAsia" w:hAnsiTheme="minorHAnsi" w:cstheme="minorBidi"/>
          <w:b w:val="0"/>
          <w:bCs w:val="0"/>
          <w:noProof/>
          <w:sz w:val="22"/>
          <w:szCs w:val="22"/>
          <w:lang w:eastAsia="lv-LV"/>
        </w:rPr>
        <w:tab/>
      </w:r>
      <w:r w:rsidRPr="00B94590">
        <w:rPr>
          <w:noProof/>
        </w:rPr>
        <w:t>Dokumenta auditorija</w:t>
      </w:r>
      <w:r w:rsidRPr="00B94590">
        <w:rPr>
          <w:noProof/>
        </w:rPr>
        <w:tab/>
      </w:r>
      <w:r w:rsidR="00AC6746" w:rsidRPr="00B94590">
        <w:rPr>
          <w:noProof/>
        </w:rPr>
        <w:fldChar w:fldCharType="begin"/>
      </w:r>
      <w:r w:rsidRPr="00B94590">
        <w:rPr>
          <w:noProof/>
        </w:rPr>
        <w:instrText xml:space="preserve"> PAGEREF _Toc293616253 \h </w:instrText>
      </w:r>
      <w:r w:rsidR="00AC6746" w:rsidRPr="00B94590">
        <w:rPr>
          <w:noProof/>
        </w:rPr>
      </w:r>
      <w:r w:rsidR="00AC6746" w:rsidRPr="00B94590">
        <w:rPr>
          <w:noProof/>
        </w:rPr>
        <w:fldChar w:fldCharType="separate"/>
      </w:r>
      <w:r w:rsidR="00B34772">
        <w:rPr>
          <w:noProof/>
        </w:rPr>
        <w:t>4</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1.3</w:t>
      </w:r>
      <w:r w:rsidRPr="00B94590">
        <w:rPr>
          <w:rFonts w:asciiTheme="minorHAnsi" w:eastAsiaTheme="minorEastAsia" w:hAnsiTheme="minorHAnsi" w:cstheme="minorBidi"/>
          <w:b w:val="0"/>
          <w:bCs w:val="0"/>
          <w:noProof/>
          <w:sz w:val="22"/>
          <w:szCs w:val="22"/>
          <w:lang w:eastAsia="lv-LV"/>
        </w:rPr>
        <w:tab/>
      </w:r>
      <w:r w:rsidRPr="00B94590">
        <w:rPr>
          <w:noProof/>
        </w:rPr>
        <w:t>Lietojamība</w:t>
      </w:r>
      <w:r w:rsidRPr="00B94590">
        <w:rPr>
          <w:noProof/>
        </w:rPr>
        <w:tab/>
      </w:r>
      <w:r w:rsidR="00AC6746" w:rsidRPr="00B94590">
        <w:rPr>
          <w:noProof/>
        </w:rPr>
        <w:fldChar w:fldCharType="begin"/>
      </w:r>
      <w:r w:rsidRPr="00B94590">
        <w:rPr>
          <w:noProof/>
        </w:rPr>
        <w:instrText xml:space="preserve"> PAGEREF _Toc293616254 \h </w:instrText>
      </w:r>
      <w:r w:rsidR="00AC6746" w:rsidRPr="00B94590">
        <w:rPr>
          <w:noProof/>
        </w:rPr>
      </w:r>
      <w:r w:rsidR="00AC6746" w:rsidRPr="00B94590">
        <w:rPr>
          <w:noProof/>
        </w:rPr>
        <w:fldChar w:fldCharType="separate"/>
      </w:r>
      <w:r w:rsidR="00B34772">
        <w:rPr>
          <w:noProof/>
        </w:rPr>
        <w:t>5</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1.4</w:t>
      </w:r>
      <w:r w:rsidRPr="00B94590">
        <w:rPr>
          <w:rFonts w:asciiTheme="minorHAnsi" w:eastAsiaTheme="minorEastAsia" w:hAnsiTheme="minorHAnsi" w:cstheme="minorBidi"/>
          <w:b w:val="0"/>
          <w:bCs w:val="0"/>
          <w:noProof/>
          <w:sz w:val="22"/>
          <w:szCs w:val="22"/>
          <w:lang w:eastAsia="lv-LV"/>
        </w:rPr>
        <w:tab/>
      </w:r>
      <w:r w:rsidRPr="00B94590">
        <w:rPr>
          <w:noProof/>
        </w:rPr>
        <w:t>Programmatūras sistēmas pārskats</w:t>
      </w:r>
      <w:r w:rsidRPr="00B94590">
        <w:rPr>
          <w:noProof/>
        </w:rPr>
        <w:tab/>
      </w:r>
      <w:r w:rsidR="00AC6746" w:rsidRPr="00B94590">
        <w:rPr>
          <w:noProof/>
        </w:rPr>
        <w:fldChar w:fldCharType="begin"/>
      </w:r>
      <w:r w:rsidRPr="00B94590">
        <w:rPr>
          <w:noProof/>
        </w:rPr>
        <w:instrText xml:space="preserve"> PAGEREF _Toc293616255 \h </w:instrText>
      </w:r>
      <w:r w:rsidR="00AC6746" w:rsidRPr="00B94590">
        <w:rPr>
          <w:noProof/>
        </w:rPr>
      </w:r>
      <w:r w:rsidR="00AC6746" w:rsidRPr="00B94590">
        <w:rPr>
          <w:noProof/>
        </w:rPr>
        <w:fldChar w:fldCharType="separate"/>
      </w:r>
      <w:r w:rsidR="00B34772">
        <w:rPr>
          <w:noProof/>
        </w:rPr>
        <w:t>5</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1.5</w:t>
      </w:r>
      <w:r w:rsidRPr="00B94590">
        <w:rPr>
          <w:rFonts w:asciiTheme="minorHAnsi" w:eastAsiaTheme="minorEastAsia" w:hAnsiTheme="minorHAnsi" w:cstheme="minorBidi"/>
          <w:b w:val="0"/>
          <w:bCs w:val="0"/>
          <w:noProof/>
          <w:sz w:val="22"/>
          <w:szCs w:val="22"/>
          <w:lang w:eastAsia="lv-LV"/>
        </w:rPr>
        <w:tab/>
      </w:r>
      <w:r w:rsidRPr="00B94590">
        <w:rPr>
          <w:noProof/>
        </w:rPr>
        <w:t>Definīcijas, apzīmējumi un saīsinājumi</w:t>
      </w:r>
      <w:r w:rsidRPr="00B94590">
        <w:rPr>
          <w:noProof/>
        </w:rPr>
        <w:tab/>
      </w:r>
      <w:r w:rsidR="00AC6746" w:rsidRPr="00B94590">
        <w:rPr>
          <w:noProof/>
        </w:rPr>
        <w:fldChar w:fldCharType="begin"/>
      </w:r>
      <w:r w:rsidRPr="00B94590">
        <w:rPr>
          <w:noProof/>
        </w:rPr>
        <w:instrText xml:space="preserve"> PAGEREF _Toc293616256 \h </w:instrText>
      </w:r>
      <w:r w:rsidR="00AC6746" w:rsidRPr="00B94590">
        <w:rPr>
          <w:noProof/>
        </w:rPr>
      </w:r>
      <w:r w:rsidR="00AC6746" w:rsidRPr="00B94590">
        <w:rPr>
          <w:noProof/>
        </w:rPr>
        <w:fldChar w:fldCharType="separate"/>
      </w:r>
      <w:r w:rsidR="00B34772">
        <w:rPr>
          <w:noProof/>
        </w:rPr>
        <w:t>5</w:t>
      </w:r>
      <w:r w:rsidR="00AC6746" w:rsidRPr="00B94590">
        <w:rPr>
          <w:noProof/>
        </w:rPr>
        <w:fldChar w:fldCharType="end"/>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1.5.1</w:t>
      </w:r>
      <w:r w:rsidRPr="00B94590">
        <w:rPr>
          <w:rFonts w:asciiTheme="minorHAnsi" w:eastAsiaTheme="minorEastAsia" w:hAnsiTheme="minorHAnsi" w:cstheme="minorBidi"/>
          <w:noProof/>
          <w:sz w:val="22"/>
          <w:szCs w:val="22"/>
          <w:lang w:eastAsia="lv-LV"/>
        </w:rPr>
        <w:tab/>
      </w:r>
      <w:r w:rsidRPr="00B94590">
        <w:rPr>
          <w:noProof/>
        </w:rPr>
        <w:t>Terminu skaidrojumi</w:t>
      </w:r>
      <w:r w:rsidRPr="00B94590">
        <w:rPr>
          <w:noProof/>
        </w:rPr>
        <w:tab/>
      </w:r>
      <w:r w:rsidR="006F6894">
        <w:rPr>
          <w:noProof/>
        </w:rPr>
        <w:t>5</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1.5.2</w:t>
      </w:r>
      <w:r w:rsidRPr="00B94590">
        <w:rPr>
          <w:rFonts w:asciiTheme="minorHAnsi" w:eastAsiaTheme="minorEastAsia" w:hAnsiTheme="minorHAnsi" w:cstheme="minorBidi"/>
          <w:noProof/>
          <w:sz w:val="22"/>
          <w:szCs w:val="22"/>
          <w:lang w:eastAsia="lv-LV"/>
        </w:rPr>
        <w:tab/>
      </w:r>
      <w:r w:rsidRPr="00B94590">
        <w:rPr>
          <w:noProof/>
        </w:rPr>
        <w:t>Saīsinājumi</w:t>
      </w:r>
      <w:r w:rsidRPr="00B94590">
        <w:rPr>
          <w:noProof/>
        </w:rPr>
        <w:tab/>
      </w:r>
      <w:r w:rsidR="00AC6746" w:rsidRPr="00B94590">
        <w:rPr>
          <w:noProof/>
        </w:rPr>
        <w:fldChar w:fldCharType="begin"/>
      </w:r>
      <w:r w:rsidRPr="00B94590">
        <w:rPr>
          <w:noProof/>
        </w:rPr>
        <w:instrText xml:space="preserve"> PAGEREF _Toc293616258 \h </w:instrText>
      </w:r>
      <w:r w:rsidR="00AC6746" w:rsidRPr="00B94590">
        <w:rPr>
          <w:noProof/>
        </w:rPr>
      </w:r>
      <w:r w:rsidR="00AC6746" w:rsidRPr="00B94590">
        <w:rPr>
          <w:noProof/>
        </w:rPr>
        <w:fldChar w:fldCharType="separate"/>
      </w:r>
      <w:r w:rsidR="00B34772">
        <w:rPr>
          <w:noProof/>
        </w:rPr>
        <w:t>7</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1.6</w:t>
      </w:r>
      <w:r w:rsidRPr="00B94590">
        <w:rPr>
          <w:rFonts w:asciiTheme="minorHAnsi" w:eastAsiaTheme="minorEastAsia" w:hAnsiTheme="minorHAnsi" w:cstheme="minorBidi"/>
          <w:b w:val="0"/>
          <w:bCs w:val="0"/>
          <w:noProof/>
          <w:sz w:val="22"/>
          <w:szCs w:val="22"/>
          <w:lang w:eastAsia="lv-LV"/>
        </w:rPr>
        <w:tab/>
      </w:r>
      <w:r w:rsidRPr="00B94590">
        <w:rPr>
          <w:noProof/>
        </w:rPr>
        <w:t>Atsauces - saistītie dokumenti</w:t>
      </w:r>
      <w:r w:rsidRPr="00B94590">
        <w:rPr>
          <w:noProof/>
        </w:rPr>
        <w:tab/>
      </w:r>
      <w:r w:rsidR="00AC6746" w:rsidRPr="00B94590">
        <w:rPr>
          <w:noProof/>
        </w:rPr>
        <w:fldChar w:fldCharType="begin"/>
      </w:r>
      <w:r w:rsidRPr="00B94590">
        <w:rPr>
          <w:noProof/>
        </w:rPr>
        <w:instrText xml:space="preserve"> PAGEREF _Toc293616259 \h </w:instrText>
      </w:r>
      <w:r w:rsidR="00AC6746" w:rsidRPr="00B94590">
        <w:rPr>
          <w:noProof/>
        </w:rPr>
      </w:r>
      <w:r w:rsidR="00AC6746" w:rsidRPr="00B94590">
        <w:rPr>
          <w:noProof/>
        </w:rPr>
        <w:fldChar w:fldCharType="separate"/>
      </w:r>
      <w:r w:rsidR="00B34772">
        <w:rPr>
          <w:noProof/>
        </w:rPr>
        <w:t>8</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1.7</w:t>
      </w:r>
      <w:r w:rsidRPr="00B94590">
        <w:rPr>
          <w:rFonts w:asciiTheme="minorHAnsi" w:eastAsiaTheme="minorEastAsia" w:hAnsiTheme="minorHAnsi" w:cstheme="minorBidi"/>
          <w:b w:val="0"/>
          <w:bCs w:val="0"/>
          <w:noProof/>
          <w:sz w:val="22"/>
          <w:szCs w:val="22"/>
          <w:lang w:eastAsia="lv-LV"/>
        </w:rPr>
        <w:tab/>
      </w:r>
      <w:r w:rsidRPr="00B94590">
        <w:rPr>
          <w:noProof/>
        </w:rPr>
        <w:t>Dokumenta pārskats</w:t>
      </w:r>
      <w:r w:rsidRPr="00B94590">
        <w:rPr>
          <w:noProof/>
        </w:rPr>
        <w:tab/>
      </w:r>
      <w:r w:rsidR="00AC6746" w:rsidRPr="00B94590">
        <w:rPr>
          <w:noProof/>
        </w:rPr>
        <w:fldChar w:fldCharType="begin"/>
      </w:r>
      <w:r w:rsidRPr="00B94590">
        <w:rPr>
          <w:noProof/>
        </w:rPr>
        <w:instrText xml:space="preserve"> PAGEREF _Toc293616260 \h </w:instrText>
      </w:r>
      <w:r w:rsidR="00AC6746" w:rsidRPr="00B94590">
        <w:rPr>
          <w:noProof/>
        </w:rPr>
      </w:r>
      <w:r w:rsidR="00AC6746" w:rsidRPr="00B94590">
        <w:rPr>
          <w:noProof/>
        </w:rPr>
        <w:fldChar w:fldCharType="separate"/>
      </w:r>
      <w:r w:rsidR="00B34772">
        <w:rPr>
          <w:noProof/>
        </w:rPr>
        <w:t>9</w:t>
      </w:r>
      <w:r w:rsidR="00AC6746" w:rsidRPr="00B94590">
        <w:rPr>
          <w:noProof/>
        </w:rPr>
        <w:fldChar w:fldCharType="end"/>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2</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Esošās situācijas apraksts</w:t>
      </w:r>
      <w:r w:rsidRPr="00B94590">
        <w:rPr>
          <w:noProof/>
        </w:rPr>
        <w:tab/>
      </w:r>
      <w:r w:rsidR="00AC6746" w:rsidRPr="00B94590">
        <w:rPr>
          <w:noProof/>
        </w:rPr>
        <w:fldChar w:fldCharType="begin"/>
      </w:r>
      <w:r w:rsidRPr="00B94590">
        <w:rPr>
          <w:noProof/>
        </w:rPr>
        <w:instrText xml:space="preserve"> PAGEREF _Toc293616261 \h </w:instrText>
      </w:r>
      <w:r w:rsidR="00AC6746" w:rsidRPr="00B94590">
        <w:rPr>
          <w:noProof/>
        </w:rPr>
      </w:r>
      <w:r w:rsidR="00AC6746" w:rsidRPr="00B94590">
        <w:rPr>
          <w:noProof/>
        </w:rPr>
        <w:fldChar w:fldCharType="separate"/>
      </w:r>
      <w:r w:rsidR="00B34772">
        <w:rPr>
          <w:noProof/>
        </w:rPr>
        <w:t>11</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2.1</w:t>
      </w:r>
      <w:r w:rsidRPr="00B94590">
        <w:rPr>
          <w:rFonts w:asciiTheme="minorHAnsi" w:eastAsiaTheme="minorEastAsia" w:hAnsiTheme="minorHAnsi" w:cstheme="minorBidi"/>
          <w:b w:val="0"/>
          <w:bCs w:val="0"/>
          <w:noProof/>
          <w:sz w:val="22"/>
          <w:szCs w:val="22"/>
          <w:lang w:eastAsia="lv-LV"/>
        </w:rPr>
        <w:tab/>
      </w:r>
      <w:r w:rsidRPr="00B94590">
        <w:rPr>
          <w:noProof/>
        </w:rPr>
        <w:t>Finanšu un vadības grāmatvedības organizatoriskais process un informācijas apmaiņas risinājums valsts pārvaldē</w:t>
      </w:r>
      <w:r w:rsidRPr="00B94590">
        <w:rPr>
          <w:noProof/>
        </w:rPr>
        <w:tab/>
      </w:r>
      <w:r w:rsidR="00AC6746" w:rsidRPr="00B94590">
        <w:rPr>
          <w:noProof/>
        </w:rPr>
        <w:fldChar w:fldCharType="begin"/>
      </w:r>
      <w:r w:rsidRPr="00B94590">
        <w:rPr>
          <w:noProof/>
        </w:rPr>
        <w:instrText xml:space="preserve"> PAGEREF _Toc293616262 \h </w:instrText>
      </w:r>
      <w:r w:rsidR="00AC6746" w:rsidRPr="00B94590">
        <w:rPr>
          <w:noProof/>
        </w:rPr>
      </w:r>
      <w:r w:rsidR="00AC6746" w:rsidRPr="00B94590">
        <w:rPr>
          <w:noProof/>
        </w:rPr>
        <w:fldChar w:fldCharType="separate"/>
      </w:r>
      <w:r w:rsidR="00B34772">
        <w:rPr>
          <w:noProof/>
        </w:rPr>
        <w:t>11</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2.2</w:t>
      </w:r>
      <w:r w:rsidRPr="00B94590">
        <w:rPr>
          <w:rFonts w:asciiTheme="minorHAnsi" w:eastAsiaTheme="minorEastAsia" w:hAnsiTheme="minorHAnsi" w:cstheme="minorBidi"/>
          <w:b w:val="0"/>
          <w:bCs w:val="0"/>
          <w:noProof/>
          <w:sz w:val="22"/>
          <w:szCs w:val="22"/>
          <w:lang w:eastAsia="lv-LV"/>
        </w:rPr>
        <w:tab/>
      </w:r>
      <w:r w:rsidRPr="00B94590">
        <w:rPr>
          <w:noProof/>
        </w:rPr>
        <w:t>Esošās sistēmas darbības politika un ierobežojumi</w:t>
      </w:r>
      <w:r w:rsidRPr="00B94590">
        <w:rPr>
          <w:noProof/>
        </w:rPr>
        <w:tab/>
      </w:r>
      <w:r w:rsidR="00AC6746" w:rsidRPr="00B94590">
        <w:rPr>
          <w:noProof/>
        </w:rPr>
        <w:fldChar w:fldCharType="begin"/>
      </w:r>
      <w:r w:rsidRPr="00B94590">
        <w:rPr>
          <w:noProof/>
        </w:rPr>
        <w:instrText xml:space="preserve"> PAGEREF _Toc293616263 \h </w:instrText>
      </w:r>
      <w:r w:rsidR="00AC6746" w:rsidRPr="00B94590">
        <w:rPr>
          <w:noProof/>
        </w:rPr>
      </w:r>
      <w:r w:rsidR="00AC6746" w:rsidRPr="00B94590">
        <w:rPr>
          <w:noProof/>
        </w:rPr>
        <w:fldChar w:fldCharType="separate"/>
      </w:r>
      <w:r w:rsidR="00B34772">
        <w:rPr>
          <w:noProof/>
        </w:rPr>
        <w:t>14</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2.3</w:t>
      </w:r>
      <w:r w:rsidRPr="00B94590">
        <w:rPr>
          <w:rFonts w:asciiTheme="minorHAnsi" w:eastAsiaTheme="minorEastAsia" w:hAnsiTheme="minorHAnsi" w:cstheme="minorBidi"/>
          <w:b w:val="0"/>
          <w:bCs w:val="0"/>
          <w:noProof/>
          <w:sz w:val="22"/>
          <w:szCs w:val="22"/>
          <w:lang w:eastAsia="lv-LV"/>
        </w:rPr>
        <w:tab/>
      </w:r>
      <w:r w:rsidRPr="00B94590">
        <w:rPr>
          <w:noProof/>
        </w:rPr>
        <w:t>Pašreizējais programmatūras atbalsts</w:t>
      </w:r>
      <w:r w:rsidRPr="00B94590">
        <w:rPr>
          <w:noProof/>
        </w:rPr>
        <w:tab/>
      </w:r>
      <w:r w:rsidR="00AC6746" w:rsidRPr="00B94590">
        <w:rPr>
          <w:noProof/>
        </w:rPr>
        <w:fldChar w:fldCharType="begin"/>
      </w:r>
      <w:r w:rsidRPr="00B94590">
        <w:rPr>
          <w:noProof/>
        </w:rPr>
        <w:instrText xml:space="preserve"> PAGEREF _Toc293616264 \h </w:instrText>
      </w:r>
      <w:r w:rsidR="00AC6746" w:rsidRPr="00B94590">
        <w:rPr>
          <w:noProof/>
        </w:rPr>
      </w:r>
      <w:r w:rsidR="00AC6746" w:rsidRPr="00B94590">
        <w:rPr>
          <w:noProof/>
        </w:rPr>
        <w:fldChar w:fldCharType="separate"/>
      </w:r>
      <w:r w:rsidR="00B34772">
        <w:rPr>
          <w:noProof/>
        </w:rPr>
        <w:t>15</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2.4</w:t>
      </w:r>
      <w:r w:rsidRPr="00B94590">
        <w:rPr>
          <w:rFonts w:asciiTheme="minorHAnsi" w:eastAsiaTheme="minorEastAsia" w:hAnsiTheme="minorHAnsi" w:cstheme="minorBidi"/>
          <w:b w:val="0"/>
          <w:bCs w:val="0"/>
          <w:noProof/>
          <w:sz w:val="22"/>
          <w:szCs w:val="22"/>
          <w:lang w:eastAsia="lv-LV"/>
        </w:rPr>
        <w:tab/>
      </w:r>
      <w:r w:rsidRPr="00B94590">
        <w:rPr>
          <w:noProof/>
        </w:rPr>
        <w:t>Pašreizējais tīkls un datortehnika</w:t>
      </w:r>
      <w:r w:rsidRPr="00B94590">
        <w:rPr>
          <w:noProof/>
        </w:rPr>
        <w:tab/>
      </w:r>
      <w:r w:rsidR="00AC6746" w:rsidRPr="00B94590">
        <w:rPr>
          <w:noProof/>
        </w:rPr>
        <w:fldChar w:fldCharType="begin"/>
      </w:r>
      <w:r w:rsidRPr="00B94590">
        <w:rPr>
          <w:noProof/>
        </w:rPr>
        <w:instrText xml:space="preserve"> PAGEREF _Toc293616265 \h </w:instrText>
      </w:r>
      <w:r w:rsidR="00AC6746" w:rsidRPr="00B94590">
        <w:rPr>
          <w:noProof/>
        </w:rPr>
      </w:r>
      <w:r w:rsidR="00AC6746" w:rsidRPr="00B94590">
        <w:rPr>
          <w:noProof/>
        </w:rPr>
        <w:fldChar w:fldCharType="separate"/>
      </w:r>
      <w:r w:rsidR="00B34772">
        <w:rPr>
          <w:noProof/>
        </w:rPr>
        <w:t>20</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2.5</w:t>
      </w:r>
      <w:r w:rsidRPr="00B94590">
        <w:rPr>
          <w:rFonts w:asciiTheme="minorHAnsi" w:eastAsiaTheme="minorEastAsia" w:hAnsiTheme="minorHAnsi" w:cstheme="minorBidi"/>
          <w:b w:val="0"/>
          <w:bCs w:val="0"/>
          <w:noProof/>
          <w:sz w:val="22"/>
          <w:szCs w:val="22"/>
          <w:lang w:eastAsia="lv-LV"/>
        </w:rPr>
        <w:tab/>
      </w:r>
      <w:r w:rsidRPr="00B94590">
        <w:rPr>
          <w:noProof/>
        </w:rPr>
        <w:t>Lietotāji vai iesaistītais personāls</w:t>
      </w:r>
      <w:r w:rsidRPr="00B94590">
        <w:rPr>
          <w:noProof/>
        </w:rPr>
        <w:tab/>
      </w:r>
      <w:r w:rsidR="008A65CF">
        <w:rPr>
          <w:noProof/>
        </w:rPr>
        <w:t>2</w:t>
      </w:r>
      <w:r w:rsidR="006F6894">
        <w:rPr>
          <w:noProof/>
        </w:rPr>
        <w:t>1</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2.5.1</w:t>
      </w:r>
      <w:r w:rsidRPr="00B94590">
        <w:rPr>
          <w:rFonts w:asciiTheme="minorHAnsi" w:eastAsiaTheme="minorEastAsia" w:hAnsiTheme="minorHAnsi" w:cstheme="minorBidi"/>
          <w:noProof/>
          <w:sz w:val="22"/>
          <w:szCs w:val="22"/>
          <w:lang w:eastAsia="lv-LV"/>
        </w:rPr>
        <w:tab/>
      </w:r>
      <w:r w:rsidRPr="00B94590">
        <w:rPr>
          <w:noProof/>
        </w:rPr>
        <w:t>Lietotāju izglītošana un apmācība</w:t>
      </w:r>
      <w:r w:rsidRPr="00B94590">
        <w:rPr>
          <w:noProof/>
        </w:rPr>
        <w:tab/>
      </w:r>
      <w:r w:rsidR="008A65CF">
        <w:rPr>
          <w:noProof/>
        </w:rPr>
        <w:t>2</w:t>
      </w:r>
      <w:r w:rsidR="006F6894">
        <w:rPr>
          <w:noProof/>
        </w:rPr>
        <w:t>2</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2.5.2</w:t>
      </w:r>
      <w:r w:rsidRPr="00B94590">
        <w:rPr>
          <w:rFonts w:asciiTheme="minorHAnsi" w:eastAsiaTheme="minorEastAsia" w:hAnsiTheme="minorHAnsi" w:cstheme="minorBidi"/>
          <w:noProof/>
          <w:sz w:val="22"/>
          <w:szCs w:val="22"/>
          <w:lang w:eastAsia="lv-LV"/>
        </w:rPr>
        <w:tab/>
      </w:r>
      <w:r w:rsidRPr="00B94590">
        <w:rPr>
          <w:noProof/>
        </w:rPr>
        <w:t>Lietotāju atbalsts</w:t>
      </w:r>
      <w:r w:rsidRPr="00B94590">
        <w:rPr>
          <w:noProof/>
        </w:rPr>
        <w:tab/>
      </w:r>
      <w:r w:rsidR="008A65CF">
        <w:rPr>
          <w:noProof/>
        </w:rPr>
        <w:t>2</w:t>
      </w:r>
      <w:r w:rsidR="006F6894">
        <w:rPr>
          <w:noProof/>
        </w:rPr>
        <w:t>2</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2.6</w:t>
      </w:r>
      <w:r w:rsidRPr="00B94590">
        <w:rPr>
          <w:rFonts w:asciiTheme="minorHAnsi" w:eastAsiaTheme="minorEastAsia" w:hAnsiTheme="minorHAnsi" w:cstheme="minorBidi"/>
          <w:b w:val="0"/>
          <w:bCs w:val="0"/>
          <w:noProof/>
          <w:sz w:val="22"/>
          <w:szCs w:val="22"/>
          <w:lang w:eastAsia="lv-LV"/>
        </w:rPr>
        <w:tab/>
      </w:r>
      <w:r w:rsidRPr="00B94590">
        <w:rPr>
          <w:noProof/>
        </w:rPr>
        <w:t>Atbalsta stratēģija</w:t>
      </w:r>
      <w:r w:rsidRPr="00B94590">
        <w:rPr>
          <w:noProof/>
        </w:rPr>
        <w:tab/>
      </w:r>
      <w:r w:rsidR="008A65CF">
        <w:rPr>
          <w:noProof/>
        </w:rPr>
        <w:t>22</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b w:val="0"/>
          <w:iCs/>
          <w:noProof/>
          <w:lang w:val="lv-LV"/>
        </w:rPr>
        <w:t>3</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IETEICAMĀS</w:t>
      </w:r>
      <w:r w:rsidR="00775DEE" w:rsidRPr="00B94590">
        <w:rPr>
          <w:noProof/>
          <w:lang w:val="lv-LV"/>
        </w:rPr>
        <w:t xml:space="preserve"> sistēmas</w:t>
      </w:r>
      <w:r w:rsidRPr="00B94590">
        <w:rPr>
          <w:noProof/>
          <w:lang w:val="lv-LV"/>
        </w:rPr>
        <w:t xml:space="preserve"> IZMAIŅAS</w:t>
      </w:r>
      <w:r w:rsidRPr="00B94590">
        <w:rPr>
          <w:noProof/>
          <w:lang w:val="lv-LV"/>
        </w:rPr>
        <w:tab/>
      </w:r>
      <w:r w:rsidR="008A65CF">
        <w:rPr>
          <w:noProof/>
        </w:rPr>
        <w:t>23</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3.1</w:t>
      </w:r>
      <w:r w:rsidRPr="00B94590">
        <w:rPr>
          <w:rFonts w:asciiTheme="minorHAnsi" w:eastAsiaTheme="minorEastAsia" w:hAnsiTheme="minorHAnsi" w:cstheme="minorBidi"/>
          <w:b w:val="0"/>
          <w:bCs w:val="0"/>
          <w:noProof/>
          <w:sz w:val="22"/>
          <w:szCs w:val="22"/>
          <w:lang w:eastAsia="lv-LV"/>
        </w:rPr>
        <w:tab/>
      </w:r>
      <w:r w:rsidRPr="00B94590">
        <w:rPr>
          <w:noProof/>
        </w:rPr>
        <w:t>Izmaiņu pamatojums</w:t>
      </w:r>
      <w:r w:rsidRPr="00B94590">
        <w:rPr>
          <w:noProof/>
        </w:rPr>
        <w:tab/>
      </w:r>
      <w:r w:rsidR="008A65CF">
        <w:rPr>
          <w:noProof/>
        </w:rPr>
        <w:t>23</w:t>
      </w:r>
    </w:p>
    <w:p w:rsidR="007052A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3.2</w:t>
      </w:r>
      <w:r w:rsidRPr="00B94590">
        <w:rPr>
          <w:rFonts w:asciiTheme="minorHAnsi" w:eastAsiaTheme="minorEastAsia" w:hAnsiTheme="minorHAnsi" w:cstheme="minorBidi"/>
          <w:b w:val="0"/>
          <w:bCs w:val="0"/>
          <w:noProof/>
          <w:sz w:val="22"/>
          <w:szCs w:val="22"/>
          <w:lang w:eastAsia="lv-LV"/>
        </w:rPr>
        <w:tab/>
      </w:r>
      <w:r w:rsidR="007052AA" w:rsidRPr="00B94590">
        <w:rPr>
          <w:rFonts w:eastAsiaTheme="minorEastAsia"/>
          <w:bCs w:val="0"/>
          <w:noProof/>
          <w:szCs w:val="20"/>
          <w:lang w:eastAsia="lv-LV"/>
        </w:rPr>
        <w:t>Piedāvātais risinājums</w:t>
      </w:r>
      <w:r w:rsidR="008A65CF">
        <w:rPr>
          <w:rFonts w:eastAsiaTheme="minorEastAsia"/>
          <w:bCs w:val="0"/>
          <w:noProof/>
          <w:szCs w:val="20"/>
          <w:lang w:eastAsia="lv-LV"/>
        </w:rPr>
        <w:t xml:space="preserve">                                                                                                        23</w:t>
      </w:r>
    </w:p>
    <w:p w:rsidR="0063461A" w:rsidRPr="00B94590" w:rsidRDefault="007052AA">
      <w:pPr>
        <w:pStyle w:val="TOC2"/>
        <w:rPr>
          <w:rFonts w:asciiTheme="minorHAnsi" w:eastAsiaTheme="minorEastAsia" w:hAnsiTheme="minorHAnsi" w:cstheme="minorBidi"/>
          <w:b w:val="0"/>
          <w:bCs w:val="0"/>
          <w:noProof/>
          <w:sz w:val="22"/>
          <w:szCs w:val="22"/>
          <w:lang w:eastAsia="lv-LV"/>
        </w:rPr>
      </w:pPr>
      <w:r w:rsidRPr="00B94590">
        <w:rPr>
          <w:noProof/>
        </w:rPr>
        <w:t xml:space="preserve">3.3.              </w:t>
      </w:r>
      <w:r w:rsidR="0063461A" w:rsidRPr="00B94590">
        <w:rPr>
          <w:noProof/>
        </w:rPr>
        <w:t>Nepieciešamo izmaiņu apraksts</w:t>
      </w:r>
      <w:r w:rsidR="0063461A" w:rsidRPr="00B94590">
        <w:rPr>
          <w:noProof/>
        </w:rPr>
        <w:tab/>
      </w:r>
      <w:r w:rsidR="00AC6746" w:rsidRPr="00B94590">
        <w:rPr>
          <w:noProof/>
        </w:rPr>
        <w:fldChar w:fldCharType="begin"/>
      </w:r>
      <w:r w:rsidR="0063461A" w:rsidRPr="00B94590">
        <w:rPr>
          <w:noProof/>
        </w:rPr>
        <w:instrText xml:space="preserve"> PAGEREF _Toc293616272 \h </w:instrText>
      </w:r>
      <w:r w:rsidR="00AC6746" w:rsidRPr="00B94590">
        <w:rPr>
          <w:noProof/>
        </w:rPr>
      </w:r>
      <w:r w:rsidR="00AC6746" w:rsidRPr="00B94590">
        <w:rPr>
          <w:noProof/>
        </w:rPr>
        <w:fldChar w:fldCharType="separate"/>
      </w:r>
      <w:r w:rsidR="00B34772">
        <w:rPr>
          <w:noProof/>
        </w:rPr>
        <w:t>23</w:t>
      </w:r>
      <w:r w:rsidR="00AC6746" w:rsidRPr="00B94590">
        <w:rPr>
          <w:noProof/>
        </w:rPr>
        <w:fldChar w:fldCharType="end"/>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3.</w:t>
      </w:r>
      <w:r w:rsidR="007052AA" w:rsidRPr="00B94590">
        <w:rPr>
          <w:noProof/>
        </w:rPr>
        <w:t>3</w:t>
      </w:r>
      <w:r w:rsidRPr="00B94590">
        <w:rPr>
          <w:noProof/>
        </w:rPr>
        <w:t>.1</w:t>
      </w:r>
      <w:r w:rsidRPr="00B94590">
        <w:rPr>
          <w:rFonts w:asciiTheme="minorHAnsi" w:eastAsiaTheme="minorEastAsia" w:hAnsiTheme="minorHAnsi" w:cstheme="minorBidi"/>
          <w:noProof/>
          <w:sz w:val="22"/>
          <w:szCs w:val="22"/>
          <w:lang w:eastAsia="lv-LV"/>
        </w:rPr>
        <w:tab/>
      </w:r>
      <w:r w:rsidRPr="00B94590">
        <w:rPr>
          <w:noProof/>
        </w:rPr>
        <w:t xml:space="preserve">Nepieciešamās izmaiņas attiecībā uz </w:t>
      </w:r>
      <w:r w:rsidR="00256D71" w:rsidRPr="00B94590">
        <w:rPr>
          <w:noProof/>
        </w:rPr>
        <w:t>grāmatvedības procesu standartizāciju budžeta iestādēs</w:t>
      </w:r>
      <w:r w:rsidRPr="00B94590">
        <w:rPr>
          <w:noProof/>
        </w:rPr>
        <w:tab/>
      </w:r>
      <w:r w:rsidR="00256D71" w:rsidRPr="00B94590">
        <w:rPr>
          <w:noProof/>
        </w:rPr>
        <w:t xml:space="preserve">                                                                                                                                              </w:t>
      </w:r>
      <w:r w:rsidR="008A65CF">
        <w:rPr>
          <w:noProof/>
        </w:rPr>
        <w:t>24</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3.</w:t>
      </w:r>
      <w:r w:rsidR="007052AA" w:rsidRPr="00B94590">
        <w:rPr>
          <w:noProof/>
        </w:rPr>
        <w:t>3</w:t>
      </w:r>
      <w:r w:rsidRPr="00B94590">
        <w:rPr>
          <w:noProof/>
        </w:rPr>
        <w:t>.2</w:t>
      </w:r>
      <w:r w:rsidRPr="00B94590">
        <w:rPr>
          <w:rFonts w:asciiTheme="minorHAnsi" w:eastAsiaTheme="minorEastAsia" w:hAnsiTheme="minorHAnsi" w:cstheme="minorBidi"/>
          <w:noProof/>
          <w:sz w:val="22"/>
          <w:szCs w:val="22"/>
          <w:lang w:eastAsia="lv-LV"/>
        </w:rPr>
        <w:tab/>
      </w:r>
      <w:r w:rsidRPr="00B94590">
        <w:rPr>
          <w:noProof/>
        </w:rPr>
        <w:t xml:space="preserve">Nepieciešamās izmaiņas attiecībā uz </w:t>
      </w:r>
      <w:r w:rsidR="00256D71" w:rsidRPr="00B94590">
        <w:rPr>
          <w:noProof/>
        </w:rPr>
        <w:t>atlīdzības uzskaites sistēmu</w:t>
      </w:r>
      <w:r w:rsidRPr="00B94590">
        <w:rPr>
          <w:noProof/>
        </w:rPr>
        <w:tab/>
      </w:r>
      <w:r w:rsidR="00256D71" w:rsidRPr="00B94590">
        <w:rPr>
          <w:noProof/>
        </w:rPr>
        <w:t>36</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3.</w:t>
      </w:r>
      <w:r w:rsidR="007052AA" w:rsidRPr="00B94590">
        <w:rPr>
          <w:noProof/>
        </w:rPr>
        <w:t>3</w:t>
      </w:r>
      <w:r w:rsidRPr="00B94590">
        <w:rPr>
          <w:noProof/>
        </w:rPr>
        <w:t>.3</w:t>
      </w:r>
      <w:r w:rsidRPr="00B94590">
        <w:rPr>
          <w:rFonts w:asciiTheme="minorHAnsi" w:eastAsiaTheme="minorEastAsia" w:hAnsiTheme="minorHAnsi" w:cstheme="minorBidi"/>
          <w:noProof/>
          <w:sz w:val="22"/>
          <w:szCs w:val="22"/>
          <w:lang w:eastAsia="lv-LV"/>
        </w:rPr>
        <w:tab/>
      </w:r>
      <w:r w:rsidRPr="00B94590">
        <w:rPr>
          <w:noProof/>
        </w:rPr>
        <w:t xml:space="preserve">Nepieciešamās izmaiņas attiecībā uz </w:t>
      </w:r>
      <w:r w:rsidR="00256D71" w:rsidRPr="00B94590">
        <w:rPr>
          <w:noProof/>
        </w:rPr>
        <w:t>valsts finanšu datu analīzes rīku</w:t>
      </w:r>
      <w:r w:rsidRPr="00B94590">
        <w:rPr>
          <w:noProof/>
        </w:rPr>
        <w:tab/>
      </w:r>
      <w:r w:rsidR="008A65CF">
        <w:rPr>
          <w:noProof/>
        </w:rPr>
        <w:t>39</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w:t>
      </w:r>
      <w:r w:rsidR="007052AA" w:rsidRPr="00B94590">
        <w:rPr>
          <w:noProof/>
        </w:rPr>
        <w:t>4</w:t>
      </w:r>
      <w:r w:rsidRPr="00B94590">
        <w:rPr>
          <w:rFonts w:asciiTheme="minorHAnsi" w:eastAsiaTheme="minorEastAsia" w:hAnsiTheme="minorHAnsi" w:cstheme="minorBidi"/>
          <w:b w:val="0"/>
          <w:bCs w:val="0"/>
          <w:noProof/>
          <w:sz w:val="22"/>
          <w:szCs w:val="22"/>
          <w:lang w:eastAsia="lv-LV"/>
        </w:rPr>
        <w:tab/>
      </w:r>
      <w:r w:rsidRPr="00B94590">
        <w:rPr>
          <w:noProof/>
        </w:rPr>
        <w:t>Izmaiņu prioritātes</w:t>
      </w:r>
      <w:r w:rsidRPr="00B94590">
        <w:rPr>
          <w:noProof/>
        </w:rPr>
        <w:tab/>
      </w:r>
      <w:r w:rsidR="008A65CF">
        <w:rPr>
          <w:noProof/>
        </w:rPr>
        <w:t>42</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w:t>
      </w:r>
      <w:r w:rsidR="007052AA" w:rsidRPr="00B94590">
        <w:rPr>
          <w:noProof/>
        </w:rPr>
        <w:t>5</w:t>
      </w:r>
      <w:r w:rsidRPr="00B94590">
        <w:rPr>
          <w:rFonts w:asciiTheme="minorHAnsi" w:eastAsiaTheme="minorEastAsia" w:hAnsiTheme="minorHAnsi" w:cstheme="minorBidi"/>
          <w:b w:val="0"/>
          <w:bCs w:val="0"/>
          <w:noProof/>
          <w:sz w:val="22"/>
          <w:szCs w:val="22"/>
          <w:lang w:eastAsia="lv-LV"/>
        </w:rPr>
        <w:tab/>
      </w:r>
      <w:r w:rsidRPr="00B94590">
        <w:rPr>
          <w:noProof/>
        </w:rPr>
        <w:t>Apspriestās, bet modifikācijā neiekļautās izmaiņas</w:t>
      </w:r>
      <w:r w:rsidRPr="00B94590">
        <w:rPr>
          <w:noProof/>
        </w:rPr>
        <w:tab/>
      </w:r>
      <w:r w:rsidR="008A65CF">
        <w:rPr>
          <w:noProof/>
        </w:rPr>
        <w:t>4</w:t>
      </w:r>
      <w:r w:rsidR="006F6894">
        <w:rPr>
          <w:noProof/>
        </w:rPr>
        <w:t>3</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w:t>
      </w:r>
      <w:r w:rsidR="007052AA" w:rsidRPr="00B94590">
        <w:rPr>
          <w:noProof/>
        </w:rPr>
        <w:t>6</w:t>
      </w:r>
      <w:r w:rsidRPr="00B94590">
        <w:rPr>
          <w:rFonts w:asciiTheme="minorHAnsi" w:eastAsiaTheme="minorEastAsia" w:hAnsiTheme="minorHAnsi" w:cstheme="minorBidi"/>
          <w:b w:val="0"/>
          <w:bCs w:val="0"/>
          <w:noProof/>
          <w:sz w:val="22"/>
          <w:szCs w:val="22"/>
          <w:lang w:eastAsia="lv-LV"/>
        </w:rPr>
        <w:tab/>
      </w:r>
      <w:r w:rsidRPr="00B94590">
        <w:rPr>
          <w:noProof/>
        </w:rPr>
        <w:t>Pieņēmumi un ierobežojumi</w:t>
      </w:r>
      <w:r w:rsidRPr="00B94590">
        <w:rPr>
          <w:noProof/>
        </w:rPr>
        <w:tab/>
      </w:r>
      <w:r w:rsidR="008A65CF">
        <w:rPr>
          <w:noProof/>
        </w:rPr>
        <w:t>43</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4</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modifcētO sistēmU KONCEPCIJA</w:t>
      </w:r>
      <w:r w:rsidRPr="00B94590">
        <w:rPr>
          <w:noProof/>
        </w:rPr>
        <w:tab/>
      </w:r>
      <w:r w:rsidR="008A65CF">
        <w:rPr>
          <w:noProof/>
        </w:rPr>
        <w:t>44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4.1</w:t>
      </w:r>
      <w:r w:rsidRPr="00B94590">
        <w:rPr>
          <w:rFonts w:asciiTheme="minorHAnsi" w:eastAsiaTheme="minorEastAsia" w:hAnsiTheme="minorHAnsi" w:cstheme="minorBidi"/>
          <w:b w:val="0"/>
          <w:bCs w:val="0"/>
          <w:noProof/>
          <w:sz w:val="22"/>
          <w:szCs w:val="22"/>
          <w:lang w:eastAsia="lv-LV"/>
        </w:rPr>
        <w:tab/>
      </w:r>
      <w:r w:rsidRPr="00B94590">
        <w:rPr>
          <w:noProof/>
        </w:rPr>
        <w:t>Sistēmu bāze, mērķi un darbības sfēra</w:t>
      </w:r>
      <w:r w:rsidRPr="00B94590">
        <w:rPr>
          <w:noProof/>
        </w:rPr>
        <w:tab/>
      </w:r>
      <w:r w:rsidR="008A65CF">
        <w:rPr>
          <w:noProof/>
        </w:rPr>
        <w:t>44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4.2</w:t>
      </w:r>
      <w:r w:rsidRPr="00B94590">
        <w:rPr>
          <w:rFonts w:asciiTheme="minorHAnsi" w:eastAsiaTheme="minorEastAsia" w:hAnsiTheme="minorHAnsi" w:cstheme="minorBidi"/>
          <w:b w:val="0"/>
          <w:bCs w:val="0"/>
          <w:noProof/>
          <w:sz w:val="22"/>
          <w:szCs w:val="22"/>
          <w:lang w:eastAsia="lv-LV"/>
        </w:rPr>
        <w:tab/>
      </w:r>
      <w:r w:rsidRPr="00B94590">
        <w:rPr>
          <w:noProof/>
        </w:rPr>
        <w:t>Darbības politikas un ierobežojumi</w:t>
      </w:r>
      <w:r w:rsidRPr="00B94590">
        <w:rPr>
          <w:noProof/>
        </w:rPr>
        <w:tab/>
      </w:r>
      <w:r w:rsidR="008A65CF">
        <w:rPr>
          <w:noProof/>
        </w:rPr>
        <w:t>44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4.3</w:t>
      </w:r>
      <w:r w:rsidRPr="00B94590">
        <w:rPr>
          <w:rFonts w:asciiTheme="minorHAnsi" w:eastAsiaTheme="minorEastAsia" w:hAnsiTheme="minorHAnsi" w:cstheme="minorBidi"/>
          <w:b w:val="0"/>
          <w:bCs w:val="0"/>
          <w:noProof/>
          <w:sz w:val="22"/>
          <w:szCs w:val="22"/>
          <w:lang w:eastAsia="lv-LV"/>
        </w:rPr>
        <w:tab/>
      </w:r>
      <w:r w:rsidRPr="00B94590">
        <w:rPr>
          <w:noProof/>
        </w:rPr>
        <w:t>Sistēmu arhitektūra</w:t>
      </w:r>
      <w:r w:rsidRPr="00B94590">
        <w:rPr>
          <w:noProof/>
        </w:rPr>
        <w:tab/>
      </w:r>
      <w:r w:rsidR="008A65CF">
        <w:rPr>
          <w:noProof/>
        </w:rPr>
        <w:t>44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4.4</w:t>
      </w:r>
      <w:r w:rsidRPr="00B94590">
        <w:rPr>
          <w:rFonts w:asciiTheme="minorHAnsi" w:eastAsiaTheme="minorEastAsia" w:hAnsiTheme="minorHAnsi" w:cstheme="minorBidi"/>
          <w:b w:val="0"/>
          <w:bCs w:val="0"/>
          <w:noProof/>
          <w:sz w:val="22"/>
          <w:szCs w:val="22"/>
          <w:lang w:eastAsia="lv-LV"/>
        </w:rPr>
        <w:tab/>
      </w:r>
      <w:r w:rsidRPr="00B94590">
        <w:rPr>
          <w:noProof/>
        </w:rPr>
        <w:t>Sistēmu lietotāji un ietekmētais personāls</w:t>
      </w:r>
      <w:r w:rsidRPr="00B94590">
        <w:rPr>
          <w:noProof/>
        </w:rPr>
        <w:tab/>
      </w:r>
      <w:r w:rsidR="008A65CF">
        <w:rPr>
          <w:noProof/>
        </w:rPr>
        <w:t>45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4.5</w:t>
      </w:r>
      <w:r w:rsidRPr="00B94590">
        <w:rPr>
          <w:rFonts w:asciiTheme="minorHAnsi" w:eastAsiaTheme="minorEastAsia" w:hAnsiTheme="minorHAnsi" w:cstheme="minorBidi"/>
          <w:b w:val="0"/>
          <w:bCs w:val="0"/>
          <w:noProof/>
          <w:sz w:val="22"/>
          <w:szCs w:val="22"/>
          <w:lang w:eastAsia="lv-LV"/>
        </w:rPr>
        <w:tab/>
      </w:r>
      <w:r w:rsidRPr="00B94590">
        <w:rPr>
          <w:noProof/>
        </w:rPr>
        <w:t>Atbalsta stratēģija</w:t>
      </w:r>
      <w:r w:rsidRPr="00B94590">
        <w:rPr>
          <w:noProof/>
        </w:rPr>
        <w:tab/>
      </w:r>
      <w:r w:rsidR="008A65CF">
        <w:rPr>
          <w:noProof/>
        </w:rPr>
        <w:t>46</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4.6</w:t>
      </w:r>
      <w:r w:rsidRPr="00B94590">
        <w:rPr>
          <w:rFonts w:asciiTheme="minorHAnsi" w:eastAsiaTheme="minorEastAsia" w:hAnsiTheme="minorHAnsi" w:cstheme="minorBidi"/>
          <w:b w:val="0"/>
          <w:bCs w:val="0"/>
          <w:noProof/>
          <w:sz w:val="22"/>
          <w:szCs w:val="22"/>
          <w:lang w:eastAsia="lv-LV"/>
        </w:rPr>
        <w:tab/>
      </w:r>
      <w:r w:rsidRPr="00B94590">
        <w:rPr>
          <w:noProof/>
        </w:rPr>
        <w:t>Valodu atbalsts</w:t>
      </w:r>
      <w:r w:rsidRPr="00B94590">
        <w:rPr>
          <w:noProof/>
        </w:rPr>
        <w:tab/>
      </w:r>
      <w:r w:rsidR="008A65CF">
        <w:rPr>
          <w:noProof/>
        </w:rPr>
        <w:t>46</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4.7</w:t>
      </w:r>
      <w:r w:rsidRPr="00B94590">
        <w:rPr>
          <w:rFonts w:asciiTheme="minorHAnsi" w:eastAsiaTheme="minorEastAsia" w:hAnsiTheme="minorHAnsi" w:cstheme="minorBidi"/>
          <w:b w:val="0"/>
          <w:bCs w:val="0"/>
          <w:noProof/>
          <w:sz w:val="22"/>
          <w:szCs w:val="22"/>
          <w:lang w:eastAsia="lv-LV"/>
        </w:rPr>
        <w:tab/>
      </w:r>
      <w:r w:rsidRPr="00B94590">
        <w:rPr>
          <w:noProof/>
        </w:rPr>
        <w:t>Prasības sistēmu nepieciešamajiem tehniskajiem resursiem</w:t>
      </w:r>
      <w:r w:rsidRPr="00B94590">
        <w:rPr>
          <w:noProof/>
        </w:rPr>
        <w:tab/>
      </w:r>
      <w:r w:rsidR="008A65CF">
        <w:rPr>
          <w:noProof/>
        </w:rPr>
        <w:t>46</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4.7.1</w:t>
      </w:r>
      <w:r w:rsidRPr="00B94590">
        <w:rPr>
          <w:rFonts w:asciiTheme="minorHAnsi" w:eastAsiaTheme="minorEastAsia" w:hAnsiTheme="minorHAnsi" w:cstheme="minorBidi"/>
          <w:noProof/>
          <w:sz w:val="22"/>
          <w:szCs w:val="22"/>
          <w:lang w:eastAsia="lv-LV"/>
        </w:rPr>
        <w:tab/>
      </w:r>
      <w:r w:rsidRPr="00B94590">
        <w:rPr>
          <w:noProof/>
        </w:rPr>
        <w:t>Sistēmu datu bāzes servera un aplikāciju servera tehniskās prasības</w:t>
      </w:r>
      <w:r w:rsidRPr="00B94590">
        <w:rPr>
          <w:noProof/>
        </w:rPr>
        <w:tab/>
      </w:r>
      <w:r w:rsidR="008A65CF">
        <w:rPr>
          <w:noProof/>
        </w:rPr>
        <w:t>46</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4.7.2</w:t>
      </w:r>
      <w:r w:rsidRPr="00B94590">
        <w:rPr>
          <w:rFonts w:asciiTheme="minorHAnsi" w:eastAsiaTheme="minorEastAsia" w:hAnsiTheme="minorHAnsi" w:cstheme="minorBidi"/>
          <w:noProof/>
          <w:sz w:val="22"/>
          <w:szCs w:val="22"/>
          <w:lang w:eastAsia="lv-LV"/>
        </w:rPr>
        <w:tab/>
      </w:r>
      <w:r w:rsidRPr="00B94590">
        <w:rPr>
          <w:noProof/>
        </w:rPr>
        <w:t>Klientu darba staciju tehniskās prasības (lietotāja saskarnei client-to-server)</w:t>
      </w:r>
      <w:r w:rsidRPr="00B94590">
        <w:rPr>
          <w:noProof/>
        </w:rPr>
        <w:tab/>
      </w:r>
      <w:r w:rsidR="008A65CF">
        <w:rPr>
          <w:noProof/>
        </w:rPr>
        <w:t>46</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4.8</w:t>
      </w:r>
      <w:r w:rsidRPr="00B94590">
        <w:rPr>
          <w:rFonts w:asciiTheme="minorHAnsi" w:eastAsiaTheme="minorEastAsia" w:hAnsiTheme="minorHAnsi" w:cstheme="minorBidi"/>
          <w:b w:val="0"/>
          <w:bCs w:val="0"/>
          <w:noProof/>
          <w:sz w:val="22"/>
          <w:szCs w:val="22"/>
          <w:lang w:eastAsia="lv-LV"/>
        </w:rPr>
        <w:tab/>
      </w:r>
      <w:r w:rsidRPr="00B94590">
        <w:rPr>
          <w:noProof/>
        </w:rPr>
        <w:t>Risinājuma finansēšanas iespējas un atbalstāmais finansēšanas variants</w:t>
      </w:r>
      <w:r w:rsidR="00F56DA4" w:rsidRPr="00B94590">
        <w:rPr>
          <w:noProof/>
        </w:rPr>
        <w:t>, ietekme uz valsts un pašvaldību budžetiem</w:t>
      </w:r>
      <w:r w:rsidRPr="00B94590">
        <w:rPr>
          <w:noProof/>
        </w:rPr>
        <w:tab/>
      </w:r>
      <w:r w:rsidR="008A65CF">
        <w:rPr>
          <w:noProof/>
        </w:rPr>
        <w:t>47</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5</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Darbības scenāriji</w:t>
      </w:r>
      <w:r w:rsidRPr="00B94590">
        <w:rPr>
          <w:noProof/>
          <w:lang w:val="lv-LV"/>
        </w:rPr>
        <w:tab/>
      </w:r>
      <w:r w:rsidR="00A808DD">
        <w:rPr>
          <w:noProof/>
        </w:rPr>
        <w:t>5</w:t>
      </w:r>
      <w:r w:rsidR="006F6894">
        <w:rPr>
          <w:noProof/>
        </w:rPr>
        <w:t>1</w:t>
      </w:r>
    </w:p>
    <w:p w:rsidR="0063461A" w:rsidRPr="00B94590" w:rsidRDefault="0063461A">
      <w:pPr>
        <w:pStyle w:val="TOC2"/>
        <w:rPr>
          <w:noProof/>
        </w:rPr>
      </w:pPr>
      <w:r w:rsidRPr="00B94590">
        <w:rPr>
          <w:noProof/>
        </w:rPr>
        <w:t>5.1</w:t>
      </w:r>
      <w:r w:rsidRPr="00B94590">
        <w:rPr>
          <w:rFonts w:asciiTheme="minorHAnsi" w:eastAsiaTheme="minorEastAsia" w:hAnsiTheme="minorHAnsi" w:cstheme="minorBidi"/>
          <w:b w:val="0"/>
          <w:bCs w:val="0"/>
          <w:noProof/>
          <w:sz w:val="22"/>
          <w:szCs w:val="22"/>
          <w:lang w:eastAsia="lv-LV"/>
        </w:rPr>
        <w:tab/>
      </w:r>
      <w:r w:rsidRPr="00B94590">
        <w:rPr>
          <w:rFonts w:asciiTheme="minorHAnsi" w:eastAsiaTheme="minorEastAsia" w:hAnsiTheme="minorHAnsi" w:cstheme="minorBidi"/>
          <w:b w:val="0"/>
          <w:bCs w:val="0"/>
          <w:noProof/>
          <w:sz w:val="22"/>
          <w:szCs w:val="22"/>
          <w:lang w:eastAsia="lv-LV"/>
        </w:rPr>
        <w:tab/>
      </w:r>
      <w:r w:rsidRPr="00B94590">
        <w:rPr>
          <w:noProof/>
        </w:rPr>
        <w:t>Valsts budžeta un finanšu grāmatvedības datu  analīzes rīka izmantošanas scenārijs</w:t>
      </w:r>
      <w:r w:rsidRPr="00B94590">
        <w:rPr>
          <w:noProof/>
        </w:rPr>
        <w:tab/>
      </w:r>
      <w:r w:rsidR="008A65CF">
        <w:rPr>
          <w:noProof/>
        </w:rPr>
        <w:t>5</w:t>
      </w:r>
      <w:r w:rsidR="006F6894">
        <w:rPr>
          <w:noProof/>
        </w:rPr>
        <w:t>1</w:t>
      </w:r>
    </w:p>
    <w:p w:rsidR="001B0C4E" w:rsidRPr="00B94590" w:rsidRDefault="001B0C4E" w:rsidP="001B0C4E">
      <w:pPr>
        <w:rPr>
          <w:rFonts w:eastAsiaTheme="minorEastAsia"/>
          <w:noProof/>
          <w:lang w:eastAsia="en-US"/>
        </w:rPr>
      </w:pPr>
      <w:r w:rsidRPr="00B94590">
        <w:rPr>
          <w:rFonts w:eastAsiaTheme="minorEastAsia"/>
          <w:b/>
          <w:noProof/>
          <w:sz w:val="20"/>
          <w:szCs w:val="20"/>
          <w:lang w:eastAsia="en-US"/>
        </w:rPr>
        <w:t>5.</w:t>
      </w:r>
      <w:r w:rsidR="008A65CF">
        <w:rPr>
          <w:rFonts w:eastAsiaTheme="minorEastAsia"/>
          <w:b/>
          <w:noProof/>
          <w:sz w:val="20"/>
          <w:szCs w:val="20"/>
          <w:lang w:eastAsia="en-US"/>
        </w:rPr>
        <w:t>2</w:t>
      </w:r>
      <w:r w:rsidRPr="00B94590">
        <w:rPr>
          <w:rFonts w:eastAsiaTheme="minorEastAsia"/>
          <w:b/>
          <w:noProof/>
          <w:sz w:val="20"/>
          <w:szCs w:val="20"/>
          <w:lang w:eastAsia="en-US"/>
        </w:rPr>
        <w:t>.</w:t>
      </w:r>
      <w:r w:rsidR="00916DF8" w:rsidRPr="00B94590">
        <w:rPr>
          <w:rFonts w:eastAsiaTheme="minorEastAsia"/>
          <w:b/>
          <w:noProof/>
          <w:sz w:val="20"/>
          <w:szCs w:val="20"/>
          <w:lang w:eastAsia="en-US"/>
        </w:rPr>
        <w:t xml:space="preserve">             Atlīdzības uzskaites sisitēmas </w:t>
      </w:r>
      <w:r w:rsidRPr="00B94590">
        <w:rPr>
          <w:rFonts w:eastAsiaTheme="minorEastAsia"/>
          <w:b/>
          <w:noProof/>
          <w:sz w:val="20"/>
          <w:szCs w:val="20"/>
          <w:lang w:eastAsia="en-US"/>
        </w:rPr>
        <w:t>datu analīzes rīka izmantošanas scenārijs</w:t>
      </w:r>
      <w:r w:rsidR="00C30F08" w:rsidRPr="00B94590">
        <w:rPr>
          <w:rFonts w:eastAsiaTheme="minorEastAsia"/>
          <w:b/>
          <w:noProof/>
          <w:sz w:val="20"/>
          <w:szCs w:val="20"/>
          <w:lang w:eastAsia="en-US"/>
        </w:rPr>
        <w:t xml:space="preserve">                </w:t>
      </w:r>
      <w:r w:rsidR="00916DF8" w:rsidRPr="00B94590">
        <w:rPr>
          <w:rFonts w:eastAsiaTheme="minorEastAsia"/>
          <w:b/>
          <w:noProof/>
          <w:sz w:val="20"/>
          <w:szCs w:val="20"/>
          <w:lang w:eastAsia="en-US"/>
        </w:rPr>
        <w:t xml:space="preserve">     </w:t>
      </w:r>
      <w:r w:rsidR="00A808DD">
        <w:rPr>
          <w:rFonts w:eastAsiaTheme="minorEastAsia"/>
          <w:b/>
          <w:noProof/>
          <w:sz w:val="20"/>
          <w:szCs w:val="20"/>
          <w:lang w:eastAsia="en-US"/>
        </w:rPr>
        <w:t>5</w:t>
      </w:r>
      <w:r w:rsidR="006F6894">
        <w:rPr>
          <w:rFonts w:eastAsiaTheme="minorEastAsia"/>
          <w:b/>
          <w:noProof/>
          <w:sz w:val="20"/>
          <w:szCs w:val="20"/>
          <w:lang w:eastAsia="en-US"/>
        </w:rPr>
        <w:t>2</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6</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Ietekmes (</w:t>
      </w:r>
      <w:r w:rsidRPr="00B94590">
        <w:rPr>
          <w:i/>
          <w:noProof/>
          <w:lang w:val="lv-LV"/>
        </w:rPr>
        <w:t>impact</w:t>
      </w:r>
      <w:r w:rsidRPr="00B94590">
        <w:rPr>
          <w:noProof/>
          <w:lang w:val="lv-LV"/>
        </w:rPr>
        <w:t>) kopsavilkums</w:t>
      </w:r>
      <w:r w:rsidRPr="00B94590">
        <w:rPr>
          <w:noProof/>
        </w:rPr>
        <w:tab/>
      </w:r>
      <w:r w:rsidR="008A65CF">
        <w:rPr>
          <w:noProof/>
        </w:rPr>
        <w:t>5</w:t>
      </w:r>
      <w:r w:rsidR="006F6894">
        <w:rPr>
          <w:noProof/>
        </w:rPr>
        <w:t>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lastRenderedPageBreak/>
        <w:t>6.1</w:t>
      </w:r>
      <w:r w:rsidRPr="00B94590">
        <w:rPr>
          <w:rFonts w:asciiTheme="minorHAnsi" w:eastAsiaTheme="minorEastAsia" w:hAnsiTheme="minorHAnsi" w:cstheme="minorBidi"/>
          <w:b w:val="0"/>
          <w:bCs w:val="0"/>
          <w:noProof/>
          <w:sz w:val="22"/>
          <w:szCs w:val="22"/>
          <w:lang w:eastAsia="lv-LV"/>
        </w:rPr>
        <w:tab/>
      </w:r>
      <w:r w:rsidRPr="00B94590">
        <w:rPr>
          <w:noProof/>
        </w:rPr>
        <w:t>Darbības (</w:t>
      </w:r>
      <w:r w:rsidRPr="00B94590">
        <w:rPr>
          <w:i/>
          <w:noProof/>
        </w:rPr>
        <w:t>operational</w:t>
      </w:r>
      <w:r w:rsidRPr="00B94590">
        <w:rPr>
          <w:noProof/>
        </w:rPr>
        <w:t>) ietekmes</w:t>
      </w:r>
      <w:r w:rsidRPr="00B94590">
        <w:rPr>
          <w:noProof/>
        </w:rPr>
        <w:tab/>
      </w:r>
      <w:r w:rsidR="008A65CF">
        <w:rPr>
          <w:noProof/>
        </w:rPr>
        <w:t>5</w:t>
      </w:r>
      <w:r w:rsidR="006F6894">
        <w:rPr>
          <w:noProof/>
        </w:rPr>
        <w:t>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6.2</w:t>
      </w:r>
      <w:r w:rsidRPr="00B94590">
        <w:rPr>
          <w:rFonts w:asciiTheme="minorHAnsi" w:eastAsiaTheme="minorEastAsia" w:hAnsiTheme="minorHAnsi" w:cstheme="minorBidi"/>
          <w:b w:val="0"/>
          <w:bCs w:val="0"/>
          <w:noProof/>
          <w:sz w:val="22"/>
          <w:szCs w:val="22"/>
          <w:lang w:eastAsia="lv-LV"/>
        </w:rPr>
        <w:tab/>
      </w:r>
      <w:r w:rsidRPr="00B94590">
        <w:rPr>
          <w:noProof/>
        </w:rPr>
        <w:t>Organizatoriskās ietekmes</w:t>
      </w:r>
      <w:r w:rsidRPr="00B94590">
        <w:rPr>
          <w:noProof/>
        </w:rPr>
        <w:tab/>
      </w:r>
      <w:r w:rsidR="008A65CF">
        <w:rPr>
          <w:noProof/>
        </w:rPr>
        <w:t>5</w:t>
      </w:r>
      <w:r w:rsidR="006F6894">
        <w:rPr>
          <w:noProof/>
        </w:rPr>
        <w:t>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6.3</w:t>
      </w:r>
      <w:r w:rsidRPr="00B94590">
        <w:rPr>
          <w:rFonts w:asciiTheme="minorHAnsi" w:eastAsiaTheme="minorEastAsia" w:hAnsiTheme="minorHAnsi" w:cstheme="minorBidi"/>
          <w:b w:val="0"/>
          <w:bCs w:val="0"/>
          <w:noProof/>
          <w:sz w:val="22"/>
          <w:szCs w:val="22"/>
          <w:lang w:eastAsia="lv-LV"/>
        </w:rPr>
        <w:tab/>
      </w:r>
      <w:r w:rsidRPr="00B94590">
        <w:rPr>
          <w:noProof/>
        </w:rPr>
        <w:t>Ietekmes izstrādāšanas laikā</w:t>
      </w:r>
      <w:r w:rsidRPr="00B94590">
        <w:rPr>
          <w:noProof/>
        </w:rPr>
        <w:tab/>
      </w:r>
      <w:r w:rsidR="008A65CF">
        <w:rPr>
          <w:noProof/>
        </w:rPr>
        <w:t>5</w:t>
      </w:r>
      <w:r w:rsidR="006F6894">
        <w:rPr>
          <w:noProof/>
        </w:rPr>
        <w:t>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6.4</w:t>
      </w:r>
      <w:r w:rsidRPr="00B94590">
        <w:rPr>
          <w:rFonts w:asciiTheme="minorHAnsi" w:eastAsiaTheme="minorEastAsia" w:hAnsiTheme="minorHAnsi" w:cstheme="minorBidi"/>
          <w:b w:val="0"/>
          <w:bCs w:val="0"/>
          <w:noProof/>
          <w:sz w:val="22"/>
          <w:szCs w:val="22"/>
          <w:lang w:eastAsia="lv-LV"/>
        </w:rPr>
        <w:tab/>
      </w:r>
      <w:r w:rsidRPr="00B94590">
        <w:rPr>
          <w:noProof/>
        </w:rPr>
        <w:t>Priekšrocību kopsavilkums</w:t>
      </w:r>
      <w:r w:rsidRPr="00B94590">
        <w:rPr>
          <w:noProof/>
        </w:rPr>
        <w:tab/>
      </w:r>
      <w:r w:rsidR="008A65CF">
        <w:rPr>
          <w:noProof/>
        </w:rPr>
        <w:t>5</w:t>
      </w:r>
      <w:r w:rsidR="00411F01">
        <w:rPr>
          <w:noProof/>
        </w:rPr>
        <w:t>6</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6.5</w:t>
      </w:r>
      <w:r w:rsidRPr="00B94590">
        <w:rPr>
          <w:rFonts w:asciiTheme="minorHAnsi" w:eastAsiaTheme="minorEastAsia" w:hAnsiTheme="minorHAnsi" w:cstheme="minorBidi"/>
          <w:b w:val="0"/>
          <w:bCs w:val="0"/>
          <w:noProof/>
          <w:sz w:val="22"/>
          <w:szCs w:val="22"/>
          <w:lang w:eastAsia="lv-LV"/>
        </w:rPr>
        <w:tab/>
      </w:r>
      <w:r w:rsidRPr="00B94590">
        <w:rPr>
          <w:noProof/>
        </w:rPr>
        <w:t>Trūkumu un ierobežojumu kopsavilkums</w:t>
      </w:r>
      <w:r w:rsidRPr="00B94590">
        <w:rPr>
          <w:noProof/>
        </w:rPr>
        <w:tab/>
      </w:r>
      <w:r w:rsidR="008A65CF">
        <w:rPr>
          <w:noProof/>
        </w:rPr>
        <w:t>5</w:t>
      </w:r>
      <w:r w:rsidR="00411F01">
        <w:rPr>
          <w:noProof/>
        </w:rPr>
        <w:t>7</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6.6</w:t>
      </w:r>
      <w:r w:rsidRPr="00B94590">
        <w:rPr>
          <w:rFonts w:asciiTheme="minorHAnsi" w:eastAsiaTheme="minorEastAsia" w:hAnsiTheme="minorHAnsi" w:cstheme="minorBidi"/>
          <w:b w:val="0"/>
          <w:bCs w:val="0"/>
          <w:noProof/>
          <w:sz w:val="22"/>
          <w:szCs w:val="22"/>
          <w:lang w:eastAsia="lv-LV"/>
        </w:rPr>
        <w:tab/>
      </w:r>
      <w:r w:rsidRPr="00B94590">
        <w:rPr>
          <w:noProof/>
        </w:rPr>
        <w:t>Novērtēt</w:t>
      </w:r>
      <w:r w:rsidR="001202CA" w:rsidRPr="00B94590">
        <w:rPr>
          <w:noProof/>
        </w:rPr>
        <w:t xml:space="preserve">ie risinājuma varianti </w:t>
      </w:r>
      <w:r w:rsidRPr="00B94590">
        <w:rPr>
          <w:noProof/>
        </w:rPr>
        <w:t>un atšķirības starp t</w:t>
      </w:r>
      <w:r w:rsidR="001202CA" w:rsidRPr="00B94590">
        <w:rPr>
          <w:noProof/>
        </w:rPr>
        <w:t>ie</w:t>
      </w:r>
      <w:r w:rsidRPr="00B94590">
        <w:rPr>
          <w:noProof/>
        </w:rPr>
        <w:t>m (</w:t>
      </w:r>
      <w:r w:rsidRPr="00B94590">
        <w:rPr>
          <w:i/>
          <w:noProof/>
        </w:rPr>
        <w:t>trade-offs considered</w:t>
      </w:r>
      <w:r w:rsidRPr="00B94590">
        <w:rPr>
          <w:noProof/>
        </w:rPr>
        <w:t>)</w:t>
      </w:r>
      <w:r w:rsidRPr="00B94590">
        <w:rPr>
          <w:noProof/>
        </w:rPr>
        <w:tab/>
      </w:r>
      <w:r w:rsidR="008A65CF">
        <w:rPr>
          <w:noProof/>
        </w:rPr>
        <w:t>5</w:t>
      </w:r>
      <w:r w:rsidR="00411F01">
        <w:rPr>
          <w:noProof/>
        </w:rPr>
        <w:t>7</w:t>
      </w:r>
    </w:p>
    <w:p w:rsidR="00ED55CF" w:rsidRPr="00B94590" w:rsidRDefault="00AC6746" w:rsidP="00A65510">
      <w:pPr>
        <w:jc w:val="both"/>
      </w:pPr>
      <w:r w:rsidRPr="00B94590">
        <w:fldChar w:fldCharType="end"/>
      </w:r>
    </w:p>
    <w:p w:rsidR="00ED55CF" w:rsidRPr="00B94590" w:rsidRDefault="00ED55CF" w:rsidP="00A65510">
      <w:pPr>
        <w:jc w:val="both"/>
        <w:rPr>
          <w:b/>
          <w:sz w:val="28"/>
          <w:szCs w:val="28"/>
        </w:rPr>
      </w:pPr>
      <w:r w:rsidRPr="00B94590">
        <w:rPr>
          <w:b/>
          <w:sz w:val="28"/>
          <w:szCs w:val="28"/>
        </w:rPr>
        <w:t>Attēlu saraksts</w:t>
      </w:r>
    </w:p>
    <w:p w:rsidR="00685875" w:rsidRPr="00B94590" w:rsidRDefault="00AC6746">
      <w:pPr>
        <w:pStyle w:val="TableofFigures"/>
        <w:tabs>
          <w:tab w:val="right" w:leader="dot" w:pos="8303"/>
        </w:tabs>
        <w:rPr>
          <w:rFonts w:asciiTheme="minorHAnsi" w:eastAsiaTheme="minorEastAsia" w:hAnsiTheme="minorHAnsi" w:cstheme="minorBidi"/>
          <w:sz w:val="22"/>
          <w:szCs w:val="22"/>
        </w:rPr>
      </w:pPr>
      <w:r w:rsidRPr="00B94590">
        <w:rPr>
          <w:b/>
          <w:sz w:val="28"/>
          <w:szCs w:val="28"/>
        </w:rPr>
        <w:fldChar w:fldCharType="begin"/>
      </w:r>
      <w:r w:rsidR="00963615" w:rsidRPr="00B94590">
        <w:rPr>
          <w:b/>
          <w:sz w:val="28"/>
          <w:szCs w:val="28"/>
        </w:rPr>
        <w:instrText xml:space="preserve"> TOC \h \z \c "Attēls Nr." </w:instrText>
      </w:r>
      <w:r w:rsidRPr="00B94590">
        <w:rPr>
          <w:b/>
          <w:sz w:val="28"/>
          <w:szCs w:val="28"/>
        </w:rPr>
        <w:fldChar w:fldCharType="separate"/>
      </w:r>
      <w:hyperlink w:anchor="_Toc293590896" w:history="1">
        <w:r w:rsidR="00685875" w:rsidRPr="00B94590">
          <w:rPr>
            <w:rStyle w:val="Hyperlink"/>
            <w:color w:val="auto"/>
          </w:rPr>
          <w:t>Attēls Nr. 1 Datu apstrāde SAP BW sistēmā.</w:t>
        </w:r>
        <w:r w:rsidR="00685875" w:rsidRPr="00B94590">
          <w:rPr>
            <w:webHidden/>
          </w:rPr>
          <w:tab/>
        </w:r>
        <w:r w:rsidRPr="00B94590">
          <w:rPr>
            <w:webHidden/>
          </w:rPr>
          <w:fldChar w:fldCharType="begin"/>
        </w:r>
        <w:r w:rsidR="00685875" w:rsidRPr="00B94590">
          <w:rPr>
            <w:webHidden/>
          </w:rPr>
          <w:instrText xml:space="preserve"> PAGEREF _Toc293590896 \h </w:instrText>
        </w:r>
        <w:r w:rsidRPr="00B94590">
          <w:rPr>
            <w:webHidden/>
          </w:rPr>
        </w:r>
        <w:r w:rsidRPr="00B94590">
          <w:rPr>
            <w:webHidden/>
          </w:rPr>
          <w:fldChar w:fldCharType="separate"/>
        </w:r>
        <w:r w:rsidR="00B34772">
          <w:rPr>
            <w:noProof/>
            <w:webHidden/>
          </w:rPr>
          <w:t>16</w:t>
        </w:r>
        <w:r w:rsidRPr="00B94590">
          <w:rPr>
            <w:webHidden/>
          </w:rPr>
          <w:fldChar w:fldCharType="end"/>
        </w:r>
      </w:hyperlink>
    </w:p>
    <w:p w:rsidR="00685875" w:rsidRPr="00B94590" w:rsidRDefault="00D92DDA">
      <w:pPr>
        <w:pStyle w:val="TableofFigures"/>
        <w:tabs>
          <w:tab w:val="right" w:leader="dot" w:pos="8303"/>
        </w:tabs>
        <w:rPr>
          <w:rFonts w:asciiTheme="minorHAnsi" w:eastAsiaTheme="minorEastAsia" w:hAnsiTheme="minorHAnsi" w:cstheme="minorBidi"/>
          <w:sz w:val="22"/>
          <w:szCs w:val="22"/>
        </w:rPr>
      </w:pPr>
      <w:hyperlink w:anchor="_Toc293590897" w:history="1">
        <w:r w:rsidR="00685875" w:rsidRPr="00B94590">
          <w:rPr>
            <w:rStyle w:val="Hyperlink"/>
            <w:color w:val="auto"/>
          </w:rPr>
          <w:t>Attēls Nr. 2 VBPBP arhitektūra</w:t>
        </w:r>
        <w:r w:rsidR="00685875" w:rsidRPr="00B94590">
          <w:rPr>
            <w:webHidden/>
          </w:rPr>
          <w:tab/>
        </w:r>
        <w:r w:rsidR="00AC6746" w:rsidRPr="00B94590">
          <w:rPr>
            <w:webHidden/>
          </w:rPr>
          <w:fldChar w:fldCharType="begin"/>
        </w:r>
        <w:r w:rsidR="00685875" w:rsidRPr="00B94590">
          <w:rPr>
            <w:webHidden/>
          </w:rPr>
          <w:instrText xml:space="preserve"> PAGEREF _Toc293590897 \h </w:instrText>
        </w:r>
        <w:r w:rsidR="00AC6746" w:rsidRPr="00B94590">
          <w:rPr>
            <w:webHidden/>
          </w:rPr>
        </w:r>
        <w:r w:rsidR="00AC6746" w:rsidRPr="00B94590">
          <w:rPr>
            <w:webHidden/>
          </w:rPr>
          <w:fldChar w:fldCharType="separate"/>
        </w:r>
        <w:r w:rsidR="00B34772">
          <w:rPr>
            <w:noProof/>
            <w:webHidden/>
          </w:rPr>
          <w:t>17</w:t>
        </w:r>
        <w:r w:rsidR="00AC6746" w:rsidRPr="00B94590">
          <w:rPr>
            <w:webHidden/>
          </w:rPr>
          <w:fldChar w:fldCharType="end"/>
        </w:r>
      </w:hyperlink>
    </w:p>
    <w:p w:rsidR="00685875" w:rsidRPr="00B94590" w:rsidRDefault="00D92DDA">
      <w:pPr>
        <w:pStyle w:val="TableofFigures"/>
        <w:tabs>
          <w:tab w:val="right" w:leader="dot" w:pos="8303"/>
        </w:tabs>
        <w:rPr>
          <w:rFonts w:asciiTheme="minorHAnsi" w:eastAsiaTheme="minorEastAsia" w:hAnsiTheme="minorHAnsi" w:cstheme="minorBidi"/>
          <w:sz w:val="22"/>
          <w:szCs w:val="22"/>
        </w:rPr>
      </w:pPr>
      <w:hyperlink w:anchor="_Toc293590898" w:history="1">
        <w:r w:rsidR="00685875" w:rsidRPr="00B94590">
          <w:rPr>
            <w:rStyle w:val="Hyperlink"/>
            <w:color w:val="auto"/>
          </w:rPr>
          <w:t>Attēls Nr. 3 VBPBP lietošanas scenārijs</w:t>
        </w:r>
        <w:r w:rsidR="00685875" w:rsidRPr="00B94590">
          <w:rPr>
            <w:webHidden/>
          </w:rPr>
          <w:tab/>
        </w:r>
        <w:r w:rsidR="00AC6746" w:rsidRPr="00B94590">
          <w:rPr>
            <w:webHidden/>
          </w:rPr>
          <w:fldChar w:fldCharType="begin"/>
        </w:r>
        <w:r w:rsidR="00685875" w:rsidRPr="00B94590">
          <w:rPr>
            <w:webHidden/>
          </w:rPr>
          <w:instrText xml:space="preserve"> PAGEREF _Toc293590898 \h </w:instrText>
        </w:r>
        <w:r w:rsidR="00AC6746" w:rsidRPr="00B94590">
          <w:rPr>
            <w:webHidden/>
          </w:rPr>
        </w:r>
        <w:r w:rsidR="00AC6746" w:rsidRPr="00B94590">
          <w:rPr>
            <w:webHidden/>
          </w:rPr>
          <w:fldChar w:fldCharType="separate"/>
        </w:r>
        <w:r w:rsidR="00B34772">
          <w:rPr>
            <w:noProof/>
            <w:webHidden/>
          </w:rPr>
          <w:t>18</w:t>
        </w:r>
        <w:r w:rsidR="00AC6746" w:rsidRPr="00B94590">
          <w:rPr>
            <w:webHidden/>
          </w:rPr>
          <w:fldChar w:fldCharType="end"/>
        </w:r>
      </w:hyperlink>
    </w:p>
    <w:p w:rsidR="00685875" w:rsidRPr="00B94590" w:rsidRDefault="00D92DDA">
      <w:pPr>
        <w:pStyle w:val="TableofFigures"/>
        <w:tabs>
          <w:tab w:val="right" w:leader="dot" w:pos="8303"/>
        </w:tabs>
      </w:pPr>
      <w:hyperlink w:anchor="_Toc293590899" w:history="1">
        <w:r w:rsidR="00685875" w:rsidRPr="00B94590">
          <w:rPr>
            <w:rStyle w:val="Hyperlink"/>
            <w:color w:val="auto"/>
          </w:rPr>
          <w:t>Attēls Nr. 4 Pieslēguma loģiskā shēma.</w:t>
        </w:r>
        <w:r w:rsidR="00685875" w:rsidRPr="00B94590">
          <w:rPr>
            <w:webHidden/>
          </w:rPr>
          <w:tab/>
        </w:r>
        <w:r w:rsidR="00AC6746" w:rsidRPr="00B94590">
          <w:rPr>
            <w:webHidden/>
          </w:rPr>
          <w:fldChar w:fldCharType="begin"/>
        </w:r>
        <w:r w:rsidR="00685875" w:rsidRPr="00B94590">
          <w:rPr>
            <w:webHidden/>
          </w:rPr>
          <w:instrText xml:space="preserve"> PAGEREF _Toc293590899 \h </w:instrText>
        </w:r>
        <w:r w:rsidR="00AC6746" w:rsidRPr="00B94590">
          <w:rPr>
            <w:webHidden/>
          </w:rPr>
        </w:r>
        <w:r w:rsidR="00AC6746" w:rsidRPr="00B94590">
          <w:rPr>
            <w:webHidden/>
          </w:rPr>
          <w:fldChar w:fldCharType="separate"/>
        </w:r>
        <w:r w:rsidR="00B34772">
          <w:rPr>
            <w:noProof/>
            <w:webHidden/>
          </w:rPr>
          <w:t>20</w:t>
        </w:r>
        <w:r w:rsidR="00AC6746" w:rsidRPr="00B94590">
          <w:rPr>
            <w:webHidden/>
          </w:rPr>
          <w:fldChar w:fldCharType="end"/>
        </w:r>
      </w:hyperlink>
    </w:p>
    <w:p w:rsidR="00C30F08" w:rsidRPr="00B94590" w:rsidRDefault="00C30F08" w:rsidP="00C30F08">
      <w:pPr>
        <w:rPr>
          <w:rFonts w:eastAsiaTheme="minorEastAsia"/>
          <w:sz w:val="20"/>
          <w:szCs w:val="20"/>
        </w:rPr>
      </w:pPr>
      <w:r w:rsidRPr="00B94590">
        <w:rPr>
          <w:rFonts w:eastAsiaTheme="minorEastAsia"/>
          <w:sz w:val="20"/>
          <w:szCs w:val="20"/>
        </w:rPr>
        <w:t xml:space="preserve">Attēls Nr. 5 Pašreizējais modelis informācijas apkopošanā atlīdzības uzskaites sistēmā - </w:t>
      </w:r>
    </w:p>
    <w:p w:rsidR="00C30F08" w:rsidRPr="00B94590" w:rsidRDefault="00C30F08" w:rsidP="00C30F08">
      <w:pPr>
        <w:rPr>
          <w:rFonts w:eastAsiaTheme="minorEastAsia"/>
          <w:sz w:val="20"/>
          <w:szCs w:val="20"/>
        </w:rPr>
      </w:pPr>
      <w:r w:rsidRPr="00B94590">
        <w:rPr>
          <w:rFonts w:eastAsiaTheme="minorEastAsia"/>
          <w:sz w:val="20"/>
          <w:szCs w:val="20"/>
        </w:rPr>
        <w:t>loģiskā shēma ..........................................................................................................................................</w:t>
      </w:r>
      <w:r w:rsidR="008A65CF">
        <w:rPr>
          <w:rFonts w:eastAsiaTheme="minorEastAsia"/>
          <w:sz w:val="20"/>
          <w:szCs w:val="20"/>
        </w:rPr>
        <w:t>21</w:t>
      </w:r>
    </w:p>
    <w:p w:rsidR="00685875" w:rsidRPr="00B94590" w:rsidRDefault="00D92DDA">
      <w:pPr>
        <w:pStyle w:val="TableofFigures"/>
        <w:tabs>
          <w:tab w:val="right" w:leader="dot" w:pos="8303"/>
        </w:tabs>
        <w:rPr>
          <w:rFonts w:asciiTheme="minorHAnsi" w:eastAsiaTheme="minorEastAsia" w:hAnsiTheme="minorHAnsi" w:cstheme="minorBidi"/>
          <w:sz w:val="22"/>
          <w:szCs w:val="22"/>
        </w:rPr>
      </w:pPr>
      <w:hyperlink w:anchor="_Toc293590900" w:history="1">
        <w:r w:rsidR="00685875" w:rsidRPr="00B94590">
          <w:rPr>
            <w:rStyle w:val="Hyperlink"/>
            <w:color w:val="auto"/>
          </w:rPr>
          <w:t xml:space="preserve">Attēls Nr. </w:t>
        </w:r>
        <w:r w:rsidR="00C30F08" w:rsidRPr="00B94590">
          <w:rPr>
            <w:rStyle w:val="Hyperlink"/>
            <w:color w:val="auto"/>
          </w:rPr>
          <w:t>6</w:t>
        </w:r>
        <w:r w:rsidR="00685875" w:rsidRPr="00B94590">
          <w:rPr>
            <w:rStyle w:val="Hyperlink"/>
            <w:color w:val="auto"/>
          </w:rPr>
          <w:t xml:space="preserve"> Saistību reģistrācijā iesaistīto sistēmu arhitektūra</w:t>
        </w:r>
        <w:r w:rsidR="00685875" w:rsidRPr="00B94590">
          <w:rPr>
            <w:webHidden/>
          </w:rPr>
          <w:tab/>
        </w:r>
        <w:r w:rsidR="008A65CF">
          <w:rPr>
            <w:webHidden/>
          </w:rPr>
          <w:t>45</w:t>
        </w:r>
      </w:hyperlink>
    </w:p>
    <w:p w:rsidR="00685875" w:rsidRPr="00B94590" w:rsidRDefault="00D92DDA">
      <w:pPr>
        <w:pStyle w:val="TableofFigures"/>
        <w:tabs>
          <w:tab w:val="right" w:leader="dot" w:pos="8303"/>
        </w:tabs>
      </w:pPr>
      <w:hyperlink w:anchor="_Toc293590902" w:history="1">
        <w:r w:rsidR="00685875" w:rsidRPr="00B94590">
          <w:rPr>
            <w:rStyle w:val="Hyperlink"/>
            <w:color w:val="auto"/>
          </w:rPr>
          <w:t xml:space="preserve">Attēls Nr. </w:t>
        </w:r>
        <w:r w:rsidR="00916DF8" w:rsidRPr="00B94590">
          <w:rPr>
            <w:rStyle w:val="Hyperlink"/>
            <w:color w:val="auto"/>
          </w:rPr>
          <w:t>7</w:t>
        </w:r>
        <w:r w:rsidR="00685875" w:rsidRPr="00B94590">
          <w:rPr>
            <w:rStyle w:val="Hyperlink"/>
            <w:color w:val="auto"/>
          </w:rPr>
          <w:t xml:space="preserve">  Datu analīzes scenārijs</w:t>
        </w:r>
        <w:r w:rsidR="00685875" w:rsidRPr="00B94590">
          <w:rPr>
            <w:webHidden/>
          </w:rPr>
          <w:tab/>
        </w:r>
        <w:r w:rsidR="008A65CF">
          <w:rPr>
            <w:webHidden/>
          </w:rPr>
          <w:t>5</w:t>
        </w:r>
        <w:r w:rsidR="00411F01">
          <w:rPr>
            <w:webHidden/>
          </w:rPr>
          <w:t>1</w:t>
        </w:r>
      </w:hyperlink>
    </w:p>
    <w:p w:rsidR="00EA77FC" w:rsidRPr="00B94590" w:rsidRDefault="00EA77FC" w:rsidP="00EA77FC">
      <w:r w:rsidRPr="00B94590">
        <w:rPr>
          <w:sz w:val="20"/>
          <w:szCs w:val="20"/>
        </w:rPr>
        <w:t xml:space="preserve">Attēls Nr. </w:t>
      </w:r>
      <w:r w:rsidR="00916DF8" w:rsidRPr="00B94590">
        <w:rPr>
          <w:sz w:val="20"/>
          <w:szCs w:val="20"/>
        </w:rPr>
        <w:t>8</w:t>
      </w:r>
      <w:r w:rsidRPr="00B94590">
        <w:rPr>
          <w:sz w:val="20"/>
          <w:szCs w:val="20"/>
        </w:rPr>
        <w:t xml:space="preserve">  Atlīdzības </w:t>
      </w:r>
      <w:r w:rsidR="00FD11A2" w:rsidRPr="00B94590">
        <w:rPr>
          <w:sz w:val="20"/>
          <w:szCs w:val="20"/>
        </w:rPr>
        <w:t xml:space="preserve">uzskaites sistēmas </w:t>
      </w:r>
      <w:r w:rsidRPr="00B94590">
        <w:rPr>
          <w:sz w:val="20"/>
          <w:szCs w:val="20"/>
        </w:rPr>
        <w:t xml:space="preserve">datu analīzes rīka izmantošanas scenārijs </w:t>
      </w:r>
      <w:r w:rsidR="00FD11A2" w:rsidRPr="00B94590">
        <w:rPr>
          <w:sz w:val="20"/>
          <w:szCs w:val="20"/>
        </w:rPr>
        <w:t>.</w:t>
      </w:r>
      <w:r w:rsidRPr="00B94590">
        <w:rPr>
          <w:sz w:val="20"/>
          <w:szCs w:val="20"/>
        </w:rPr>
        <w:t>..........................</w:t>
      </w:r>
      <w:r w:rsidR="00A808DD">
        <w:rPr>
          <w:sz w:val="20"/>
          <w:szCs w:val="20"/>
        </w:rPr>
        <w:t>5</w:t>
      </w:r>
      <w:r w:rsidR="00411F01">
        <w:rPr>
          <w:sz w:val="20"/>
          <w:szCs w:val="20"/>
        </w:rPr>
        <w:t>2</w:t>
      </w:r>
    </w:p>
    <w:p w:rsidR="001B0C4E" w:rsidRPr="00B94590" w:rsidRDefault="001B0C4E" w:rsidP="001B0C4E">
      <w:pPr>
        <w:rPr>
          <w:sz w:val="20"/>
          <w:szCs w:val="20"/>
        </w:rPr>
      </w:pPr>
    </w:p>
    <w:p w:rsidR="001B0C4E" w:rsidRPr="00B94590" w:rsidRDefault="001B0C4E" w:rsidP="001B0C4E">
      <w:pPr>
        <w:rPr>
          <w:rFonts w:eastAsiaTheme="minorEastAsia"/>
        </w:rPr>
      </w:pPr>
    </w:p>
    <w:p w:rsidR="00ED55CF" w:rsidRPr="00B94590" w:rsidRDefault="00AC6746" w:rsidP="00A65510">
      <w:pPr>
        <w:jc w:val="both"/>
        <w:rPr>
          <w:b/>
          <w:sz w:val="28"/>
          <w:szCs w:val="28"/>
        </w:rPr>
      </w:pPr>
      <w:r w:rsidRPr="00B94590">
        <w:rPr>
          <w:b/>
          <w:sz w:val="28"/>
          <w:szCs w:val="28"/>
        </w:rPr>
        <w:fldChar w:fldCharType="end"/>
      </w:r>
    </w:p>
    <w:p w:rsidR="00ED55CF" w:rsidRPr="00B94590" w:rsidRDefault="00ED55CF" w:rsidP="00A65510">
      <w:pPr>
        <w:jc w:val="both"/>
        <w:rPr>
          <w:b/>
          <w:sz w:val="28"/>
          <w:szCs w:val="28"/>
        </w:rPr>
      </w:pPr>
    </w:p>
    <w:p w:rsidR="00ED55CF" w:rsidRPr="00B94590" w:rsidRDefault="00ED55CF" w:rsidP="00A65510">
      <w:pPr>
        <w:pStyle w:val="Heading1"/>
        <w:jc w:val="both"/>
        <w:rPr>
          <w:lang w:val="lv-LV"/>
        </w:rPr>
      </w:pPr>
      <w:bookmarkStart w:id="1" w:name="_Ref50345073"/>
      <w:bookmarkStart w:id="2" w:name="_Toc292619558"/>
      <w:bookmarkStart w:id="3" w:name="_Toc293616251"/>
      <w:r w:rsidRPr="00B94590">
        <w:rPr>
          <w:lang w:val="lv-LV"/>
        </w:rPr>
        <w:lastRenderedPageBreak/>
        <w:t>Ievads</w:t>
      </w:r>
      <w:bookmarkEnd w:id="1"/>
      <w:bookmarkEnd w:id="2"/>
      <w:bookmarkEnd w:id="3"/>
    </w:p>
    <w:p w:rsidR="00ED55CF" w:rsidRPr="00B94590" w:rsidRDefault="00ED55CF" w:rsidP="00A65510">
      <w:pPr>
        <w:pStyle w:val="Heading2"/>
        <w:jc w:val="both"/>
        <w:rPr>
          <w:lang w:val="lv-LV"/>
        </w:rPr>
      </w:pPr>
      <w:bookmarkStart w:id="4" w:name="_Toc292619559"/>
      <w:bookmarkStart w:id="5" w:name="_Toc293616252"/>
      <w:r w:rsidRPr="00B94590">
        <w:rPr>
          <w:lang w:val="lv-LV"/>
        </w:rPr>
        <w:t>Dokumenta nolūks</w:t>
      </w:r>
      <w:bookmarkEnd w:id="4"/>
      <w:bookmarkEnd w:id="5"/>
    </w:p>
    <w:p w:rsidR="007F5E9A" w:rsidRPr="004A7151" w:rsidRDefault="00F456F9" w:rsidP="00F456F9">
      <w:pPr>
        <w:jc w:val="both"/>
      </w:pPr>
      <w:r w:rsidRPr="00B94590">
        <w:t xml:space="preserve">Vienotas valsts iestāžu finanšu un vadības grāmatvedības sistēmas un </w:t>
      </w:r>
      <w:r w:rsidR="00371061" w:rsidRPr="004A7151">
        <w:t xml:space="preserve">finanšu analīzes rīka izveide, nodrošinot finanšu un cilvēkresursu vadību </w:t>
      </w:r>
      <w:r w:rsidRPr="004A7151">
        <w:t>koncepcija</w:t>
      </w:r>
      <w:r w:rsidR="00930746" w:rsidRPr="004A7151">
        <w:t xml:space="preserve">s (turpmāk </w:t>
      </w:r>
      <w:r w:rsidR="00371061" w:rsidRPr="004A7151">
        <w:t>–</w:t>
      </w:r>
      <w:r w:rsidR="00930746" w:rsidRPr="004A7151">
        <w:t xml:space="preserve"> </w:t>
      </w:r>
      <w:r w:rsidR="00E301C8" w:rsidRPr="004A7151">
        <w:t>koncepcijas</w:t>
      </w:r>
      <w:r w:rsidR="00371061" w:rsidRPr="004A7151">
        <w:t>)</w:t>
      </w:r>
      <w:r w:rsidRPr="004A7151">
        <w:t xml:space="preserve"> </w:t>
      </w:r>
      <w:r w:rsidR="007F5E9A" w:rsidRPr="004A7151">
        <w:t xml:space="preserve">galvenais mērķis ir apzināt esošo situāciju </w:t>
      </w:r>
      <w:r w:rsidR="00E80CFF" w:rsidRPr="004A7151">
        <w:t>v</w:t>
      </w:r>
      <w:r w:rsidR="00114D79" w:rsidRPr="004A7151">
        <w:t>alsts iestāžu finanšu un grāmat</w:t>
      </w:r>
      <w:r w:rsidR="00E80CFF" w:rsidRPr="004A7151">
        <w:t>vedības proces</w:t>
      </w:r>
      <w:r w:rsidR="00CE229D" w:rsidRPr="004A7151">
        <w:t>u</w:t>
      </w:r>
      <w:r w:rsidR="00E80CFF" w:rsidRPr="004A7151">
        <w:t>s atbalstošajās informācijas sistēmās</w:t>
      </w:r>
      <w:r w:rsidR="007F5E9A" w:rsidRPr="004A7151">
        <w:t xml:space="preserve"> un aprakstīt </w:t>
      </w:r>
      <w:r w:rsidR="00381E24" w:rsidRPr="004A7151">
        <w:t>turpmāko</w:t>
      </w:r>
      <w:r w:rsidR="00970366" w:rsidRPr="004A7151">
        <w:t xml:space="preserve"> </w:t>
      </w:r>
      <w:r w:rsidR="00E80CFF" w:rsidRPr="004A7151">
        <w:t>sistēmu</w:t>
      </w:r>
      <w:r w:rsidR="007F5E9A" w:rsidRPr="004A7151">
        <w:t xml:space="preserve"> attīstības risinājumu, </w:t>
      </w:r>
      <w:r w:rsidR="00A978A5" w:rsidRPr="004A7151">
        <w:t xml:space="preserve">tai skaitā atlīdzības uzskaites sistēmā, </w:t>
      </w:r>
      <w:r w:rsidR="007F5E9A" w:rsidRPr="004A7151">
        <w:t xml:space="preserve">kurš nodrošinātu </w:t>
      </w:r>
      <w:r w:rsidR="00E80CFF" w:rsidRPr="004A7151">
        <w:t xml:space="preserve">optimālu tehnoloģiju izmantošanu un veicinātu finanšu un grāmatvedības procesu vienādošanu un </w:t>
      </w:r>
      <w:r w:rsidR="00381E24" w:rsidRPr="004A7151">
        <w:t>standartizāciju</w:t>
      </w:r>
      <w:r w:rsidR="00E80CFF" w:rsidRPr="004A7151">
        <w:t xml:space="preserve"> valsts pārvaldē</w:t>
      </w:r>
      <w:r w:rsidR="007F5E9A" w:rsidRPr="004A7151">
        <w:t>.</w:t>
      </w:r>
      <w:r w:rsidR="00D07874" w:rsidRPr="004A7151">
        <w:t xml:space="preserve"> Veicot uzlabojumus un pilnveidojumus esošajās informāciju sistēmās, tādejādi pilnveidojot datu noliktavās uzkrāto datu apjomu un kvalitāti</w:t>
      </w:r>
      <w:r w:rsidR="00621658" w:rsidRPr="004A7151">
        <w:t xml:space="preserve"> (nodrošinot, ka dati tiek uzkrāti centralizēti vienā vietā)</w:t>
      </w:r>
      <w:r w:rsidR="00D07874" w:rsidRPr="004A7151">
        <w:t>, kā arī izmantojot datu analīzes veikšanas tehnoloģiskos risinājumus tiks iegūta informācija, kas turpmāk kalpos lēmumu pieņemšanai par nepieciešamo finanšu līdzekļu piešķiršanu, izlietojuma atspoguļojumu uzskaitē, cilvēkresursu attīstību valsts tiešajā pārvaldē, nepieciešamajiem pilnveidojumiem vienotā atlīdzības uzskaites sistēmā.</w:t>
      </w:r>
      <w:r w:rsidR="00621658" w:rsidRPr="004A7151">
        <w:t xml:space="preserve"> </w:t>
      </w:r>
      <w:r w:rsidR="00D07874" w:rsidRPr="004A7151">
        <w:t xml:space="preserve">  </w:t>
      </w:r>
    </w:p>
    <w:p w:rsidR="00E80CFF" w:rsidRPr="004A7151" w:rsidRDefault="00E80CFF" w:rsidP="00A65510">
      <w:pPr>
        <w:pStyle w:val="Body0"/>
        <w:jc w:val="both"/>
      </w:pPr>
      <w:r w:rsidRPr="004A7151">
        <w:t>Dokumentā ir noteikts:</w:t>
      </w:r>
    </w:p>
    <w:p w:rsidR="00E80CFF" w:rsidRPr="004A7151" w:rsidRDefault="007F2DAA" w:rsidP="00AE0FB9">
      <w:pPr>
        <w:pStyle w:val="Body0"/>
        <w:numPr>
          <w:ilvl w:val="0"/>
          <w:numId w:val="6"/>
        </w:numPr>
        <w:jc w:val="both"/>
      </w:pPr>
      <w:r w:rsidRPr="004A7151">
        <w:t>Pašreizējo procesu un to atbalstošo</w:t>
      </w:r>
      <w:r w:rsidR="00E80CFF" w:rsidRPr="004A7151">
        <w:t xml:space="preserve"> sistēmu raksturojums;</w:t>
      </w:r>
    </w:p>
    <w:p w:rsidR="00E80CFF" w:rsidRPr="004A7151" w:rsidRDefault="00E80CFF" w:rsidP="00AE0FB9">
      <w:pPr>
        <w:pStyle w:val="Body0"/>
        <w:numPr>
          <w:ilvl w:val="0"/>
          <w:numId w:val="6"/>
        </w:numPr>
        <w:jc w:val="both"/>
      </w:pPr>
      <w:r w:rsidRPr="004A7151">
        <w:t xml:space="preserve">Vienotās finanšu un vadības </w:t>
      </w:r>
      <w:r w:rsidR="007F5802" w:rsidRPr="004A7151">
        <w:t>grāmatvedība</w:t>
      </w:r>
      <w:r w:rsidRPr="004A7151">
        <w:t>s procesu</w:t>
      </w:r>
      <w:r w:rsidR="00F456F9" w:rsidRPr="004A7151">
        <w:t xml:space="preserve"> un atlīdzības uzskaites </w:t>
      </w:r>
      <w:r w:rsidRPr="004A7151">
        <w:t xml:space="preserve"> atbalstošo sistēmu attīstības risinājuma pamatprincipi un funkcionalitāte;</w:t>
      </w:r>
    </w:p>
    <w:p w:rsidR="00E80CFF" w:rsidRPr="00B94590" w:rsidRDefault="00E80CFF" w:rsidP="00A65510">
      <w:pPr>
        <w:pStyle w:val="Body0"/>
        <w:jc w:val="both"/>
      </w:pPr>
      <w:r w:rsidRPr="004A7151">
        <w:t xml:space="preserve">Šis dokuments jāizmanto par pamatu vienotās finanšu un vadības </w:t>
      </w:r>
      <w:r w:rsidR="007F5802" w:rsidRPr="004A7151">
        <w:t>grāmatvedība</w:t>
      </w:r>
      <w:r w:rsidRPr="004A7151">
        <w:t xml:space="preserve">s procesu atbalstošo sistēmu programmatūras prasību specifikāciju izstrādē, kā arī </w:t>
      </w:r>
      <w:r w:rsidR="00371061" w:rsidRPr="004A7151">
        <w:t>tehnisko prasību izstrādē lai nodrošinātu patreizējās Personāla uzskaites dator</w:t>
      </w:r>
      <w:r w:rsidR="00642EBD">
        <w:t>programma</w:t>
      </w:r>
      <w:r w:rsidR="00371061" w:rsidRPr="004A7151">
        <w:t xml:space="preserve"> (PUD) pārnesi un tās turpmāko pilnveidoto darbību valsts budžeta un pašvaldību budžeta pārskatu (VBPBP) sistēmā, </w:t>
      </w:r>
      <w:r w:rsidRPr="004A7151">
        <w:t xml:space="preserve">tas var tikt izmantots kā etalons šo </w:t>
      </w:r>
      <w:r w:rsidRPr="00B94590">
        <w:t>dokumentu verificēšanai.</w:t>
      </w:r>
    </w:p>
    <w:p w:rsidR="00E80CFF" w:rsidRPr="00B94590" w:rsidRDefault="00E80CFF" w:rsidP="00A65510">
      <w:pPr>
        <w:pStyle w:val="Body0"/>
        <w:jc w:val="both"/>
      </w:pPr>
      <w:r w:rsidRPr="00B94590">
        <w:t xml:space="preserve">Dokuments ir sagatavots, sekojot Latvijas standarta LVS 75:1996 </w:t>
      </w:r>
      <w:r w:rsidR="0072096D" w:rsidRPr="00B94590">
        <w:t xml:space="preserve">„Informācijas tehnoloģija. Programminženierija. Sistēmas darbības koncepcijas apraksts” </w:t>
      </w:r>
      <w:r w:rsidRPr="00B94590">
        <w:t>rekomendācijām</w:t>
      </w:r>
      <w:r w:rsidR="0065388F" w:rsidRPr="00B94590">
        <w:t xml:space="preserve"> un tas nav pretrunā ar Reģionālās un pašvaldību lietu ministrijas izstrādāto un ministrijas tīmekļa vietnē ievietoto metodiku (</w:t>
      </w:r>
      <w:hyperlink r:id="rId9" w:history="1">
        <w:r w:rsidR="0065388F" w:rsidRPr="00B94590">
          <w:rPr>
            <w:rStyle w:val="Hyperlink"/>
            <w:color w:val="auto"/>
          </w:rPr>
          <w:t>http://www.raplm.gov.lv/pub/index.php?id=1841</w:t>
        </w:r>
      </w:hyperlink>
      <w:r w:rsidR="0065388F" w:rsidRPr="00B94590">
        <w:t>). Šīs informācijas sistēmas darbības apraksts sagatavots balstoties uz Ministru kabineta 15.03.2010. rīkojuma Nr.147 iekļauto ministriju, to pakļautībā un pārraudzība esošo institūciju prioritāro projektu saraksta II.daļas Plānotie projekti 60.punktu.</w:t>
      </w:r>
    </w:p>
    <w:p w:rsidR="00ED55CF" w:rsidRPr="00B94590" w:rsidRDefault="00ED55CF" w:rsidP="00A65510">
      <w:pPr>
        <w:pStyle w:val="Body0"/>
        <w:jc w:val="both"/>
      </w:pPr>
    </w:p>
    <w:p w:rsidR="00ED55CF" w:rsidRPr="00B94590" w:rsidRDefault="00ED55CF" w:rsidP="00A65510">
      <w:pPr>
        <w:pStyle w:val="Heading2"/>
        <w:jc w:val="both"/>
        <w:rPr>
          <w:lang w:val="lv-LV"/>
        </w:rPr>
      </w:pPr>
      <w:bookmarkStart w:id="6" w:name="_Toc292619560"/>
      <w:bookmarkStart w:id="7" w:name="_Toc293616253"/>
      <w:r w:rsidRPr="00B94590">
        <w:rPr>
          <w:lang w:val="lv-LV"/>
        </w:rPr>
        <w:t>Dokumenta auditorija</w:t>
      </w:r>
      <w:bookmarkEnd w:id="6"/>
      <w:bookmarkEnd w:id="7"/>
    </w:p>
    <w:p w:rsidR="00ED55CF" w:rsidRPr="00B94590" w:rsidRDefault="00ED55CF" w:rsidP="00A65510">
      <w:pPr>
        <w:pStyle w:val="Body0"/>
        <w:jc w:val="both"/>
      </w:pPr>
      <w:r w:rsidRPr="00B94590">
        <w:t>Dokuments paredzēts šādam lietotāju lokam:</w:t>
      </w:r>
    </w:p>
    <w:p w:rsidR="00ED55CF" w:rsidRPr="00B94590" w:rsidRDefault="00E80CFF" w:rsidP="00AE0FB9">
      <w:pPr>
        <w:pStyle w:val="butons"/>
        <w:numPr>
          <w:ilvl w:val="0"/>
          <w:numId w:val="3"/>
        </w:numPr>
        <w:jc w:val="both"/>
      </w:pPr>
      <w:r w:rsidRPr="00B94590">
        <w:t>Finanšu ministrijas</w:t>
      </w:r>
      <w:r w:rsidR="00ED55CF" w:rsidRPr="00B94590">
        <w:t xml:space="preserve"> darbiniekiem;</w:t>
      </w:r>
    </w:p>
    <w:p w:rsidR="00ED55CF" w:rsidRPr="00B94590" w:rsidRDefault="00E80CFF" w:rsidP="00AE0FB9">
      <w:pPr>
        <w:pStyle w:val="butons"/>
        <w:numPr>
          <w:ilvl w:val="0"/>
          <w:numId w:val="3"/>
        </w:numPr>
        <w:jc w:val="both"/>
      </w:pPr>
      <w:r w:rsidRPr="00B94590">
        <w:t>Finanšu ministrijas un tās padotības iestāžu</w:t>
      </w:r>
      <w:r w:rsidR="00ED55CF" w:rsidRPr="00B94590">
        <w:t xml:space="preserve"> darbiniekiem</w:t>
      </w:r>
      <w:r w:rsidR="00970366" w:rsidRPr="00B94590">
        <w:t>, kā arī citu ministriju</w:t>
      </w:r>
      <w:r w:rsidR="003541D1" w:rsidRPr="00B94590">
        <w:t xml:space="preserve"> un</w:t>
      </w:r>
      <w:r w:rsidR="00970366" w:rsidRPr="00B94590">
        <w:t xml:space="preserve"> to padotības iestāžu darbiniekiem</w:t>
      </w:r>
      <w:r w:rsidR="00ED55CF" w:rsidRPr="00B94590">
        <w:t xml:space="preserve"> kā sistēmas lietotājiem;</w:t>
      </w:r>
    </w:p>
    <w:p w:rsidR="00ED55CF" w:rsidRPr="00B94590" w:rsidRDefault="00E80CFF" w:rsidP="00AE0FB9">
      <w:pPr>
        <w:pStyle w:val="butons"/>
        <w:numPr>
          <w:ilvl w:val="0"/>
          <w:numId w:val="3"/>
        </w:numPr>
        <w:jc w:val="both"/>
      </w:pPr>
      <w:r w:rsidRPr="00B94590">
        <w:t>Vienot</w:t>
      </w:r>
      <w:r w:rsidR="007141E0" w:rsidRPr="00B94590">
        <w:t>o</w:t>
      </w:r>
      <w:r w:rsidRPr="00B94590">
        <w:t xml:space="preserve"> finanšu un vadības </w:t>
      </w:r>
      <w:r w:rsidR="007F5802" w:rsidRPr="00B94590">
        <w:t>grāmatvedība</w:t>
      </w:r>
      <w:r w:rsidRPr="00B94590">
        <w:t>s procesu atbalstošo sistēmu</w:t>
      </w:r>
      <w:r w:rsidR="00ED55CF" w:rsidRPr="00B94590">
        <w:t xml:space="preserve"> programmatūr</w:t>
      </w:r>
      <w:r w:rsidR="007141E0" w:rsidRPr="00B94590">
        <w:t>u</w:t>
      </w:r>
      <w:r w:rsidR="00ED55CF" w:rsidRPr="00B94590">
        <w:t xml:space="preserve"> izstrādātājiem;</w:t>
      </w:r>
    </w:p>
    <w:p w:rsidR="00ED55CF" w:rsidRPr="00B94590" w:rsidRDefault="00ED55CF" w:rsidP="00AE0FB9">
      <w:pPr>
        <w:pStyle w:val="butons"/>
        <w:numPr>
          <w:ilvl w:val="0"/>
          <w:numId w:val="3"/>
        </w:numPr>
        <w:jc w:val="both"/>
      </w:pPr>
      <w:r w:rsidRPr="00B94590">
        <w:lastRenderedPageBreak/>
        <w:t xml:space="preserve">Finansējuma </w:t>
      </w:r>
      <w:r w:rsidR="007141E0" w:rsidRPr="00B94590">
        <w:t>piešķiršanas pamatojumam</w:t>
      </w:r>
      <w:r w:rsidRPr="00B94590">
        <w:t xml:space="preserve"> vai lēmuma pieņēmējiem par </w:t>
      </w:r>
      <w:r w:rsidR="00E301C8" w:rsidRPr="00B94590">
        <w:t xml:space="preserve">Eiropas reģionālās attīstības fonda finansētā 3.2.2.1.1.apakšaktivitātes „Informācijas sistēmu un elektronisko pakalpojumu attīstība” </w:t>
      </w:r>
      <w:r w:rsidRPr="00B94590">
        <w:t xml:space="preserve">projekta </w:t>
      </w:r>
      <w:r w:rsidR="00E301C8" w:rsidRPr="00B94590">
        <w:t>„Vienotas valsts iestāžu finanšu un vadības grāmatvedības sistēmas izveide</w:t>
      </w:r>
      <w:r w:rsidR="00951FB1">
        <w:t xml:space="preserve"> un tās sasaiste ar vienoto valsts cilvēkresursu vadības sistēmu</w:t>
      </w:r>
      <w:r w:rsidR="00E301C8" w:rsidRPr="00B94590">
        <w:t xml:space="preserve">” </w:t>
      </w:r>
      <w:r w:rsidRPr="00B94590">
        <w:t>atbalstu.</w:t>
      </w:r>
    </w:p>
    <w:p w:rsidR="00ED55CF" w:rsidRPr="00B94590" w:rsidRDefault="00ED55CF" w:rsidP="00A65510">
      <w:pPr>
        <w:pStyle w:val="Heading2"/>
        <w:jc w:val="both"/>
        <w:rPr>
          <w:lang w:val="lv-LV"/>
        </w:rPr>
      </w:pPr>
      <w:bookmarkStart w:id="8" w:name="_Toc49913431"/>
      <w:bookmarkStart w:id="9" w:name="_Toc292619561"/>
      <w:bookmarkStart w:id="10" w:name="_Toc293616254"/>
      <w:r w:rsidRPr="00B94590">
        <w:rPr>
          <w:lang w:val="lv-LV"/>
        </w:rPr>
        <w:t>Lietojamība</w:t>
      </w:r>
      <w:bookmarkEnd w:id="8"/>
      <w:bookmarkEnd w:id="9"/>
      <w:bookmarkEnd w:id="10"/>
    </w:p>
    <w:tbl>
      <w:tblPr>
        <w:tblW w:w="0" w:type="auto"/>
        <w:jc w:val="center"/>
        <w:tblLayout w:type="fixed"/>
        <w:tblCellMar>
          <w:left w:w="56" w:type="dxa"/>
          <w:right w:w="56" w:type="dxa"/>
        </w:tblCellMar>
        <w:tblLook w:val="0000" w:firstRow="0" w:lastRow="0" w:firstColumn="0" w:lastColumn="0" w:noHBand="0" w:noVBand="0"/>
      </w:tblPr>
      <w:tblGrid>
        <w:gridCol w:w="2816"/>
        <w:gridCol w:w="5458"/>
      </w:tblGrid>
      <w:tr w:rsidR="00B94590" w:rsidRPr="00B94590">
        <w:trPr>
          <w:jc w:val="center"/>
        </w:trPr>
        <w:tc>
          <w:tcPr>
            <w:tcW w:w="2816" w:type="dxa"/>
          </w:tcPr>
          <w:p w:rsidR="00ED55CF" w:rsidRPr="00B94590" w:rsidRDefault="00ED55CF" w:rsidP="00A65510">
            <w:pPr>
              <w:pStyle w:val="Dokteksts"/>
              <w:jc w:val="both"/>
              <w:rPr>
                <w:b/>
                <w:lang w:val="lv-LV"/>
              </w:rPr>
            </w:pPr>
            <w:r w:rsidRPr="00B94590">
              <w:rPr>
                <w:b/>
                <w:lang w:val="lv-LV"/>
              </w:rPr>
              <w:t>Identifikācijas numurs</w:t>
            </w:r>
          </w:p>
        </w:tc>
        <w:tc>
          <w:tcPr>
            <w:tcW w:w="5458" w:type="dxa"/>
          </w:tcPr>
          <w:p w:rsidR="00ED55CF" w:rsidRPr="00B94590" w:rsidRDefault="0077628B" w:rsidP="00D66855">
            <w:pPr>
              <w:pStyle w:val="Dokteksts"/>
              <w:jc w:val="both"/>
              <w:rPr>
                <w:lang w:val="lv-LV"/>
              </w:rPr>
            </w:pPr>
            <w:r w:rsidRPr="00B94590">
              <w:rPr>
                <w:lang w:val="lv-LV"/>
              </w:rPr>
              <w:t>FM.VVIFVGS.2011.</w:t>
            </w:r>
            <w:r w:rsidR="00D66855" w:rsidRPr="00B94590">
              <w:rPr>
                <w:lang w:val="lv-LV"/>
              </w:rPr>
              <w:t>05.30.</w:t>
            </w:r>
          </w:p>
        </w:tc>
      </w:tr>
      <w:tr w:rsidR="00B94590" w:rsidRPr="00B94590">
        <w:trPr>
          <w:jc w:val="center"/>
        </w:trPr>
        <w:tc>
          <w:tcPr>
            <w:tcW w:w="2816" w:type="dxa"/>
          </w:tcPr>
          <w:p w:rsidR="00ED55CF" w:rsidRPr="00B94590" w:rsidRDefault="00ED55CF" w:rsidP="00A65510">
            <w:pPr>
              <w:pStyle w:val="Dokteksts"/>
              <w:jc w:val="both"/>
              <w:rPr>
                <w:b/>
                <w:lang w:val="lv-LV"/>
              </w:rPr>
            </w:pPr>
            <w:r w:rsidRPr="00B94590">
              <w:rPr>
                <w:b/>
                <w:lang w:val="lv-LV"/>
              </w:rPr>
              <w:t>Nosaukums</w:t>
            </w:r>
          </w:p>
        </w:tc>
        <w:tc>
          <w:tcPr>
            <w:tcW w:w="5458" w:type="dxa"/>
          </w:tcPr>
          <w:p w:rsidR="00ED55CF" w:rsidRPr="00B94590" w:rsidRDefault="00D66855" w:rsidP="00371061">
            <w:pPr>
              <w:pStyle w:val="Dokteksts"/>
              <w:jc w:val="both"/>
              <w:rPr>
                <w:lang w:val="lv-LV"/>
              </w:rPr>
            </w:pPr>
            <w:r w:rsidRPr="00B94590">
              <w:rPr>
                <w:lang w:val="lv-LV"/>
              </w:rPr>
              <w:t xml:space="preserve">Vienotas valsts iestāžu finanšu un vadības grāmatvedības sistēmas </w:t>
            </w:r>
            <w:r w:rsidR="00371061" w:rsidRPr="004A7151">
              <w:rPr>
                <w:lang w:val="lv-LV"/>
              </w:rPr>
              <w:t xml:space="preserve">un finanšu analīzes rīka </w:t>
            </w:r>
            <w:r w:rsidRPr="004A7151">
              <w:rPr>
                <w:lang w:val="lv-LV"/>
              </w:rPr>
              <w:t>izveide</w:t>
            </w:r>
            <w:r w:rsidR="00371061" w:rsidRPr="004A7151">
              <w:rPr>
                <w:lang w:val="lv-LV"/>
              </w:rPr>
              <w:t xml:space="preserve">, nodrošinot finanšu un cilvēkresursu vadību </w:t>
            </w:r>
            <w:r w:rsidRPr="004A7151">
              <w:rPr>
                <w:lang w:val="lv-LV"/>
              </w:rPr>
              <w:t>koncepcija</w:t>
            </w:r>
            <w:r w:rsidR="003541D1" w:rsidRPr="004A7151">
              <w:rPr>
                <w:lang w:val="lv-LV"/>
              </w:rPr>
              <w:t xml:space="preserve">  </w:t>
            </w:r>
          </w:p>
        </w:tc>
      </w:tr>
    </w:tbl>
    <w:p w:rsidR="00ED55CF" w:rsidRPr="00B94590" w:rsidRDefault="004A1989" w:rsidP="00505C90">
      <w:pPr>
        <w:pStyle w:val="Heading2"/>
        <w:numPr>
          <w:ilvl w:val="0"/>
          <w:numId w:val="0"/>
        </w:numPr>
        <w:jc w:val="both"/>
        <w:rPr>
          <w:lang w:val="lv-LV"/>
        </w:rPr>
      </w:pPr>
      <w:bookmarkStart w:id="11" w:name="_Toc292619562"/>
      <w:bookmarkStart w:id="12" w:name="_Toc293616255"/>
      <w:r w:rsidRPr="00B94590">
        <w:rPr>
          <w:lang w:val="lv-LV"/>
        </w:rPr>
        <w:t xml:space="preserve">1.4. </w:t>
      </w:r>
      <w:r w:rsidR="00ED55CF" w:rsidRPr="00B94590">
        <w:rPr>
          <w:lang w:val="lv-LV"/>
        </w:rPr>
        <w:t>Programmatūras sistēmas pārskats</w:t>
      </w:r>
      <w:bookmarkEnd w:id="11"/>
      <w:bookmarkEnd w:id="12"/>
    </w:p>
    <w:p w:rsidR="007A3D46" w:rsidRPr="00B94590" w:rsidRDefault="00930746" w:rsidP="008A5049">
      <w:pPr>
        <w:jc w:val="both"/>
        <w:rPr>
          <w:lang w:eastAsia="en-US"/>
        </w:rPr>
      </w:pPr>
      <w:bookmarkStart w:id="13" w:name="_Toc50864516"/>
      <w:r w:rsidRPr="00B94590">
        <w:rPr>
          <w:lang w:eastAsia="en-US"/>
        </w:rPr>
        <w:t>Šobrīd v</w:t>
      </w:r>
      <w:r w:rsidR="007A3D46" w:rsidRPr="00B94590">
        <w:rPr>
          <w:lang w:eastAsia="en-US"/>
        </w:rPr>
        <w:t>alsts iestāžu finanšu un vadības grāmatvedības procesus atbalsta šādas informācijas sistēmas:</w:t>
      </w:r>
    </w:p>
    <w:p w:rsidR="008A5049" w:rsidRPr="00B94590" w:rsidRDefault="007A3D46" w:rsidP="007A3D46">
      <w:pPr>
        <w:pStyle w:val="ListParagraph"/>
        <w:numPr>
          <w:ilvl w:val="0"/>
          <w:numId w:val="15"/>
        </w:numPr>
        <w:jc w:val="both"/>
        <w:rPr>
          <w:rFonts w:ascii="Times New Roman" w:hAnsi="Times New Roman" w:cs="Times New Roman"/>
          <w:sz w:val="24"/>
          <w:szCs w:val="24"/>
        </w:rPr>
      </w:pPr>
      <w:r w:rsidRPr="00B94590">
        <w:rPr>
          <w:rFonts w:ascii="Times New Roman" w:hAnsi="Times New Roman" w:cs="Times New Roman"/>
          <w:sz w:val="24"/>
          <w:szCs w:val="24"/>
        </w:rPr>
        <w:t>Vien</w:t>
      </w:r>
      <w:r w:rsidR="00381010" w:rsidRPr="00B94590">
        <w:rPr>
          <w:rFonts w:ascii="Times New Roman" w:hAnsi="Times New Roman" w:cs="Times New Roman"/>
          <w:sz w:val="24"/>
          <w:szCs w:val="24"/>
        </w:rPr>
        <w:t>o</w:t>
      </w:r>
      <w:r w:rsidRPr="00B94590">
        <w:rPr>
          <w:rFonts w:ascii="Times New Roman" w:hAnsi="Times New Roman" w:cs="Times New Roman"/>
          <w:sz w:val="24"/>
          <w:szCs w:val="24"/>
        </w:rPr>
        <w:t>tā</w:t>
      </w:r>
      <w:r w:rsidR="008A5049" w:rsidRPr="00B94590">
        <w:rPr>
          <w:rFonts w:ascii="Times New Roman" w:hAnsi="Times New Roman" w:cs="Times New Roman"/>
          <w:sz w:val="24"/>
          <w:szCs w:val="24"/>
        </w:rPr>
        <w:t xml:space="preserve"> valsts budžeta plānošanas un izpildes </w:t>
      </w:r>
      <w:r w:rsidR="00970366" w:rsidRPr="00B94590">
        <w:rPr>
          <w:rFonts w:ascii="Times New Roman" w:hAnsi="Times New Roman" w:cs="Times New Roman"/>
          <w:sz w:val="24"/>
          <w:szCs w:val="24"/>
        </w:rPr>
        <w:t xml:space="preserve">informācijas </w:t>
      </w:r>
      <w:r w:rsidR="008A5049" w:rsidRPr="00B94590">
        <w:rPr>
          <w:rFonts w:ascii="Times New Roman" w:hAnsi="Times New Roman" w:cs="Times New Roman"/>
          <w:sz w:val="24"/>
          <w:szCs w:val="24"/>
        </w:rPr>
        <w:t>sistēm</w:t>
      </w:r>
      <w:r w:rsidR="00930746" w:rsidRPr="00B94590">
        <w:rPr>
          <w:rFonts w:ascii="Times New Roman" w:hAnsi="Times New Roman" w:cs="Times New Roman"/>
          <w:sz w:val="24"/>
          <w:szCs w:val="24"/>
        </w:rPr>
        <w:t>a</w:t>
      </w:r>
      <w:r w:rsidR="008A5049" w:rsidRPr="00B94590">
        <w:rPr>
          <w:rFonts w:ascii="Times New Roman" w:hAnsi="Times New Roman" w:cs="Times New Roman"/>
          <w:sz w:val="24"/>
          <w:szCs w:val="24"/>
        </w:rPr>
        <w:t xml:space="preserve"> (VVBPIS). VVBPIS ir tehnoloģiski būvēta</w:t>
      </w:r>
      <w:r w:rsidR="00970366" w:rsidRPr="00B94590">
        <w:rPr>
          <w:rFonts w:ascii="Times New Roman" w:hAnsi="Times New Roman" w:cs="Times New Roman"/>
          <w:sz w:val="24"/>
          <w:szCs w:val="24"/>
        </w:rPr>
        <w:t>,</w:t>
      </w:r>
      <w:r w:rsidR="008A5049" w:rsidRPr="00B94590">
        <w:rPr>
          <w:rFonts w:ascii="Times New Roman" w:hAnsi="Times New Roman" w:cs="Times New Roman"/>
          <w:sz w:val="24"/>
          <w:szCs w:val="24"/>
        </w:rPr>
        <w:t xml:space="preserve"> izmantojot standarta produkta SAP platformu, kas pielāgota specifiskajām valsts budžeta plānošanas un izpildes funkcionālajām prasībām. Sistēma balstās uz 4 apakšsistēmām</w:t>
      </w:r>
      <w:r w:rsidRPr="00B94590">
        <w:rPr>
          <w:rFonts w:ascii="Times New Roman" w:hAnsi="Times New Roman" w:cs="Times New Roman"/>
          <w:sz w:val="24"/>
          <w:szCs w:val="24"/>
        </w:rPr>
        <w:t>:</w:t>
      </w:r>
    </w:p>
    <w:p w:rsidR="008A5049" w:rsidRPr="00B94590" w:rsidRDefault="008A5049" w:rsidP="007A3D46">
      <w:pPr>
        <w:numPr>
          <w:ilvl w:val="1"/>
          <w:numId w:val="15"/>
        </w:numPr>
        <w:jc w:val="both"/>
      </w:pPr>
      <w:r w:rsidRPr="00B94590">
        <w:t xml:space="preserve">Plānošanas sistēma (Realizēta ar SAP BW/BPS līdzekļiem, kur SAP BW glabājas plānošanas datu struktūras, bet ar </w:t>
      </w:r>
      <w:r w:rsidR="006E5106" w:rsidRPr="00B94590">
        <w:t xml:space="preserve">SAP </w:t>
      </w:r>
      <w:r w:rsidRPr="00B94590">
        <w:t>BW/BPS līdzekļiem tiek nodrošināts plānošanas process)</w:t>
      </w:r>
    </w:p>
    <w:p w:rsidR="008A5049" w:rsidRPr="00B94590" w:rsidRDefault="008A5049" w:rsidP="007A3D46">
      <w:pPr>
        <w:numPr>
          <w:ilvl w:val="1"/>
          <w:numId w:val="15"/>
        </w:numPr>
        <w:jc w:val="both"/>
      </w:pPr>
      <w:r w:rsidRPr="00B94590">
        <w:t>Portāls (Realizēts ar SAP Portal līdzekļiem)</w:t>
      </w:r>
    </w:p>
    <w:p w:rsidR="008A5049" w:rsidRPr="00B94590" w:rsidRDefault="008A5049" w:rsidP="007A3D46">
      <w:pPr>
        <w:numPr>
          <w:ilvl w:val="1"/>
          <w:numId w:val="15"/>
        </w:numPr>
        <w:jc w:val="both"/>
      </w:pPr>
      <w:r w:rsidRPr="00B94590">
        <w:t>Budžeta izpildes sistēma (Realizēta ar SAP ERP līdzekļiem aktivizējot FI un FM komponentes.)</w:t>
      </w:r>
    </w:p>
    <w:p w:rsidR="008A5049" w:rsidRPr="00B94590" w:rsidRDefault="008A5049" w:rsidP="007A3D46">
      <w:pPr>
        <w:numPr>
          <w:ilvl w:val="1"/>
          <w:numId w:val="15"/>
        </w:numPr>
        <w:jc w:val="both"/>
      </w:pPr>
      <w:r w:rsidRPr="00B94590">
        <w:t>Budžeta izpildes datu noliktava (Realizēta ar SAP BW līdzekļiem)</w:t>
      </w:r>
    </w:p>
    <w:p w:rsidR="00DF26F7" w:rsidRPr="00B94590" w:rsidRDefault="00E763D1" w:rsidP="007A3D46">
      <w:pPr>
        <w:numPr>
          <w:ilvl w:val="0"/>
          <w:numId w:val="15"/>
        </w:numPr>
        <w:jc w:val="both"/>
      </w:pPr>
      <w:r w:rsidRPr="00B94590">
        <w:t>Valsts budžeta un pašvaldību budžeta pārskatu sistēm</w:t>
      </w:r>
      <w:r w:rsidR="00381010" w:rsidRPr="00B94590">
        <w:t>a</w:t>
      </w:r>
      <w:r w:rsidRPr="00B94590">
        <w:t xml:space="preserve"> (VBPBP)</w:t>
      </w:r>
      <w:r w:rsidR="00FE195E" w:rsidRPr="00B94590">
        <w:t>, kas paredzēta</w:t>
      </w:r>
      <w:r w:rsidR="00FE195E" w:rsidRPr="00B94590">
        <w:rPr>
          <w:lang w:eastAsia="en-US"/>
        </w:rPr>
        <w:t xml:space="preserve"> grāmatvedības pārskatu sagatavošanai un konsolidēšanai. </w:t>
      </w:r>
      <w:r w:rsidR="00FE195E" w:rsidRPr="00B94590">
        <w:t>Sistēma ir veidota trīs slāņu (</w:t>
      </w:r>
      <w:r w:rsidR="00FE195E" w:rsidRPr="00B94590">
        <w:rPr>
          <w:bCs/>
          <w:i/>
          <w:iCs/>
        </w:rPr>
        <w:t>three-tier</w:t>
      </w:r>
      <w:r w:rsidR="00FE195E" w:rsidRPr="00B94590">
        <w:t>) arhitektūrā, izmantojot WEB tehnoloģijas. Trīs slāņu klienta-servera arhitektūrā katrs no slāņiem nodrošina savu aplikācijas darbības aspektu – datu krātuve, biznesa loģika, attēlojums.</w:t>
      </w:r>
      <w:r w:rsidR="000028F1" w:rsidRPr="00B94590">
        <w:t xml:space="preserve"> </w:t>
      </w:r>
      <w:r w:rsidR="00DF26F7" w:rsidRPr="00B94590">
        <w:rPr>
          <w:lang w:eastAsia="en-US"/>
        </w:rPr>
        <w:t>VBPBP programmatūra nodrošina grāmatvedības pārskatu importēšanas, ievadīšanas, rediģēšanas, konsolidēšanas, kontroles un saziņas funkcionalitāti.</w:t>
      </w:r>
    </w:p>
    <w:p w:rsidR="007A3D46" w:rsidRPr="00B94590" w:rsidRDefault="00DF26F7" w:rsidP="007A3D46">
      <w:pPr>
        <w:numPr>
          <w:ilvl w:val="0"/>
          <w:numId w:val="15"/>
        </w:numPr>
        <w:jc w:val="both"/>
      </w:pPr>
      <w:r w:rsidRPr="00B94590">
        <w:t xml:space="preserve">Valsts iestāžu un ministriju grāmatvedības un personālvadības sistēmas, </w:t>
      </w:r>
      <w:r w:rsidR="00930746" w:rsidRPr="00B94590">
        <w:t xml:space="preserve">kas </w:t>
      </w:r>
      <w:r w:rsidRPr="00B94590">
        <w:t>tiek izmantotas</w:t>
      </w:r>
      <w:r w:rsidR="00CB1AF7" w:rsidRPr="00B94590">
        <w:t xml:space="preserve"> atkarībā no nozares un iestādes vēsturiskās IT attīstības modeļa.</w:t>
      </w:r>
    </w:p>
    <w:p w:rsidR="00ED55CF" w:rsidRPr="00B94590" w:rsidRDefault="00ED55CF" w:rsidP="00505C90">
      <w:pPr>
        <w:pStyle w:val="Heading2"/>
        <w:numPr>
          <w:ilvl w:val="1"/>
          <w:numId w:val="37"/>
        </w:numPr>
        <w:jc w:val="both"/>
        <w:rPr>
          <w:lang w:val="lv-LV"/>
        </w:rPr>
      </w:pPr>
      <w:bookmarkStart w:id="14" w:name="_Toc292619563"/>
      <w:bookmarkStart w:id="15" w:name="_Toc293616256"/>
      <w:r w:rsidRPr="00B94590">
        <w:rPr>
          <w:lang w:val="lv-LV"/>
        </w:rPr>
        <w:t>Definīcijas, apzīmējumi un saīsinājumi</w:t>
      </w:r>
      <w:bookmarkEnd w:id="14"/>
      <w:bookmarkEnd w:id="15"/>
    </w:p>
    <w:p w:rsidR="00ED55CF" w:rsidRPr="00B94590" w:rsidRDefault="00ED55CF" w:rsidP="008A65CF">
      <w:pPr>
        <w:pStyle w:val="Heading3"/>
        <w:numPr>
          <w:ilvl w:val="2"/>
          <w:numId w:val="37"/>
        </w:numPr>
        <w:jc w:val="both"/>
      </w:pPr>
      <w:bookmarkStart w:id="16" w:name="_Toc292619564"/>
      <w:bookmarkStart w:id="17" w:name="_Toc293616257"/>
      <w:r w:rsidRPr="00B94590">
        <w:t>Terminu skaidrojumi</w:t>
      </w:r>
      <w:bookmarkEnd w:id="16"/>
      <w:bookmarkEnd w:id="17"/>
    </w:p>
    <w:bookmarkEnd w:id="13"/>
    <w:p w:rsidR="00ED55CF" w:rsidRPr="00B94590" w:rsidRDefault="00ED55CF" w:rsidP="00A65510">
      <w:pPr>
        <w:pStyle w:val="TOAHeading"/>
        <w:rPr>
          <w:lang w:val="lv-LV"/>
        </w:rPr>
      </w:pPr>
      <w:r w:rsidRPr="00B94590">
        <w:rPr>
          <w:lang w:val="lv-LV"/>
        </w:rPr>
        <w:t>Biznesa process</w:t>
      </w:r>
    </w:p>
    <w:p w:rsidR="00ED55CF" w:rsidRPr="00B94590" w:rsidRDefault="00ED55CF" w:rsidP="00A65510">
      <w:pPr>
        <w:pStyle w:val="StyleSectiontextTimesNewRomanLeft127cm"/>
        <w:jc w:val="both"/>
        <w:rPr>
          <w:lang w:val="lv-LV"/>
        </w:rPr>
      </w:pPr>
      <w:r w:rsidRPr="00B94590">
        <w:rPr>
          <w:lang w:val="lv-LV"/>
        </w:rPr>
        <w:t>Kāda lielāka uzdevuma apraksts (detalizācija) ar mazāku (un vairāk vai mazāk pašu par sevi saprotamu) uzdevumu un notikumu palīdzību.</w:t>
      </w:r>
    </w:p>
    <w:p w:rsidR="00ED55CF" w:rsidRPr="00B94590" w:rsidRDefault="00ED55CF" w:rsidP="00A65510">
      <w:pPr>
        <w:pStyle w:val="TOAHeading"/>
        <w:rPr>
          <w:lang w:val="lv-LV"/>
        </w:rPr>
      </w:pPr>
      <w:r w:rsidRPr="00B94590">
        <w:rPr>
          <w:lang w:val="lv-LV"/>
        </w:rPr>
        <w:lastRenderedPageBreak/>
        <w:t>Datu avots (data source)</w:t>
      </w:r>
    </w:p>
    <w:p w:rsidR="00ED55CF" w:rsidRPr="00B94590" w:rsidRDefault="00ED55CF" w:rsidP="00A65510">
      <w:pPr>
        <w:pStyle w:val="StyleSectiontextTimesNewRomanJustifiedLeft127cm"/>
        <w:jc w:val="both"/>
        <w:rPr>
          <w:lang w:val="lv-LV"/>
        </w:rPr>
      </w:pPr>
      <w:r w:rsidRPr="00B94590">
        <w:rPr>
          <w:lang w:val="lv-LV"/>
        </w:rPr>
        <w:t>Datu bāze, lietojumprogramma, datne vai dokuments, no kura datu noliktavā tiek importēti dati.</w:t>
      </w:r>
    </w:p>
    <w:p w:rsidR="00ED55CF" w:rsidRPr="00B94590" w:rsidRDefault="00ED55CF" w:rsidP="00A65510">
      <w:pPr>
        <w:pStyle w:val="TOAHeading"/>
        <w:rPr>
          <w:lang w:val="lv-LV"/>
        </w:rPr>
      </w:pPr>
      <w:r w:rsidRPr="00B94590">
        <w:rPr>
          <w:lang w:val="lv-LV"/>
        </w:rPr>
        <w:t xml:space="preserve">Datu transformēšana (data staging) </w:t>
      </w:r>
      <w:r w:rsidR="003541D1" w:rsidRPr="00B94590">
        <w:rPr>
          <w:lang w:val="lv-LV"/>
        </w:rPr>
        <w:t>–</w:t>
      </w:r>
      <w:r w:rsidRPr="00B94590">
        <w:rPr>
          <w:lang w:val="lv-LV"/>
        </w:rPr>
        <w:t xml:space="preserve"> importēšana</w:t>
      </w:r>
    </w:p>
    <w:p w:rsidR="00ED55CF" w:rsidRPr="00B94590" w:rsidRDefault="00ED55CF" w:rsidP="00A65510">
      <w:pPr>
        <w:pStyle w:val="StyleSectiontextTimesNewRomanJustifiedLeft127cm"/>
        <w:jc w:val="both"/>
        <w:rPr>
          <w:lang w:val="lv-LV"/>
        </w:rPr>
      </w:pPr>
      <w:r w:rsidRPr="00B94590">
        <w:rPr>
          <w:lang w:val="lv-LV"/>
        </w:rPr>
        <w:t>Datu apstrādes process, kas ietver datu attīrīšanu, apkopošanu un integrēšanu no vairākiem datu avotiem.</w:t>
      </w:r>
    </w:p>
    <w:p w:rsidR="00ED55CF" w:rsidRPr="00B94590" w:rsidRDefault="00ED55CF" w:rsidP="00A65510">
      <w:pPr>
        <w:pStyle w:val="TOAHeading"/>
        <w:rPr>
          <w:lang w:val="lv-LV"/>
        </w:rPr>
      </w:pPr>
      <w:r w:rsidRPr="00B94590">
        <w:rPr>
          <w:lang w:val="lv-LV"/>
        </w:rPr>
        <w:t>Dimensija (dimension)</w:t>
      </w:r>
    </w:p>
    <w:p w:rsidR="00ED55CF" w:rsidRPr="00B94590" w:rsidRDefault="00ED55CF" w:rsidP="00A65510">
      <w:pPr>
        <w:pStyle w:val="StyleSectiontextTimesNewRomanJustifiedLeft127cm"/>
        <w:jc w:val="both"/>
        <w:rPr>
          <w:lang w:val="lv-LV"/>
        </w:rPr>
      </w:pPr>
      <w:r w:rsidRPr="00B94590">
        <w:rPr>
          <w:lang w:val="lv-LV"/>
        </w:rPr>
        <w:t>Datus raksturojošs lielums, kas sastāv no viena vai vairākiem hierarhijas līmeņiem.</w:t>
      </w:r>
    </w:p>
    <w:p w:rsidR="00ED55CF" w:rsidRPr="00B94590" w:rsidRDefault="00ED55CF" w:rsidP="00A65510">
      <w:pPr>
        <w:pStyle w:val="TOAHeading"/>
        <w:rPr>
          <w:lang w:val="lv-LV"/>
        </w:rPr>
      </w:pPr>
      <w:r w:rsidRPr="00B94590">
        <w:rPr>
          <w:lang w:val="lv-LV"/>
        </w:rPr>
        <w:t>Hierarhija (hierarchy)</w:t>
      </w:r>
    </w:p>
    <w:p w:rsidR="00ED55CF" w:rsidRPr="00B94590" w:rsidRDefault="00ED55CF" w:rsidP="00A65510">
      <w:pPr>
        <w:pStyle w:val="StyleSectiontextTimesNewRomanJustifiedLeft127cm"/>
        <w:jc w:val="both"/>
        <w:rPr>
          <w:lang w:val="lv-LV"/>
        </w:rPr>
      </w:pPr>
      <w:r w:rsidRPr="00B94590">
        <w:rPr>
          <w:lang w:val="lv-LV"/>
        </w:rPr>
        <w:t xml:space="preserve">Loģiska struktūra, kurā datu organizēšanai tiek izmantoti pakārtoti līmeņi. Hierarhiju var izmantot, lai definētu datu apkopošanu; piemēram, Laika dimensijā hierarhiju varētu izmantot, lai apkopotu datus no “Mēneša” līmeņa uz “Ceturkšņa” līmeni un uz “Gada” līmeni. </w:t>
      </w:r>
    </w:p>
    <w:p w:rsidR="00ED55CF" w:rsidRPr="00B94590" w:rsidRDefault="00ED55CF" w:rsidP="00A65510">
      <w:pPr>
        <w:pStyle w:val="TOAHeading"/>
        <w:rPr>
          <w:lang w:val="lv-LV"/>
        </w:rPr>
      </w:pPr>
      <w:r w:rsidRPr="00B94590">
        <w:rPr>
          <w:lang w:val="lv-LV"/>
        </w:rPr>
        <w:t>Līmenis (level)</w:t>
      </w:r>
    </w:p>
    <w:p w:rsidR="00ED55CF" w:rsidRPr="00B94590" w:rsidRDefault="00ED55CF" w:rsidP="00A65510">
      <w:pPr>
        <w:pStyle w:val="StyleSectiontextTimesNewRomanJustifiedLeft127cm"/>
        <w:jc w:val="both"/>
        <w:rPr>
          <w:lang w:val="lv-LV"/>
        </w:rPr>
      </w:pPr>
      <w:r w:rsidRPr="00B94590">
        <w:rPr>
          <w:lang w:val="lv-LV"/>
        </w:rPr>
        <w:t>Pozīcija hierarhijā. Piemēram, Laika dimensijai varētu būt hierarhija, kas atspoguļo “Mēneša”, “Ceturkšņa” un “Gada” līmeņus.</w:t>
      </w:r>
    </w:p>
    <w:p w:rsidR="00ED55CF" w:rsidRPr="00B94590" w:rsidRDefault="00ED55CF" w:rsidP="00A65510">
      <w:pPr>
        <w:pStyle w:val="TOAHeading"/>
        <w:rPr>
          <w:lang w:val="lv-LV"/>
        </w:rPr>
      </w:pPr>
      <w:r w:rsidRPr="00B94590">
        <w:rPr>
          <w:lang w:val="lv-LV"/>
        </w:rPr>
        <w:t>Metadati (metadata)</w:t>
      </w:r>
    </w:p>
    <w:p w:rsidR="00ED55CF" w:rsidRPr="00B94590" w:rsidRDefault="00ED55CF" w:rsidP="00A65510">
      <w:pPr>
        <w:pStyle w:val="StyleSectiontextTimesNewRomanJustifiedLeft127cm"/>
        <w:jc w:val="both"/>
        <w:rPr>
          <w:lang w:val="lv-LV"/>
        </w:rPr>
      </w:pPr>
      <w:r w:rsidRPr="00B94590">
        <w:rPr>
          <w:lang w:val="lv-LV"/>
        </w:rPr>
        <w:t>Dati, kas apraksta datus un citas struktūras, tādas kā objektus, biznesa funkcijas un procesus. Informācija par to, kādi dati, kurā vietā ir meklējami, kā arī datu noliktavā izmantojamo objektu (tabulu, skatu, indeksu, u.c.) apraksts.</w:t>
      </w:r>
    </w:p>
    <w:p w:rsidR="00ED55CF" w:rsidRPr="00B94590" w:rsidRDefault="00ED55CF" w:rsidP="00A65510">
      <w:pPr>
        <w:pStyle w:val="TOAHeading"/>
        <w:rPr>
          <w:lang w:val="lv-LV"/>
        </w:rPr>
      </w:pPr>
      <w:r w:rsidRPr="00B94590">
        <w:rPr>
          <w:lang w:val="lv-LV"/>
        </w:rPr>
        <w:t>Metadatu pārvaldība (metadata management)</w:t>
      </w:r>
    </w:p>
    <w:p w:rsidR="00ED55CF" w:rsidRPr="00B94590" w:rsidRDefault="00ED55CF" w:rsidP="00A65510">
      <w:pPr>
        <w:pStyle w:val="StyleSectiontextTimesNewRomanJustifiedLeft127cm"/>
        <w:jc w:val="both"/>
        <w:rPr>
          <w:lang w:val="lv-LV"/>
        </w:rPr>
      </w:pPr>
      <w:r w:rsidRPr="00B94590">
        <w:rPr>
          <w:lang w:val="lv-LV"/>
        </w:rPr>
        <w:t xml:space="preserve">Darbības, kas tiek veiktas, lai nodrošinātu metadatu izveidošanu, atjaunošanu un uzskatāmību, uzturēšanu. </w:t>
      </w:r>
    </w:p>
    <w:p w:rsidR="00ED55CF" w:rsidRPr="00B94590" w:rsidRDefault="00ED55CF" w:rsidP="00A65510">
      <w:pPr>
        <w:pStyle w:val="TOAHeading"/>
        <w:rPr>
          <w:lang w:val="lv-LV"/>
        </w:rPr>
      </w:pPr>
      <w:r w:rsidRPr="00B94590">
        <w:rPr>
          <w:lang w:val="lv-LV"/>
        </w:rPr>
        <w:t>Materializētais skatījums (materialized view)</w:t>
      </w:r>
    </w:p>
    <w:p w:rsidR="00ED55CF" w:rsidRPr="00B94590" w:rsidRDefault="00ED55CF" w:rsidP="00A65510">
      <w:pPr>
        <w:pStyle w:val="StyleSectiontextTimesNewRomanJustifiedLeft127cm"/>
        <w:jc w:val="both"/>
        <w:rPr>
          <w:lang w:val="lv-LV"/>
        </w:rPr>
      </w:pPr>
      <w:r w:rsidRPr="00B94590">
        <w:rPr>
          <w:lang w:val="lv-LV"/>
        </w:rPr>
        <w:t xml:space="preserve">Iepriekš aprēķināta tabula, kas satur apkopotos un/vai apvienotos datus no faktu un dimensiju tabulām. </w:t>
      </w:r>
    </w:p>
    <w:p w:rsidR="00ED55CF" w:rsidRPr="00B94590" w:rsidRDefault="00ED55CF" w:rsidP="00A65510">
      <w:pPr>
        <w:pStyle w:val="TOAHeading"/>
        <w:rPr>
          <w:lang w:val="lv-LV"/>
        </w:rPr>
      </w:pPr>
      <w:r w:rsidRPr="00B94590">
        <w:rPr>
          <w:lang w:val="lv-LV"/>
        </w:rPr>
        <w:t>Tiešsaistes analītiskā apstrāde OLAP – (Online Analytical Processing)</w:t>
      </w:r>
    </w:p>
    <w:p w:rsidR="00ED55CF" w:rsidRPr="00B94590" w:rsidRDefault="00ED55CF" w:rsidP="00A65510">
      <w:pPr>
        <w:pStyle w:val="StyleSectiontextTimesNewRomanJustifiedLeft127cm"/>
        <w:jc w:val="both"/>
        <w:rPr>
          <w:lang w:val="lv-LV"/>
        </w:rPr>
      </w:pPr>
      <w:r w:rsidRPr="00B94590">
        <w:rPr>
          <w:lang w:val="lv-LV"/>
        </w:rPr>
        <w:t>Tiešsaistes rīki, kas lietotājiem dod iespēju analizēt datus, izmantojot dažādas informācijas ieguves tehnikas. Šo rīku darbība ir balstīta uz metadatiem. OLAP funkcionalitāti raksturo dinamiska, daudzdimensionāla vēsturisko datu analīze, kas atbalsta tādas aktivitātes kā: aprēķinu veikšana starp dimensijām un pa hierarhijām, tendenču analīze, darbības augšup un lejup pa hierarhijām, u.c.</w:t>
      </w:r>
    </w:p>
    <w:p w:rsidR="00ED55CF" w:rsidRPr="00B94590" w:rsidRDefault="00ED55CF" w:rsidP="00A65510">
      <w:pPr>
        <w:pStyle w:val="StyleSectiontextTimesNewRomanJustifiedLeft127cm"/>
        <w:ind w:left="0"/>
        <w:jc w:val="both"/>
        <w:rPr>
          <w:b/>
          <w:lang w:val="lv-LV"/>
        </w:rPr>
      </w:pPr>
      <w:r w:rsidRPr="00B94590">
        <w:rPr>
          <w:b/>
          <w:lang w:val="lv-LV"/>
        </w:rPr>
        <w:t>Web-serviss</w:t>
      </w:r>
    </w:p>
    <w:p w:rsidR="00ED55CF" w:rsidRPr="00B94590" w:rsidRDefault="00ED55CF" w:rsidP="00A65510">
      <w:pPr>
        <w:pStyle w:val="StyleSectiontextTimesNewRomanJustifiedLeft127cm"/>
        <w:jc w:val="both"/>
        <w:rPr>
          <w:lang w:val="lv-LV"/>
        </w:rPr>
      </w:pPr>
      <w:r w:rsidRPr="00B94590">
        <w:rPr>
          <w:lang w:val="lv-LV"/>
        </w:rPr>
        <w:t>Web serviss ir programmatūra, kas ir identificējama tīmeklī pēc URI (</w:t>
      </w:r>
      <w:r w:rsidRPr="00B94590">
        <w:rPr>
          <w:i/>
          <w:lang w:val="lv-LV"/>
        </w:rPr>
        <w:t>Uniform Resource Identifier</w:t>
      </w:r>
      <w:r w:rsidRPr="00B94590">
        <w:rPr>
          <w:lang w:val="lv-LV"/>
        </w:rPr>
        <w:t>), kurai klienti piekļūst izmantojot uz XML (</w:t>
      </w:r>
      <w:r w:rsidRPr="00B94590">
        <w:rPr>
          <w:i/>
          <w:lang w:val="lv-LV"/>
        </w:rPr>
        <w:t>eXtensible Markup Language</w:t>
      </w:r>
      <w:r w:rsidRPr="00B94590">
        <w:rPr>
          <w:lang w:val="lv-LV"/>
        </w:rPr>
        <w:t>) balstītu protokolu SOAP (</w:t>
      </w:r>
      <w:r w:rsidRPr="00B94590">
        <w:rPr>
          <w:i/>
          <w:lang w:val="lv-LV"/>
        </w:rPr>
        <w:t>Simple Object Access Protocol,</w:t>
      </w:r>
      <w:r w:rsidRPr="00B94590">
        <w:rPr>
          <w:lang w:val="lv-LV"/>
        </w:rPr>
        <w:t>), kurš tiek izmantots virs Internet protokola HTTP (</w:t>
      </w:r>
      <w:r w:rsidRPr="00B94590">
        <w:rPr>
          <w:i/>
          <w:lang w:val="lv-LV"/>
        </w:rPr>
        <w:t>Hypertext Transfer Protocol</w:t>
      </w:r>
      <w:r w:rsidRPr="00B94590">
        <w:rPr>
          <w:lang w:val="lv-LV"/>
        </w:rPr>
        <w:t>)</w:t>
      </w:r>
    </w:p>
    <w:p w:rsidR="00ED55CF" w:rsidRPr="00B94590" w:rsidRDefault="00ED55CF" w:rsidP="008A65CF">
      <w:pPr>
        <w:pStyle w:val="Heading3"/>
        <w:numPr>
          <w:ilvl w:val="2"/>
          <w:numId w:val="43"/>
        </w:numPr>
        <w:jc w:val="both"/>
      </w:pPr>
      <w:bookmarkStart w:id="18" w:name="_Toc292619565"/>
      <w:bookmarkStart w:id="19" w:name="_Toc293616258"/>
      <w:bookmarkStart w:id="20" w:name="_Toc50864520"/>
      <w:r w:rsidRPr="00B94590">
        <w:lastRenderedPageBreak/>
        <w:t>Saīsinājumi</w:t>
      </w:r>
      <w:bookmarkEnd w:id="18"/>
      <w:bookmarkEnd w:id="19"/>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6383"/>
      </w:tblGrid>
      <w:tr w:rsidR="00B94590" w:rsidRPr="00B94590" w:rsidTr="0096548A">
        <w:trPr>
          <w:trHeight w:val="111"/>
        </w:trPr>
        <w:tc>
          <w:tcPr>
            <w:tcW w:w="2065" w:type="dxa"/>
            <w:tcBorders>
              <w:top w:val="single" w:sz="8" w:space="0" w:color="auto"/>
              <w:left w:val="single" w:sz="8" w:space="0" w:color="auto"/>
              <w:bottom w:val="single" w:sz="8" w:space="0" w:color="auto"/>
              <w:right w:val="single" w:sz="8" w:space="0" w:color="auto"/>
            </w:tcBorders>
            <w:shd w:val="pct5" w:color="auto" w:fill="FFFFFF"/>
          </w:tcPr>
          <w:p w:rsidR="00ED55CF" w:rsidRPr="00B94590" w:rsidRDefault="00ED55CF" w:rsidP="00A65510">
            <w:pPr>
              <w:pStyle w:val="Tabulasteksts"/>
              <w:jc w:val="both"/>
              <w:rPr>
                <w:b/>
                <w:lang w:val="lv-LV"/>
              </w:rPr>
            </w:pPr>
            <w:r w:rsidRPr="00B94590">
              <w:rPr>
                <w:b/>
                <w:lang w:val="lv-LV"/>
              </w:rPr>
              <w:t>Apzīmējums</w:t>
            </w:r>
          </w:p>
        </w:tc>
        <w:tc>
          <w:tcPr>
            <w:tcW w:w="6383" w:type="dxa"/>
            <w:tcBorders>
              <w:top w:val="single" w:sz="8" w:space="0" w:color="auto"/>
              <w:left w:val="single" w:sz="8" w:space="0" w:color="auto"/>
              <w:bottom w:val="single" w:sz="8" w:space="0" w:color="auto"/>
              <w:right w:val="single" w:sz="8" w:space="0" w:color="auto"/>
            </w:tcBorders>
            <w:shd w:val="pct5" w:color="auto" w:fill="FFFFFF"/>
          </w:tcPr>
          <w:p w:rsidR="00ED55CF" w:rsidRPr="00B94590" w:rsidRDefault="00ED55CF" w:rsidP="00A65510">
            <w:pPr>
              <w:pStyle w:val="Tabulasteksts"/>
              <w:jc w:val="both"/>
              <w:rPr>
                <w:b/>
                <w:lang w:val="lv-LV"/>
              </w:rPr>
            </w:pPr>
            <w:r w:rsidRPr="00B94590">
              <w:rPr>
                <w:b/>
                <w:lang w:val="lv-LV"/>
              </w:rPr>
              <w:t>Skaidrojums</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API</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Application programming interface (lietojumprogrammas saskarne)</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BI</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Business Intelligence</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BO</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Business Objects</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 xml:space="preserve">CTAS </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Centrālā transakciju sistēma</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DB</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Datu bāze</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DMZ</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Demilitarizētā zonā</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eKase</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Valsts budžeta elektronisko norēķinu sistēma „eKase”</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96548A" w:rsidRPr="00B94590" w:rsidRDefault="0096548A" w:rsidP="0070642F">
            <w:pPr>
              <w:pStyle w:val="Tabulasteksts"/>
              <w:jc w:val="both"/>
              <w:rPr>
                <w:lang w:val="lv-LV"/>
              </w:rPr>
            </w:pPr>
            <w:r w:rsidRPr="00B94590">
              <w:rPr>
                <w:lang w:val="lv-LV"/>
              </w:rPr>
              <w:t>EKK</w:t>
            </w:r>
          </w:p>
        </w:tc>
        <w:tc>
          <w:tcPr>
            <w:tcW w:w="6383" w:type="dxa"/>
            <w:tcBorders>
              <w:top w:val="single" w:sz="4" w:space="0" w:color="auto"/>
              <w:left w:val="single" w:sz="4" w:space="0" w:color="auto"/>
              <w:bottom w:val="single" w:sz="4" w:space="0" w:color="auto"/>
              <w:right w:val="single" w:sz="4" w:space="0" w:color="auto"/>
            </w:tcBorders>
          </w:tcPr>
          <w:p w:rsidR="0096548A" w:rsidRPr="00B94590" w:rsidRDefault="0096548A" w:rsidP="0070642F">
            <w:pPr>
              <w:pStyle w:val="Tabulasteksts"/>
              <w:jc w:val="both"/>
              <w:rPr>
                <w:lang w:val="lv-LV"/>
              </w:rPr>
            </w:pPr>
            <w:r w:rsidRPr="00B94590">
              <w:rPr>
                <w:lang w:val="lv-LV"/>
              </w:rPr>
              <w:t>Ekonomiskās klasifikācijas kods</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jc w:val="both"/>
            </w:pPr>
            <w:r w:rsidRPr="00B94590">
              <w:rPr>
                <w:szCs w:val="28"/>
              </w:rPr>
              <w:t>ERAF</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jc w:val="both"/>
            </w:pPr>
            <w:r w:rsidRPr="00B94590">
              <w:rPr>
                <w:szCs w:val="28"/>
              </w:rPr>
              <w:t>Eiropas Reģionālās attīstības fonds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FIDAVISTA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3A3662">
            <w:pPr>
              <w:pStyle w:val="Tabulasteksts"/>
              <w:jc w:val="both"/>
              <w:rPr>
                <w:lang w:val="lv-LV"/>
              </w:rPr>
            </w:pPr>
            <w:r w:rsidRPr="00B94590">
              <w:rPr>
                <w:lang w:val="lv-LV"/>
              </w:rPr>
              <w:t>Latvijas Finansiāl</w:t>
            </w:r>
            <w:r w:rsidR="003A3662" w:rsidRPr="00B94590">
              <w:rPr>
                <w:lang w:val="lv-LV"/>
              </w:rPr>
              <w:t>o</w:t>
            </w:r>
            <w:r w:rsidRPr="00B94590">
              <w:rPr>
                <w:lang w:val="lv-LV"/>
              </w:rPr>
              <w:t xml:space="preserve"> datu apmaiņas vienot</w:t>
            </w:r>
            <w:r w:rsidR="003A3662" w:rsidRPr="00B94590">
              <w:rPr>
                <w:lang w:val="lv-LV"/>
              </w:rPr>
              <w:t>ais</w:t>
            </w:r>
            <w:r w:rsidRPr="00B94590">
              <w:rPr>
                <w:lang w:val="lv-LV"/>
              </w:rPr>
              <w:t xml:space="preserve"> standart</w:t>
            </w:r>
            <w:r w:rsidR="003A3662" w:rsidRPr="00B94590">
              <w:rPr>
                <w:lang w:val="lv-LV"/>
              </w:rPr>
              <w:t>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FM</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Finanšu ministrija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FPAIS</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Finansēšanas plānu apstrādes informācijas sistēma</w:t>
            </w:r>
          </w:p>
        </w:tc>
      </w:tr>
      <w:tr w:rsidR="00B94590" w:rsidRPr="00B94590" w:rsidTr="0096548A">
        <w:trPr>
          <w:trHeight w:val="727"/>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IFRS/IAS</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i/>
                <w:lang w:val="lv-LV"/>
              </w:rPr>
              <w:t xml:space="preserve">International Financial Reporting Standards/ International Accounting Standards </w:t>
            </w:r>
            <w:r w:rsidRPr="00B94590">
              <w:rPr>
                <w:lang w:val="lv-LV"/>
              </w:rPr>
              <w:t xml:space="preserve">(Starptautiskie </w:t>
            </w:r>
            <w:r w:rsidR="003A3662" w:rsidRPr="00B94590">
              <w:rPr>
                <w:lang w:val="lv-LV"/>
              </w:rPr>
              <w:t xml:space="preserve">finanšu pārskatu standarti/ Starptautiskie </w:t>
            </w:r>
            <w:r w:rsidRPr="00B94590">
              <w:rPr>
                <w:lang w:val="lv-LV"/>
              </w:rPr>
              <w:t>grāmatvedības standarti)</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IKT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Informāciju un komunikāciju tehnoloģijas</w:t>
            </w:r>
          </w:p>
        </w:tc>
      </w:tr>
      <w:tr w:rsidR="00B94590" w:rsidRPr="00B94590" w:rsidTr="0096548A">
        <w:trPr>
          <w:trHeight w:val="52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IPSAS</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 xml:space="preserve">International Public Sector Accounting Standards </w:t>
            </w:r>
            <w:r w:rsidRPr="00B94590">
              <w:rPr>
                <w:lang w:val="lv-LV"/>
              </w:rPr>
              <w:t>(Starptautiskie publiskā sektora grāmatvedības standarti)</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IS</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Informācijas sistēma</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Informāciju tehnoloģijas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LM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Labklājības ministrija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MK</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Ministru kabinets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NVA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Nodarbinātības valsts aģentūra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NMR</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 xml:space="preserve">Nodokļu maksātāja reģistrācijas numurs </w:t>
            </w:r>
          </w:p>
        </w:tc>
      </w:tr>
      <w:tr w:rsidR="00B94590" w:rsidRPr="00B94590" w:rsidTr="0096548A">
        <w:trPr>
          <w:trHeight w:val="52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OAM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Oracle Access Manager</w:t>
            </w:r>
            <w:r w:rsidRPr="00B94590">
              <w:rPr>
                <w:lang w:val="lv-LV"/>
              </w:rPr>
              <w:t xml:space="preserve"> (Valsts kases ārējo klientu vienotā autentifikācijas sistēma)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 xml:space="preserve">OLAP </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Tiešsaistes analītiskā apstrāde</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A978A5" w:rsidRPr="00B94590" w:rsidRDefault="00A978A5" w:rsidP="0070642F">
            <w:pPr>
              <w:pStyle w:val="Tabulasteksts"/>
              <w:jc w:val="both"/>
              <w:rPr>
                <w:lang w:val="lv-LV"/>
              </w:rPr>
            </w:pPr>
            <w:r w:rsidRPr="00B94590">
              <w:rPr>
                <w:lang w:val="lv-LV"/>
              </w:rPr>
              <w:t>PUD</w:t>
            </w:r>
          </w:p>
        </w:tc>
        <w:tc>
          <w:tcPr>
            <w:tcW w:w="6383" w:type="dxa"/>
            <w:tcBorders>
              <w:top w:val="single" w:sz="4" w:space="0" w:color="auto"/>
              <w:left w:val="single" w:sz="4" w:space="0" w:color="auto"/>
              <w:bottom w:val="single" w:sz="4" w:space="0" w:color="auto"/>
              <w:right w:val="single" w:sz="4" w:space="0" w:color="auto"/>
            </w:tcBorders>
          </w:tcPr>
          <w:p w:rsidR="00A978A5" w:rsidRPr="00B94590" w:rsidRDefault="00A978A5" w:rsidP="00642EBD">
            <w:pPr>
              <w:pStyle w:val="Tabulasteksts"/>
              <w:jc w:val="both"/>
              <w:rPr>
                <w:lang w:val="lv-LV"/>
              </w:rPr>
            </w:pPr>
            <w:r w:rsidRPr="00B94590">
              <w:rPr>
                <w:lang w:val="lv-LV"/>
              </w:rPr>
              <w:t>Personāla uzskaites dator</w:t>
            </w:r>
            <w:r w:rsidR="00642EBD">
              <w:rPr>
                <w:lang w:val="lv-LV"/>
              </w:rPr>
              <w:t>programma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RAM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 xml:space="preserve">Random-access memory </w:t>
            </w:r>
            <w:r w:rsidRPr="00B94590">
              <w:rPr>
                <w:lang w:val="lv-LV"/>
              </w:rPr>
              <w:t xml:space="preserve">(operatīvā atmiņa) </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SAP BW</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SAP Business Warehouse</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SAP ERP</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i/>
                <w:lang w:val="lv-LV"/>
              </w:rPr>
            </w:pPr>
            <w:r w:rsidRPr="00B94590">
              <w:rPr>
                <w:i/>
                <w:lang w:val="lv-LV"/>
              </w:rPr>
              <w:t>SAP Enterprise Resource Planning Software</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SAP SEM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i/>
                <w:lang w:val="lv-LV"/>
              </w:rPr>
            </w:pPr>
            <w:r w:rsidRPr="00B94590">
              <w:rPr>
                <w:i/>
                <w:lang w:val="lv-LV"/>
              </w:rPr>
              <w:t>SAP Strategic Enterprise Management Software</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SLA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Service level agreement</w:t>
            </w:r>
            <w:r w:rsidRPr="00B94590">
              <w:rPr>
                <w:lang w:val="lv-LV"/>
              </w:rPr>
              <w:t xml:space="preserve"> (servisa līmeņa vienošanās)</w:t>
            </w:r>
          </w:p>
        </w:tc>
      </w:tr>
      <w:tr w:rsidR="00B94590" w:rsidRPr="00B94590" w:rsidTr="0096548A">
        <w:trPr>
          <w:trHeight w:val="5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lastRenderedPageBreak/>
              <w:t>SOAP</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Simple Object Access Protocol (vienkāršais objektu piekļuves protokols)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SWIFT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 xml:space="preserve">Society for Worldwide Interbank Financial Telecommunication </w:t>
            </w:r>
          </w:p>
        </w:tc>
      </w:tr>
      <w:tr w:rsidR="00B94590" w:rsidRPr="00B94590" w:rsidTr="0096548A">
        <w:trPr>
          <w:trHeight w:val="312"/>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VBPBP</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budžeta un pašvaldību budžeta pārskatu sistēma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VID</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ieņēmumu dienests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VITA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informācijas tīkla aģentūra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VK</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Valsts kase</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VNDPT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nozīmes datu pārraides tīkls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VPN</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Virtuāls privāts tīkls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VSAA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Valsts sociālās apdrošināšanas aģentūra</w:t>
            </w:r>
          </w:p>
        </w:tc>
      </w:tr>
      <w:tr w:rsidR="00B94590" w:rsidRPr="00B94590" w:rsidTr="0096548A">
        <w:trPr>
          <w:trHeight w:val="52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VVBPIS</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vienotā budžeta plānošanas un izpildes informācijas sistēma</w:t>
            </w:r>
          </w:p>
        </w:tc>
      </w:tr>
      <w:tr w:rsidR="00B94590" w:rsidRPr="00B94590" w:rsidTr="0096548A">
        <w:trPr>
          <w:trHeight w:val="5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XML</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Extensible Markup Language</w:t>
            </w:r>
            <w:r w:rsidRPr="00B94590">
              <w:rPr>
                <w:lang w:val="lv-LV"/>
              </w:rPr>
              <w:t xml:space="preserve"> (paplašināmās iezīmēšanas valoda, valoda XML)</w:t>
            </w:r>
          </w:p>
        </w:tc>
      </w:tr>
      <w:tr w:rsidR="00E71A92" w:rsidRPr="00B94590" w:rsidTr="0096548A">
        <w:trPr>
          <w:trHeight w:val="531"/>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WSDL</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 xml:space="preserve">Web Service Definition Language </w:t>
            </w:r>
            <w:r w:rsidRPr="00B94590">
              <w:rPr>
                <w:lang w:val="lv-LV"/>
              </w:rPr>
              <w:t>(tīmekļa pakalpojumu apraksta valoda, valoda WSDL)</w:t>
            </w:r>
          </w:p>
        </w:tc>
      </w:tr>
    </w:tbl>
    <w:p w:rsidR="00E71A92" w:rsidRPr="00B94590" w:rsidRDefault="00E71A92" w:rsidP="00E71A92">
      <w:pPr>
        <w:rPr>
          <w:lang w:eastAsia="en-US"/>
        </w:rPr>
      </w:pPr>
      <w:bookmarkStart w:id="21" w:name="_Toc292619566"/>
      <w:bookmarkStart w:id="22" w:name="_Toc293616259"/>
    </w:p>
    <w:p w:rsidR="00ED55CF" w:rsidRPr="00B94590" w:rsidRDefault="00ED55CF" w:rsidP="00A65510">
      <w:pPr>
        <w:pStyle w:val="Heading2"/>
        <w:jc w:val="both"/>
        <w:rPr>
          <w:lang w:val="lv-LV"/>
        </w:rPr>
      </w:pPr>
      <w:r w:rsidRPr="00B94590">
        <w:rPr>
          <w:lang w:val="lv-LV"/>
        </w:rPr>
        <w:t>Atsauces - saistītie dokumenti</w:t>
      </w:r>
      <w:bookmarkEnd w:id="21"/>
      <w:bookmarkEnd w:id="22"/>
    </w:p>
    <w:bookmarkEnd w:id="20"/>
    <w:p w:rsidR="00ED55CF" w:rsidRPr="00B94590" w:rsidRDefault="00ED55CF" w:rsidP="00AE0FB9">
      <w:pPr>
        <w:numPr>
          <w:ilvl w:val="0"/>
          <w:numId w:val="2"/>
        </w:numPr>
        <w:tabs>
          <w:tab w:val="clear" w:pos="454"/>
          <w:tab w:val="num" w:pos="1174"/>
        </w:tabs>
        <w:spacing w:after="120"/>
        <w:ind w:left="1174"/>
        <w:jc w:val="both"/>
      </w:pPr>
      <w:r w:rsidRPr="00B94590">
        <w:t>Fizisko personu datu aizsardzības likums</w:t>
      </w:r>
    </w:p>
    <w:p w:rsidR="00E13A06" w:rsidRPr="00B94590" w:rsidRDefault="00E13A06" w:rsidP="00AE0FB9">
      <w:pPr>
        <w:numPr>
          <w:ilvl w:val="0"/>
          <w:numId w:val="2"/>
        </w:numPr>
        <w:tabs>
          <w:tab w:val="clear" w:pos="454"/>
          <w:tab w:val="num" w:pos="1174"/>
        </w:tabs>
        <w:spacing w:after="120"/>
        <w:ind w:left="1174"/>
        <w:jc w:val="both"/>
      </w:pPr>
      <w:r w:rsidRPr="00B94590">
        <w:t>Likums par budžetu un finanšu vadību</w:t>
      </w:r>
    </w:p>
    <w:p w:rsidR="00A978A5" w:rsidRPr="00B94590" w:rsidRDefault="00A978A5" w:rsidP="00A978A5">
      <w:pPr>
        <w:numPr>
          <w:ilvl w:val="0"/>
          <w:numId w:val="2"/>
        </w:numPr>
        <w:tabs>
          <w:tab w:val="clear" w:pos="454"/>
          <w:tab w:val="num" w:pos="1174"/>
        </w:tabs>
        <w:spacing w:after="120"/>
        <w:ind w:left="1174"/>
        <w:jc w:val="both"/>
      </w:pPr>
      <w:r w:rsidRPr="00B94590">
        <w:t>Valsts informācijas sistēmu likums</w:t>
      </w:r>
    </w:p>
    <w:p w:rsidR="00A978A5" w:rsidRPr="00B94590" w:rsidRDefault="00A978A5" w:rsidP="00AE0FB9">
      <w:pPr>
        <w:numPr>
          <w:ilvl w:val="0"/>
          <w:numId w:val="2"/>
        </w:numPr>
        <w:tabs>
          <w:tab w:val="clear" w:pos="454"/>
          <w:tab w:val="num" w:pos="1174"/>
        </w:tabs>
        <w:spacing w:after="120"/>
        <w:ind w:left="1174"/>
        <w:jc w:val="both"/>
      </w:pPr>
      <w:r w:rsidRPr="00B94590">
        <w:t>Valsts un pašvaldību institūciju amatpersonu un darbinieku atlīdzības likums</w:t>
      </w:r>
    </w:p>
    <w:p w:rsidR="003417CB" w:rsidRPr="00B94590" w:rsidRDefault="003417CB" w:rsidP="003417CB">
      <w:pPr>
        <w:numPr>
          <w:ilvl w:val="0"/>
          <w:numId w:val="2"/>
        </w:numPr>
        <w:tabs>
          <w:tab w:val="clear" w:pos="454"/>
          <w:tab w:val="num" w:pos="1174"/>
        </w:tabs>
        <w:spacing w:after="120"/>
        <w:ind w:left="1174"/>
        <w:jc w:val="both"/>
      </w:pPr>
      <w:bookmarkStart w:id="23" w:name="_Ref50965450"/>
      <w:r w:rsidRPr="00B94590">
        <w:t>Ministru kabineta 2005.gada 11.oktobra noteikumi Nr. 764 „Valsts informācijas sistēmu vispārējās tehniskās prasības”</w:t>
      </w:r>
    </w:p>
    <w:p w:rsidR="00ED55CF" w:rsidRPr="00B94590" w:rsidRDefault="00ED55CF" w:rsidP="00AE0FB9">
      <w:pPr>
        <w:numPr>
          <w:ilvl w:val="0"/>
          <w:numId w:val="2"/>
        </w:numPr>
        <w:tabs>
          <w:tab w:val="clear" w:pos="454"/>
          <w:tab w:val="num" w:pos="1174"/>
        </w:tabs>
        <w:spacing w:after="120"/>
        <w:ind w:left="1174"/>
        <w:jc w:val="both"/>
      </w:pPr>
      <w:r w:rsidRPr="00B94590">
        <w:t>M</w:t>
      </w:r>
      <w:r w:rsidR="005B6B52" w:rsidRPr="00B94590">
        <w:t>inistru kabineta 20</w:t>
      </w:r>
      <w:r w:rsidR="00D10C0B" w:rsidRPr="00B94590">
        <w:t>05.gada 11.oktobra</w:t>
      </w:r>
      <w:r w:rsidR="005B6B52" w:rsidRPr="00B94590">
        <w:t xml:space="preserve"> </w:t>
      </w:r>
      <w:r w:rsidRPr="00B94590">
        <w:t xml:space="preserve">noteikumi Nr. </w:t>
      </w:r>
      <w:bookmarkEnd w:id="23"/>
      <w:r w:rsidRPr="00B94590">
        <w:t>765</w:t>
      </w:r>
      <w:r w:rsidR="005B6B52" w:rsidRPr="00B94590">
        <w:t xml:space="preserve"> „Valsts informācijas sistēmu vispārējās drošības prasības”</w:t>
      </w:r>
    </w:p>
    <w:p w:rsidR="00D10C0B" w:rsidRPr="00B94590" w:rsidRDefault="00D10C0B" w:rsidP="00D10C0B">
      <w:pPr>
        <w:numPr>
          <w:ilvl w:val="0"/>
          <w:numId w:val="2"/>
        </w:numPr>
        <w:tabs>
          <w:tab w:val="clear" w:pos="454"/>
          <w:tab w:val="num" w:pos="1174"/>
        </w:tabs>
        <w:spacing w:after="120"/>
        <w:ind w:left="1174"/>
        <w:jc w:val="both"/>
      </w:pPr>
      <w:r w:rsidRPr="00B94590">
        <w:t xml:space="preserve">Ministru kabineta 2007.gada 20.marta noteikumi Nr. 198 „Noteikumi par valsts budžeta izdevumu kopapjoma un maksimāli pieļaujamā valsts budžeta izdevumu kopējā apjoma katrai ministrijai un citām centrālajām valsts iestādēm noteikšanas metodiku vidējam termiņam” </w:t>
      </w:r>
    </w:p>
    <w:p w:rsidR="00D10C0B" w:rsidRPr="00B94590" w:rsidRDefault="00D10C0B" w:rsidP="00D10C0B">
      <w:pPr>
        <w:numPr>
          <w:ilvl w:val="0"/>
          <w:numId w:val="2"/>
        </w:numPr>
        <w:tabs>
          <w:tab w:val="clear" w:pos="454"/>
          <w:tab w:val="num" w:pos="1174"/>
        </w:tabs>
        <w:spacing w:after="120"/>
        <w:ind w:left="1174"/>
        <w:jc w:val="both"/>
      </w:pPr>
      <w:r w:rsidRPr="00B94590">
        <w:t>Ministru kabineta 2009.gada 3.oktobra noteikumi Nr. 1127 „Noteikumi par budžeta pieprasījumu izstrādāšanas un iesniegšanas pamatprincipiem”</w:t>
      </w:r>
    </w:p>
    <w:p w:rsidR="00D10C0B" w:rsidRPr="00B94590" w:rsidRDefault="00D10C0B" w:rsidP="00D10C0B">
      <w:pPr>
        <w:numPr>
          <w:ilvl w:val="0"/>
          <w:numId w:val="2"/>
        </w:numPr>
        <w:tabs>
          <w:tab w:val="clear" w:pos="454"/>
          <w:tab w:val="num" w:pos="1174"/>
        </w:tabs>
        <w:spacing w:after="120"/>
        <w:ind w:left="1174"/>
        <w:jc w:val="both"/>
      </w:pPr>
      <w:r w:rsidRPr="00B94590">
        <w:t xml:space="preserve">Ministru kabineta </w:t>
      </w:r>
      <w:r w:rsidR="00E301C8" w:rsidRPr="00B94590">
        <w:t>2011</w:t>
      </w:r>
      <w:r w:rsidRPr="00B94590">
        <w:t xml:space="preserve">.gada </w:t>
      </w:r>
      <w:r w:rsidR="00E301C8" w:rsidRPr="00B94590">
        <w:t>31.maija</w:t>
      </w:r>
      <w:r w:rsidRPr="00B94590">
        <w:t xml:space="preserve"> noteikumi Nr.</w:t>
      </w:r>
      <w:r w:rsidR="00E301C8" w:rsidRPr="00B94590">
        <w:t xml:space="preserve">425 </w:t>
      </w:r>
      <w:r w:rsidRPr="00B94590">
        <w:t>"Kontu lietošanas un maksājumu izpildes kārtība Valsts kasē”</w:t>
      </w:r>
    </w:p>
    <w:p w:rsidR="00422CA1" w:rsidRDefault="004A50B3" w:rsidP="00422CA1">
      <w:pPr>
        <w:numPr>
          <w:ilvl w:val="0"/>
          <w:numId w:val="2"/>
        </w:numPr>
        <w:tabs>
          <w:tab w:val="clear" w:pos="454"/>
          <w:tab w:val="num" w:pos="1174"/>
        </w:tabs>
        <w:spacing w:after="120"/>
        <w:ind w:left="1174"/>
      </w:pPr>
      <w:r w:rsidRPr="00B94590">
        <w:t xml:space="preserve">Ministru kabineta 2009. gada 15. </w:t>
      </w:r>
      <w:r w:rsidR="007729AD" w:rsidRPr="00B94590">
        <w:t>d</w:t>
      </w:r>
      <w:r w:rsidRPr="00B94590">
        <w:t>ecem</w:t>
      </w:r>
      <w:r w:rsidR="007729AD" w:rsidRPr="00B94590">
        <w:t>b</w:t>
      </w:r>
      <w:r w:rsidRPr="00B94590">
        <w:t>ra noteikumi Nr. 1486 „Kārtība, kādā budžeta iestādes kārto grāmatvedības uzskaiti”</w:t>
      </w:r>
    </w:p>
    <w:p w:rsidR="00D10C0B" w:rsidRPr="00B94590" w:rsidRDefault="00D10C0B" w:rsidP="00D10C0B">
      <w:pPr>
        <w:numPr>
          <w:ilvl w:val="0"/>
          <w:numId w:val="2"/>
        </w:numPr>
        <w:tabs>
          <w:tab w:val="clear" w:pos="454"/>
          <w:tab w:val="num" w:pos="1174"/>
        </w:tabs>
        <w:spacing w:after="120"/>
        <w:ind w:left="1174"/>
        <w:jc w:val="both"/>
      </w:pPr>
      <w:r w:rsidRPr="00B94590">
        <w:rPr>
          <w:bCs/>
        </w:rPr>
        <w:lastRenderedPageBreak/>
        <w:t>Ministru kabineta 2010.gada 13.aprīļa noteikumi Nr. 357 „Kārtība, kādā iestādes sadarbojoties sniedz informāciju elektroniskā veidā, kā arī nodrošina un apliecina šādas informācijas patiesumu”</w:t>
      </w:r>
      <w:r w:rsidRPr="00B94590">
        <w:t xml:space="preserve"> </w:t>
      </w:r>
    </w:p>
    <w:p w:rsidR="00D10C0B" w:rsidRDefault="00D10C0B" w:rsidP="00D10C0B">
      <w:pPr>
        <w:numPr>
          <w:ilvl w:val="0"/>
          <w:numId w:val="2"/>
        </w:numPr>
        <w:tabs>
          <w:tab w:val="clear" w:pos="454"/>
          <w:tab w:val="num" w:pos="1174"/>
        </w:tabs>
        <w:spacing w:after="120"/>
        <w:ind w:left="1174"/>
        <w:jc w:val="both"/>
      </w:pPr>
      <w:r w:rsidRPr="00B94590">
        <w:t>Ministru kabineta 2010.gada 21.jūnija noteikumi Nr. 541 „Noteikumi par valsts un pašvaldību institūciju amatpersonu un darbinieku atlīdzības uzskaites sistēmu”</w:t>
      </w:r>
    </w:p>
    <w:p w:rsidR="007477F7" w:rsidRPr="00B94590" w:rsidRDefault="007477F7" w:rsidP="00D10C0B">
      <w:pPr>
        <w:numPr>
          <w:ilvl w:val="0"/>
          <w:numId w:val="2"/>
        </w:numPr>
        <w:tabs>
          <w:tab w:val="clear" w:pos="454"/>
          <w:tab w:val="num" w:pos="1174"/>
        </w:tabs>
        <w:spacing w:after="120"/>
        <w:ind w:left="1174"/>
        <w:jc w:val="both"/>
      </w:pPr>
      <w:r>
        <w:t>Ministru kabineta 2010.gada 10.augusta noteikumi Nr. 766 „Noteikumi par darbības programmas „Infrastruktūra un pakalpojumi” papildinājumu 3.2.2.1.1. apakšaktivitātes „Informācijas sistēmu un elektronisko pakalpojumu attīstība” projektu iesniegumu atlases otru kārtu”</w:t>
      </w:r>
    </w:p>
    <w:p w:rsidR="00741CC1" w:rsidRPr="00B94590" w:rsidRDefault="00741CC1" w:rsidP="007111EF">
      <w:pPr>
        <w:numPr>
          <w:ilvl w:val="0"/>
          <w:numId w:val="2"/>
        </w:numPr>
        <w:tabs>
          <w:tab w:val="clear" w:pos="454"/>
          <w:tab w:val="num" w:pos="1174"/>
        </w:tabs>
        <w:spacing w:after="120"/>
        <w:ind w:left="1174"/>
        <w:jc w:val="both"/>
      </w:pPr>
      <w:r w:rsidRPr="00B94590">
        <w:t xml:space="preserve">Ministru kabineta </w:t>
      </w:r>
      <w:r w:rsidR="003541D1" w:rsidRPr="00B94590">
        <w:t>20</w:t>
      </w:r>
      <w:r w:rsidR="00D10C0B" w:rsidRPr="00B94590">
        <w:t xml:space="preserve">10.gada 17.augusta noteikumi </w:t>
      </w:r>
      <w:r w:rsidRPr="00B94590">
        <w:t>Nr. 777 „Gada pārskata sagatavošanas kārtība”</w:t>
      </w:r>
    </w:p>
    <w:p w:rsidR="0072096D" w:rsidRPr="00B94590" w:rsidRDefault="0072096D" w:rsidP="005B6B52">
      <w:pPr>
        <w:numPr>
          <w:ilvl w:val="0"/>
          <w:numId w:val="2"/>
        </w:numPr>
        <w:tabs>
          <w:tab w:val="clear" w:pos="454"/>
          <w:tab w:val="num" w:pos="1174"/>
        </w:tabs>
        <w:spacing w:after="120"/>
        <w:ind w:left="1174"/>
        <w:jc w:val="both"/>
      </w:pPr>
      <w:r w:rsidRPr="00B94590">
        <w:t xml:space="preserve">Valsts kancelejas sagatavotās </w:t>
      </w:r>
      <w:r w:rsidR="00930746" w:rsidRPr="00B94590">
        <w:t>Vienotās c</w:t>
      </w:r>
      <w:r w:rsidRPr="00B94590">
        <w:t xml:space="preserve">ilvēkresursu attīstības un vienotās cilvēkresursu informācijas </w:t>
      </w:r>
      <w:r w:rsidR="00930746" w:rsidRPr="00B94590">
        <w:t xml:space="preserve">un </w:t>
      </w:r>
      <w:r w:rsidRPr="00B94590">
        <w:t>vadības sistēmas koncepcija</w:t>
      </w:r>
      <w:r w:rsidR="00930746" w:rsidRPr="00B94590">
        <w:t xml:space="preserve">s </w:t>
      </w:r>
      <w:r w:rsidR="00252511" w:rsidRPr="00B94590">
        <w:t>projekts (VSS- 228)</w:t>
      </w:r>
    </w:p>
    <w:p w:rsidR="00E36FA0" w:rsidRDefault="00252511" w:rsidP="005B6B52">
      <w:pPr>
        <w:numPr>
          <w:ilvl w:val="0"/>
          <w:numId w:val="2"/>
        </w:numPr>
        <w:tabs>
          <w:tab w:val="clear" w:pos="454"/>
          <w:tab w:val="num" w:pos="1174"/>
        </w:tabs>
        <w:spacing w:after="120"/>
        <w:ind w:left="1174"/>
        <w:jc w:val="both"/>
      </w:pPr>
      <w:r w:rsidRPr="00B94590">
        <w:t>Ministru kabineta komitejas 2011.gada 27.jūnija sēdes protokols Nr 25 §1 „Vienotās cilvēkresursu informācijas un vadības sistēmas koncepcijas projekts” (TA-1571)</w:t>
      </w:r>
    </w:p>
    <w:p w:rsidR="00E36FA0" w:rsidRPr="004A7151" w:rsidRDefault="00E36FA0" w:rsidP="005B6B52">
      <w:pPr>
        <w:numPr>
          <w:ilvl w:val="0"/>
          <w:numId w:val="2"/>
        </w:numPr>
        <w:tabs>
          <w:tab w:val="clear" w:pos="454"/>
          <w:tab w:val="num" w:pos="1174"/>
        </w:tabs>
        <w:spacing w:after="120"/>
        <w:ind w:left="1174"/>
        <w:jc w:val="both"/>
      </w:pPr>
      <w:r w:rsidRPr="004A7151">
        <w:t>Ministru kabineta 2011.gada 28.septembra rīkojums Nr.486 „Grozījumi darbības programmā „Cilvēkresursi un nodarbinātība”</w:t>
      </w:r>
    </w:p>
    <w:p w:rsidR="00780EBC" w:rsidRDefault="00E36FA0" w:rsidP="005B6B52">
      <w:pPr>
        <w:numPr>
          <w:ilvl w:val="0"/>
          <w:numId w:val="2"/>
        </w:numPr>
        <w:tabs>
          <w:tab w:val="clear" w:pos="454"/>
          <w:tab w:val="num" w:pos="1174"/>
        </w:tabs>
        <w:spacing w:after="120"/>
        <w:ind w:left="1174"/>
        <w:jc w:val="both"/>
      </w:pPr>
      <w:r w:rsidRPr="004A7151">
        <w:t>Ministru kabineta 2011.gada 2.novembra rīkojums Nr. 574 „Grozījumi darbības programmas „Cilvēkresursi un nodarbinātība” papildinājumā”</w:t>
      </w:r>
    </w:p>
    <w:p w:rsidR="00252511" w:rsidRPr="000B25FC" w:rsidRDefault="00780EBC" w:rsidP="005B6B52">
      <w:pPr>
        <w:numPr>
          <w:ilvl w:val="0"/>
          <w:numId w:val="2"/>
        </w:numPr>
        <w:tabs>
          <w:tab w:val="clear" w:pos="454"/>
          <w:tab w:val="num" w:pos="1174"/>
        </w:tabs>
        <w:spacing w:after="120"/>
        <w:ind w:left="1174"/>
        <w:jc w:val="both"/>
      </w:pPr>
      <w:r w:rsidRPr="000B25FC">
        <w:t>Valsts kancelejas projekta Nr. 1DP/1.5.2.1.0/08/IPIA/SIF/002/01 „Cilvēkresursu vadības un informācijas tehnoloģiju sistēmas izstrāde un ieviešana” ietvaros SIA „Ernst &amp; Young Baltic” veiktie nodevumi</w:t>
      </w:r>
      <w:r w:rsidR="00252511" w:rsidRPr="000B25FC">
        <w:t xml:space="preserve">. </w:t>
      </w:r>
    </w:p>
    <w:p w:rsidR="00BA6414" w:rsidRPr="000B25FC" w:rsidRDefault="00BA6414" w:rsidP="00BA6414">
      <w:pPr>
        <w:pStyle w:val="Heading2"/>
        <w:numPr>
          <w:ilvl w:val="0"/>
          <w:numId w:val="0"/>
        </w:numPr>
        <w:ind w:left="576"/>
        <w:jc w:val="both"/>
        <w:rPr>
          <w:lang w:val="lv-LV"/>
        </w:rPr>
      </w:pPr>
      <w:bookmarkStart w:id="24" w:name="_Toc292619567"/>
      <w:bookmarkStart w:id="25" w:name="_Toc293616260"/>
    </w:p>
    <w:p w:rsidR="00ED55CF" w:rsidRPr="00B94590" w:rsidRDefault="00ED55CF" w:rsidP="00A65510">
      <w:pPr>
        <w:pStyle w:val="Heading2"/>
        <w:jc w:val="both"/>
        <w:rPr>
          <w:lang w:val="lv-LV"/>
        </w:rPr>
      </w:pPr>
      <w:r w:rsidRPr="00B94590">
        <w:rPr>
          <w:lang w:val="lv-LV"/>
        </w:rPr>
        <w:t>Dokumenta pārskats</w:t>
      </w:r>
      <w:bookmarkEnd w:id="24"/>
      <w:bookmarkEnd w:id="25"/>
    </w:p>
    <w:p w:rsidR="00ED55CF" w:rsidRPr="00B94590" w:rsidRDefault="00ED55CF" w:rsidP="00A65510">
      <w:pPr>
        <w:pStyle w:val="Dokteksts"/>
        <w:jc w:val="both"/>
        <w:rPr>
          <w:lang w:val="lv-LV"/>
        </w:rPr>
      </w:pPr>
      <w:r w:rsidRPr="00B94590">
        <w:rPr>
          <w:lang w:val="lv-LV"/>
        </w:rPr>
        <w:t>Dokuments sastāv no šādiem nodalījumiem:</w:t>
      </w:r>
    </w:p>
    <w:tbl>
      <w:tblPr>
        <w:tblW w:w="0" w:type="auto"/>
        <w:tblLook w:val="01E0" w:firstRow="1" w:lastRow="1" w:firstColumn="1" w:lastColumn="1" w:noHBand="0" w:noVBand="0"/>
      </w:tblPr>
      <w:tblGrid>
        <w:gridCol w:w="2259"/>
        <w:gridCol w:w="5982"/>
      </w:tblGrid>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t>1.nodalījums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_Ref50345073 \h  \* MERGEFORMAT </w:instrText>
            </w:r>
            <w:r w:rsidRPr="00B94590">
              <w:fldChar w:fldCharType="separate"/>
            </w:r>
            <w:r w:rsidR="00B34772" w:rsidRPr="00B34772">
              <w:rPr>
                <w:b/>
                <w:caps/>
                <w:lang w:val="lv-LV"/>
              </w:rPr>
              <w:t>Ievads</w:t>
            </w:r>
            <w:r w:rsidRPr="00B94590">
              <w:fldChar w:fldCharType="end"/>
            </w:r>
          </w:p>
          <w:p w:rsidR="00ED55CF" w:rsidRPr="00B94590" w:rsidRDefault="00ED55CF" w:rsidP="00A65510">
            <w:pPr>
              <w:pStyle w:val="Tabulasteksts"/>
              <w:jc w:val="both"/>
              <w:rPr>
                <w:lang w:val="lv-LV"/>
              </w:rPr>
            </w:pPr>
            <w:r w:rsidRPr="00B94590">
              <w:rPr>
                <w:lang w:val="lv-LV"/>
              </w:rPr>
              <w:t>Dokumenta auditorijas raksturojums, lietojamība, nolūks, lietošanas apraksts, norādes uz saistītiem dokumentiem, pieņemtie apzīmējumi un dokumenta kopsavilkums</w:t>
            </w:r>
          </w:p>
        </w:tc>
      </w:tr>
      <w:tr w:rsidR="00B94590" w:rsidRPr="00B94590" w:rsidTr="005B6B52">
        <w:trPr>
          <w:trHeight w:val="1063"/>
        </w:trPr>
        <w:tc>
          <w:tcPr>
            <w:tcW w:w="2259" w:type="dxa"/>
          </w:tcPr>
          <w:p w:rsidR="00ED55CF" w:rsidRPr="00B94590" w:rsidRDefault="00ED55CF" w:rsidP="00A65510">
            <w:pPr>
              <w:pStyle w:val="Dokteksts"/>
              <w:jc w:val="both"/>
              <w:rPr>
                <w:b/>
                <w:lang w:val="lv-LV"/>
              </w:rPr>
            </w:pPr>
            <w:r w:rsidRPr="00B94590">
              <w:rPr>
                <w:b/>
                <w:lang w:val="lv-LV"/>
              </w:rPr>
              <w:t>2.nodalījums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_Ref50345097 \h  \* MERGEFORMAT </w:instrText>
            </w:r>
            <w:r w:rsidRPr="00B94590">
              <w:fldChar w:fldCharType="separate"/>
            </w:r>
            <w:r w:rsidR="00B34772" w:rsidRPr="00B34772">
              <w:rPr>
                <w:b/>
                <w:caps/>
                <w:lang w:val="lv-LV"/>
              </w:rPr>
              <w:t>Esošās situācijas apraksts</w:t>
            </w:r>
            <w:r w:rsidRPr="00B94590">
              <w:fldChar w:fldCharType="end"/>
            </w:r>
          </w:p>
          <w:p w:rsidR="00ED55CF" w:rsidRPr="00B94590" w:rsidRDefault="00ED55CF" w:rsidP="00A65510">
            <w:pPr>
              <w:pStyle w:val="Tabulasteksts"/>
              <w:jc w:val="both"/>
              <w:rPr>
                <w:lang w:val="lv-LV"/>
              </w:rPr>
            </w:pPr>
            <w:r w:rsidRPr="00B94590">
              <w:rPr>
                <w:lang w:val="lv-LV"/>
              </w:rPr>
              <w:t xml:space="preserve">Esošā situācija </w:t>
            </w:r>
            <w:r w:rsidR="009A53E1" w:rsidRPr="00B94590">
              <w:rPr>
                <w:lang w:val="lv-LV"/>
              </w:rPr>
              <w:t>valsts iestāžu finanšu un vadības grāmatvedības sistēmu</w:t>
            </w:r>
            <w:r w:rsidRPr="00B94590">
              <w:rPr>
                <w:lang w:val="lv-LV"/>
              </w:rPr>
              <w:t xml:space="preserve"> procesā, un pielietotie </w:t>
            </w:r>
            <w:r w:rsidR="0083774F" w:rsidRPr="00B94590">
              <w:rPr>
                <w:lang w:val="lv-LV"/>
              </w:rPr>
              <w:t>d</w:t>
            </w:r>
            <w:r w:rsidRPr="00B94590">
              <w:rPr>
                <w:lang w:val="lv-LV"/>
              </w:rPr>
              <w:t xml:space="preserve">atu apmaiņas risinājumi </w:t>
            </w:r>
          </w:p>
        </w:tc>
      </w:tr>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t>3.nodalījums</w:t>
            </w:r>
          </w:p>
        </w:tc>
        <w:tc>
          <w:tcPr>
            <w:tcW w:w="5982" w:type="dxa"/>
          </w:tcPr>
          <w:p w:rsidR="00B34772" w:rsidRPr="00B34772" w:rsidRDefault="00AC6746" w:rsidP="00B34772">
            <w:pPr>
              <w:pStyle w:val="Tabulasteksts"/>
              <w:rPr>
                <w:b/>
                <w:caps/>
                <w:lang w:val="lv-LV"/>
              </w:rPr>
            </w:pPr>
            <w:r w:rsidRPr="00B94590">
              <w:rPr>
                <w:b/>
                <w:caps/>
                <w:lang w:val="lv-LV"/>
              </w:rPr>
              <w:fldChar w:fldCharType="begin"/>
            </w:r>
            <w:r w:rsidR="00ED55CF" w:rsidRPr="00B94590">
              <w:rPr>
                <w:b/>
                <w:caps/>
                <w:lang w:val="lv-LV"/>
              </w:rPr>
              <w:instrText xml:space="preserve"> REF _Ref51140323 \h  \* MERGEFORMAT </w:instrText>
            </w:r>
            <w:r w:rsidRPr="00B94590">
              <w:rPr>
                <w:b/>
                <w:caps/>
                <w:lang w:val="lv-LV"/>
              </w:rPr>
            </w:r>
            <w:r w:rsidRPr="00B94590">
              <w:rPr>
                <w:b/>
                <w:caps/>
                <w:lang w:val="lv-LV"/>
              </w:rPr>
              <w:fldChar w:fldCharType="separate"/>
            </w:r>
            <w:r w:rsidR="00B34772" w:rsidRPr="00B34772">
              <w:rPr>
                <w:b/>
                <w:caps/>
                <w:lang w:val="lv-LV"/>
              </w:rPr>
              <w:t xml:space="preserve"> IETEICAMĀS SISTĒMAS IZMAIŅAS</w:t>
            </w:r>
          </w:p>
          <w:p w:rsidR="00ED55CF" w:rsidRPr="00031A59" w:rsidRDefault="00AC6746" w:rsidP="00A65510">
            <w:pPr>
              <w:pStyle w:val="Tabulasteksts"/>
              <w:jc w:val="both"/>
              <w:rPr>
                <w:b/>
                <w:color w:val="00B050"/>
                <w:lang w:val="lv-LV"/>
              </w:rPr>
            </w:pPr>
            <w:r w:rsidRPr="00B94590">
              <w:rPr>
                <w:b/>
                <w:caps/>
                <w:lang w:val="lv-LV"/>
              </w:rPr>
              <w:fldChar w:fldCharType="end"/>
            </w:r>
            <w:r w:rsidR="00ED55CF" w:rsidRPr="00B94590">
              <w:rPr>
                <w:lang w:val="lv-LV"/>
              </w:rPr>
              <w:t>Pamatotas un aprakstītas izmaiņas, kas saistītas ar</w:t>
            </w:r>
            <w:r w:rsidR="009A53E1" w:rsidRPr="00B94590">
              <w:rPr>
                <w:lang w:val="lv-LV"/>
              </w:rPr>
              <w:t xml:space="preserve"> vienotu</w:t>
            </w:r>
            <w:r w:rsidR="005B6B52" w:rsidRPr="00B94590">
              <w:rPr>
                <w:lang w:val="lv-LV"/>
              </w:rPr>
              <w:t xml:space="preserve"> </w:t>
            </w:r>
            <w:r w:rsidR="009A53E1" w:rsidRPr="00B94590">
              <w:rPr>
                <w:lang w:val="lv-LV"/>
              </w:rPr>
              <w:t>finanšu un vadības grāmatvedības sistēmu</w:t>
            </w:r>
            <w:r w:rsidR="00ED55CF" w:rsidRPr="00B94590">
              <w:rPr>
                <w:lang w:val="lv-LV"/>
              </w:rPr>
              <w:t xml:space="preserve"> ieviešanu</w:t>
            </w:r>
            <w:r w:rsidR="00031A59">
              <w:rPr>
                <w:lang w:val="lv-LV"/>
              </w:rPr>
              <w:t xml:space="preserve"> </w:t>
            </w:r>
            <w:r w:rsidR="00031A59" w:rsidRPr="002F5C4D">
              <w:rPr>
                <w:lang w:val="lv-LV"/>
              </w:rPr>
              <w:t>un PUD pārnesi un tās turpmāko pilnveidoto darbību VBPBP sistēmā</w:t>
            </w:r>
          </w:p>
        </w:tc>
      </w:tr>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lastRenderedPageBreak/>
              <w:t>4.nodalījums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_Ref260208187 \h  \* MERGEFORMAT </w:instrText>
            </w:r>
            <w:r w:rsidRPr="00B94590">
              <w:fldChar w:fldCharType="separate"/>
            </w:r>
            <w:r w:rsidR="00B34772" w:rsidRPr="00B34772">
              <w:rPr>
                <w:b/>
                <w:caps/>
                <w:lang w:val="lv-LV"/>
              </w:rPr>
              <w:t>modifcētO sistēmU</w:t>
            </w:r>
            <w:r w:rsidR="00B34772" w:rsidRPr="00B34772">
              <w:rPr>
                <w:b/>
                <w:lang w:val="lv-LV"/>
              </w:rPr>
              <w:t xml:space="preserve"> KONCEPCIJA</w:t>
            </w:r>
            <w:r w:rsidRPr="00B94590">
              <w:fldChar w:fldCharType="end"/>
            </w:r>
          </w:p>
          <w:p w:rsidR="00ED55CF" w:rsidRPr="00B94590" w:rsidRDefault="00ED55CF" w:rsidP="00A65510">
            <w:pPr>
              <w:pStyle w:val="Tabulasteksts"/>
              <w:jc w:val="both"/>
              <w:rPr>
                <w:lang w:val="lv-LV"/>
              </w:rPr>
            </w:pPr>
            <w:r w:rsidRPr="00B94590">
              <w:rPr>
                <w:lang w:val="lv-LV"/>
              </w:rPr>
              <w:t>Ieviešam</w:t>
            </w:r>
            <w:r w:rsidR="009A53E1" w:rsidRPr="00B94590">
              <w:rPr>
                <w:lang w:val="lv-LV"/>
              </w:rPr>
              <w:t>o</w:t>
            </w:r>
            <w:r w:rsidRPr="00B94590">
              <w:rPr>
                <w:lang w:val="lv-LV"/>
              </w:rPr>
              <w:t xml:space="preserve"> sistēm</w:t>
            </w:r>
            <w:r w:rsidR="009A53E1" w:rsidRPr="00B94590">
              <w:rPr>
                <w:lang w:val="lv-LV"/>
              </w:rPr>
              <w:t>u</w:t>
            </w:r>
            <w:r w:rsidRPr="00B94590">
              <w:rPr>
                <w:lang w:val="lv-LV"/>
              </w:rPr>
              <w:t xml:space="preserve"> arhitektūra un konceptuālās nostādnes, t.sk. risinājuma finansēšanas iespējas un atbalstāmais finansēšanas variants</w:t>
            </w:r>
            <w:r w:rsidR="00314F75" w:rsidRPr="00B94590">
              <w:rPr>
                <w:lang w:val="lv-LV"/>
              </w:rPr>
              <w:t xml:space="preserve">, kā arī ietekme uz valsts un pašvaldību budžetiem, uzturēšanas izmaksas pēc projekta ieviešanas un ietaupījumi  </w:t>
            </w:r>
          </w:p>
          <w:p w:rsidR="00314F75" w:rsidRPr="00B94590" w:rsidRDefault="00314F75" w:rsidP="00A65510">
            <w:pPr>
              <w:pStyle w:val="Tabulasteksts"/>
              <w:jc w:val="both"/>
              <w:rPr>
                <w:lang w:val="lv-LV"/>
              </w:rPr>
            </w:pPr>
          </w:p>
        </w:tc>
      </w:tr>
      <w:tr w:rsidR="00B94590" w:rsidRPr="00B94590" w:rsidTr="005B6B52">
        <w:trPr>
          <w:trHeight w:val="1063"/>
        </w:trPr>
        <w:tc>
          <w:tcPr>
            <w:tcW w:w="2259" w:type="dxa"/>
          </w:tcPr>
          <w:p w:rsidR="00ED55CF" w:rsidRPr="00B94590" w:rsidRDefault="00ED55CF" w:rsidP="00A65510">
            <w:pPr>
              <w:pStyle w:val="Dokteksts"/>
              <w:jc w:val="both"/>
              <w:rPr>
                <w:b/>
                <w:lang w:val="lv-LV"/>
              </w:rPr>
            </w:pPr>
            <w:r w:rsidRPr="00B94590">
              <w:rPr>
                <w:b/>
                <w:lang w:val="lv-LV"/>
              </w:rPr>
              <w:t>5. nodalījums</w:t>
            </w:r>
          </w:p>
        </w:tc>
        <w:tc>
          <w:tcPr>
            <w:tcW w:w="5982" w:type="dxa"/>
          </w:tcPr>
          <w:p w:rsidR="00314F75" w:rsidRPr="00B94590" w:rsidRDefault="00314F75" w:rsidP="00A65510">
            <w:pPr>
              <w:pStyle w:val="Tabulasteksts"/>
              <w:jc w:val="both"/>
              <w:rPr>
                <w:b/>
                <w:lang w:val="lv-LV"/>
              </w:rPr>
            </w:pPr>
            <w:r w:rsidRPr="00B94590">
              <w:rPr>
                <w:b/>
                <w:lang w:val="lv-LV"/>
              </w:rPr>
              <w:t>DARBĪBAS SCENĀRIJI</w:t>
            </w:r>
          </w:p>
          <w:p w:rsidR="00ED55CF" w:rsidRPr="00B94590" w:rsidRDefault="00ED55CF" w:rsidP="00A65510">
            <w:pPr>
              <w:pStyle w:val="Tabulasteksts"/>
              <w:jc w:val="both"/>
              <w:rPr>
                <w:lang w:val="lv-LV"/>
              </w:rPr>
            </w:pPr>
            <w:r w:rsidRPr="00B94590">
              <w:rPr>
                <w:lang w:val="lv-LV"/>
              </w:rPr>
              <w:t>Aprakstīti vairāki darbības scenāriji, kuri ilustrē modificēt</w:t>
            </w:r>
            <w:r w:rsidR="009A53E1" w:rsidRPr="00B94590">
              <w:rPr>
                <w:lang w:val="lv-LV"/>
              </w:rPr>
              <w:t>o</w:t>
            </w:r>
            <w:r w:rsidRPr="00B94590">
              <w:rPr>
                <w:lang w:val="lv-LV"/>
              </w:rPr>
              <w:t xml:space="preserve"> sistēm</w:t>
            </w:r>
            <w:r w:rsidR="009A53E1" w:rsidRPr="00B94590">
              <w:rPr>
                <w:lang w:val="lv-LV"/>
              </w:rPr>
              <w:t>u</w:t>
            </w:r>
            <w:r w:rsidRPr="00B94590">
              <w:rPr>
                <w:lang w:val="lv-LV"/>
              </w:rPr>
              <w:t xml:space="preserve"> lomu, t</w:t>
            </w:r>
            <w:r w:rsidR="009A53E1" w:rsidRPr="00B94590">
              <w:rPr>
                <w:lang w:val="lv-LV"/>
              </w:rPr>
              <w:t>o</w:t>
            </w:r>
            <w:r w:rsidRPr="00B94590">
              <w:rPr>
                <w:lang w:val="lv-LV"/>
              </w:rPr>
              <w:t xml:space="preserve"> savstarpējo sadarbību ar lietotāju un savstarpējo sadarbību ar citām sistēmām</w:t>
            </w:r>
          </w:p>
        </w:tc>
      </w:tr>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t>6. 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_Ref260207945 \h  \* MERGEFORMAT </w:instrText>
            </w:r>
            <w:r w:rsidRPr="00B94590">
              <w:fldChar w:fldCharType="separate"/>
            </w:r>
            <w:r w:rsidR="00B34772" w:rsidRPr="00B34772">
              <w:rPr>
                <w:b/>
                <w:caps/>
                <w:lang w:val="lv-LV"/>
              </w:rPr>
              <w:t>Ietekmes (impact) kopsavilkums</w:t>
            </w:r>
            <w:r w:rsidRPr="00B94590">
              <w:fldChar w:fldCharType="end"/>
            </w:r>
          </w:p>
          <w:p w:rsidR="00ED55CF" w:rsidRPr="00B94590" w:rsidRDefault="00ED55CF" w:rsidP="00A65510">
            <w:pPr>
              <w:pStyle w:val="Tabulasteksts"/>
              <w:jc w:val="both"/>
              <w:rPr>
                <w:lang w:val="lv-LV"/>
              </w:rPr>
            </w:pPr>
            <w:r w:rsidRPr="00B94590">
              <w:rPr>
                <w:lang w:val="lv-LV"/>
              </w:rPr>
              <w:t>Dots kopsavilkums par ietekmi, kādu modificēt</w:t>
            </w:r>
            <w:r w:rsidR="009A53E1" w:rsidRPr="00B94590">
              <w:rPr>
                <w:lang w:val="lv-LV"/>
              </w:rPr>
              <w:t>o</w:t>
            </w:r>
            <w:r w:rsidRPr="00B94590">
              <w:rPr>
                <w:lang w:val="lv-LV"/>
              </w:rPr>
              <w:t xml:space="preserve"> sistēm</w:t>
            </w:r>
            <w:r w:rsidR="009A53E1" w:rsidRPr="00B94590">
              <w:rPr>
                <w:lang w:val="lv-LV"/>
              </w:rPr>
              <w:t>u</w:t>
            </w:r>
            <w:r w:rsidRPr="00B94590">
              <w:rPr>
                <w:lang w:val="lv-LV"/>
              </w:rPr>
              <w:t xml:space="preserve"> izstrādāšana atstās trijās sfērās: darbības ietekmes, organizatoriskās ietekmes un ietekmes izstrādāšanas laikā</w:t>
            </w:r>
            <w:r w:rsidR="00AE2F7D" w:rsidRPr="00B94590">
              <w:rPr>
                <w:lang w:val="lv-LV"/>
              </w:rPr>
              <w:t>, kā arī nepieciešamās izmaiņas normatīvajos aktos</w:t>
            </w:r>
            <w:r w:rsidRPr="00B94590">
              <w:rPr>
                <w:lang w:val="lv-LV"/>
              </w:rPr>
              <w:t>.</w:t>
            </w:r>
          </w:p>
        </w:tc>
      </w:tr>
      <w:tr w:rsidR="00B94590" w:rsidRPr="00B94590" w:rsidTr="005B6B52">
        <w:trPr>
          <w:trHeight w:val="400"/>
        </w:trPr>
        <w:tc>
          <w:tcPr>
            <w:tcW w:w="2259" w:type="dxa"/>
          </w:tcPr>
          <w:p w:rsidR="00ED55CF" w:rsidRPr="00B94590" w:rsidRDefault="00ED55CF" w:rsidP="00A65510">
            <w:pPr>
              <w:pStyle w:val="Dokteksts"/>
              <w:jc w:val="both"/>
              <w:rPr>
                <w:b/>
                <w:lang w:val="lv-LV"/>
              </w:rPr>
            </w:pPr>
          </w:p>
        </w:tc>
        <w:tc>
          <w:tcPr>
            <w:tcW w:w="5982" w:type="dxa"/>
          </w:tcPr>
          <w:p w:rsidR="00ED55CF" w:rsidRPr="00B94590" w:rsidRDefault="00ED55CF" w:rsidP="00A65510">
            <w:pPr>
              <w:pStyle w:val="Tabulasteksts"/>
              <w:jc w:val="both"/>
              <w:rPr>
                <w:lang w:val="lv-LV"/>
              </w:rPr>
            </w:pPr>
          </w:p>
        </w:tc>
      </w:tr>
      <w:tr w:rsidR="00B94590" w:rsidRPr="00B94590" w:rsidTr="005B6B52">
        <w:trPr>
          <w:trHeight w:val="400"/>
        </w:trPr>
        <w:tc>
          <w:tcPr>
            <w:tcW w:w="2259" w:type="dxa"/>
          </w:tcPr>
          <w:p w:rsidR="005B6B52" w:rsidRPr="00B94590" w:rsidRDefault="005B6B52" w:rsidP="00A65510">
            <w:pPr>
              <w:pStyle w:val="Dokteksts"/>
              <w:jc w:val="both"/>
              <w:rPr>
                <w:b/>
                <w:lang w:val="lv-LV"/>
              </w:rPr>
            </w:pPr>
          </w:p>
        </w:tc>
        <w:tc>
          <w:tcPr>
            <w:tcW w:w="5982" w:type="dxa"/>
          </w:tcPr>
          <w:p w:rsidR="005B6B52" w:rsidRPr="00B94590" w:rsidRDefault="005B6B52" w:rsidP="00A65510">
            <w:pPr>
              <w:pStyle w:val="Tabulasteksts"/>
              <w:jc w:val="both"/>
              <w:rPr>
                <w:lang w:val="lv-LV"/>
              </w:rPr>
            </w:pPr>
          </w:p>
        </w:tc>
      </w:tr>
    </w:tbl>
    <w:p w:rsidR="00ED55CF" w:rsidRPr="00B94590" w:rsidRDefault="005B6B52" w:rsidP="00A65510">
      <w:pPr>
        <w:pStyle w:val="Heading1"/>
        <w:jc w:val="both"/>
        <w:rPr>
          <w:lang w:val="lv-LV"/>
        </w:rPr>
      </w:pPr>
      <w:bookmarkStart w:id="26" w:name="_Ref50345097"/>
      <w:bookmarkStart w:id="27" w:name="_Toc292619568"/>
      <w:bookmarkStart w:id="28" w:name="_Toc293616261"/>
      <w:r w:rsidRPr="00B94590">
        <w:rPr>
          <w:lang w:val="lv-LV"/>
        </w:rPr>
        <w:lastRenderedPageBreak/>
        <w:t>E</w:t>
      </w:r>
      <w:r w:rsidR="00ED55CF" w:rsidRPr="00B94590">
        <w:rPr>
          <w:lang w:val="lv-LV"/>
        </w:rPr>
        <w:t>sošās situācijas apraksts</w:t>
      </w:r>
      <w:bookmarkEnd w:id="26"/>
      <w:bookmarkEnd w:id="27"/>
      <w:bookmarkEnd w:id="28"/>
    </w:p>
    <w:p w:rsidR="00ED55CF" w:rsidRPr="00B94590" w:rsidRDefault="000B5697" w:rsidP="00A65510">
      <w:pPr>
        <w:pStyle w:val="Heading2"/>
        <w:jc w:val="both"/>
        <w:rPr>
          <w:lang w:val="lv-LV"/>
        </w:rPr>
      </w:pPr>
      <w:bookmarkStart w:id="29" w:name="_Toc292619569"/>
      <w:bookmarkStart w:id="30" w:name="_Toc293616262"/>
      <w:bookmarkStart w:id="31" w:name="a"/>
      <w:r w:rsidRPr="00B94590">
        <w:rPr>
          <w:lang w:val="lv-LV"/>
        </w:rPr>
        <w:t>Finanšu un vadības grāmatvedības o</w:t>
      </w:r>
      <w:r w:rsidR="00ED55CF" w:rsidRPr="00B94590">
        <w:rPr>
          <w:lang w:val="lv-LV"/>
        </w:rPr>
        <w:t xml:space="preserve">rganizatoriskais process un informācijas apmaiņas risinājums </w:t>
      </w:r>
      <w:r w:rsidRPr="00B94590">
        <w:rPr>
          <w:lang w:val="lv-LV"/>
        </w:rPr>
        <w:t>valsts pārvaldē</w:t>
      </w:r>
      <w:bookmarkEnd w:id="29"/>
      <w:bookmarkEnd w:id="30"/>
    </w:p>
    <w:p w:rsidR="005B6B52" w:rsidRPr="00B94590" w:rsidRDefault="00A45318" w:rsidP="00A45318">
      <w:pPr>
        <w:jc w:val="both"/>
      </w:pPr>
      <w:bookmarkStart w:id="32" w:name="_Ref50345129"/>
      <w:bookmarkEnd w:id="31"/>
      <w:r w:rsidRPr="00B94590">
        <w:t>Trīs raksturīgākie finanšu uzskait</w:t>
      </w:r>
      <w:r w:rsidR="005B6B52" w:rsidRPr="00B94590">
        <w:t>es modeļi publiskajā sektorā ir:</w:t>
      </w:r>
    </w:p>
    <w:p w:rsidR="005B6B52" w:rsidRPr="00B94590" w:rsidRDefault="00A45318" w:rsidP="005B6B52">
      <w:pPr>
        <w:ind w:left="720"/>
        <w:jc w:val="both"/>
      </w:pPr>
      <w:r w:rsidRPr="00B94590">
        <w:t xml:space="preserve">(1) grāmatvedības uzskaites centralizācija uz vienotas grāmatvedības sistēmas bāzes (turpmāk – bāzes modelis), </w:t>
      </w:r>
    </w:p>
    <w:p w:rsidR="005B6B52" w:rsidRPr="00B94590" w:rsidRDefault="00A45318" w:rsidP="005B6B52">
      <w:pPr>
        <w:ind w:left="720"/>
        <w:jc w:val="both"/>
      </w:pPr>
      <w:r w:rsidRPr="00B94590">
        <w:t>(2) grāmatvedības uzskaites centralizācija uz pakalpojuma bāze</w:t>
      </w:r>
      <w:r w:rsidR="005B6B52" w:rsidRPr="00B94590">
        <w:t xml:space="preserve">s (turpmāk – servisa modelis), </w:t>
      </w:r>
      <w:r w:rsidRPr="00B94590">
        <w:t xml:space="preserve"> </w:t>
      </w:r>
    </w:p>
    <w:p w:rsidR="00A45318" w:rsidRPr="00B94590" w:rsidRDefault="00A45318" w:rsidP="005B6B52">
      <w:pPr>
        <w:ind w:left="720"/>
        <w:jc w:val="both"/>
      </w:pPr>
      <w:r w:rsidRPr="00B94590">
        <w:t xml:space="preserve">(3) jauktais finanšu uzskaites modelis. </w:t>
      </w:r>
    </w:p>
    <w:p w:rsidR="00A45318" w:rsidRPr="00B94590" w:rsidRDefault="00A45318" w:rsidP="00A45318">
      <w:pPr>
        <w:jc w:val="both"/>
      </w:pPr>
      <w:r w:rsidRPr="00B94590">
        <w:rPr>
          <w:i/>
        </w:rPr>
        <w:t>Bāzes modelim</w:t>
      </w:r>
      <w:r w:rsidRPr="00B94590">
        <w:t xml:space="preserve"> raksturīga vienota programmnodrošinājuma pielietošana grāmatvedības uzskaitei gan konsolidējošajā vienībā, gan tās padotības iestādēs. Šajā modelī konsolidējošā vienība veic koordinējošo darbu, kopīgi ar padotības iestādēm izstrādājot vienotu grāmatvedības uzskaites procesu (apstiprina uzskaites politiku, darījumu grāmatošanas rokasgrāmatu u.c.). Darījumu grāmatvedības uzskaite notiek iestādēs atbilstoši vienoti noteiktai metodikai, kas iestrādāta vienotajā grāmatvedības programmnodrošinājumā. Programmnodrošinājums tiek uzturēts centralizēti, iestādēm ar lietotāju tiesību palīdzību nodalīti iestāžu uzskaites moduļi, savukārt konsolidējošā vienība ir tiesīga “skatīšanas” režīmā piekļūt visu iestāžu finanšu informācijai un citiem datiem. </w:t>
      </w:r>
    </w:p>
    <w:p w:rsidR="00A45318" w:rsidRPr="00B94590" w:rsidRDefault="00A45318" w:rsidP="00A45318">
      <w:pPr>
        <w:jc w:val="both"/>
      </w:pPr>
      <w:r w:rsidRPr="00B94590">
        <w:rPr>
          <w:i/>
        </w:rPr>
        <w:t>Servisa modelim</w:t>
      </w:r>
      <w:r w:rsidRPr="00B94590">
        <w:t xml:space="preserve"> raksturīga visu padotības iestāžu grāmatvedības uzskaites veikšana konsolidējošajā vienībā (nozares ministrijā, pašvaldībā). Šajā modelī grāmatvedības uzskaites process (darījumu grāmatošana u.c.) un informācijas apkopošana notiek centralizēti. Padotības iestādes deleģē konsolidējošajai vienībai grāmatvedības uzskaites veikšanas pakalpojumu</w:t>
      </w:r>
      <w:r w:rsidR="000B09E5" w:rsidRPr="00B94590">
        <w:t>, paturot lēmuma tiesības un atbildību par budžeta izpildi</w:t>
      </w:r>
      <w:r w:rsidRPr="00B94590">
        <w:t xml:space="preserve">. </w:t>
      </w:r>
    </w:p>
    <w:p w:rsidR="00A45318" w:rsidRPr="00B94590" w:rsidRDefault="00A45318" w:rsidP="00A45318">
      <w:pPr>
        <w:jc w:val="both"/>
      </w:pPr>
      <w:r w:rsidRPr="00B94590">
        <w:rPr>
          <w:i/>
        </w:rPr>
        <w:t>Jauktajam finanšu uzskaites modelim</w:t>
      </w:r>
      <w:r w:rsidRPr="00B94590">
        <w:t xml:space="preserve"> raksturīgas grāmatvedības uzskaites veikšanas iespējas gan padotības iestādēs, gan šī pakalpojuma deleģēšana nozares ministrijai vai pašvaldībai. Arī šajā situācijā uzskaite organizēta vienotā grāmatvedības uzskaites programmnodrošinājumā, kas tiek uzturēts centrālajā serverī. Konsolidējošā vienība izvērtē savas grāmatvedības uzskaites darbinieku kapacitāti un padotības iestādes darījumu apjomu un vienojas ar konkrēto iestādi par uzskaites funkcijas deleģēšanas lietderību. </w:t>
      </w:r>
    </w:p>
    <w:p w:rsidR="00287FBC" w:rsidRPr="00B94590" w:rsidRDefault="00287FBC" w:rsidP="00A45318">
      <w:pPr>
        <w:jc w:val="both"/>
      </w:pPr>
    </w:p>
    <w:p w:rsidR="00C86C18" w:rsidRPr="00B94590" w:rsidRDefault="00C86C18" w:rsidP="00524D9E">
      <w:pPr>
        <w:jc w:val="both"/>
      </w:pPr>
      <w:r w:rsidRPr="00B94590">
        <w:t>Latvijas Republikas Valsts budžets tiek izstrādāts, apstiprināts un izpildīts saskaņā ar kārtību, kādu nosaka likums „Likums par budžetu un finanšu vadību”. Latvijas Republikas budžeta procesā var izšķirt šādus četrus posmus:</w:t>
      </w:r>
    </w:p>
    <w:p w:rsidR="00C86C18" w:rsidRPr="00B94590" w:rsidRDefault="00C86C18" w:rsidP="00AE0FB9">
      <w:pPr>
        <w:numPr>
          <w:ilvl w:val="0"/>
          <w:numId w:val="18"/>
        </w:numPr>
        <w:jc w:val="both"/>
      </w:pPr>
      <w:r w:rsidRPr="00B94590">
        <w:t>budžeta projekta izstrādāšana;</w:t>
      </w:r>
    </w:p>
    <w:p w:rsidR="00C86C18" w:rsidRPr="00B94590" w:rsidRDefault="00C86C18" w:rsidP="00AE0FB9">
      <w:pPr>
        <w:numPr>
          <w:ilvl w:val="0"/>
          <w:numId w:val="18"/>
        </w:numPr>
        <w:jc w:val="both"/>
      </w:pPr>
      <w:r w:rsidRPr="00B94590">
        <w:t>budžeta apstiprināšana;</w:t>
      </w:r>
    </w:p>
    <w:p w:rsidR="00C86C18" w:rsidRPr="00B94590" w:rsidRDefault="00C86C18" w:rsidP="00AE0FB9">
      <w:pPr>
        <w:numPr>
          <w:ilvl w:val="0"/>
          <w:numId w:val="18"/>
        </w:numPr>
        <w:jc w:val="both"/>
      </w:pPr>
      <w:r w:rsidRPr="00B94590">
        <w:t>budžeta izpilde</w:t>
      </w:r>
      <w:r w:rsidR="007E448C" w:rsidRPr="00B94590">
        <w:t xml:space="preserve"> un uzskaite</w:t>
      </w:r>
      <w:r w:rsidRPr="00B94590">
        <w:t>;</w:t>
      </w:r>
    </w:p>
    <w:p w:rsidR="00C86C18" w:rsidRPr="00B94590" w:rsidRDefault="00C86C18" w:rsidP="00AE0FB9">
      <w:pPr>
        <w:numPr>
          <w:ilvl w:val="0"/>
          <w:numId w:val="18"/>
        </w:numPr>
        <w:jc w:val="both"/>
      </w:pPr>
      <w:r w:rsidRPr="00B94590">
        <w:t>pārskatu par budžeta izpildi sagatavošana.</w:t>
      </w:r>
    </w:p>
    <w:p w:rsidR="00C86C18" w:rsidRPr="00B94590" w:rsidRDefault="00C86C18" w:rsidP="00A45318">
      <w:pPr>
        <w:jc w:val="both"/>
      </w:pPr>
    </w:p>
    <w:p w:rsidR="003D1E7D" w:rsidRPr="00B94590" w:rsidRDefault="003D1E7D" w:rsidP="00524D9E">
      <w:pPr>
        <w:jc w:val="both"/>
      </w:pPr>
      <w:r w:rsidRPr="00B94590">
        <w:t xml:space="preserve">Par valsts budžeta plānošanu atbildīgā institūcija ir FM, savukārt par budžeta izpildi atbildīgās institūcijas ir VK, kā arī VID. </w:t>
      </w:r>
    </w:p>
    <w:p w:rsidR="003D1E7D" w:rsidRPr="00B94590" w:rsidRDefault="003D1E7D" w:rsidP="00524D9E">
      <w:pPr>
        <w:jc w:val="both"/>
      </w:pPr>
    </w:p>
    <w:p w:rsidR="003D1E7D" w:rsidRPr="00B94590" w:rsidRDefault="003D1E7D" w:rsidP="00524D9E">
      <w:pPr>
        <w:jc w:val="both"/>
      </w:pPr>
      <w:r w:rsidRPr="00B94590">
        <w:t>Valsts budžeta plānošanas, izstrādes, pieņemšanas un izsludināšanas procesā ir iesaistītas šādas institūcijas un to struktūras:</w:t>
      </w:r>
    </w:p>
    <w:p w:rsidR="003D1E7D" w:rsidRPr="00B94590" w:rsidRDefault="003D1E7D" w:rsidP="00524D9E">
      <w:pPr>
        <w:jc w:val="both"/>
      </w:pPr>
    </w:p>
    <w:p w:rsidR="003D1E7D" w:rsidRPr="00B94590" w:rsidRDefault="003D1E7D" w:rsidP="00524D9E">
      <w:pPr>
        <w:numPr>
          <w:ilvl w:val="0"/>
          <w:numId w:val="17"/>
        </w:numPr>
        <w:jc w:val="both"/>
      </w:pPr>
      <w:r w:rsidRPr="00B94590">
        <w:t>Finanšu ministrija;</w:t>
      </w:r>
    </w:p>
    <w:p w:rsidR="003D1E7D" w:rsidRPr="00B94590" w:rsidRDefault="003D1E7D" w:rsidP="00524D9E">
      <w:pPr>
        <w:numPr>
          <w:ilvl w:val="0"/>
          <w:numId w:val="17"/>
        </w:numPr>
        <w:jc w:val="both"/>
      </w:pPr>
      <w:r w:rsidRPr="00B94590">
        <w:lastRenderedPageBreak/>
        <w:t>Valsts ieņēmumu dienests;</w:t>
      </w:r>
    </w:p>
    <w:p w:rsidR="003D1E7D" w:rsidRPr="00B94590" w:rsidRDefault="003D1E7D" w:rsidP="00524D9E">
      <w:pPr>
        <w:numPr>
          <w:ilvl w:val="0"/>
          <w:numId w:val="17"/>
        </w:numPr>
        <w:jc w:val="both"/>
      </w:pPr>
      <w:r w:rsidRPr="00B94590">
        <w:t>Valsts kase;</w:t>
      </w:r>
    </w:p>
    <w:p w:rsidR="003D1E7D" w:rsidRPr="00B94590" w:rsidRDefault="003D1E7D" w:rsidP="00524D9E">
      <w:pPr>
        <w:numPr>
          <w:ilvl w:val="0"/>
          <w:numId w:val="17"/>
        </w:numPr>
        <w:jc w:val="both"/>
        <w:rPr>
          <w:szCs w:val="22"/>
        </w:rPr>
      </w:pPr>
      <w:r w:rsidRPr="00B94590">
        <w:rPr>
          <w:szCs w:val="22"/>
        </w:rPr>
        <w:t>Nozaru ministrijas, to padotībā esošās iestādes, un citas centrālās valsts iestādes;</w:t>
      </w:r>
    </w:p>
    <w:p w:rsidR="003D1E7D" w:rsidRPr="00B94590" w:rsidRDefault="003D1E7D" w:rsidP="00524D9E">
      <w:pPr>
        <w:numPr>
          <w:ilvl w:val="0"/>
          <w:numId w:val="17"/>
        </w:numPr>
        <w:jc w:val="both"/>
      </w:pPr>
      <w:r w:rsidRPr="00B94590">
        <w:t>Ministru kabinets;</w:t>
      </w:r>
    </w:p>
    <w:p w:rsidR="003D1E7D" w:rsidRPr="00B94590" w:rsidRDefault="003D1E7D" w:rsidP="00524D9E">
      <w:pPr>
        <w:numPr>
          <w:ilvl w:val="0"/>
          <w:numId w:val="17"/>
        </w:numPr>
        <w:jc w:val="both"/>
      </w:pPr>
      <w:r w:rsidRPr="00B94590">
        <w:t>Saeima;</w:t>
      </w:r>
    </w:p>
    <w:p w:rsidR="003D1E7D" w:rsidRPr="00B94590" w:rsidRDefault="003D1E7D" w:rsidP="00524D9E">
      <w:pPr>
        <w:numPr>
          <w:ilvl w:val="0"/>
          <w:numId w:val="17"/>
        </w:numPr>
        <w:jc w:val="both"/>
      </w:pPr>
      <w:r w:rsidRPr="00B94590">
        <w:t>Valsts prezidents.</w:t>
      </w:r>
    </w:p>
    <w:p w:rsidR="003D1E7D" w:rsidRPr="00B94590" w:rsidRDefault="003D1E7D" w:rsidP="00524D9E">
      <w:pPr>
        <w:ind w:left="434"/>
        <w:jc w:val="both"/>
      </w:pPr>
    </w:p>
    <w:p w:rsidR="00C86C18" w:rsidRPr="00B94590" w:rsidRDefault="003D1E7D" w:rsidP="00524D9E">
      <w:pPr>
        <w:jc w:val="both"/>
        <w:rPr>
          <w:szCs w:val="22"/>
        </w:rPr>
      </w:pPr>
      <w:r w:rsidRPr="00B94590">
        <w:rPr>
          <w:szCs w:val="22"/>
        </w:rPr>
        <w:t xml:space="preserve">Budžeta plānošanas procesa sākotnējā posmā MK </w:t>
      </w:r>
      <w:r w:rsidR="00E13A06" w:rsidRPr="00B94590">
        <w:rPr>
          <w:szCs w:val="22"/>
        </w:rPr>
        <w:t>tiek iesniegt</w:t>
      </w:r>
      <w:r w:rsidR="00930746" w:rsidRPr="00B94590">
        <w:rPr>
          <w:szCs w:val="22"/>
        </w:rPr>
        <w:t>s</w:t>
      </w:r>
      <w:r w:rsidR="00E13A06" w:rsidRPr="00B94590">
        <w:rPr>
          <w:szCs w:val="22"/>
        </w:rPr>
        <w:t xml:space="preserve"> Vidēja termiņa makroekonomiskās attīstības un fiskālās politikas ietvars (pamatojums: Likum</w:t>
      </w:r>
      <w:r w:rsidR="00930746" w:rsidRPr="00B94590">
        <w:rPr>
          <w:szCs w:val="22"/>
        </w:rPr>
        <w:t>a</w:t>
      </w:r>
      <w:r w:rsidR="00E13A06" w:rsidRPr="00B94590">
        <w:rPr>
          <w:szCs w:val="22"/>
        </w:rPr>
        <w:t xml:space="preserve"> par budžet</w:t>
      </w:r>
      <w:r w:rsidR="00930746" w:rsidRPr="00B94590">
        <w:rPr>
          <w:szCs w:val="22"/>
        </w:rPr>
        <w:t>u</w:t>
      </w:r>
      <w:r w:rsidR="00E13A06" w:rsidRPr="00B94590">
        <w:rPr>
          <w:szCs w:val="22"/>
        </w:rPr>
        <w:t xml:space="preserve"> un finanšu vadību 16.</w:t>
      </w:r>
      <w:r w:rsidR="00E13A06" w:rsidRPr="00B94590">
        <w:rPr>
          <w:szCs w:val="22"/>
          <w:vertAlign w:val="superscript"/>
        </w:rPr>
        <w:t>2</w:t>
      </w:r>
      <w:r w:rsidR="00E13A06" w:rsidRPr="00B94590">
        <w:rPr>
          <w:szCs w:val="22"/>
        </w:rPr>
        <w:t xml:space="preserve"> pants) </w:t>
      </w:r>
      <w:r w:rsidRPr="00B94590">
        <w:rPr>
          <w:szCs w:val="22"/>
        </w:rPr>
        <w:t>, kas izmantojam</w:t>
      </w:r>
      <w:r w:rsidR="00E13A06" w:rsidRPr="00B94590">
        <w:rPr>
          <w:szCs w:val="22"/>
        </w:rPr>
        <w:t>s</w:t>
      </w:r>
      <w:r w:rsidRPr="00B94590">
        <w:rPr>
          <w:szCs w:val="22"/>
        </w:rPr>
        <w:t xml:space="preserve"> vidēja termiņa valsts budžeta pieprasījuma un valsts budžeta likuma projekta izstrādē. </w:t>
      </w:r>
    </w:p>
    <w:p w:rsidR="00E13A06" w:rsidRPr="00B94590" w:rsidRDefault="00E13A06" w:rsidP="00524D9E">
      <w:pPr>
        <w:jc w:val="both"/>
        <w:rPr>
          <w:szCs w:val="22"/>
        </w:rPr>
      </w:pPr>
    </w:p>
    <w:p w:rsidR="003D1E7D" w:rsidRPr="00B94590" w:rsidRDefault="003D1E7D" w:rsidP="00524D9E">
      <w:pPr>
        <w:jc w:val="both"/>
        <w:rPr>
          <w:szCs w:val="22"/>
        </w:rPr>
      </w:pPr>
      <w:r w:rsidRPr="00B94590">
        <w:rPr>
          <w:szCs w:val="22"/>
        </w:rPr>
        <w:t>FM veic budžeta ieņēmumu prognozēšanu, izmantojot attiecīgi VID un VK informāciju.</w:t>
      </w:r>
    </w:p>
    <w:p w:rsidR="007A7F87" w:rsidRPr="00B94590" w:rsidRDefault="007A7F87" w:rsidP="00524D9E">
      <w:pPr>
        <w:jc w:val="both"/>
      </w:pPr>
    </w:p>
    <w:p w:rsidR="007A7F87" w:rsidRPr="00B94590" w:rsidRDefault="007A7F87" w:rsidP="00524D9E">
      <w:pPr>
        <w:jc w:val="both"/>
      </w:pPr>
      <w:r w:rsidRPr="00B94590">
        <w:t xml:space="preserve">Valsts pamatbudžeta bāzes izdevumus FM nosaka, pamatojoties uz apstiprināto valsts budžetu kārtējam gadam: </w:t>
      </w:r>
    </w:p>
    <w:p w:rsidR="003D1E7D" w:rsidRPr="00B94590" w:rsidRDefault="003D1E7D" w:rsidP="00524D9E">
      <w:pPr>
        <w:jc w:val="both"/>
        <w:rPr>
          <w:szCs w:val="22"/>
        </w:rPr>
      </w:pPr>
    </w:p>
    <w:p w:rsidR="007A7F87" w:rsidRPr="00B94590" w:rsidRDefault="007A7F87" w:rsidP="00524D9E">
      <w:pPr>
        <w:jc w:val="both"/>
      </w:pPr>
      <w:r w:rsidRPr="00B94590">
        <w:t>Valsts pamatbudžeta līdzekļu daļu, kas nodrošina valsts funkciju izpildi nemainīgā līmenī (turpmāk - pamatbudžeta bāze), sadalījumā pa n+1, n+2 un n+3 gadiem aprēķina, pamatojoties uz likumu par valsts budžetu n-tajam gadam atbilstoši prognozējamām izmaiņām ieņēmumos par sniegtajiem maksas pakalpojumiem n+1, n+2 un n+3 gadā salīdzinājumā ar n-tajam gadam plānotajiem ieņēmumiem un atbilstoši prognozētajiem ārvalstu finanšu palīdzības naudas līdzekļu atlikumiem.</w:t>
      </w:r>
    </w:p>
    <w:p w:rsidR="007A7F87" w:rsidRPr="00B94590" w:rsidRDefault="007A7F87" w:rsidP="00524D9E">
      <w:pPr>
        <w:jc w:val="both"/>
      </w:pPr>
    </w:p>
    <w:p w:rsidR="007A7F87" w:rsidRPr="00B94590" w:rsidRDefault="007A7F87" w:rsidP="00F456F9">
      <w:r w:rsidRPr="00B94590">
        <w:t xml:space="preserve">Ministriju pamatbudžeta bāzi sadalījumā pa n+1, n+2 un n+3 gadiem pārrēķina šādās izdevumu kategorijās: </w:t>
      </w:r>
      <w:r w:rsidRPr="00B94590">
        <w:br/>
      </w:r>
      <w:r w:rsidRPr="00B94590">
        <w:br/>
        <w:t xml:space="preserve">- samazina par izdevumiem, kas paredzēti vienreizējo pasākumu veikšanai, - kapitālās iegādes, kapitālie remonti, vienreizēji īstenojamās programmas (pasākumi) vai programmas, par kuru īstenošanas apjomiem vidējā termiņā vai ilgtermiņā nav Ministru kabineta lēmuma; </w:t>
      </w:r>
    </w:p>
    <w:p w:rsidR="007A7F87" w:rsidRPr="00B94590" w:rsidRDefault="007A7F87" w:rsidP="00F456F9">
      <w:r w:rsidRPr="00B94590">
        <w:t xml:space="preserve">- samazina vai palielina atbilstoši n+1, n+2 un n+3 gada valsts saistību limitiem izdevumus, kuru apjoms katru gadu mainās atkarībā no plānotajām saistībām: </w:t>
      </w:r>
      <w:r w:rsidRPr="00B94590">
        <w:br/>
      </w:r>
      <w:r w:rsidRPr="00B94590">
        <w:br/>
        <w:t>a)</w:t>
      </w:r>
      <w:r w:rsidR="00252511" w:rsidRPr="00B94590">
        <w:t xml:space="preserve"> </w:t>
      </w:r>
      <w:r w:rsidRPr="00B94590">
        <w:t xml:space="preserve">no ārvalstu finanšu palīdzības līdzekļiem segtos izdevumus; </w:t>
      </w:r>
      <w:r w:rsidRPr="00B94590">
        <w:br/>
        <w:t>b)</w:t>
      </w:r>
      <w:r w:rsidR="00252511" w:rsidRPr="00B94590">
        <w:t xml:space="preserve"> </w:t>
      </w:r>
      <w:r w:rsidRPr="00B94590">
        <w:t xml:space="preserve">no līdzfinansējuma ārvalstu finanšu palīdzībai segtos izdevumus; </w:t>
      </w:r>
      <w:r w:rsidRPr="00B94590">
        <w:br/>
        <w:t>c)</w:t>
      </w:r>
      <w:r w:rsidR="00252511" w:rsidRPr="00B94590">
        <w:t xml:space="preserve"> </w:t>
      </w:r>
      <w:r w:rsidRPr="00B94590">
        <w:t xml:space="preserve">pārējās valsts ilgtermiņa saistības; </w:t>
      </w:r>
      <w:r w:rsidRPr="00B94590">
        <w:br/>
      </w:r>
      <w:r w:rsidRPr="00B94590">
        <w:br/>
        <w:t xml:space="preserve">- precizē valsts ilgtermiņa saistības tiesību aktos noteiktajos gadījumos; </w:t>
      </w:r>
      <w:r w:rsidRPr="00B94590">
        <w:br/>
      </w:r>
      <w:r w:rsidRPr="00B94590">
        <w:br/>
        <w:t xml:space="preserve">-  precizē no Eiropas Savienības politiku instrumentu un pārējās ārvalstu finanšu palīdzības līdzekļiem finansētās valsts ilgtermiņa saistības atbilstoši precizētajiem darba grafikiem un naudas plūsmām; </w:t>
      </w:r>
      <w:r w:rsidRPr="00B94590">
        <w:br/>
      </w:r>
      <w:r w:rsidRPr="00B94590">
        <w:br/>
        <w:t xml:space="preserve">-  tiesību aktos noteiktajos gadījumos palielina izdevumus pasākumiem, kuriem n-tajā gadā paredzēts finansējums nepilnam gadam, bet kuri turpmāk jāfinansē pilnā apjomā visu gadu; </w:t>
      </w:r>
      <w:r w:rsidRPr="00B94590">
        <w:br/>
      </w:r>
      <w:r w:rsidRPr="00B94590">
        <w:br/>
      </w:r>
      <w:r w:rsidRPr="00B94590">
        <w:lastRenderedPageBreak/>
        <w:t xml:space="preserve">-  palielina par uzturēšanas izdevumiem, kas rodas no Eiropas Savienības politiku instrumentu un pārējo ārvalstu finanšu palīdzības līdzekļu ietvaros veiktajām investīcijām un kas turpmāk jāfinansē no valsts budžeta līdzekļiem atbilstoši noslēgtajiem līgumiem, citiem pamatojuma dokumentiem vai aprēķiniem; </w:t>
      </w:r>
      <w:r w:rsidRPr="00B94590">
        <w:br/>
      </w:r>
      <w:r w:rsidRPr="00B94590">
        <w:br/>
        <w:t xml:space="preserve">-  palielina par uzturēšanas izdevumiem no valsts budžeta līdzekļiem veiktajiem kapitālajiem ieguldījumiem; </w:t>
      </w:r>
      <w:r w:rsidRPr="00B94590">
        <w:br/>
      </w:r>
      <w:r w:rsidRPr="00B94590">
        <w:br/>
        <w:t xml:space="preserve">- palielina vai samazina, ņemot vērā prognozējamās izmaiņas ieņēmumos par maksas pakalpojumiem; </w:t>
      </w:r>
      <w:r w:rsidRPr="00B94590">
        <w:br/>
      </w:r>
      <w:r w:rsidRPr="00B94590">
        <w:br/>
        <w:t xml:space="preserve">-  palielina, ņemot vērā precizētos izdevumus izdienas pensiju izmaksai; </w:t>
      </w:r>
      <w:r w:rsidRPr="00B94590">
        <w:br/>
      </w:r>
      <w:r w:rsidRPr="00B94590">
        <w:br/>
        <w:t>-  palielina, ņemot vērā prognozējamās sociālo pabalstu saņēmēju kontingenta izmaiņas.</w:t>
      </w:r>
    </w:p>
    <w:p w:rsidR="003D1E7D" w:rsidRPr="00B94590" w:rsidRDefault="003D1E7D" w:rsidP="00524D9E">
      <w:pPr>
        <w:jc w:val="both"/>
      </w:pPr>
    </w:p>
    <w:p w:rsidR="003D1E7D" w:rsidRPr="00B94590" w:rsidRDefault="003D1E7D" w:rsidP="00524D9E">
      <w:pPr>
        <w:jc w:val="both"/>
      </w:pPr>
      <w:r w:rsidRPr="00B94590">
        <w:t>Bez tam, izdevumi tiek precizēti, ja paredzēta funkciju pārdale, kā arī, ja prognozētas ieņēmumu no maksas pakalpojumiem un citiem pašu ieņēmumiem izmaiņas.</w:t>
      </w:r>
    </w:p>
    <w:p w:rsidR="003D1E7D" w:rsidRPr="00B94590" w:rsidRDefault="003D1E7D" w:rsidP="00524D9E">
      <w:pPr>
        <w:ind w:left="900"/>
        <w:jc w:val="both"/>
        <w:rPr>
          <w:szCs w:val="22"/>
        </w:rPr>
      </w:pPr>
    </w:p>
    <w:p w:rsidR="007A7F87" w:rsidRPr="00B94590" w:rsidRDefault="007A7F87" w:rsidP="00524D9E">
      <w:r w:rsidRPr="00B94590">
        <w:t xml:space="preserve">Speciālā budžeta bāzi aprēķina: </w:t>
      </w:r>
      <w:r w:rsidRPr="00B94590">
        <w:br/>
      </w:r>
      <w:r w:rsidRPr="00B94590">
        <w:br/>
        <w:t xml:space="preserve">-  veicot korekcijas atbilstoši normatīvajiem aktiem; </w:t>
      </w:r>
      <w:r w:rsidRPr="00B94590">
        <w:br/>
      </w:r>
      <w:r w:rsidRPr="00B94590">
        <w:br/>
        <w:t xml:space="preserve">- veicot korekcijas atbilstoši ieņēmumu prognozei sadalījumā pa n+1, n+2 un n+3 gadiem; </w:t>
      </w:r>
      <w:r w:rsidRPr="00B94590">
        <w:br/>
      </w:r>
      <w:r w:rsidRPr="00B94590">
        <w:br/>
        <w:t xml:space="preserve">-  veicot korekcijas atbilstoši nepieciešamo izdevumu apmēram, kas paredzēti procentu maksājumiem par aizņēmumiem; </w:t>
      </w:r>
      <w:r w:rsidRPr="00B94590">
        <w:br/>
      </w:r>
      <w:r w:rsidRPr="00B94590">
        <w:br/>
        <w:t xml:space="preserve">-  veicot korekcijas atbilstoši likumā par valsts budžetu n-tajam gadam noteiktajam ilgtermiņa saistību apjomam sadalījumā pa n+1, n+2 un n+3 gadiem; </w:t>
      </w:r>
      <w:r w:rsidRPr="00B94590">
        <w:br/>
      </w:r>
      <w:r w:rsidRPr="00B94590">
        <w:br/>
        <w:t xml:space="preserve">-  samazinot par izdevumiem, kas paredzēti vienreizējo pasākumu veikšanai - kapitālās iegādes, kapitālie remonti, vienreizēji īstenojamās programmas (pasākumi) vai programmas, par kuru īstenošanas apjomiem vidējā termiņā vai ilgtermiņā nav Ministru kabineta lēmuma; </w:t>
      </w:r>
      <w:r w:rsidRPr="00B94590">
        <w:br/>
      </w:r>
      <w:r w:rsidRPr="00B94590">
        <w:br/>
        <w:t xml:space="preserve">-  tiesību aktos noteiktajos gadījumos precizējot valsts ilgtermiņa saistības; </w:t>
      </w:r>
      <w:r w:rsidRPr="00B94590">
        <w:br/>
      </w:r>
      <w:r w:rsidRPr="00B94590">
        <w:br/>
        <w:t xml:space="preserve">-  tiesību aktos noteiktajos gadījumos palielinot izdevumus pasākumiem, kuriem n-tajā gadā paredzēts finansējums nepilnam gadam, bet kuri turpmāk jāfinansē pilnā apjomā visu gadu; </w:t>
      </w:r>
      <w:r w:rsidRPr="00B94590">
        <w:br/>
      </w:r>
      <w:r w:rsidRPr="00B94590">
        <w:br/>
        <w:t xml:space="preserve">-  ņemot vērā prognozējamās sociālās apdrošināšanas pakalpojumu saņēmēju kontingenta izmaiņas. </w:t>
      </w:r>
    </w:p>
    <w:p w:rsidR="00524D9E" w:rsidRPr="00B94590" w:rsidRDefault="00524D9E" w:rsidP="00524D9E">
      <w:pPr>
        <w:jc w:val="both"/>
      </w:pPr>
      <w:r w:rsidRPr="00B94590">
        <w:t xml:space="preserve">FM nenosaka sociālās apdrošināšanas speciālo budžetu ieņēmumu īpatsvarus gadā sociālās apdrošināšanas pakalpojumu finansējuma summā, šādus aprēķinus sagatavo LM. </w:t>
      </w:r>
    </w:p>
    <w:p w:rsidR="00524D9E" w:rsidRPr="00B94590" w:rsidRDefault="00524D9E" w:rsidP="00524D9E">
      <w:pPr>
        <w:jc w:val="both"/>
      </w:pPr>
    </w:p>
    <w:p w:rsidR="003D1E7D" w:rsidRPr="00B94590" w:rsidRDefault="003D1E7D" w:rsidP="00524D9E">
      <w:pPr>
        <w:jc w:val="both"/>
      </w:pPr>
      <w:r w:rsidRPr="00B94590">
        <w:lastRenderedPageBreak/>
        <w:t xml:space="preserve">Pēc kontrolskaitļu paziņošanas VSAA paziņo kontrolskaitļus </w:t>
      </w:r>
      <w:r w:rsidR="00524D9E" w:rsidRPr="00B94590">
        <w:t xml:space="preserve">Nodarbinātības valsts aģentūrai lai nodrošinātu budžeta apakšprogrammas 04.02.00 „Aktīvās nodarbinātības pasākumu realizāciju nodrošināšana NVA”. </w:t>
      </w:r>
      <w:r w:rsidRPr="00B94590">
        <w:t>VSAA veic budžeta pieprasījumu apkopošanu un nosūta budžeta pieprasījumu LM, kas sagatavo budžeta pieprasījumu FM.</w:t>
      </w:r>
    </w:p>
    <w:p w:rsidR="003D1E7D" w:rsidRPr="00B94590" w:rsidRDefault="003D1E7D" w:rsidP="003D1E7D">
      <w:pPr>
        <w:ind w:firstLine="720"/>
        <w:jc w:val="both"/>
      </w:pPr>
      <w:r w:rsidRPr="00B94590">
        <w:t>MK akceptē katrai ministrijai un citām centrālajām valsts iestādēm maksimāli pieļaujamo budžeta izdevumu apjomu vidējam termiņam. FM nodod informāciju nozaru ministrijām par MK noteikto maksimāli pieļaujamo budžeta izdevumu apjomu, balstoties uz ko nozares ministrija veic budžeta līdzekļu maksimāli pieļaujamās summas noteikšanu katrai tās padotībā esošajai valsts institūcijai. Valsts institūcijas sagatavo budžeta pieprasījumus un iesniedz tos attiecīgajai ministrijai. Centrālās valsts iestādes (Valsts kanceleja, Valsts kontrole, Augstākā tiesa u.c.) izstrādātos budžeta pieprasījumus iesniedz tieši FM. Ministrijas apkopotos budžeta pieprasījumus iesniedz FM, kas apkopo budžeta pieprasījumus un sagatavo gadskārtējo valsts budžetu, par kuru iebildumus ministrijas drīkst sniegt 2 nedēļu laikā. Pēc galīgā gadskārtējā budžeta likuma projekta sastādīšanas, M</w:t>
      </w:r>
      <w:r w:rsidR="00460692" w:rsidRPr="00B94590">
        <w:t>K</w:t>
      </w:r>
      <w:r w:rsidRPr="00B94590">
        <w:t xml:space="preserve"> līdz attiecīgā gada 1.oktobrim iesniedz Saeimai pieņemšanai gadskārtējo valsts budžeta likuma projektu. Saeimas vēlēšanu gadā gadskārtējā valsts budžeta likuma projekts iesniedzams Saeimā ne vēlāk kā četrus mēnešus pēc tam, kad jaunievēlētā Saeima izteikusi M</w:t>
      </w:r>
      <w:r w:rsidR="00460692" w:rsidRPr="00B94590">
        <w:t>K</w:t>
      </w:r>
      <w:r w:rsidRPr="00B94590">
        <w:t xml:space="preserve"> savu uzticību. Saeima pieņem gadskārtējo likumu par valsts budžetu un Valsts prezidents likumu izsludina.</w:t>
      </w:r>
    </w:p>
    <w:p w:rsidR="00ED55CF" w:rsidRPr="00B94590" w:rsidRDefault="00ED55CF" w:rsidP="00A65510">
      <w:pPr>
        <w:pStyle w:val="naisc"/>
        <w:spacing w:before="0" w:beforeAutospacing="0" w:after="0" w:afterAutospacing="0"/>
        <w:ind w:firstLine="720"/>
        <w:jc w:val="both"/>
        <w:rPr>
          <w:rFonts w:eastAsia="Times New Roman"/>
          <w:lang w:val="lv-LV"/>
        </w:rPr>
      </w:pPr>
    </w:p>
    <w:p w:rsidR="00ED55CF" w:rsidRPr="00B94590" w:rsidRDefault="00ED55CF" w:rsidP="00A65510">
      <w:pPr>
        <w:pStyle w:val="Heading2"/>
        <w:jc w:val="both"/>
        <w:rPr>
          <w:lang w:val="lv-LV"/>
        </w:rPr>
      </w:pPr>
      <w:bookmarkStart w:id="33" w:name="_Toc292619570"/>
      <w:bookmarkStart w:id="34" w:name="_Toc293616263"/>
      <w:r w:rsidRPr="00B94590">
        <w:rPr>
          <w:lang w:val="lv-LV"/>
        </w:rPr>
        <w:t>Esošās sistēmas darbības politika un ierobežojumi</w:t>
      </w:r>
      <w:bookmarkEnd w:id="33"/>
      <w:bookmarkEnd w:id="34"/>
    </w:p>
    <w:p w:rsidR="009B68C8" w:rsidRPr="00B94590" w:rsidRDefault="009B68C8" w:rsidP="009B68C8">
      <w:pPr>
        <w:ind w:firstLine="720"/>
        <w:jc w:val="both"/>
        <w:rPr>
          <w:lang w:eastAsia="en-US"/>
        </w:rPr>
      </w:pPr>
      <w:r w:rsidRPr="00B94590">
        <w:rPr>
          <w:lang w:eastAsia="en-US"/>
        </w:rPr>
        <w:t>Finanšu grāmatvedības procesu valsts pārvaldē regulē ar normatīvajiem aktiem, kas nosaka grāmatvedības organizēšanu, uzskaites kārtošanu un pārskatu sagatavošanu, savukārt vadības grāmatvedības organizēšana ir iestāžu, nozaru ministriju un pašvaldību pārziņā.</w:t>
      </w:r>
    </w:p>
    <w:p w:rsidR="009B68C8" w:rsidRPr="00B94590" w:rsidRDefault="009B68C8" w:rsidP="009B68C8">
      <w:pPr>
        <w:ind w:firstLine="720"/>
        <w:jc w:val="both"/>
        <w:rPr>
          <w:lang w:eastAsia="en-US"/>
        </w:rPr>
      </w:pPr>
      <w:r w:rsidRPr="00B94590">
        <w:rPr>
          <w:lang w:eastAsia="en-US"/>
        </w:rPr>
        <w:t xml:space="preserve">Šobrīd gandrīz katrā nozares iestādē pastāv atšķirīga finanšu vadības informācijas detalizācijas pakāpe, kas neļauj vienādot uzskaites procesus. Atšķirības pārvaldības un uzskaites procesu realizācijā un darījumu apstrādē iestādēs izveidojušās vēsturiski un objektīvi, nodrošinot to izpildi un rezultātu iegūšanu ar atšķirīgu līdzekļu patēriņu. Tās aptver ne tikai iestāžu grāmatvedības uzskaiti, bet attiecas arī uz personālvadības, administratīvajiem un saimnieciskajiem procesiem. </w:t>
      </w:r>
    </w:p>
    <w:p w:rsidR="009B68C8" w:rsidRPr="00B94590" w:rsidRDefault="001F14E7" w:rsidP="009B68C8">
      <w:pPr>
        <w:ind w:firstLine="720"/>
        <w:jc w:val="both"/>
        <w:rPr>
          <w:lang w:eastAsia="en-US"/>
        </w:rPr>
      </w:pPr>
      <w:r w:rsidRPr="00B94590">
        <w:rPr>
          <w:lang w:eastAsia="en-US"/>
        </w:rPr>
        <w:t>G</w:t>
      </w:r>
      <w:r w:rsidR="009B68C8" w:rsidRPr="00B94590">
        <w:rPr>
          <w:lang w:eastAsia="en-US"/>
        </w:rPr>
        <w:t xml:space="preserve">rāmatvedības uzskaites </w:t>
      </w:r>
      <w:r w:rsidR="003A3662" w:rsidRPr="00B94590">
        <w:rPr>
          <w:lang w:eastAsia="en-US"/>
        </w:rPr>
        <w:t xml:space="preserve">procesa </w:t>
      </w:r>
      <w:r w:rsidR="009B68C8" w:rsidRPr="00B94590">
        <w:rPr>
          <w:lang w:eastAsia="en-US"/>
        </w:rPr>
        <w:t xml:space="preserve">izpētes un analīzes </w:t>
      </w:r>
      <w:r w:rsidR="003A3662" w:rsidRPr="00B94590">
        <w:rPr>
          <w:lang w:eastAsia="en-US"/>
        </w:rPr>
        <w:t>gaitā</w:t>
      </w:r>
      <w:r w:rsidR="009B68C8" w:rsidRPr="00B94590">
        <w:rPr>
          <w:lang w:eastAsia="en-US"/>
        </w:rPr>
        <w:t xml:space="preserve"> identificēti galvenie riski un iespējamie resursu optimāla izmantojuma kavējošie apstākļi</w:t>
      </w:r>
      <w:r w:rsidRPr="00B94590">
        <w:rPr>
          <w:lang w:eastAsia="en-US"/>
        </w:rPr>
        <w:t xml:space="preserve"> ir</w:t>
      </w:r>
      <w:r w:rsidR="009B68C8" w:rsidRPr="00B94590">
        <w:rPr>
          <w:lang w:eastAsia="en-US"/>
        </w:rPr>
        <w:t>:</w:t>
      </w:r>
    </w:p>
    <w:p w:rsidR="009B68C8" w:rsidRPr="00B94590" w:rsidRDefault="009B68C8" w:rsidP="009B68C8">
      <w:pPr>
        <w:ind w:firstLine="720"/>
        <w:jc w:val="both"/>
        <w:rPr>
          <w:lang w:eastAsia="en-US"/>
        </w:rPr>
      </w:pPr>
      <w:r w:rsidRPr="00B94590">
        <w:rPr>
          <w:lang w:eastAsia="en-US"/>
        </w:rPr>
        <w:t>•</w:t>
      </w:r>
      <w:r w:rsidRPr="00B94590">
        <w:rPr>
          <w:lang w:eastAsia="en-US"/>
        </w:rPr>
        <w:tab/>
        <w:t>finanšu vadības (tai skaitā grāmatvedības uzskaites) procesu standartizācijas trūkums;</w:t>
      </w:r>
    </w:p>
    <w:p w:rsidR="009B68C8" w:rsidRPr="00B94590" w:rsidRDefault="009B68C8" w:rsidP="009B68C8">
      <w:pPr>
        <w:ind w:firstLine="720"/>
        <w:jc w:val="both"/>
        <w:rPr>
          <w:lang w:eastAsia="en-US"/>
        </w:rPr>
      </w:pPr>
      <w:r w:rsidRPr="00B94590">
        <w:rPr>
          <w:lang w:eastAsia="en-US"/>
        </w:rPr>
        <w:t>•</w:t>
      </w:r>
      <w:r w:rsidRPr="00B94590">
        <w:rPr>
          <w:lang w:eastAsia="en-US"/>
        </w:rPr>
        <w:tab/>
        <w:t>iesaistīto personu atšķirīga procesu un vēlamo rezultātu izpratne (komunikācijas problēmas, viedokļu atšķirības);</w:t>
      </w:r>
    </w:p>
    <w:p w:rsidR="009B68C8" w:rsidRPr="00B94590" w:rsidRDefault="009B68C8" w:rsidP="009B68C8">
      <w:pPr>
        <w:ind w:firstLine="720"/>
        <w:jc w:val="both"/>
        <w:rPr>
          <w:lang w:eastAsia="en-US"/>
        </w:rPr>
      </w:pPr>
      <w:r w:rsidRPr="00B94590">
        <w:rPr>
          <w:lang w:eastAsia="en-US"/>
        </w:rPr>
        <w:t>•</w:t>
      </w:r>
      <w:r w:rsidRPr="00B94590">
        <w:rPr>
          <w:lang w:eastAsia="en-US"/>
        </w:rPr>
        <w:tab/>
        <w:t>vadības lēmumu neskaidrība, izpratnes un atbalsta trūkums;</w:t>
      </w:r>
    </w:p>
    <w:p w:rsidR="009B68C8" w:rsidRPr="00B94590" w:rsidRDefault="009B68C8" w:rsidP="009B68C8">
      <w:pPr>
        <w:ind w:firstLine="720"/>
        <w:jc w:val="both"/>
        <w:rPr>
          <w:lang w:eastAsia="en-US"/>
        </w:rPr>
      </w:pPr>
      <w:r w:rsidRPr="00B94590">
        <w:rPr>
          <w:lang w:eastAsia="en-US"/>
        </w:rPr>
        <w:t>•</w:t>
      </w:r>
      <w:r w:rsidRPr="00B94590">
        <w:rPr>
          <w:lang w:eastAsia="en-US"/>
        </w:rPr>
        <w:tab/>
        <w:t>nesamērīgi ilgstoši izmaiņu ieviešanas procesi;</w:t>
      </w:r>
    </w:p>
    <w:p w:rsidR="009B68C8" w:rsidRPr="00B94590" w:rsidRDefault="009B68C8" w:rsidP="009B68C8">
      <w:pPr>
        <w:ind w:firstLine="720"/>
        <w:jc w:val="both"/>
        <w:rPr>
          <w:lang w:eastAsia="en-US"/>
        </w:rPr>
      </w:pPr>
      <w:r w:rsidRPr="00B94590">
        <w:rPr>
          <w:lang w:eastAsia="en-US"/>
        </w:rPr>
        <w:t>•</w:t>
      </w:r>
      <w:r w:rsidRPr="00B94590">
        <w:rPr>
          <w:lang w:eastAsia="en-US"/>
        </w:rPr>
        <w:tab/>
        <w:t>atšķirīga IKT pielietošanas pieredze.</w:t>
      </w:r>
    </w:p>
    <w:p w:rsidR="009B68C8" w:rsidRPr="00B94590" w:rsidRDefault="009B68C8" w:rsidP="009B68C8">
      <w:pPr>
        <w:ind w:firstLine="720"/>
        <w:jc w:val="both"/>
      </w:pPr>
      <w:r w:rsidRPr="00B94590">
        <w:t xml:space="preserve">Šobrīd Ministru kabineta 2009. gada 15. decembra noteikumi Nr. 1486 “Kārtība, kādā budžeta iestādes kārto grāmatvedības uzskaiti”, kas nosaka vienotus grāmatvedības uzskaites pamatprincipus visām budžeta iestādēm, paredz, ka: </w:t>
      </w:r>
      <w:r w:rsidRPr="00B94590">
        <w:rPr>
          <w:i/>
          <w:iCs/>
        </w:rPr>
        <w:t xml:space="preserve">”Ministrija, cita centrālā valsts iestāde vai pašvaldība izstrādā un apstiprina normatīvajiem aktiem grāmatvedības un budžeta jomā atbilstošu un nozares vai pašvaldības specifikai atbilstošu </w:t>
      </w:r>
      <w:r w:rsidRPr="00B94590">
        <w:rPr>
          <w:i/>
          <w:iCs/>
          <w:u w:val="single"/>
        </w:rPr>
        <w:t>vienotu grāmatvedības uzskaites kārtību nozarei</w:t>
      </w:r>
      <w:r w:rsidRPr="00B94590">
        <w:rPr>
          <w:i/>
          <w:iCs/>
        </w:rPr>
        <w:t xml:space="preserve"> vai pašvaldībai. Vienoto grāmatvedības uzskaites kārtību ievēro visas finanšu pārskatu </w:t>
      </w:r>
      <w:r w:rsidRPr="00B94590">
        <w:rPr>
          <w:i/>
          <w:iCs/>
        </w:rPr>
        <w:lastRenderedPageBreak/>
        <w:t>konsolidācijā iesaistītās iestādes”.</w:t>
      </w:r>
      <w:r w:rsidRPr="00B94590">
        <w:t xml:space="preserve"> Gada pārskatu dati un F</w:t>
      </w:r>
      <w:r w:rsidR="00460692" w:rsidRPr="00B94590">
        <w:t>M</w:t>
      </w:r>
      <w:r w:rsidRPr="00B94590">
        <w:t xml:space="preserve"> veiktā finanšu grāmatvedības uzskaites procesu analīze liecina, ka nozarēs vienota grāmatvedības uzskaites kārtība lielākoties ir ieviesta formāli, neattiecinot to uz detalizētiem finanšu vadības procesiem. Līdz ar to nozares ietvaros starp iestādēm vērojama</w:t>
      </w:r>
      <w:r w:rsidR="001F14E7" w:rsidRPr="00B94590">
        <w:t>s</w:t>
      </w:r>
      <w:r w:rsidRPr="00B94590">
        <w:t xml:space="preserve"> būtiskas atšķirības procesu organizācijā, kas sarežģī datu konsolidāciju vienotā informācijas sistēmā. Nozares finanšu vadības (tai skaitā grāmatvedības uzskaites) procesu standartizācija un centralizācija ļautu racionālāk izmantot pieejamos resursus, uzlabotu budžeta iestāžu pārskatu sagatavošanas kvalitāti, kā arī sekmētu informācijas apkopošanas un konsolidācijas automatizāciju, ļaujot ietaupīt laiku, resursus un panākt augstāku datu kvalitāti īsākos termiņos.</w:t>
      </w:r>
    </w:p>
    <w:p w:rsidR="009A57AF" w:rsidRPr="00B94590" w:rsidRDefault="005C2B05" w:rsidP="00B37CA7">
      <w:pPr>
        <w:ind w:firstLine="720"/>
        <w:jc w:val="both"/>
        <w:rPr>
          <w:i/>
          <w:u w:val="single"/>
        </w:rPr>
      </w:pPr>
      <w:r w:rsidRPr="00B94590">
        <w:rPr>
          <w:i/>
          <w:u w:val="single"/>
        </w:rPr>
        <w:t>Lai nodrošinātu datu apstrādi vienotā informācijas sistēmā, nav nepieciešams izmantot viena konkrētā ražotāja</w:t>
      </w:r>
      <w:r w:rsidR="00460692" w:rsidRPr="00B94590">
        <w:rPr>
          <w:i/>
          <w:u w:val="single"/>
        </w:rPr>
        <w:t xml:space="preserve"> </w:t>
      </w:r>
      <w:r w:rsidRPr="00B94590">
        <w:rPr>
          <w:i/>
          <w:u w:val="single"/>
        </w:rPr>
        <w:t>programmproduktu, atsakoties no citu ražotāju programmproduktu izmantošanas, bet ir nepieciešams nodrošināt informācijas apmaiņu un sadarbspēju starp dažādām finanšu uzskaites sistēmām.</w:t>
      </w:r>
    </w:p>
    <w:p w:rsidR="00ED55CF" w:rsidRPr="00B94590" w:rsidRDefault="00ED55CF" w:rsidP="00A65510">
      <w:pPr>
        <w:pStyle w:val="Heading2"/>
        <w:jc w:val="both"/>
        <w:rPr>
          <w:lang w:val="lv-LV"/>
        </w:rPr>
      </w:pPr>
      <w:bookmarkStart w:id="35" w:name="_Toc292619571"/>
      <w:bookmarkStart w:id="36" w:name="_Toc293616264"/>
      <w:r w:rsidRPr="00B94590">
        <w:rPr>
          <w:lang w:val="lv-LV"/>
        </w:rPr>
        <w:t>Pašreizējais programmatūras atbalsts</w:t>
      </w:r>
      <w:bookmarkEnd w:id="35"/>
      <w:bookmarkEnd w:id="36"/>
    </w:p>
    <w:p w:rsidR="000C402F" w:rsidRPr="00B94590" w:rsidRDefault="009D1121" w:rsidP="000C402F">
      <w:pPr>
        <w:ind w:firstLine="720"/>
        <w:jc w:val="both"/>
      </w:pPr>
      <w:r w:rsidRPr="00B94590">
        <w:t>Pašlaik nozīmīgākais rīks valsts finanšu informācija</w:t>
      </w:r>
      <w:r w:rsidR="00930746" w:rsidRPr="00B94590">
        <w:t>s</w:t>
      </w:r>
      <w:r w:rsidRPr="00B94590">
        <w:t xml:space="preserve"> analīzē ir </w:t>
      </w:r>
      <w:r w:rsidR="000C402F" w:rsidRPr="00B94590">
        <w:t>SAP BW</w:t>
      </w:r>
      <w:r w:rsidRPr="00B94590">
        <w:t>, kas</w:t>
      </w:r>
      <w:r w:rsidR="000C402F" w:rsidRPr="00B94590">
        <w:t xml:space="preserve"> ir Vienotā</w:t>
      </w:r>
      <w:r w:rsidRPr="00B94590">
        <w:t>s</w:t>
      </w:r>
      <w:r w:rsidR="000C402F" w:rsidRPr="00B94590">
        <w:t xml:space="preserve"> valsts budžeta plānošanas un izpildes informācijas sistēmas</w:t>
      </w:r>
      <w:r w:rsidR="00460692" w:rsidRPr="00B94590">
        <w:t xml:space="preserve"> </w:t>
      </w:r>
      <w:r w:rsidR="000C402F" w:rsidRPr="00B94590">
        <w:t>vēsturisko un operatīvo datu glabātuve, kuras uzdevums ir nodrošināt atskaišu, oficiālo un operatīvo pārskatu izveidi dažādos griezumos</w:t>
      </w:r>
      <w:r w:rsidR="00460692" w:rsidRPr="00B94590">
        <w:t>,</w:t>
      </w:r>
      <w:r w:rsidR="000C402F" w:rsidRPr="00B94590">
        <w:t xml:space="preserve"> nenoslogojot SAP </w:t>
      </w:r>
      <w:r w:rsidR="00157C96" w:rsidRPr="00B94590">
        <w:t>transakciju sistēmu, kas nodrošina šādu funkciju izpildi:</w:t>
      </w:r>
    </w:p>
    <w:p w:rsidR="00157C96" w:rsidRPr="00B94590" w:rsidRDefault="00157C96" w:rsidP="00701E76">
      <w:pPr>
        <w:pStyle w:val="Teksts0"/>
        <w:numPr>
          <w:ilvl w:val="0"/>
          <w:numId w:val="19"/>
        </w:numPr>
        <w:spacing w:before="120" w:after="0"/>
        <w:jc w:val="both"/>
        <w:rPr>
          <w:color w:val="auto"/>
        </w:rPr>
      </w:pPr>
      <w:r w:rsidRPr="00B94590">
        <w:rPr>
          <w:color w:val="auto"/>
        </w:rPr>
        <w:t xml:space="preserve">budžeta plānošanas procesu; </w:t>
      </w:r>
    </w:p>
    <w:p w:rsidR="00157C96" w:rsidRPr="00B94590" w:rsidRDefault="00157C96" w:rsidP="00701E76">
      <w:pPr>
        <w:pStyle w:val="Teksts0"/>
        <w:numPr>
          <w:ilvl w:val="0"/>
          <w:numId w:val="19"/>
        </w:numPr>
        <w:spacing w:before="120" w:after="0"/>
        <w:jc w:val="both"/>
        <w:rPr>
          <w:color w:val="auto"/>
        </w:rPr>
      </w:pPr>
      <w:r w:rsidRPr="00B94590">
        <w:rPr>
          <w:color w:val="auto"/>
        </w:rPr>
        <w:t>budžeta izpildītāju finansēšanas plānu ielādi no FPAIS, pārbaudi pret plānošanas datiem un reģistrāciju, asignējumu piešķiršanu un uzskaiti;</w:t>
      </w:r>
    </w:p>
    <w:p w:rsidR="00157C96" w:rsidRPr="00B94590" w:rsidRDefault="00157C96" w:rsidP="00701E76">
      <w:pPr>
        <w:pStyle w:val="Teksts0"/>
        <w:numPr>
          <w:ilvl w:val="0"/>
          <w:numId w:val="19"/>
        </w:numPr>
        <w:spacing w:before="120" w:after="0"/>
        <w:jc w:val="both"/>
        <w:rPr>
          <w:color w:val="auto"/>
        </w:rPr>
      </w:pPr>
      <w:r w:rsidRPr="00B94590">
        <w:rPr>
          <w:color w:val="auto"/>
        </w:rPr>
        <w:t>kontu atvēršanu, bloķēšanu un slēgšanu;</w:t>
      </w:r>
    </w:p>
    <w:p w:rsidR="00157C96" w:rsidRPr="00B94590" w:rsidRDefault="00157C96" w:rsidP="00701E76">
      <w:pPr>
        <w:pStyle w:val="Teksts0"/>
        <w:numPr>
          <w:ilvl w:val="0"/>
          <w:numId w:val="19"/>
        </w:numPr>
        <w:spacing w:before="120" w:after="0"/>
        <w:jc w:val="both"/>
        <w:rPr>
          <w:color w:val="auto"/>
        </w:rPr>
      </w:pPr>
      <w:r w:rsidRPr="00B94590">
        <w:rPr>
          <w:color w:val="auto"/>
        </w:rPr>
        <w:t>budžeta plānošanai un izpildei nepieciešamo klasifikatoru un hierarhiju uzturēšanu;</w:t>
      </w:r>
    </w:p>
    <w:p w:rsidR="00157C96" w:rsidRPr="00B94590" w:rsidRDefault="0070642F" w:rsidP="00701E76">
      <w:pPr>
        <w:pStyle w:val="Teksts0"/>
        <w:numPr>
          <w:ilvl w:val="0"/>
          <w:numId w:val="19"/>
        </w:numPr>
        <w:spacing w:before="120" w:after="0"/>
        <w:jc w:val="both"/>
        <w:rPr>
          <w:color w:val="auto"/>
        </w:rPr>
      </w:pPr>
      <w:r w:rsidRPr="00B94590">
        <w:rPr>
          <w:color w:val="auto"/>
        </w:rPr>
        <w:t xml:space="preserve">VK Klientu </w:t>
      </w:r>
      <w:r w:rsidR="00157C96" w:rsidRPr="00B94590">
        <w:rPr>
          <w:color w:val="auto"/>
        </w:rPr>
        <w:t>maksājumu rīkojumu ievadi un importu, koriģējošo labojumu veikšanu;</w:t>
      </w:r>
    </w:p>
    <w:p w:rsidR="00157C96" w:rsidRPr="00B94590" w:rsidRDefault="00157C96" w:rsidP="00701E76">
      <w:pPr>
        <w:pStyle w:val="Teksts0"/>
        <w:numPr>
          <w:ilvl w:val="0"/>
          <w:numId w:val="19"/>
        </w:numPr>
        <w:spacing w:before="120" w:after="0"/>
        <w:jc w:val="both"/>
        <w:rPr>
          <w:color w:val="auto"/>
        </w:rPr>
      </w:pPr>
      <w:r w:rsidRPr="00B94590">
        <w:rPr>
          <w:color w:val="auto"/>
        </w:rPr>
        <w:t>klasifikatoru un izpildes datu nodošanu uz eKasi;</w:t>
      </w:r>
    </w:p>
    <w:p w:rsidR="00157C96" w:rsidRPr="00B94590" w:rsidRDefault="00157C96" w:rsidP="00701E76">
      <w:pPr>
        <w:pStyle w:val="Teksts0"/>
        <w:numPr>
          <w:ilvl w:val="0"/>
          <w:numId w:val="19"/>
        </w:numPr>
        <w:spacing w:before="120" w:after="0"/>
        <w:jc w:val="both"/>
        <w:rPr>
          <w:color w:val="auto"/>
        </w:rPr>
      </w:pPr>
      <w:r w:rsidRPr="00B94590">
        <w:rPr>
          <w:color w:val="auto"/>
        </w:rPr>
        <w:t>maksājumu rīkojumu saņemšanu no eKases un statusu nosūtīšanu uz eKasi;</w:t>
      </w:r>
    </w:p>
    <w:p w:rsidR="00157C96" w:rsidRPr="00B94590" w:rsidRDefault="00157C96" w:rsidP="00701E76">
      <w:pPr>
        <w:pStyle w:val="Teksts0"/>
        <w:numPr>
          <w:ilvl w:val="0"/>
          <w:numId w:val="19"/>
        </w:numPr>
        <w:spacing w:before="120" w:after="0"/>
        <w:jc w:val="both"/>
        <w:rPr>
          <w:color w:val="auto"/>
        </w:rPr>
      </w:pPr>
      <w:r w:rsidRPr="00B94590">
        <w:rPr>
          <w:color w:val="auto"/>
        </w:rPr>
        <w:t xml:space="preserve">dažādu kontroļu nodrošināšanu, tai skaitā </w:t>
      </w:r>
      <w:r w:rsidR="0070642F" w:rsidRPr="00B94590">
        <w:rPr>
          <w:color w:val="auto"/>
        </w:rPr>
        <w:t xml:space="preserve">valsts pamatbudžeta un valsts speciālā budžeta kontroli </w:t>
      </w:r>
      <w:r w:rsidRPr="00B94590">
        <w:rPr>
          <w:color w:val="auto"/>
        </w:rPr>
        <w:t>pret piešķirtiem asignējumiem un konta atlikumu;</w:t>
      </w:r>
    </w:p>
    <w:p w:rsidR="00157C96" w:rsidRPr="00B94590" w:rsidRDefault="0070642F" w:rsidP="00701E76">
      <w:pPr>
        <w:pStyle w:val="Teksts0"/>
        <w:numPr>
          <w:ilvl w:val="0"/>
          <w:numId w:val="19"/>
        </w:numPr>
        <w:spacing w:before="120" w:after="0"/>
        <w:jc w:val="both"/>
        <w:rPr>
          <w:color w:val="auto"/>
        </w:rPr>
      </w:pPr>
      <w:r w:rsidRPr="00B94590">
        <w:rPr>
          <w:color w:val="auto"/>
        </w:rPr>
        <w:t xml:space="preserve">valsts budžeta </w:t>
      </w:r>
      <w:r w:rsidR="00157C96" w:rsidRPr="00B94590">
        <w:rPr>
          <w:color w:val="auto"/>
        </w:rPr>
        <w:t>ieņēmumu apstrādi;</w:t>
      </w:r>
    </w:p>
    <w:p w:rsidR="00157C96" w:rsidRPr="00B94590" w:rsidRDefault="00157C96" w:rsidP="00701E76">
      <w:pPr>
        <w:pStyle w:val="Teksts0"/>
        <w:numPr>
          <w:ilvl w:val="0"/>
          <w:numId w:val="19"/>
        </w:numPr>
        <w:spacing w:before="120" w:after="0"/>
        <w:jc w:val="both"/>
        <w:rPr>
          <w:color w:val="auto"/>
        </w:rPr>
      </w:pPr>
      <w:r w:rsidRPr="00B94590">
        <w:rPr>
          <w:color w:val="auto"/>
        </w:rPr>
        <w:t>pašvaldību finanšu izlīdzināšanas fonda un iedzīvotāju ienākuma nodokļa sadali;</w:t>
      </w:r>
    </w:p>
    <w:p w:rsidR="00157C96" w:rsidRPr="00B94590" w:rsidRDefault="00157C96" w:rsidP="00701E76">
      <w:pPr>
        <w:pStyle w:val="Teksts0"/>
        <w:numPr>
          <w:ilvl w:val="0"/>
          <w:numId w:val="19"/>
        </w:numPr>
        <w:spacing w:before="120" w:after="0"/>
        <w:jc w:val="both"/>
        <w:rPr>
          <w:color w:val="auto"/>
        </w:rPr>
      </w:pPr>
      <w:r w:rsidRPr="00B94590">
        <w:rPr>
          <w:color w:val="auto"/>
        </w:rPr>
        <w:t>darījumu dokumentu (banku, klīringa un tranzīta maksājumu uzdevumu,  memoriālo orderu u.c.) transakciju apstrādi;</w:t>
      </w:r>
    </w:p>
    <w:p w:rsidR="00157C96" w:rsidRPr="00B94590" w:rsidRDefault="00157C96" w:rsidP="00157C96">
      <w:pPr>
        <w:ind w:left="360"/>
        <w:jc w:val="both"/>
      </w:pPr>
    </w:p>
    <w:p w:rsidR="000C402F" w:rsidRPr="00B94590" w:rsidRDefault="000C402F" w:rsidP="000C402F">
      <w:pPr>
        <w:ind w:firstLine="720"/>
        <w:jc w:val="both"/>
      </w:pPr>
      <w:r w:rsidRPr="00B94590">
        <w:t xml:space="preserve">Aktuālo datu uzskaitei </w:t>
      </w:r>
      <w:r w:rsidR="00460692" w:rsidRPr="00B94590">
        <w:t xml:space="preserve">SAP </w:t>
      </w:r>
      <w:r w:rsidRPr="00B94590">
        <w:t>BW sistēmā ti</w:t>
      </w:r>
      <w:r w:rsidR="00157C96" w:rsidRPr="00B94590">
        <w:t>ek</w:t>
      </w:r>
      <w:r w:rsidRPr="00B94590">
        <w:t xml:space="preserve"> izmantoti info provaideri (Info-kubi, DSO objekti, transakcijas dati un master dati).</w:t>
      </w:r>
    </w:p>
    <w:p w:rsidR="000C402F" w:rsidRPr="00B94590" w:rsidRDefault="000C402F" w:rsidP="000C402F">
      <w:pPr>
        <w:ind w:firstLine="720"/>
        <w:jc w:val="both"/>
      </w:pPr>
      <w:r w:rsidRPr="00B94590">
        <w:t>Sistēmā ir speciāli izstrādātās atskaites, kuras sākas ar Z_xxxx un lietotāja izveidotās atskaites, kuras sākas ar W_XXXX. Lietotājiem ir tiesības izveidot  atskaites un tādā veidā piekļūt sistēmas datiem</w:t>
      </w:r>
      <w:r w:rsidR="0070642F" w:rsidRPr="00B94590">
        <w:t>, kas noteikti lietotāja tiesībās</w:t>
      </w:r>
      <w:r w:rsidRPr="00B94590">
        <w:t>.</w:t>
      </w:r>
    </w:p>
    <w:p w:rsidR="0070642F" w:rsidRPr="00B94590" w:rsidRDefault="0070642F" w:rsidP="000C402F">
      <w:pPr>
        <w:ind w:firstLine="720"/>
        <w:jc w:val="both"/>
      </w:pPr>
    </w:p>
    <w:p w:rsidR="00AF4667" w:rsidRPr="00B94590" w:rsidRDefault="00AF4667" w:rsidP="00AF4667">
      <w:pPr>
        <w:jc w:val="both"/>
      </w:pPr>
    </w:p>
    <w:p w:rsidR="000C402F" w:rsidRPr="00B94590" w:rsidRDefault="00A86221" w:rsidP="000C402F">
      <w:pPr>
        <w:ind w:firstLine="720"/>
        <w:jc w:val="both"/>
      </w:pPr>
      <w:r w:rsidRPr="00B94590">
        <w:t>Datu pārneses shēma</w:t>
      </w:r>
      <w:r w:rsidR="000C402F" w:rsidRPr="00B94590">
        <w:t xml:space="preserve"> </w:t>
      </w:r>
      <w:r w:rsidR="00460692" w:rsidRPr="00B94590">
        <w:t xml:space="preserve">SAP </w:t>
      </w:r>
      <w:r w:rsidR="000C402F" w:rsidRPr="00B94590">
        <w:t>BW sistēmā</w:t>
      </w:r>
      <w:r w:rsidRPr="00B94590">
        <w:t xml:space="preserve"> iekļauta</w:t>
      </w:r>
      <w:r w:rsidR="00AF4667" w:rsidRPr="00B94590">
        <w:t xml:space="preserve"> zemāk, skat. </w:t>
      </w:r>
      <w:r w:rsidR="00AC6746" w:rsidRPr="00B94590">
        <w:fldChar w:fldCharType="begin"/>
      </w:r>
      <w:r w:rsidR="00AF4667" w:rsidRPr="00B94590">
        <w:instrText xml:space="preserve"> REF _Ref292586451 \h </w:instrText>
      </w:r>
      <w:r w:rsidR="00AC6746" w:rsidRPr="00B94590">
        <w:fldChar w:fldCharType="separate"/>
      </w:r>
      <w:r w:rsidR="00B34772" w:rsidRPr="00B94590">
        <w:t xml:space="preserve">Attēls Nr. </w:t>
      </w:r>
      <w:r w:rsidR="00B34772">
        <w:rPr>
          <w:noProof/>
        </w:rPr>
        <w:t>1</w:t>
      </w:r>
      <w:r w:rsidR="00AC6746" w:rsidRPr="00B94590">
        <w:fldChar w:fldCharType="end"/>
      </w:r>
      <w:r w:rsidR="00AF4667" w:rsidRPr="00B94590">
        <w:t>.</w:t>
      </w:r>
    </w:p>
    <w:p w:rsidR="000C402F" w:rsidRPr="00B94590" w:rsidRDefault="000C402F" w:rsidP="000C402F">
      <w:pPr>
        <w:spacing w:line="360" w:lineRule="auto"/>
        <w:jc w:val="both"/>
      </w:pPr>
    </w:p>
    <w:p w:rsidR="00A56E3E" w:rsidRPr="00B94590" w:rsidRDefault="0086330D" w:rsidP="00A86221">
      <w:pPr>
        <w:spacing w:line="360" w:lineRule="auto"/>
      </w:pPr>
      <w:r w:rsidRPr="00B94590">
        <w:object w:dxaOrig="9835"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69.5pt" o:ole="">
            <v:imagedata r:id="rId10" o:title=""/>
          </v:shape>
          <o:OLEObject Type="Embed" ProgID="Visio.Drawing.11" ShapeID="_x0000_i1025" DrawAspect="Content" ObjectID="_1394520084" r:id="rId11"/>
        </w:object>
      </w:r>
    </w:p>
    <w:p w:rsidR="000C402F" w:rsidRPr="00B94590" w:rsidRDefault="00A86221" w:rsidP="00A86221">
      <w:pPr>
        <w:pStyle w:val="Caption"/>
      </w:pPr>
      <w:bookmarkStart w:id="37" w:name="_Ref292586451"/>
      <w:bookmarkStart w:id="38" w:name="_Ref292586503"/>
      <w:bookmarkStart w:id="39" w:name="_Toc293590896"/>
      <w:r w:rsidRPr="00B94590">
        <w:t xml:space="preserve">Attēls Nr. </w:t>
      </w:r>
      <w:r w:rsidR="00AC6746" w:rsidRPr="00B94590">
        <w:fldChar w:fldCharType="begin"/>
      </w:r>
      <w:r w:rsidR="006F5BC8" w:rsidRPr="00B94590">
        <w:instrText xml:space="preserve"> SEQ Attēls_Nr. \* ARABIC </w:instrText>
      </w:r>
      <w:r w:rsidR="00AC6746" w:rsidRPr="00B94590">
        <w:fldChar w:fldCharType="separate"/>
      </w:r>
      <w:r w:rsidR="00B34772">
        <w:rPr>
          <w:noProof/>
        </w:rPr>
        <w:t>1</w:t>
      </w:r>
      <w:r w:rsidR="00AC6746" w:rsidRPr="00B94590">
        <w:fldChar w:fldCharType="end"/>
      </w:r>
      <w:bookmarkEnd w:id="37"/>
      <w:r w:rsidR="000C402F" w:rsidRPr="00B94590">
        <w:t xml:space="preserve">Datu </w:t>
      </w:r>
      <w:r w:rsidR="00A56E3E" w:rsidRPr="00B94590">
        <w:t>apstrāde SAP</w:t>
      </w:r>
      <w:r w:rsidR="000C402F" w:rsidRPr="00B94590">
        <w:t xml:space="preserve"> BW sistēmā.</w:t>
      </w:r>
      <w:bookmarkEnd w:id="38"/>
      <w:bookmarkEnd w:id="39"/>
    </w:p>
    <w:p w:rsidR="000C402F" w:rsidRPr="00B94590" w:rsidRDefault="000C402F" w:rsidP="000C402F">
      <w:pPr>
        <w:spacing w:line="360" w:lineRule="auto"/>
        <w:jc w:val="both"/>
      </w:pPr>
      <w:r w:rsidRPr="00B94590">
        <w:t>Paskaidrojumi 1. attēlam:</w:t>
      </w:r>
    </w:p>
    <w:p w:rsidR="0070642F" w:rsidRDefault="0070642F" w:rsidP="000B25FC">
      <w:pPr>
        <w:jc w:val="both"/>
      </w:pPr>
      <w:r w:rsidRPr="00B94590">
        <w:t>Ar klasifikatoriem tiek saprastas budžeta plānošanā un izpildē izmantojamās klasifikācijas, piemēram, ministrijas, programmas/apakšprogrammas, EKK, Iestādes, saistību veidi, projekti u.c. sistēmas klasifikatoru rokasgrāmatās noteiktie klasifikatori.</w:t>
      </w:r>
    </w:p>
    <w:p w:rsidR="000B25FC" w:rsidRPr="00B94590" w:rsidRDefault="000B25FC" w:rsidP="000B25FC">
      <w:pPr>
        <w:jc w:val="both"/>
      </w:pPr>
    </w:p>
    <w:p w:rsidR="000C402F" w:rsidRDefault="000C402F" w:rsidP="000B25FC">
      <w:pPr>
        <w:jc w:val="both"/>
      </w:pPr>
      <w:r w:rsidRPr="00B94590">
        <w:t xml:space="preserve">1. Finansēšanas plāni tiek importēti no FPAIS sistēmas uz </w:t>
      </w:r>
      <w:r w:rsidR="00460692" w:rsidRPr="00B94590">
        <w:t xml:space="preserve">SAP </w:t>
      </w:r>
      <w:r w:rsidRPr="00B94590">
        <w:t>BW-SEM.</w:t>
      </w:r>
    </w:p>
    <w:p w:rsidR="000B25FC" w:rsidRPr="00B94590" w:rsidRDefault="000B25FC" w:rsidP="000B25FC">
      <w:pPr>
        <w:jc w:val="both"/>
      </w:pPr>
    </w:p>
    <w:p w:rsidR="000C402F" w:rsidRDefault="000C402F" w:rsidP="000B25FC">
      <w:pPr>
        <w:jc w:val="both"/>
      </w:pPr>
      <w:r w:rsidRPr="00B94590">
        <w:t xml:space="preserve">2. No </w:t>
      </w:r>
      <w:r w:rsidR="00460692" w:rsidRPr="00B94590">
        <w:t xml:space="preserve">SAP </w:t>
      </w:r>
      <w:r w:rsidRPr="00B94590">
        <w:t xml:space="preserve">BW-SEM uz </w:t>
      </w:r>
      <w:r w:rsidR="00460692" w:rsidRPr="00B94590">
        <w:t xml:space="preserve">SAP </w:t>
      </w:r>
      <w:r w:rsidRPr="00B94590">
        <w:t>ERP sistēmu tiek pārsūtīti aktuālie finansēšanas plāni.</w:t>
      </w:r>
    </w:p>
    <w:p w:rsidR="000B25FC" w:rsidRPr="00B94590" w:rsidRDefault="000B25FC" w:rsidP="000B25FC">
      <w:pPr>
        <w:jc w:val="both"/>
      </w:pPr>
    </w:p>
    <w:p w:rsidR="000C402F" w:rsidRPr="00B94590" w:rsidRDefault="000C402F" w:rsidP="000B25FC">
      <w:pPr>
        <w:jc w:val="both"/>
      </w:pPr>
      <w:r w:rsidRPr="00B94590">
        <w:t xml:space="preserve">3. Klasifikatori tiek ievadīti </w:t>
      </w:r>
      <w:r w:rsidR="00460692" w:rsidRPr="00B94590">
        <w:t xml:space="preserve">SAP </w:t>
      </w:r>
      <w:r w:rsidRPr="00B94590">
        <w:t xml:space="preserve">ERP sistēmā un pārsūtīti uz </w:t>
      </w:r>
      <w:r w:rsidR="00460692" w:rsidRPr="00B94590">
        <w:t xml:space="preserve">SAP </w:t>
      </w:r>
      <w:r w:rsidRPr="00B94590">
        <w:t>BW- SEM sistēmu.</w:t>
      </w:r>
    </w:p>
    <w:p w:rsidR="000C402F" w:rsidRDefault="000C402F" w:rsidP="000B25FC">
      <w:pPr>
        <w:jc w:val="both"/>
      </w:pPr>
      <w:r w:rsidRPr="00B94590">
        <w:t xml:space="preserve">Projektu klasifikatoriem primārā sistēma ir </w:t>
      </w:r>
      <w:r w:rsidR="00460692" w:rsidRPr="00B94590">
        <w:t xml:space="preserve">SAP </w:t>
      </w:r>
      <w:r w:rsidRPr="00B94590">
        <w:t xml:space="preserve">BW-SEM un no turienes šis klasifikators tiek pārsūtīts uz </w:t>
      </w:r>
      <w:r w:rsidR="00460692" w:rsidRPr="00B94590">
        <w:t xml:space="preserve">SAP </w:t>
      </w:r>
      <w:r w:rsidRPr="00B94590">
        <w:t>ERP un FPAIS.</w:t>
      </w:r>
    </w:p>
    <w:p w:rsidR="000B25FC" w:rsidRPr="00B94590" w:rsidRDefault="000B25FC" w:rsidP="000B25FC">
      <w:pPr>
        <w:jc w:val="both"/>
      </w:pPr>
    </w:p>
    <w:p w:rsidR="000C402F" w:rsidRPr="00B94590" w:rsidRDefault="000C402F" w:rsidP="000B25FC">
      <w:pPr>
        <w:jc w:val="both"/>
      </w:pPr>
      <w:r w:rsidRPr="00B94590">
        <w:t xml:space="preserve">4. No </w:t>
      </w:r>
      <w:r w:rsidR="00460692" w:rsidRPr="00B94590">
        <w:t xml:space="preserve">SAP </w:t>
      </w:r>
      <w:r w:rsidRPr="00B94590">
        <w:t xml:space="preserve">BW-SEM uz </w:t>
      </w:r>
      <w:r w:rsidR="00460692" w:rsidRPr="00B94590">
        <w:t xml:space="preserve">SAP </w:t>
      </w:r>
      <w:r w:rsidRPr="00B94590">
        <w:t>BW tiek pārsūtīti visi vēsturiskie finansēšanas plāni</w:t>
      </w:r>
      <w:r w:rsidR="0070642F" w:rsidRPr="00B94590">
        <w:t>, hierarhijas</w:t>
      </w:r>
      <w:r w:rsidRPr="00B94590">
        <w:t xml:space="preserve"> un klasifikatori, kā arī no </w:t>
      </w:r>
      <w:r w:rsidR="00460692" w:rsidRPr="00B94590">
        <w:t xml:space="preserve">SAP </w:t>
      </w:r>
      <w:r w:rsidRPr="00B94590">
        <w:t xml:space="preserve">ERP sistēmas budžeta izpildes </w:t>
      </w:r>
      <w:r w:rsidR="0070642F" w:rsidRPr="00B94590">
        <w:t xml:space="preserve">virsgrāmatas </w:t>
      </w:r>
      <w:r w:rsidRPr="00B94590">
        <w:t>dati.</w:t>
      </w:r>
    </w:p>
    <w:p w:rsidR="001C494F" w:rsidRPr="00B94590" w:rsidRDefault="008E2D53" w:rsidP="00A65510">
      <w:pPr>
        <w:ind w:firstLine="720"/>
        <w:jc w:val="both"/>
        <w:rPr>
          <w:sz w:val="22"/>
          <w:szCs w:val="22"/>
        </w:rPr>
      </w:pPr>
      <w:r w:rsidRPr="00B94590">
        <w:rPr>
          <w:lang w:eastAsia="en-US"/>
        </w:rPr>
        <w:t>Pašreizējā situācijā grāmatvedības pārskatu sagatavošanai un konsolidēšanai tiek izmantota VBPBP programmatūra</w:t>
      </w:r>
      <w:r w:rsidR="007317D2" w:rsidRPr="00B94590">
        <w:rPr>
          <w:lang w:eastAsia="en-US"/>
        </w:rPr>
        <w:t>.</w:t>
      </w:r>
      <w:r w:rsidR="00974DEE" w:rsidRPr="00B94590">
        <w:rPr>
          <w:sz w:val="22"/>
          <w:szCs w:val="22"/>
        </w:rPr>
        <w:t>VBPBP veidota trīs slā</w:t>
      </w:r>
      <w:r w:rsidR="00E36FF2" w:rsidRPr="00B94590">
        <w:rPr>
          <w:sz w:val="22"/>
          <w:szCs w:val="22"/>
        </w:rPr>
        <w:t>ņu</w:t>
      </w:r>
      <w:r w:rsidR="00974DEE" w:rsidRPr="00B94590">
        <w:rPr>
          <w:sz w:val="22"/>
          <w:szCs w:val="22"/>
        </w:rPr>
        <w:t xml:space="preserve"> (</w:t>
      </w:r>
      <w:r w:rsidR="00974DEE" w:rsidRPr="00B94590">
        <w:rPr>
          <w:bCs/>
          <w:i/>
          <w:iCs/>
          <w:sz w:val="22"/>
          <w:szCs w:val="22"/>
        </w:rPr>
        <w:t>three-tier</w:t>
      </w:r>
      <w:r w:rsidR="00974DEE" w:rsidRPr="00B94590">
        <w:rPr>
          <w:sz w:val="22"/>
          <w:szCs w:val="22"/>
        </w:rPr>
        <w:t>) arhitektūrā, izmantojot WEB tehnoloģijas (</w:t>
      </w:r>
      <w:r w:rsidR="00C06DE2" w:rsidRPr="00B94590">
        <w:rPr>
          <w:sz w:val="22"/>
          <w:szCs w:val="22"/>
        </w:rPr>
        <w:t xml:space="preserve">skat. </w:t>
      </w:r>
      <w:r w:rsidR="00AC6746" w:rsidRPr="00B94590">
        <w:rPr>
          <w:sz w:val="22"/>
          <w:szCs w:val="22"/>
          <w:highlight w:val="yellow"/>
        </w:rPr>
        <w:fldChar w:fldCharType="begin"/>
      </w:r>
      <w:r w:rsidR="00C06DE2" w:rsidRPr="00B94590">
        <w:rPr>
          <w:sz w:val="22"/>
          <w:szCs w:val="22"/>
        </w:rPr>
        <w:instrText xml:space="preserve"> REF _Ref292587060 \h </w:instrText>
      </w:r>
      <w:r w:rsidR="00AC6746" w:rsidRPr="00B94590">
        <w:rPr>
          <w:sz w:val="22"/>
          <w:szCs w:val="22"/>
          <w:highlight w:val="yellow"/>
        </w:rPr>
      </w:r>
      <w:r w:rsidR="00AC6746" w:rsidRPr="00B94590">
        <w:rPr>
          <w:sz w:val="22"/>
          <w:szCs w:val="22"/>
          <w:highlight w:val="yellow"/>
        </w:rPr>
        <w:fldChar w:fldCharType="separate"/>
      </w:r>
      <w:r w:rsidR="00B34772" w:rsidRPr="00B94590">
        <w:t xml:space="preserve">Attēls Nr. </w:t>
      </w:r>
      <w:r w:rsidR="00B34772">
        <w:rPr>
          <w:noProof/>
        </w:rPr>
        <w:t>2</w:t>
      </w:r>
      <w:r w:rsidR="00AC6746" w:rsidRPr="00B94590">
        <w:rPr>
          <w:sz w:val="22"/>
          <w:szCs w:val="22"/>
          <w:highlight w:val="yellow"/>
        </w:rPr>
        <w:fldChar w:fldCharType="end"/>
      </w:r>
      <w:r w:rsidR="00974DEE" w:rsidRPr="00B94590">
        <w:rPr>
          <w:sz w:val="22"/>
          <w:szCs w:val="22"/>
        </w:rPr>
        <w:t>). Trīs slā</w:t>
      </w:r>
      <w:r w:rsidR="00E36FF2" w:rsidRPr="00B94590">
        <w:rPr>
          <w:sz w:val="22"/>
          <w:szCs w:val="22"/>
        </w:rPr>
        <w:t>ņu</w:t>
      </w:r>
      <w:r w:rsidR="00974DEE" w:rsidRPr="00B94590">
        <w:rPr>
          <w:sz w:val="22"/>
          <w:szCs w:val="22"/>
        </w:rPr>
        <w:t xml:space="preserve"> klienta-servera arhitektūrā katrs no slā</w:t>
      </w:r>
      <w:r w:rsidR="00E36FF2" w:rsidRPr="00B94590">
        <w:rPr>
          <w:sz w:val="22"/>
          <w:szCs w:val="22"/>
        </w:rPr>
        <w:t>ņ</w:t>
      </w:r>
      <w:r w:rsidR="00974DEE" w:rsidRPr="00B94590">
        <w:rPr>
          <w:sz w:val="22"/>
          <w:szCs w:val="22"/>
        </w:rPr>
        <w:t>iem nodrošina savu aplikācijas darbības aspektu – datu krātuve, biznesa loģika, attēlojums. Trīs slā</w:t>
      </w:r>
      <w:r w:rsidR="00E36FF2" w:rsidRPr="00B94590">
        <w:rPr>
          <w:sz w:val="22"/>
          <w:szCs w:val="22"/>
        </w:rPr>
        <w:t>ņ</w:t>
      </w:r>
      <w:r w:rsidR="00974DEE" w:rsidRPr="00B94590">
        <w:rPr>
          <w:sz w:val="22"/>
          <w:szCs w:val="22"/>
        </w:rPr>
        <w:t>u arhitektūras priekšrocības ir atvieglota izstrāde un uzturēšana (lokālas izmai</w:t>
      </w:r>
      <w:r w:rsidR="00E36FF2" w:rsidRPr="00B94590">
        <w:rPr>
          <w:sz w:val="22"/>
          <w:szCs w:val="22"/>
        </w:rPr>
        <w:t>ņ</w:t>
      </w:r>
      <w:r w:rsidR="00974DEE" w:rsidRPr="00B94590">
        <w:rPr>
          <w:sz w:val="22"/>
          <w:szCs w:val="22"/>
        </w:rPr>
        <w:t>as vienā slānī nav saistītas ar izmai</w:t>
      </w:r>
      <w:r w:rsidR="00E36FF2" w:rsidRPr="00B94590">
        <w:rPr>
          <w:sz w:val="22"/>
          <w:szCs w:val="22"/>
        </w:rPr>
        <w:t>ņ</w:t>
      </w:r>
      <w:r w:rsidR="00974DEE" w:rsidRPr="00B94590">
        <w:rPr>
          <w:sz w:val="22"/>
          <w:szCs w:val="22"/>
        </w:rPr>
        <w:t>ām pārējos divos slā</w:t>
      </w:r>
      <w:r w:rsidR="00E36FF2" w:rsidRPr="00B94590">
        <w:rPr>
          <w:sz w:val="22"/>
          <w:szCs w:val="22"/>
        </w:rPr>
        <w:t>ņ</w:t>
      </w:r>
      <w:r w:rsidR="00974DEE" w:rsidRPr="00B94590">
        <w:rPr>
          <w:sz w:val="22"/>
          <w:szCs w:val="22"/>
        </w:rPr>
        <w:t xml:space="preserve">os), kā arī modularitāte un potenciāli labāka VBPBP paplašināmība. </w:t>
      </w:r>
    </w:p>
    <w:p w:rsidR="001C494F" w:rsidRPr="00B94590" w:rsidRDefault="001C494F" w:rsidP="001C494F">
      <w:pPr>
        <w:jc w:val="both"/>
        <w:rPr>
          <w:sz w:val="22"/>
          <w:szCs w:val="22"/>
        </w:rPr>
      </w:pPr>
      <w:r w:rsidRPr="00B94590">
        <w:rPr>
          <w:noProof/>
          <w:sz w:val="22"/>
          <w:szCs w:val="22"/>
        </w:rPr>
        <w:lastRenderedPageBreak/>
        <w:drawing>
          <wp:inline distT="0" distB="0" distL="0" distR="0" wp14:anchorId="610C2D74" wp14:editId="2B38ACBC">
            <wp:extent cx="5278755" cy="2194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755" cy="2194207"/>
                    </a:xfrm>
                    <a:prstGeom prst="rect">
                      <a:avLst/>
                    </a:prstGeom>
                    <a:noFill/>
                    <a:ln>
                      <a:noFill/>
                    </a:ln>
                  </pic:spPr>
                </pic:pic>
              </a:graphicData>
            </a:graphic>
          </wp:inline>
        </w:drawing>
      </w:r>
    </w:p>
    <w:p w:rsidR="00C06DE2" w:rsidRPr="00B94590" w:rsidRDefault="00C06DE2" w:rsidP="00C06DE2">
      <w:pPr>
        <w:pStyle w:val="Caption"/>
        <w:rPr>
          <w:b w:val="0"/>
          <w:bCs w:val="0"/>
          <w:sz w:val="22"/>
          <w:szCs w:val="22"/>
        </w:rPr>
      </w:pPr>
      <w:bookmarkStart w:id="40" w:name="_Ref292587060"/>
      <w:bookmarkStart w:id="41" w:name="_Toc293590897"/>
      <w:r w:rsidRPr="00B94590">
        <w:t xml:space="preserve">Attēls Nr. </w:t>
      </w:r>
      <w:r w:rsidR="00AC6746" w:rsidRPr="00B94590">
        <w:fldChar w:fldCharType="begin"/>
      </w:r>
      <w:r w:rsidR="006F5BC8" w:rsidRPr="00B94590">
        <w:instrText xml:space="preserve"> SEQ Attēls_Nr. \* ARABIC </w:instrText>
      </w:r>
      <w:r w:rsidR="00AC6746" w:rsidRPr="00B94590">
        <w:fldChar w:fldCharType="separate"/>
      </w:r>
      <w:r w:rsidR="00B34772">
        <w:rPr>
          <w:noProof/>
        </w:rPr>
        <w:t>2</w:t>
      </w:r>
      <w:r w:rsidR="00AC6746" w:rsidRPr="00B94590">
        <w:fldChar w:fldCharType="end"/>
      </w:r>
      <w:bookmarkEnd w:id="40"/>
      <w:r w:rsidRPr="00B94590">
        <w:t xml:space="preserve"> VBPBP arhitektūra</w:t>
      </w:r>
      <w:bookmarkEnd w:id="41"/>
    </w:p>
    <w:p w:rsidR="00E36FF2" w:rsidRPr="00B94590" w:rsidRDefault="00E36FF2" w:rsidP="00E36FF2">
      <w:pPr>
        <w:pStyle w:val="Default"/>
        <w:rPr>
          <w:color w:val="auto"/>
          <w:sz w:val="22"/>
          <w:szCs w:val="22"/>
        </w:rPr>
      </w:pPr>
      <w:r w:rsidRPr="00B94590">
        <w:rPr>
          <w:b/>
          <w:bCs/>
          <w:color w:val="auto"/>
          <w:sz w:val="22"/>
          <w:szCs w:val="22"/>
        </w:rPr>
        <w:t xml:space="preserve">Datu slānis </w:t>
      </w:r>
      <w:r w:rsidRPr="00B94590">
        <w:rPr>
          <w:color w:val="auto"/>
          <w:sz w:val="22"/>
          <w:szCs w:val="22"/>
        </w:rPr>
        <w:t xml:space="preserve">ietver iespējas saglabāt un piekļūt dažāda veida datiem. Datu līmeni veido datu krātuve un komponenti, kas nepieciešami piekļuvei datu krātuvei. Datu līmeņa galvenās funkcijas: </w:t>
      </w:r>
    </w:p>
    <w:p w:rsidR="00E36FF2" w:rsidRPr="00B94590" w:rsidRDefault="00E36FF2" w:rsidP="00701E76">
      <w:pPr>
        <w:pStyle w:val="Default"/>
        <w:numPr>
          <w:ilvl w:val="0"/>
          <w:numId w:val="19"/>
        </w:numPr>
        <w:spacing w:after="78"/>
        <w:rPr>
          <w:color w:val="auto"/>
          <w:sz w:val="22"/>
          <w:szCs w:val="22"/>
        </w:rPr>
      </w:pPr>
      <w:r w:rsidRPr="00B94590">
        <w:rPr>
          <w:color w:val="auto"/>
          <w:sz w:val="22"/>
          <w:szCs w:val="22"/>
        </w:rPr>
        <w:t xml:space="preserve">datu glabāšana; </w:t>
      </w:r>
    </w:p>
    <w:p w:rsidR="00E36FF2" w:rsidRPr="00B94590" w:rsidRDefault="00E36FF2" w:rsidP="00701E76">
      <w:pPr>
        <w:pStyle w:val="Default"/>
        <w:numPr>
          <w:ilvl w:val="0"/>
          <w:numId w:val="19"/>
        </w:numPr>
        <w:spacing w:after="78"/>
        <w:rPr>
          <w:color w:val="auto"/>
          <w:sz w:val="22"/>
          <w:szCs w:val="22"/>
        </w:rPr>
      </w:pPr>
      <w:r w:rsidRPr="00B94590">
        <w:rPr>
          <w:color w:val="auto"/>
          <w:sz w:val="22"/>
          <w:szCs w:val="22"/>
        </w:rPr>
        <w:t>pamatintegritātes (</w:t>
      </w:r>
      <w:r w:rsidRPr="00B94590">
        <w:rPr>
          <w:bCs/>
          <w:i/>
          <w:iCs/>
          <w:color w:val="auto"/>
          <w:sz w:val="22"/>
          <w:szCs w:val="22"/>
        </w:rPr>
        <w:t>referential integrity</w:t>
      </w:r>
      <w:r w:rsidRPr="00B94590">
        <w:rPr>
          <w:color w:val="auto"/>
          <w:sz w:val="22"/>
          <w:szCs w:val="22"/>
        </w:rPr>
        <w:t xml:space="preserve">) nodrošināšana; </w:t>
      </w:r>
    </w:p>
    <w:p w:rsidR="00E36FF2" w:rsidRPr="00B94590" w:rsidRDefault="00E36FF2" w:rsidP="00701E76">
      <w:pPr>
        <w:pStyle w:val="Default"/>
        <w:numPr>
          <w:ilvl w:val="0"/>
          <w:numId w:val="19"/>
        </w:numPr>
        <w:rPr>
          <w:color w:val="auto"/>
          <w:sz w:val="22"/>
          <w:szCs w:val="22"/>
        </w:rPr>
      </w:pPr>
      <w:r w:rsidRPr="00B94590">
        <w:rPr>
          <w:color w:val="auto"/>
          <w:sz w:val="22"/>
          <w:szCs w:val="22"/>
        </w:rPr>
        <w:t>atomāro operāciju</w:t>
      </w:r>
      <w:r w:rsidR="0034038F" w:rsidRPr="00B94590">
        <w:rPr>
          <w:color w:val="auto"/>
          <w:sz w:val="22"/>
          <w:szCs w:val="22"/>
        </w:rPr>
        <w:t>,</w:t>
      </w:r>
      <w:r w:rsidRPr="00B94590">
        <w:rPr>
          <w:color w:val="auto"/>
          <w:sz w:val="22"/>
          <w:szCs w:val="22"/>
        </w:rPr>
        <w:t xml:space="preserve"> darbam ar datiem</w:t>
      </w:r>
      <w:r w:rsidR="0034038F" w:rsidRPr="00B94590">
        <w:rPr>
          <w:color w:val="auto"/>
          <w:sz w:val="22"/>
          <w:szCs w:val="22"/>
        </w:rPr>
        <w:t>,</w:t>
      </w:r>
      <w:r w:rsidRPr="00B94590">
        <w:rPr>
          <w:color w:val="auto"/>
          <w:sz w:val="22"/>
          <w:szCs w:val="22"/>
        </w:rPr>
        <w:t xml:space="preserve"> nodrošināšana (tabulā esošo datu ievade, labošana, dzēšana, kā arī visas atlasīšanas funkcijas). </w:t>
      </w:r>
    </w:p>
    <w:p w:rsidR="00E36FF2" w:rsidRPr="00B94590" w:rsidRDefault="00E36FF2" w:rsidP="00E36FF2">
      <w:pPr>
        <w:pStyle w:val="Default"/>
        <w:rPr>
          <w:color w:val="auto"/>
          <w:sz w:val="22"/>
          <w:szCs w:val="22"/>
        </w:rPr>
      </w:pPr>
    </w:p>
    <w:p w:rsidR="00E36FF2" w:rsidRPr="00B94590" w:rsidRDefault="00E36FF2" w:rsidP="00E36FF2">
      <w:pPr>
        <w:pStyle w:val="Default"/>
        <w:rPr>
          <w:color w:val="auto"/>
          <w:sz w:val="22"/>
          <w:szCs w:val="22"/>
        </w:rPr>
      </w:pPr>
      <w:r w:rsidRPr="00B94590">
        <w:rPr>
          <w:b/>
          <w:bCs/>
          <w:color w:val="auto"/>
          <w:sz w:val="22"/>
          <w:szCs w:val="22"/>
        </w:rPr>
        <w:t xml:space="preserve">Biznesa loģikas slānis </w:t>
      </w:r>
      <w:r w:rsidRPr="00B94590">
        <w:rPr>
          <w:color w:val="auto"/>
          <w:sz w:val="22"/>
          <w:szCs w:val="22"/>
        </w:rPr>
        <w:t xml:space="preserve">ietver funkcionalitāti, ko nodrošina VBPBP sistēma. Biznesa loģikas slānis nodrošina: </w:t>
      </w:r>
    </w:p>
    <w:p w:rsidR="00E36FF2" w:rsidRPr="00B94590" w:rsidRDefault="00E36FF2" w:rsidP="00701E76">
      <w:pPr>
        <w:pStyle w:val="Default"/>
        <w:numPr>
          <w:ilvl w:val="0"/>
          <w:numId w:val="19"/>
        </w:numPr>
        <w:spacing w:after="79"/>
        <w:rPr>
          <w:color w:val="auto"/>
          <w:sz w:val="22"/>
          <w:szCs w:val="22"/>
        </w:rPr>
      </w:pPr>
      <w:r w:rsidRPr="00B94590">
        <w:rPr>
          <w:color w:val="auto"/>
          <w:sz w:val="22"/>
          <w:szCs w:val="22"/>
        </w:rPr>
        <w:t xml:space="preserve">datu apmaiņu starp lietotāju saskarnes slāni un datu slāni; </w:t>
      </w:r>
    </w:p>
    <w:p w:rsidR="00E36FF2" w:rsidRPr="00B94590" w:rsidRDefault="00E36FF2" w:rsidP="00701E76">
      <w:pPr>
        <w:pStyle w:val="Default"/>
        <w:numPr>
          <w:ilvl w:val="0"/>
          <w:numId w:val="19"/>
        </w:numPr>
        <w:spacing w:after="79"/>
        <w:rPr>
          <w:color w:val="auto"/>
          <w:sz w:val="22"/>
          <w:szCs w:val="22"/>
        </w:rPr>
      </w:pPr>
      <w:r w:rsidRPr="00B94590">
        <w:rPr>
          <w:color w:val="auto"/>
          <w:sz w:val="22"/>
          <w:szCs w:val="22"/>
        </w:rPr>
        <w:t xml:space="preserve">datu analīzi apstrādi atbilstoši izvirzītajām prasībām; </w:t>
      </w:r>
    </w:p>
    <w:p w:rsidR="00E36FF2" w:rsidRPr="00B94590" w:rsidRDefault="00E36FF2" w:rsidP="00701E76">
      <w:pPr>
        <w:pStyle w:val="Default"/>
        <w:numPr>
          <w:ilvl w:val="0"/>
          <w:numId w:val="19"/>
        </w:numPr>
        <w:rPr>
          <w:color w:val="auto"/>
          <w:sz w:val="22"/>
          <w:szCs w:val="22"/>
        </w:rPr>
      </w:pPr>
      <w:r w:rsidRPr="00B94590">
        <w:rPr>
          <w:color w:val="auto"/>
          <w:sz w:val="22"/>
          <w:szCs w:val="22"/>
        </w:rPr>
        <w:t xml:space="preserve">datu nodošanu uz lietotāja saskarnes slāni attēlošanai sistēmā. </w:t>
      </w:r>
    </w:p>
    <w:p w:rsidR="00E36FF2" w:rsidRPr="00B94590" w:rsidRDefault="00E36FF2" w:rsidP="00E36FF2">
      <w:pPr>
        <w:pStyle w:val="Default"/>
        <w:rPr>
          <w:color w:val="auto"/>
          <w:sz w:val="22"/>
          <w:szCs w:val="22"/>
        </w:rPr>
      </w:pPr>
    </w:p>
    <w:p w:rsidR="00E36FF2" w:rsidRPr="00B94590" w:rsidRDefault="00E36FF2" w:rsidP="00E36FF2">
      <w:pPr>
        <w:pStyle w:val="Default"/>
        <w:rPr>
          <w:color w:val="auto"/>
          <w:sz w:val="22"/>
          <w:szCs w:val="22"/>
        </w:rPr>
      </w:pPr>
      <w:r w:rsidRPr="00B94590">
        <w:rPr>
          <w:b/>
          <w:bCs/>
          <w:color w:val="auto"/>
          <w:sz w:val="22"/>
          <w:szCs w:val="22"/>
        </w:rPr>
        <w:t xml:space="preserve">Lietotāja saskarnes slāņa </w:t>
      </w:r>
      <w:r w:rsidRPr="00B94590">
        <w:rPr>
          <w:color w:val="auto"/>
          <w:sz w:val="22"/>
          <w:szCs w:val="22"/>
        </w:rPr>
        <w:t>jeb prezentācijas loģikas uzdevums ir nodrošināt lietotājam ērtu darbu ar datiem – to ievadīšanu, meklēšanu, labošanu, dzēšanu un apskati. Lietotāja saskarne nodrošina</w:t>
      </w:r>
      <w:r w:rsidRPr="00B94590">
        <w:rPr>
          <w:b/>
          <w:bCs/>
          <w:color w:val="auto"/>
          <w:sz w:val="22"/>
          <w:szCs w:val="22"/>
        </w:rPr>
        <w:t xml:space="preserve">: </w:t>
      </w:r>
    </w:p>
    <w:p w:rsidR="00E36FF2" w:rsidRPr="00B94590" w:rsidRDefault="00E36FF2" w:rsidP="00701E76">
      <w:pPr>
        <w:pStyle w:val="Default"/>
        <w:numPr>
          <w:ilvl w:val="0"/>
          <w:numId w:val="19"/>
        </w:numPr>
        <w:spacing w:after="76"/>
        <w:rPr>
          <w:color w:val="auto"/>
          <w:sz w:val="22"/>
          <w:szCs w:val="22"/>
        </w:rPr>
      </w:pPr>
      <w:r w:rsidRPr="00B94590">
        <w:rPr>
          <w:color w:val="auto"/>
          <w:sz w:val="22"/>
          <w:szCs w:val="22"/>
        </w:rPr>
        <w:t xml:space="preserve">veidu, kā lietotājs sadarbojas ar sistēmu (tīmekļa vai darba virsmas aplikāciju ievadformas, vadīklas). </w:t>
      </w:r>
      <w:r w:rsidR="006C48C0" w:rsidRPr="00B94590">
        <w:rPr>
          <w:color w:val="auto"/>
          <w:sz w:val="22"/>
          <w:szCs w:val="22"/>
        </w:rPr>
        <w:tab/>
      </w:r>
    </w:p>
    <w:p w:rsidR="00E36FF2" w:rsidRPr="00B94590" w:rsidRDefault="00E36FF2" w:rsidP="00701E76">
      <w:pPr>
        <w:pStyle w:val="Default"/>
        <w:numPr>
          <w:ilvl w:val="0"/>
          <w:numId w:val="19"/>
        </w:numPr>
        <w:rPr>
          <w:color w:val="auto"/>
          <w:sz w:val="22"/>
          <w:szCs w:val="22"/>
        </w:rPr>
      </w:pPr>
      <w:r w:rsidRPr="00B94590">
        <w:rPr>
          <w:color w:val="auto"/>
          <w:sz w:val="22"/>
          <w:szCs w:val="22"/>
        </w:rPr>
        <w:t xml:space="preserve">lietotāja ievada validāciju un stāvokļa pārvaldību. </w:t>
      </w:r>
    </w:p>
    <w:p w:rsidR="001C494F" w:rsidRPr="00B94590" w:rsidRDefault="001C494F" w:rsidP="00A65510">
      <w:pPr>
        <w:ind w:firstLine="720"/>
        <w:jc w:val="both"/>
        <w:rPr>
          <w:sz w:val="22"/>
          <w:szCs w:val="22"/>
        </w:rPr>
      </w:pPr>
    </w:p>
    <w:p w:rsidR="009A57AF" w:rsidRPr="00B94590" w:rsidRDefault="00A64C94" w:rsidP="00A65510">
      <w:pPr>
        <w:ind w:firstLine="720"/>
        <w:jc w:val="both"/>
        <w:rPr>
          <w:lang w:eastAsia="en-US"/>
        </w:rPr>
      </w:pPr>
      <w:r w:rsidRPr="00B94590">
        <w:rPr>
          <w:lang w:eastAsia="en-US"/>
        </w:rPr>
        <w:t>VBPBP programmatūra nodrošina grāmatvedības pārskatu importēšanas, ievadīšanas, rediģēšanas, konsolidēšanas, kontroles un saziņas funkcionalitāti. Tipiskākais esošās sistēmas scenārijs ir, kad zemākā līmeņa vienība (tipiskā gadījumā iestāde) aizpilda un paraksta pārskatus (aizpildīšanai izmantojot vai nu XML failu importu no savas grāmatvedības sistēmas, vai pārskata ievadīšanas saskarni tabulas veidā, parakstīšanai izmantojot elektronisko norēķinu sistēmas eKase autentifikācijas rīkus – RSA k</w:t>
      </w:r>
      <w:r w:rsidR="00381010" w:rsidRPr="00B94590">
        <w:rPr>
          <w:lang w:eastAsia="en-US"/>
        </w:rPr>
        <w:t>odu ģener</w:t>
      </w:r>
      <w:r w:rsidRPr="00B94590">
        <w:rPr>
          <w:lang w:eastAsia="en-US"/>
        </w:rPr>
        <w:t>atorus vai drošu elektronisko parakstu). Tālāk nākamā līmeņa vienība (tipiskā gadījumā ministrija), pārbauda un paraks</w:t>
      </w:r>
      <w:r w:rsidR="00381010" w:rsidRPr="00B94590">
        <w:rPr>
          <w:lang w:eastAsia="en-US"/>
        </w:rPr>
        <w:t>ta konsolidēto ministrijas pārs</w:t>
      </w:r>
      <w:r w:rsidRPr="00B94590">
        <w:rPr>
          <w:lang w:eastAsia="en-US"/>
        </w:rPr>
        <w:t>ka</w:t>
      </w:r>
      <w:r w:rsidR="00381010" w:rsidRPr="00B94590">
        <w:rPr>
          <w:lang w:eastAsia="en-US"/>
        </w:rPr>
        <w:t>t</w:t>
      </w:r>
      <w:r w:rsidRPr="00B94590">
        <w:rPr>
          <w:lang w:eastAsia="en-US"/>
        </w:rPr>
        <w:t>u (konsolidēšana tiek veikta VBPBP sistēmā). Tālāk</w:t>
      </w:r>
      <w:r w:rsidR="0034038F" w:rsidRPr="00B94590">
        <w:rPr>
          <w:lang w:eastAsia="en-US"/>
        </w:rPr>
        <w:t>,</w:t>
      </w:r>
      <w:r w:rsidRPr="00B94590">
        <w:rPr>
          <w:lang w:eastAsia="en-US"/>
        </w:rPr>
        <w:t xml:space="preserve"> nākamā līmeņa vienība veic pārskatu pārba</w:t>
      </w:r>
      <w:r w:rsidR="00381010" w:rsidRPr="00B94590">
        <w:rPr>
          <w:lang w:eastAsia="en-US"/>
        </w:rPr>
        <w:t>udi un akceptēš</w:t>
      </w:r>
      <w:r w:rsidRPr="00B94590">
        <w:rPr>
          <w:lang w:eastAsia="en-US"/>
        </w:rPr>
        <w:t>anu – tipiskā gadījumā tas ir Valsts kases pārskatu departaments, kas pieeju pie pārskatiem dod arī Valsts kontroles revidentiem. Tipisks programmatūras izmantošanas scenārijs attēlots</w:t>
      </w:r>
      <w:r w:rsidR="00C06DE2" w:rsidRPr="00B94590">
        <w:rPr>
          <w:lang w:eastAsia="en-US"/>
        </w:rPr>
        <w:t xml:space="preserve"> shēmā zemāk (skat. </w:t>
      </w:r>
      <w:r w:rsidR="00AC6746" w:rsidRPr="00B94590">
        <w:rPr>
          <w:lang w:eastAsia="en-US"/>
        </w:rPr>
        <w:fldChar w:fldCharType="begin"/>
      </w:r>
      <w:r w:rsidR="00C06DE2" w:rsidRPr="00B94590">
        <w:rPr>
          <w:lang w:eastAsia="en-US"/>
        </w:rPr>
        <w:instrText xml:space="preserve"> REF _Ref292587137 \h </w:instrText>
      </w:r>
      <w:r w:rsidR="00AC6746" w:rsidRPr="00B94590">
        <w:rPr>
          <w:lang w:eastAsia="en-US"/>
        </w:rPr>
      </w:r>
      <w:r w:rsidR="00AC6746" w:rsidRPr="00B94590">
        <w:rPr>
          <w:lang w:eastAsia="en-US"/>
        </w:rPr>
        <w:fldChar w:fldCharType="separate"/>
      </w:r>
      <w:r w:rsidR="00B34772" w:rsidRPr="00B94590">
        <w:t xml:space="preserve">Attēls Nr. </w:t>
      </w:r>
      <w:r w:rsidR="00B34772">
        <w:rPr>
          <w:noProof/>
        </w:rPr>
        <w:t>3</w:t>
      </w:r>
      <w:r w:rsidR="00AC6746" w:rsidRPr="00B94590">
        <w:rPr>
          <w:lang w:eastAsia="en-US"/>
        </w:rPr>
        <w:fldChar w:fldCharType="end"/>
      </w:r>
      <w:r w:rsidR="00C06DE2" w:rsidRPr="00B94590">
        <w:rPr>
          <w:lang w:eastAsia="en-US"/>
        </w:rPr>
        <w:t>)</w:t>
      </w:r>
    </w:p>
    <w:p w:rsidR="00974DEE" w:rsidRPr="00B94590" w:rsidRDefault="00974DEE" w:rsidP="00A65510">
      <w:pPr>
        <w:ind w:firstLine="720"/>
        <w:jc w:val="both"/>
        <w:rPr>
          <w:lang w:eastAsia="en-US"/>
        </w:rPr>
      </w:pPr>
    </w:p>
    <w:p w:rsidR="008E2D53" w:rsidRPr="00B94590" w:rsidRDefault="000E6630" w:rsidP="00A65510">
      <w:pPr>
        <w:ind w:firstLine="720"/>
        <w:jc w:val="both"/>
        <w:rPr>
          <w:lang w:eastAsia="en-US"/>
        </w:rPr>
      </w:pPr>
      <w:r w:rsidRPr="00B94590">
        <w:rPr>
          <w:lang w:eastAsia="en-US"/>
        </w:rPr>
        <w:lastRenderedPageBreak/>
        <w:tab/>
      </w:r>
      <w:r w:rsidRPr="00B94590">
        <w:object w:dxaOrig="10387" w:dyaOrig="8184">
          <v:shape id="_x0000_i1026" type="#_x0000_t75" style="width:414.75pt;height:326.25pt" o:ole="">
            <v:imagedata r:id="rId13" o:title=""/>
          </v:shape>
          <o:OLEObject Type="Embed" ProgID="Visio.Drawing.11" ShapeID="_x0000_i1026" DrawAspect="Content" ObjectID="_1394520085" r:id="rId14"/>
        </w:object>
      </w:r>
    </w:p>
    <w:p w:rsidR="00A64C94" w:rsidRPr="00B94590" w:rsidRDefault="00597EF1" w:rsidP="00C06DE2">
      <w:pPr>
        <w:pStyle w:val="Caption"/>
      </w:pPr>
      <w:bookmarkStart w:id="42" w:name="_Ref292587137"/>
      <w:bookmarkStart w:id="43" w:name="_Toc293590898"/>
      <w:bookmarkStart w:id="44" w:name="_Ref51672401"/>
      <w:r w:rsidRPr="00B94590">
        <w:t>A</w:t>
      </w:r>
      <w:r w:rsidR="00C06DE2" w:rsidRPr="00B94590">
        <w:t xml:space="preserve">ttēls Nr. </w:t>
      </w:r>
      <w:r w:rsidR="00AC6746" w:rsidRPr="00B94590">
        <w:fldChar w:fldCharType="begin"/>
      </w:r>
      <w:r w:rsidR="006F5BC8" w:rsidRPr="00B94590">
        <w:instrText xml:space="preserve"> SEQ Attēls_Nr. \* ARABIC </w:instrText>
      </w:r>
      <w:r w:rsidR="00AC6746" w:rsidRPr="00B94590">
        <w:fldChar w:fldCharType="separate"/>
      </w:r>
      <w:r w:rsidR="00B34772">
        <w:rPr>
          <w:noProof/>
        </w:rPr>
        <w:t>3</w:t>
      </w:r>
      <w:r w:rsidR="00AC6746" w:rsidRPr="00B94590">
        <w:fldChar w:fldCharType="end"/>
      </w:r>
      <w:bookmarkEnd w:id="42"/>
      <w:r w:rsidR="00C06DE2" w:rsidRPr="00B94590">
        <w:t xml:space="preserve"> VBPBP lietošanas scenārijs</w:t>
      </w:r>
      <w:bookmarkEnd w:id="43"/>
    </w:p>
    <w:p w:rsidR="00A978A5" w:rsidRPr="00B94590" w:rsidRDefault="00A978A5" w:rsidP="00E6750F">
      <w:pPr>
        <w:ind w:firstLine="720"/>
        <w:jc w:val="both"/>
      </w:pPr>
    </w:p>
    <w:p w:rsidR="00A978A5" w:rsidRPr="00B94590" w:rsidRDefault="00A978A5" w:rsidP="00E6750F">
      <w:pPr>
        <w:ind w:firstLine="720"/>
        <w:jc w:val="both"/>
      </w:pPr>
    </w:p>
    <w:p w:rsidR="00A978A5" w:rsidRPr="00B94590" w:rsidRDefault="00A978A5" w:rsidP="00E22BD7">
      <w:pPr>
        <w:ind w:firstLine="720"/>
        <w:jc w:val="both"/>
      </w:pPr>
      <w:r w:rsidRPr="00B94590">
        <w:t xml:space="preserve">Pašlaik atbilstoši Ministru kabineta </w:t>
      </w:r>
      <w:r w:rsidR="00775DEE" w:rsidRPr="00B94590">
        <w:t xml:space="preserve">2010.gada 21.jūnija </w:t>
      </w:r>
      <w:r w:rsidRPr="00B94590">
        <w:t xml:space="preserve">noteikumu Nr.541 „Noteikumi par valsts un pašvaldību institūciju amatpersonu un darbinieku atlīdzības uzskaites sistēmu” </w:t>
      </w:r>
      <w:r w:rsidR="00775DEE" w:rsidRPr="00B94590">
        <w:t xml:space="preserve">(turpmāk – noteikumi Nr.541) </w:t>
      </w:r>
      <w:r w:rsidRPr="00B94590">
        <w:t>17. – 23. punktam valsts institūcijas, (ministrijas, Valsts kanceleja,</w:t>
      </w:r>
      <w:r w:rsidR="00863468" w:rsidRPr="00B94590">
        <w:t xml:space="preserve"> un</w:t>
      </w:r>
      <w:r w:rsidRPr="00B94590">
        <w:t xml:space="preserve"> to padotības iestādes, uz likuma pamata dibinātas valsts iestādes)</w:t>
      </w:r>
      <w:r w:rsidR="00A2369F" w:rsidRPr="00B94590">
        <w:t>,</w:t>
      </w:r>
      <w:r w:rsidRPr="00B94590">
        <w:t xml:space="preserve"> valsts dibinātas augstskolas, zinātniskie institūti, pašvaldības, valsts un pašvaldību kapitālsabiedrības un ostas kopsavilkuma informāciju par atlīdzību iesniedz VBPBP sistēmā atbilstoši šo noteikumu 15. Pielikumam, kur tiek norādītas nodarbināto grupas, faktiski nostrādāto stundu skaits pārskata mēnesī, faktiskais amatpersonu (darbinieku skaits), ārštata darbinieku skaits, budžeta/cits finansējums no gada sākumu un pārskata mēnesī. Pārskatā izdevumi atlīdzībai (atbilstoši naudas plūsmas un uzkrāšanas principam) tiek uzskaitīti saskaņā ar normatīvajos aktos par izdevumu klasifikāciju atbilstoši ekonomiskajām kategorijām noteikto 1000 kodu grupu detalizācijā līdz ceturtajai zīmei.</w:t>
      </w:r>
    </w:p>
    <w:p w:rsidR="00D62B90" w:rsidRPr="00B94590" w:rsidRDefault="000F5D14" w:rsidP="00252511">
      <w:pPr>
        <w:ind w:firstLine="720"/>
        <w:jc w:val="both"/>
      </w:pPr>
      <w:r w:rsidRPr="00B94590">
        <w:t xml:space="preserve">Atkarībā  no iestādes IT sistēmu attīstības līmeņa šis pārskats tiek pilnīgi, vai daļēji sagatavots no iestādes </w:t>
      </w:r>
      <w:r w:rsidR="00A978A5" w:rsidRPr="00B94590">
        <w:t>grāmatvedības</w:t>
      </w:r>
      <w:r w:rsidRPr="00B94590">
        <w:t xml:space="preserve"> sistēmas. Pašrei</w:t>
      </w:r>
      <w:r w:rsidR="00381010" w:rsidRPr="00B94590">
        <w:t>zējai pārskata struktūrai ir de</w:t>
      </w:r>
      <w:r w:rsidRPr="00B94590">
        <w:t xml:space="preserve">finēts XML datu apmaiņas formāts, kas ir publicēts Valsts kases mājas lapā </w:t>
      </w:r>
      <w:hyperlink r:id="rId15" w:history="1">
        <w:r w:rsidRPr="00B94590">
          <w:rPr>
            <w:rStyle w:val="Hyperlink"/>
            <w:color w:val="auto"/>
          </w:rPr>
          <w:t>http://www.kase.gov.lv/uploaded_files/Pasvaldibam/XML%20apraksti%20VBPBP/Veidlapu%20apraksts_150411.xsd</w:t>
        </w:r>
      </w:hyperlink>
      <w:r w:rsidRPr="00B94590">
        <w:t xml:space="preserve"> un daļa iestāžu sekmīgi izmanto šo datu apmaiņas mehānismu starp </w:t>
      </w:r>
      <w:r w:rsidR="00A978A5" w:rsidRPr="00B94590">
        <w:t xml:space="preserve">savām grāmatvedības IT sistēmām un VBPBP sistēmu. </w:t>
      </w:r>
    </w:p>
    <w:p w:rsidR="00EC20B3" w:rsidRPr="00B94590" w:rsidRDefault="00A978A5" w:rsidP="00252511">
      <w:pPr>
        <w:ind w:firstLine="720"/>
        <w:jc w:val="both"/>
      </w:pPr>
      <w:r w:rsidRPr="00B94590">
        <w:t>Pārējā informācija (t.i., detalizēta informācija par nodarbinātajiem un viņu atlīdzību),</w:t>
      </w:r>
      <w:r w:rsidR="00EC20B3" w:rsidRPr="00B94590">
        <w:t xml:space="preserve"> tiek</w:t>
      </w:r>
      <w:r w:rsidRPr="00B94590">
        <w:t xml:space="preserve"> </w:t>
      </w:r>
      <w:r w:rsidR="00EC20B3" w:rsidRPr="00B94590">
        <w:t xml:space="preserve">saņemta no </w:t>
      </w:r>
      <w:r w:rsidR="000B25FC">
        <w:t>PUD</w:t>
      </w:r>
      <w:r w:rsidR="00EC20B3" w:rsidRPr="00B94590">
        <w:t xml:space="preserve">. </w:t>
      </w:r>
      <w:r w:rsidR="000B25FC">
        <w:t>PUD</w:t>
      </w:r>
      <w:r w:rsidR="00EC20B3" w:rsidRPr="00B94590">
        <w:t xml:space="preserve"> nodrošina iespēju apkopot, sistematizēt, analizēt un aktualizēt informāciju par amatpersonu (darbinieku) atlīdzību, lai analizētu </w:t>
      </w:r>
      <w:r w:rsidR="00EC20B3" w:rsidRPr="00B94590">
        <w:lastRenderedPageBreak/>
        <w:t>finansējuma pieprasījumus atlīdzībai, plānotu un aprēķinātu nepieciešamo finansējumu, izstrādājot valsts budžeta likumprojektu kārtējam gadam un tiesību aktu projektus par atlīdzību, apzinātu un kontrolētu esošo situāciju attiecībā uz amatu vietām un amatpersonu (darbinieku) atlīdzību, kā arī lai analizētu finansējuma izlietojumu atlīdzībai.</w:t>
      </w:r>
      <w:r w:rsidR="00216AD2" w:rsidRPr="00B94590">
        <w:t xml:space="preserve"> </w:t>
      </w:r>
    </w:p>
    <w:p w:rsidR="00216AD2" w:rsidRPr="00B94590" w:rsidRDefault="00216AD2" w:rsidP="00252511">
      <w:pPr>
        <w:ind w:firstLine="720"/>
        <w:jc w:val="both"/>
      </w:pPr>
      <w:r w:rsidRPr="00B94590">
        <w:t>Informāciju par nodarbinātajiem saskaņā ar noteikumiem Nr.541 institūcijas iesniedz Finanšu ministrijā reizi mēnesī līdz kārtējā mēneša 15.datumam par situāciju uz iepriekšējā mēneša pēdējo datumu.</w:t>
      </w:r>
    </w:p>
    <w:p w:rsidR="00216AD2" w:rsidRPr="00B94590" w:rsidRDefault="00216AD2" w:rsidP="00252511">
      <w:pPr>
        <w:ind w:firstLine="720"/>
        <w:jc w:val="both"/>
      </w:pPr>
      <w:r w:rsidRPr="00B94590">
        <w:t>No iesniedzējiem tiek prasīta informācija par  institūciju, struktūru, amatiem un finansējumu atlīdzībai un atalgojumam EKK kodu griezumā un šo institūciju personālu (informācija par iecelšanu amatā u.c. izmaiņām darba gaitā, atalgojumu (alga, piemaksas), personāla kvalifikācijas rādītājiem, izglītību, darba izpildes novērtējumu, u.tml.), kas precīzāk uzskaitīts ir noteikumu Nr.541 4.-12. punktā, izmantojot noteikumu pielikumos definētos klasifikatorus.</w:t>
      </w:r>
    </w:p>
    <w:p w:rsidR="00D62B90" w:rsidRPr="00B94590" w:rsidRDefault="00EC20B3" w:rsidP="00D62B90">
      <w:pPr>
        <w:jc w:val="both"/>
      </w:pPr>
      <w:r w:rsidRPr="00B94590">
        <w:t xml:space="preserve">Informācija tiek iesniegta izmantojot elektroniskos datu nesējus vai e-pastu </w:t>
      </w:r>
      <w:r w:rsidR="00D62B90" w:rsidRPr="00B94590">
        <w:t>divos veidos</w:t>
      </w:r>
      <w:r w:rsidR="00AD5839" w:rsidRPr="00B94590">
        <w:t>:</w:t>
      </w:r>
    </w:p>
    <w:p w:rsidR="00AD5839" w:rsidRPr="00B94590" w:rsidRDefault="00AD5839" w:rsidP="00701E76">
      <w:pPr>
        <w:pStyle w:val="Default"/>
        <w:numPr>
          <w:ilvl w:val="0"/>
          <w:numId w:val="19"/>
        </w:numPr>
        <w:spacing w:after="76"/>
        <w:rPr>
          <w:color w:val="auto"/>
          <w:sz w:val="22"/>
          <w:szCs w:val="22"/>
        </w:rPr>
      </w:pPr>
      <w:r w:rsidRPr="00B94590">
        <w:rPr>
          <w:color w:val="auto"/>
          <w:sz w:val="22"/>
          <w:szCs w:val="22"/>
        </w:rPr>
        <w:t xml:space="preserve">ar </w:t>
      </w:r>
      <w:r w:rsidR="00216AD2" w:rsidRPr="00B94590">
        <w:rPr>
          <w:color w:val="auto"/>
          <w:sz w:val="22"/>
          <w:szCs w:val="22"/>
        </w:rPr>
        <w:t xml:space="preserve">Finanšu ministrijas izstrādātu </w:t>
      </w:r>
      <w:r w:rsidR="00D62B90" w:rsidRPr="00B94590">
        <w:rPr>
          <w:color w:val="auto"/>
          <w:sz w:val="22"/>
          <w:szCs w:val="22"/>
        </w:rPr>
        <w:t>PUD rīk</w:t>
      </w:r>
      <w:r w:rsidRPr="00B94590">
        <w:rPr>
          <w:color w:val="auto"/>
          <w:sz w:val="22"/>
          <w:szCs w:val="22"/>
        </w:rPr>
        <w:t>u</w:t>
      </w:r>
      <w:r w:rsidR="00D62B90" w:rsidRPr="00B94590">
        <w:rPr>
          <w:color w:val="auto"/>
          <w:sz w:val="22"/>
          <w:szCs w:val="22"/>
        </w:rPr>
        <w:t xml:space="preserve"> </w:t>
      </w:r>
      <w:r w:rsidRPr="00B94590">
        <w:rPr>
          <w:color w:val="auto"/>
          <w:sz w:val="22"/>
          <w:szCs w:val="22"/>
        </w:rPr>
        <w:t xml:space="preserve">(izstrādāts Microsoft Visual Foxpro 9 vidē) aizpildītas </w:t>
      </w:r>
      <w:r w:rsidR="00D62B90" w:rsidRPr="00B94590">
        <w:rPr>
          <w:color w:val="auto"/>
          <w:sz w:val="22"/>
          <w:szCs w:val="22"/>
        </w:rPr>
        <w:t xml:space="preserve">datu </w:t>
      </w:r>
      <w:r w:rsidRPr="00B94590">
        <w:rPr>
          <w:color w:val="auto"/>
          <w:sz w:val="22"/>
          <w:szCs w:val="22"/>
        </w:rPr>
        <w:t xml:space="preserve">DBF </w:t>
      </w:r>
      <w:r w:rsidR="00D62B90" w:rsidRPr="00B94590">
        <w:rPr>
          <w:color w:val="auto"/>
          <w:sz w:val="22"/>
          <w:szCs w:val="22"/>
        </w:rPr>
        <w:t>tabulās</w:t>
      </w:r>
      <w:r w:rsidRPr="00B94590">
        <w:rPr>
          <w:color w:val="auto"/>
          <w:sz w:val="22"/>
          <w:szCs w:val="22"/>
        </w:rPr>
        <w:t>;</w:t>
      </w:r>
    </w:p>
    <w:p w:rsidR="00AD5839" w:rsidRPr="00B94590" w:rsidRDefault="00AD5839" w:rsidP="00701E76">
      <w:pPr>
        <w:pStyle w:val="Default"/>
        <w:numPr>
          <w:ilvl w:val="0"/>
          <w:numId w:val="19"/>
        </w:numPr>
        <w:spacing w:after="76"/>
        <w:rPr>
          <w:color w:val="auto"/>
          <w:sz w:val="22"/>
          <w:szCs w:val="22"/>
        </w:rPr>
      </w:pPr>
      <w:r w:rsidRPr="00B94590">
        <w:rPr>
          <w:color w:val="auto"/>
          <w:sz w:val="22"/>
          <w:szCs w:val="22"/>
        </w:rPr>
        <w:t>noteikumu Nr.541</w:t>
      </w:r>
      <w:r w:rsidR="00D62B90" w:rsidRPr="00B94590">
        <w:rPr>
          <w:color w:val="auto"/>
          <w:sz w:val="22"/>
          <w:szCs w:val="22"/>
        </w:rPr>
        <w:t xml:space="preserve"> </w:t>
      </w:r>
      <w:r w:rsidRPr="00B94590">
        <w:rPr>
          <w:color w:val="auto"/>
          <w:sz w:val="22"/>
          <w:szCs w:val="22"/>
        </w:rPr>
        <w:t xml:space="preserve">14.pielikumā </w:t>
      </w:r>
      <w:r w:rsidR="00D62B90" w:rsidRPr="00B94590">
        <w:rPr>
          <w:color w:val="auto"/>
          <w:sz w:val="22"/>
          <w:szCs w:val="22"/>
        </w:rPr>
        <w:t>definētās DBF tabulās</w:t>
      </w:r>
      <w:r w:rsidR="00216AD2" w:rsidRPr="00B94590">
        <w:rPr>
          <w:color w:val="auto"/>
          <w:sz w:val="22"/>
          <w:szCs w:val="22"/>
        </w:rPr>
        <w:t xml:space="preserve"> (</w:t>
      </w:r>
      <w:r w:rsidRPr="00B94590">
        <w:rPr>
          <w:color w:val="auto"/>
          <w:sz w:val="22"/>
          <w:szCs w:val="22"/>
        </w:rPr>
        <w:t>atšķiras no PUD rīka izmantotā tabulu komplekta</w:t>
      </w:r>
      <w:r w:rsidR="00216AD2" w:rsidRPr="00B94590">
        <w:rPr>
          <w:color w:val="auto"/>
          <w:sz w:val="22"/>
          <w:szCs w:val="22"/>
        </w:rPr>
        <w:t>)</w:t>
      </w:r>
      <w:r w:rsidRPr="00B94590">
        <w:rPr>
          <w:color w:val="auto"/>
          <w:sz w:val="22"/>
          <w:szCs w:val="22"/>
        </w:rPr>
        <w:t xml:space="preserve">, ko institūcijas eksportē no savām personāla </w:t>
      </w:r>
      <w:r w:rsidR="00216AD2" w:rsidRPr="00B94590">
        <w:rPr>
          <w:color w:val="auto"/>
          <w:sz w:val="22"/>
          <w:szCs w:val="22"/>
        </w:rPr>
        <w:t>vadības</w:t>
      </w:r>
      <w:r w:rsidRPr="00B94590">
        <w:rPr>
          <w:color w:val="auto"/>
          <w:sz w:val="22"/>
          <w:szCs w:val="22"/>
        </w:rPr>
        <w:t xml:space="preserve"> si</w:t>
      </w:r>
      <w:r w:rsidR="00F115EA" w:rsidRPr="00B94590">
        <w:rPr>
          <w:color w:val="auto"/>
          <w:sz w:val="22"/>
          <w:szCs w:val="22"/>
        </w:rPr>
        <w:t>s</w:t>
      </w:r>
      <w:r w:rsidRPr="00B94590">
        <w:rPr>
          <w:color w:val="auto"/>
          <w:sz w:val="22"/>
          <w:szCs w:val="22"/>
        </w:rPr>
        <w:t>tēmām.</w:t>
      </w:r>
    </w:p>
    <w:p w:rsidR="00E204A4" w:rsidRPr="00B94590" w:rsidRDefault="004A1989" w:rsidP="00252511">
      <w:pPr>
        <w:ind w:firstLine="360"/>
        <w:jc w:val="both"/>
      </w:pPr>
      <w:r w:rsidRPr="00B94590">
        <w:t xml:space="preserve">Kopumā </w:t>
      </w:r>
      <w:r w:rsidR="00B36981" w:rsidRPr="00B94590">
        <w:t xml:space="preserve">informācija PUD tiek savākta no 382 iestādēm, tai skaitā </w:t>
      </w:r>
      <w:r w:rsidR="00E204A4" w:rsidRPr="00B94590">
        <w:t>59</w:t>
      </w:r>
      <w:r w:rsidR="00B36981" w:rsidRPr="00B94590">
        <w:t xml:space="preserve"> ir savas personāla vadības IT sistēmas un dati uz PUD tiek nodoti DBF formātā, bet </w:t>
      </w:r>
      <w:r w:rsidR="00E204A4" w:rsidRPr="00B94590">
        <w:t>323</w:t>
      </w:r>
      <w:r w:rsidR="00B36981" w:rsidRPr="00B94590">
        <w:t xml:space="preserve"> iestādēs nav savu personāla uzskaites sistēmu un tās datus gatavo izmantojot FM iepriekš instalētās PUD kopijas. </w:t>
      </w:r>
      <w:r w:rsidR="00E204A4" w:rsidRPr="00B94590">
        <w:t xml:space="preserve">Iestāžu sadalījums, kas sniedz informāciju ir sekojošs: </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ministrijas (13)</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Ministriju un Valsts kancelejas padotībā esošās iestādes (62)</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Valsts aģentūras (34)</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Skolas (ministriju padotībā esošās) (81)</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Uz likuma pamata dibinātas iestādes (t.sk. neatkarīgās iestādes – KNAB</w:t>
      </w:r>
      <w:r w:rsidR="00D54A46" w:rsidRPr="00B94590">
        <w:rPr>
          <w:rFonts w:ascii="Times New Roman" w:hAnsi="Times New Roman" w:cs="Times New Roman"/>
          <w:sz w:val="24"/>
          <w:szCs w:val="24"/>
        </w:rPr>
        <w:t xml:space="preserve">, </w:t>
      </w:r>
      <w:r w:rsidRPr="00B94590">
        <w:rPr>
          <w:rFonts w:ascii="Times New Roman" w:hAnsi="Times New Roman" w:cs="Times New Roman"/>
          <w:sz w:val="24"/>
          <w:szCs w:val="24"/>
        </w:rPr>
        <w:t xml:space="preserve"> tiesas, Prokuratūra utml.)  (14)</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Ostas (10)</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Valsts kapitālsabiedrības (ar valsts kapitālu 100%) (71)</w:t>
      </w:r>
    </w:p>
    <w:p w:rsidR="00E204A4" w:rsidRPr="00B94590" w:rsidRDefault="00E204A4" w:rsidP="00D62B90">
      <w:pPr>
        <w:pStyle w:val="ListParagraph"/>
        <w:numPr>
          <w:ilvl w:val="0"/>
          <w:numId w:val="39"/>
        </w:numPr>
        <w:jc w:val="both"/>
      </w:pPr>
      <w:r w:rsidRPr="00B94590">
        <w:rPr>
          <w:rFonts w:ascii="Times New Roman" w:hAnsi="Times New Roman" w:cs="Times New Roman"/>
          <w:sz w:val="24"/>
          <w:szCs w:val="24"/>
        </w:rPr>
        <w:t>Pašvaldības un to kapitālsabiedrības (ar pašvaldību kapitālu 100%) (97)</w:t>
      </w:r>
      <w:r w:rsidR="00E22BD7" w:rsidRPr="00B94590">
        <w:rPr>
          <w:rFonts w:ascii="Times New Roman" w:hAnsi="Times New Roman" w:cs="Times New Roman"/>
          <w:sz w:val="24"/>
          <w:szCs w:val="24"/>
        </w:rPr>
        <w:t>.</w:t>
      </w:r>
    </w:p>
    <w:p w:rsidR="00AD5839" w:rsidRPr="00B94590" w:rsidRDefault="00216AD2" w:rsidP="00252511">
      <w:pPr>
        <w:ind w:firstLine="720"/>
        <w:jc w:val="both"/>
      </w:pPr>
      <w:r w:rsidRPr="00B94590">
        <w:t>Iesniegtā informācija</w:t>
      </w:r>
      <w:r w:rsidR="00D62B90" w:rsidRPr="00B94590">
        <w:t xml:space="preserve"> </w:t>
      </w:r>
      <w:r w:rsidR="000E2A26" w:rsidRPr="00B94590">
        <w:t xml:space="preserve">PUD rīka formātā </w:t>
      </w:r>
      <w:r w:rsidR="00AD5839" w:rsidRPr="00B94590">
        <w:t>tiek regulāri importēta un uzkrāta</w:t>
      </w:r>
      <w:r w:rsidR="00A978A5" w:rsidRPr="00B94590">
        <w:t xml:space="preserve"> PUD</w:t>
      </w:r>
      <w:r w:rsidR="00D62B90" w:rsidRPr="00B94590">
        <w:t xml:space="preserve"> </w:t>
      </w:r>
      <w:r w:rsidR="00A978A5" w:rsidRPr="00B94590">
        <w:t>apvienotajā datu bāzē</w:t>
      </w:r>
      <w:r w:rsidR="000E2A26" w:rsidRPr="00B94590">
        <w:t>, no kurienes tiek veiktas datu atlases uz EXCEL. Savukārt no DBF tabulām savāktie dati tiek apstrādāti ar īpaši veidotiem datu atlases rīkiem un rezultāts arī apstrādāts ar EXCEL.</w:t>
      </w:r>
    </w:p>
    <w:p w:rsidR="000F5D14" w:rsidRPr="00B94590" w:rsidRDefault="00252511" w:rsidP="00252511">
      <w:pPr>
        <w:ind w:firstLine="576"/>
        <w:jc w:val="both"/>
      </w:pPr>
      <w:r w:rsidRPr="00B94590">
        <w:t>Iestāžu i</w:t>
      </w:r>
      <w:r w:rsidR="00D62B90" w:rsidRPr="00B94590">
        <w:t>esniegtā informācija nepieciešama dažādu</w:t>
      </w:r>
      <w:r w:rsidRPr="00B94590">
        <w:t>,</w:t>
      </w:r>
      <w:r w:rsidR="00D62B90" w:rsidRPr="00B94590">
        <w:t xml:space="preserve"> ar darba samaksas uzskaiti,  tajā skaitā, par personālu un amatiem (nodarbināto skaits, ierēdņu/darbinieku skaits), saistītu</w:t>
      </w:r>
      <w:r w:rsidRPr="00B94590">
        <w:t>,</w:t>
      </w:r>
      <w:r w:rsidR="00D62B90" w:rsidRPr="00B94590">
        <w:t xml:space="preserve"> ikmēneša atskaišu gatavošanā. Apkopojot un analizējot iesniegto informāciju no saņemtajiem datiem Finanšu ministrija nodrošina darba samaksas statistiku dažādos griezumos.</w:t>
      </w:r>
    </w:p>
    <w:p w:rsidR="00951FB1" w:rsidRPr="004A7151" w:rsidRDefault="00D07874" w:rsidP="00D07874">
      <w:pPr>
        <w:jc w:val="both"/>
      </w:pPr>
      <w:r w:rsidRPr="004A7151">
        <w:t>Šobrīd esošās un darbojošās informāciju sistēmas dod iespēju uzkrāt datus, taču uzkrāto datu analīze ir nepietiekoša</w:t>
      </w:r>
      <w:r w:rsidR="00951FB1" w:rsidRPr="004A7151">
        <w:t xml:space="preserve"> un nesniedz pilnu informāciju</w:t>
      </w:r>
      <w:r w:rsidRPr="004A7151">
        <w:t>, kā arī PUD uzkrāto datu analīzes iespējas ir ierobežotas, jo tā veidota sākotnēji citiem mērķiem (tikai lai apkopotu informāciju par civildienestā nodarbinātajiem), kā arī tās tehnoloģi</w:t>
      </w:r>
      <w:r w:rsidR="00621658" w:rsidRPr="004A7151">
        <w:t>sk</w:t>
      </w:r>
      <w:r w:rsidRPr="004A7151">
        <w:t>a</w:t>
      </w:r>
      <w:r w:rsidR="00621658" w:rsidRPr="004A7151">
        <w:t>i</w:t>
      </w:r>
      <w:r w:rsidRPr="004A7151">
        <w:t xml:space="preserve">s </w:t>
      </w:r>
      <w:r w:rsidRPr="004A7151">
        <w:lastRenderedPageBreak/>
        <w:t xml:space="preserve">risinājums ir novecojis. </w:t>
      </w:r>
      <w:r w:rsidR="00951FB1" w:rsidRPr="004A7151">
        <w:t xml:space="preserve">Analizējamā informācija ir nepieciešama lai pieņemtu lēmumus par pilnveidojumiem vienotajā atlīdzības uzskaites sistēmā. </w:t>
      </w:r>
    </w:p>
    <w:p w:rsidR="00A978A5" w:rsidRPr="00D07874" w:rsidRDefault="00951FB1" w:rsidP="00D07874">
      <w:pPr>
        <w:jc w:val="both"/>
        <w:rPr>
          <w:color w:val="FF0000"/>
        </w:rPr>
      </w:pPr>
      <w:r>
        <w:rPr>
          <w:color w:val="FF0000"/>
        </w:rPr>
        <w:t xml:space="preserve"> </w:t>
      </w:r>
    </w:p>
    <w:p w:rsidR="00ED55CF" w:rsidRPr="00B94590" w:rsidRDefault="00ED55CF" w:rsidP="00A65510">
      <w:pPr>
        <w:pStyle w:val="Heading2"/>
        <w:jc w:val="both"/>
        <w:rPr>
          <w:lang w:val="lv-LV"/>
        </w:rPr>
      </w:pPr>
      <w:bookmarkStart w:id="45" w:name="_Toc292619572"/>
      <w:bookmarkStart w:id="46" w:name="_Toc293616265"/>
      <w:r w:rsidRPr="00B94590">
        <w:rPr>
          <w:lang w:val="lv-LV"/>
        </w:rPr>
        <w:t>Pašreizējais tīkls un datortehnika</w:t>
      </w:r>
      <w:bookmarkEnd w:id="44"/>
      <w:bookmarkEnd w:id="45"/>
      <w:bookmarkEnd w:id="46"/>
    </w:p>
    <w:bookmarkEnd w:id="32"/>
    <w:p w:rsidR="00A56E3E" w:rsidRPr="00B94590" w:rsidRDefault="00A56E3E" w:rsidP="00252511">
      <w:pPr>
        <w:jc w:val="both"/>
      </w:pPr>
      <w:r w:rsidRPr="00B94590">
        <w:t>SAP BW atrodas VK iekšējā tīklā (nevis DMZ</w:t>
      </w:r>
      <w:r w:rsidR="008069EA" w:rsidRPr="00B94590">
        <w:t xml:space="preserve"> zonā, t.i. tiek nodrošināts paau</w:t>
      </w:r>
      <w:r w:rsidR="00381010" w:rsidRPr="00B94590">
        <w:t>g</w:t>
      </w:r>
      <w:r w:rsidR="008069EA" w:rsidRPr="00B94590">
        <w:t>stināts drošības līmenis</w:t>
      </w:r>
      <w:r w:rsidRPr="00B94590">
        <w:t xml:space="preserve">) un FM strādā ar SAP BW izmantojot speciāli izveidotu atsevišķu pieslēgumu, kurš pieslēgts SAP BW izmantojot VK ugunsmūri. Pieslēguma loģiskā shēma </w:t>
      </w:r>
      <w:r w:rsidR="00597EF1" w:rsidRPr="00B94590">
        <w:t xml:space="preserve">iekļauta zemāk, skat. </w:t>
      </w:r>
      <w:r w:rsidR="00AC6746" w:rsidRPr="00B94590">
        <w:fldChar w:fldCharType="begin"/>
      </w:r>
      <w:r w:rsidR="00597EF1" w:rsidRPr="00B94590">
        <w:instrText xml:space="preserve"> REF _Ref292587399 \h </w:instrText>
      </w:r>
      <w:r w:rsidR="00AC6746" w:rsidRPr="00B94590">
        <w:fldChar w:fldCharType="separate"/>
      </w:r>
      <w:r w:rsidR="00B34772" w:rsidRPr="00B94590">
        <w:t xml:space="preserve">Attēls Nr. </w:t>
      </w:r>
      <w:r w:rsidR="00B34772">
        <w:rPr>
          <w:noProof/>
        </w:rPr>
        <w:t>4</w:t>
      </w:r>
      <w:r w:rsidR="00AC6746" w:rsidRPr="00B94590">
        <w:fldChar w:fldCharType="end"/>
      </w:r>
      <w:r w:rsidR="00597EF1" w:rsidRPr="00B94590">
        <w:t>.</w:t>
      </w:r>
    </w:p>
    <w:p w:rsidR="00252511" w:rsidRPr="00B94590" w:rsidRDefault="00252511" w:rsidP="00252511">
      <w:pPr>
        <w:jc w:val="both"/>
      </w:pPr>
    </w:p>
    <w:p w:rsidR="00252511" w:rsidRPr="00B94590" w:rsidRDefault="00252511" w:rsidP="00252511">
      <w:pPr>
        <w:jc w:val="both"/>
      </w:pPr>
    </w:p>
    <w:p w:rsidR="00252511" w:rsidRPr="00B94590" w:rsidRDefault="00252511" w:rsidP="00252511">
      <w:pPr>
        <w:jc w:val="both"/>
      </w:pPr>
    </w:p>
    <w:p w:rsidR="00A56E3E" w:rsidRPr="00B94590" w:rsidRDefault="00A56E3E" w:rsidP="00A56E3E">
      <w:pPr>
        <w:spacing w:line="360" w:lineRule="auto"/>
        <w:jc w:val="both"/>
      </w:pPr>
      <w:r w:rsidRPr="00B94590">
        <w:object w:dxaOrig="8109" w:dyaOrig="6012">
          <v:shape id="_x0000_i1027" type="#_x0000_t75" style="width:323.25pt;height:240.75pt" o:ole="">
            <v:imagedata r:id="rId16" o:title=""/>
          </v:shape>
          <o:OLEObject Type="Embed" ProgID="Visio.Drawing.11" ShapeID="_x0000_i1027" DrawAspect="Content" ObjectID="_1394520086" r:id="rId17"/>
        </w:object>
      </w:r>
    </w:p>
    <w:p w:rsidR="00A56E3E" w:rsidRPr="00B94590" w:rsidRDefault="00597EF1" w:rsidP="00597EF1">
      <w:pPr>
        <w:pStyle w:val="Caption"/>
      </w:pPr>
      <w:bookmarkStart w:id="47" w:name="_Ref292587399"/>
      <w:bookmarkStart w:id="48" w:name="_Toc293590899"/>
      <w:r w:rsidRPr="00B94590">
        <w:t xml:space="preserve">Attēls Nr. </w:t>
      </w:r>
      <w:r w:rsidR="00AC6746" w:rsidRPr="00B94590">
        <w:fldChar w:fldCharType="begin"/>
      </w:r>
      <w:r w:rsidR="006F5BC8" w:rsidRPr="00B94590">
        <w:instrText xml:space="preserve"> SEQ Attēls_Nr. \* ARABIC </w:instrText>
      </w:r>
      <w:r w:rsidR="00AC6746" w:rsidRPr="00B94590">
        <w:fldChar w:fldCharType="separate"/>
      </w:r>
      <w:r w:rsidR="00B34772">
        <w:rPr>
          <w:noProof/>
        </w:rPr>
        <w:t>4</w:t>
      </w:r>
      <w:r w:rsidR="00AC6746" w:rsidRPr="00B94590">
        <w:fldChar w:fldCharType="end"/>
      </w:r>
      <w:bookmarkEnd w:id="47"/>
      <w:r w:rsidR="001E5A7C" w:rsidRPr="00B94590">
        <w:t xml:space="preserve"> </w:t>
      </w:r>
      <w:r w:rsidR="00A56E3E" w:rsidRPr="00B94590">
        <w:t>Pieslēguma loģiskā shēma.</w:t>
      </w:r>
      <w:bookmarkEnd w:id="48"/>
    </w:p>
    <w:p w:rsidR="00252511" w:rsidRPr="00B94590" w:rsidRDefault="00252511" w:rsidP="00252511">
      <w:pPr>
        <w:jc w:val="both"/>
      </w:pPr>
    </w:p>
    <w:p w:rsidR="00A56E3E" w:rsidRPr="00B94590" w:rsidRDefault="0034038F" w:rsidP="00252511">
      <w:pPr>
        <w:jc w:val="both"/>
      </w:pPr>
      <w:r w:rsidRPr="00B94590">
        <w:t xml:space="preserve">SAP </w:t>
      </w:r>
      <w:r w:rsidR="00A56E3E" w:rsidRPr="00B94590">
        <w:t xml:space="preserve">BW un SAP aplikācija un datubāze tiek glabāta serveru klāsterī uz </w:t>
      </w:r>
      <w:r w:rsidR="00CA200A" w:rsidRPr="00B94590">
        <w:t>diviem serveriem, kas tiek darbināti izmantojot HP-UX platformu</w:t>
      </w:r>
      <w:r w:rsidR="00A56E3E" w:rsidRPr="00B94590">
        <w:t xml:space="preserve">. </w:t>
      </w:r>
    </w:p>
    <w:p w:rsidR="00E70E4F" w:rsidRPr="00B94590" w:rsidRDefault="001B0C4E" w:rsidP="00252511">
      <w:pPr>
        <w:jc w:val="both"/>
      </w:pPr>
      <w:r w:rsidRPr="00B94590">
        <w:t xml:space="preserve">Attiecībā uz darba samaksas datu analīzi šobrīd tiek izmantots PUD, taču tai pat laikā pilnvērtīgai datu analīzei tiek izmantotas arī </w:t>
      </w:r>
      <w:r w:rsidR="00767298" w:rsidRPr="00B94590">
        <w:t>citas</w:t>
      </w:r>
      <w:r w:rsidRPr="00B94590">
        <w:t xml:space="preserve"> aplikācijas, ko raksturo loģiskā shēma 5.</w:t>
      </w:r>
      <w:r w:rsidR="001E5A7C" w:rsidRPr="00B94590">
        <w:t xml:space="preserve"> </w:t>
      </w:r>
      <w:r w:rsidRPr="00B94590">
        <w:t>attēlā.</w:t>
      </w:r>
      <w:r w:rsidR="00252511" w:rsidRPr="00B94590">
        <w:t xml:space="preserve"> </w:t>
      </w:r>
      <w:r w:rsidRPr="00B94590">
        <w:t>(skat.zemāk)</w:t>
      </w:r>
    </w:p>
    <w:p w:rsidR="001B0C4E" w:rsidRPr="00B94590" w:rsidRDefault="00E70E4F" w:rsidP="00E70E4F">
      <w:pPr>
        <w:spacing w:line="360" w:lineRule="auto"/>
        <w:jc w:val="both"/>
      </w:pPr>
      <w:r w:rsidRPr="00B94590">
        <w:object w:dxaOrig="12282" w:dyaOrig="14495">
          <v:shape id="_x0000_i1028" type="#_x0000_t75" style="width:416.25pt;height:489.75pt" o:ole="">
            <v:imagedata r:id="rId18" o:title=""/>
          </v:shape>
          <o:OLEObject Type="Embed" ProgID="Visio.Drawing.11" ShapeID="_x0000_i1028" DrawAspect="Content" ObjectID="_1394520087" r:id="rId19"/>
        </w:object>
      </w:r>
    </w:p>
    <w:p w:rsidR="00B1143D" w:rsidRPr="00B94590" w:rsidRDefault="00B1143D" w:rsidP="00B1143D">
      <w:pPr>
        <w:pStyle w:val="Caption"/>
      </w:pPr>
      <w:r w:rsidRPr="00B94590">
        <w:t>Attēls Nr. 5 Pašreizējais modelis informācijas apkopošanā atlīdzības uzskaites sistēmā - loģiskā shēma.</w:t>
      </w:r>
    </w:p>
    <w:p w:rsidR="00ED55CF" w:rsidRPr="00B94590" w:rsidRDefault="00ED55CF" w:rsidP="00A65510">
      <w:pPr>
        <w:pStyle w:val="Heading2"/>
        <w:jc w:val="both"/>
        <w:rPr>
          <w:lang w:val="lv-LV"/>
        </w:rPr>
      </w:pPr>
      <w:bookmarkStart w:id="49" w:name="_Toc292619573"/>
      <w:bookmarkStart w:id="50" w:name="_Toc293616266"/>
      <w:r w:rsidRPr="00B94590">
        <w:rPr>
          <w:lang w:val="lv-LV"/>
        </w:rPr>
        <w:t xml:space="preserve">Lietotāji vai iesaistītais </w:t>
      </w:r>
      <w:r w:rsidR="00AC50AE" w:rsidRPr="00B94590">
        <w:rPr>
          <w:lang w:val="lv-LV"/>
        </w:rPr>
        <w:t>personā</w:t>
      </w:r>
      <w:r w:rsidR="00AD6E74" w:rsidRPr="00B94590">
        <w:rPr>
          <w:lang w:val="lv-LV"/>
        </w:rPr>
        <w:t>ls</w:t>
      </w:r>
      <w:bookmarkEnd w:id="49"/>
      <w:bookmarkEnd w:id="50"/>
    </w:p>
    <w:p w:rsidR="00AD6E74" w:rsidRPr="00B94590" w:rsidRDefault="00AD6E74" w:rsidP="00AD6E74">
      <w:r w:rsidRPr="00B94590">
        <w:t>Vienoto valsts budžeta plānošanas un izpildes informācijas sistēm</w:t>
      </w:r>
      <w:r w:rsidR="00E24AFF" w:rsidRPr="00B94590">
        <w:t>u izmanto šādas lietotāju grupas:</w:t>
      </w:r>
    </w:p>
    <w:p w:rsidR="00E24AFF" w:rsidRPr="00B94590" w:rsidRDefault="00E24AFF" w:rsidP="00E24AFF">
      <w:pPr>
        <w:numPr>
          <w:ilvl w:val="0"/>
          <w:numId w:val="15"/>
        </w:numPr>
        <w:jc w:val="both"/>
      </w:pPr>
      <w:r w:rsidRPr="00B94590">
        <w:t xml:space="preserve">Plānošanas sistēma (Realizēta ar SAP BW/BPS līdzekļiem, kur SAP BW glabājas plānošanas datu struktūras, bet ar </w:t>
      </w:r>
      <w:r w:rsidR="0034038F" w:rsidRPr="00B94590">
        <w:t xml:space="preserve">SAP </w:t>
      </w:r>
      <w:r w:rsidRPr="00B94590">
        <w:t>BW/BPS līdzekļiem tiek nodrošināts plānošanas process), izmanto</w:t>
      </w:r>
    </w:p>
    <w:p w:rsidR="00E24AFF" w:rsidRPr="00B94590" w:rsidRDefault="00E24AFF" w:rsidP="00E24AFF">
      <w:pPr>
        <w:numPr>
          <w:ilvl w:val="1"/>
          <w:numId w:val="15"/>
        </w:numPr>
        <w:jc w:val="both"/>
      </w:pPr>
      <w:r w:rsidRPr="00B94590">
        <w:t>F</w:t>
      </w:r>
      <w:r w:rsidR="00135413" w:rsidRPr="00B94590">
        <w:t>M</w:t>
      </w:r>
      <w:r w:rsidRPr="00B94590">
        <w:t xml:space="preserve"> </w:t>
      </w:r>
      <w:r w:rsidR="0034038F" w:rsidRPr="00B94590">
        <w:t>B</w:t>
      </w:r>
      <w:r w:rsidRPr="00B94590">
        <w:t>udžeta departaments</w:t>
      </w:r>
      <w:r w:rsidR="0034038F" w:rsidRPr="00B94590">
        <w:t>, Finanšu vadības un metodoloģijas departaments</w:t>
      </w:r>
      <w:r w:rsidRPr="00B94590">
        <w:t>, kas iesaistīti budžeta plānošanas procesā;</w:t>
      </w:r>
    </w:p>
    <w:p w:rsidR="00E24AFF" w:rsidRPr="00B94590" w:rsidRDefault="00E24AFF" w:rsidP="00E24AFF">
      <w:pPr>
        <w:numPr>
          <w:ilvl w:val="1"/>
          <w:numId w:val="15"/>
        </w:numPr>
        <w:jc w:val="both"/>
      </w:pPr>
      <w:r w:rsidRPr="00B94590">
        <w:t>V</w:t>
      </w:r>
      <w:r w:rsidR="00135413" w:rsidRPr="00B94590">
        <w:t>K</w:t>
      </w:r>
      <w:r w:rsidRPr="00B94590">
        <w:t xml:space="preserve"> </w:t>
      </w:r>
      <w:r w:rsidR="00135413" w:rsidRPr="00B94590">
        <w:t>B</w:t>
      </w:r>
      <w:r w:rsidRPr="00B94590">
        <w:t>udžeta izpildes uzraudzības departaments;</w:t>
      </w:r>
    </w:p>
    <w:p w:rsidR="00E24AFF" w:rsidRPr="00B94590" w:rsidRDefault="00E24AFF" w:rsidP="00E24AFF">
      <w:pPr>
        <w:numPr>
          <w:ilvl w:val="0"/>
          <w:numId w:val="15"/>
        </w:numPr>
        <w:jc w:val="both"/>
      </w:pPr>
      <w:r w:rsidRPr="00B94590">
        <w:t>Portāls (Realizēts ar SAP Portal līdzekļiem)</w:t>
      </w:r>
    </w:p>
    <w:p w:rsidR="00E24AFF" w:rsidRPr="00B94590" w:rsidRDefault="00E24AFF" w:rsidP="00E24AFF">
      <w:pPr>
        <w:numPr>
          <w:ilvl w:val="1"/>
          <w:numId w:val="15"/>
        </w:numPr>
        <w:jc w:val="both"/>
      </w:pPr>
      <w:r w:rsidRPr="00B94590">
        <w:lastRenderedPageBreak/>
        <w:t xml:space="preserve">Nozaru ministriju </w:t>
      </w:r>
      <w:r w:rsidR="0070642F" w:rsidRPr="00B94590">
        <w:t xml:space="preserve">finanšu vai </w:t>
      </w:r>
      <w:r w:rsidRPr="00B94590">
        <w:t>grāmatvedības departamenti;</w:t>
      </w:r>
    </w:p>
    <w:p w:rsidR="00E24AFF" w:rsidRPr="00B94590" w:rsidRDefault="00E24AFF" w:rsidP="00E24AFF">
      <w:pPr>
        <w:numPr>
          <w:ilvl w:val="1"/>
          <w:numId w:val="15"/>
        </w:numPr>
        <w:jc w:val="both"/>
      </w:pPr>
      <w:r w:rsidRPr="00B94590">
        <w:t>F</w:t>
      </w:r>
      <w:r w:rsidR="00135413" w:rsidRPr="00B94590">
        <w:t>M</w:t>
      </w:r>
      <w:r w:rsidRPr="00B94590">
        <w:t xml:space="preserve"> </w:t>
      </w:r>
      <w:r w:rsidR="00135413" w:rsidRPr="00B94590">
        <w:t>B</w:t>
      </w:r>
      <w:r w:rsidRPr="00B94590">
        <w:t>udžeta departaments;</w:t>
      </w:r>
    </w:p>
    <w:p w:rsidR="00E24AFF" w:rsidRPr="00B94590" w:rsidRDefault="00E24AFF" w:rsidP="00E24AFF">
      <w:pPr>
        <w:numPr>
          <w:ilvl w:val="1"/>
          <w:numId w:val="15"/>
        </w:numPr>
        <w:jc w:val="both"/>
      </w:pPr>
      <w:r w:rsidRPr="00B94590">
        <w:t>V</w:t>
      </w:r>
      <w:r w:rsidR="00135413" w:rsidRPr="00B94590">
        <w:t>K</w:t>
      </w:r>
      <w:r w:rsidRPr="00B94590">
        <w:t xml:space="preserve"> </w:t>
      </w:r>
      <w:r w:rsidR="00135413" w:rsidRPr="00B94590">
        <w:t>B</w:t>
      </w:r>
      <w:r w:rsidRPr="00B94590">
        <w:t>udžeta izpildes uzraudzības departaments;</w:t>
      </w:r>
    </w:p>
    <w:p w:rsidR="00E24AFF" w:rsidRPr="00B94590" w:rsidRDefault="00E24AFF" w:rsidP="00E24AFF">
      <w:pPr>
        <w:numPr>
          <w:ilvl w:val="0"/>
          <w:numId w:val="15"/>
        </w:numPr>
        <w:jc w:val="both"/>
      </w:pPr>
      <w:r w:rsidRPr="00B94590">
        <w:t>Budžeta izpildes sistēma (Realizēta ar SAP ERP līdzekļiem</w:t>
      </w:r>
      <w:r w:rsidR="0034038F" w:rsidRPr="00B94590">
        <w:t>,</w:t>
      </w:r>
      <w:r w:rsidRPr="00B94590">
        <w:t xml:space="preserve"> aktivizējot FI un FM komponentes.)</w:t>
      </w:r>
    </w:p>
    <w:p w:rsidR="00E24AFF" w:rsidRPr="00B94590" w:rsidRDefault="00E24AFF" w:rsidP="00E24AFF">
      <w:pPr>
        <w:numPr>
          <w:ilvl w:val="1"/>
          <w:numId w:val="15"/>
        </w:numPr>
        <w:jc w:val="both"/>
      </w:pPr>
      <w:r w:rsidRPr="00B94590">
        <w:t>V</w:t>
      </w:r>
      <w:r w:rsidR="00135413" w:rsidRPr="00B94590">
        <w:t xml:space="preserve">K </w:t>
      </w:r>
      <w:r w:rsidR="0034038F" w:rsidRPr="00B94590">
        <w:t>B</w:t>
      </w:r>
      <w:r w:rsidRPr="00B94590">
        <w:t>udžeta izpildes uzrau</w:t>
      </w:r>
      <w:r w:rsidR="00381010" w:rsidRPr="00B94590">
        <w:t xml:space="preserve">dzības departaments, </w:t>
      </w:r>
      <w:r w:rsidR="0034038F" w:rsidRPr="00B94590">
        <w:t>K</w:t>
      </w:r>
      <w:r w:rsidR="00381010" w:rsidRPr="00B94590">
        <w:t>lientu ap</w:t>
      </w:r>
      <w:r w:rsidRPr="00B94590">
        <w:t xml:space="preserve">kalpošanas un pakalpojumu attīstības departaments, </w:t>
      </w:r>
      <w:r w:rsidR="0034038F" w:rsidRPr="00B94590">
        <w:t>N</w:t>
      </w:r>
      <w:r w:rsidRPr="00B94590">
        <w:t xml:space="preserve">orēķinu departaments, </w:t>
      </w:r>
      <w:r w:rsidR="0034038F" w:rsidRPr="00B94590">
        <w:t>P</w:t>
      </w:r>
      <w:r w:rsidRPr="00B94590">
        <w:t>ārskatu departaments un citi V</w:t>
      </w:r>
      <w:r w:rsidR="00135413" w:rsidRPr="00B94590">
        <w:t>K</w:t>
      </w:r>
      <w:r w:rsidRPr="00B94590">
        <w:t xml:space="preserve"> darbinieki, kas iesaistīti budžeta izpildes procesā;</w:t>
      </w:r>
    </w:p>
    <w:p w:rsidR="00E24AFF" w:rsidRPr="00B94590" w:rsidRDefault="0070642F" w:rsidP="00E24AFF">
      <w:pPr>
        <w:numPr>
          <w:ilvl w:val="0"/>
          <w:numId w:val="15"/>
        </w:numPr>
        <w:jc w:val="both"/>
      </w:pPr>
      <w:r w:rsidRPr="00B94590">
        <w:t>D</w:t>
      </w:r>
      <w:r w:rsidR="00E24AFF" w:rsidRPr="00B94590">
        <w:t>atu noliktava</w:t>
      </w:r>
      <w:r w:rsidRPr="00B94590">
        <w:t xml:space="preserve">s budžeta izpildes modulī </w:t>
      </w:r>
      <w:r w:rsidR="00E24AFF" w:rsidRPr="00B94590">
        <w:t>(Realizēta ar SAP BW līdzekļiem)</w:t>
      </w:r>
    </w:p>
    <w:p w:rsidR="00E24AFF" w:rsidRPr="00B94590" w:rsidRDefault="00E24AFF" w:rsidP="00E24AFF">
      <w:pPr>
        <w:numPr>
          <w:ilvl w:val="1"/>
          <w:numId w:val="15"/>
        </w:numPr>
        <w:jc w:val="both"/>
      </w:pPr>
      <w:r w:rsidRPr="00B94590">
        <w:t>V</w:t>
      </w:r>
      <w:r w:rsidR="00135413" w:rsidRPr="00B94590">
        <w:t xml:space="preserve">K </w:t>
      </w:r>
      <w:r w:rsidR="0034038F" w:rsidRPr="00B94590">
        <w:t>P</w:t>
      </w:r>
      <w:r w:rsidRPr="00B94590">
        <w:t xml:space="preserve">ārskatu departaments, </w:t>
      </w:r>
      <w:r w:rsidR="0034038F" w:rsidRPr="00B94590">
        <w:t>B</w:t>
      </w:r>
      <w:r w:rsidRPr="00B94590">
        <w:t>udžeta izpildes uzraudzības departaments un citi V</w:t>
      </w:r>
      <w:r w:rsidR="00135413" w:rsidRPr="00B94590">
        <w:t>K</w:t>
      </w:r>
      <w:r w:rsidRPr="00B94590">
        <w:t xml:space="preserve"> darbinieki, kas veic datu analīzi saistībā ar valsts budžeta izpildi.</w:t>
      </w:r>
    </w:p>
    <w:p w:rsidR="00E24AFF" w:rsidRPr="00B94590" w:rsidRDefault="00E24AFF" w:rsidP="00AD6E74">
      <w:r w:rsidRPr="00B94590">
        <w:t>VBPBP</w:t>
      </w:r>
      <w:r w:rsidR="00E30F4B" w:rsidRPr="00B94590">
        <w:t xml:space="preserve"> sistēmu izmanto šādas lietotāju grupas:</w:t>
      </w:r>
    </w:p>
    <w:p w:rsidR="00E30F4B" w:rsidRPr="004A7151"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 xml:space="preserve">Valsts iestāžu, </w:t>
      </w:r>
      <w:r w:rsidR="00A978A5" w:rsidRPr="00B94590">
        <w:rPr>
          <w:rFonts w:ascii="Times New Roman" w:hAnsi="Times New Roman" w:cs="Times New Roman"/>
          <w:sz w:val="24"/>
          <w:szCs w:val="24"/>
        </w:rPr>
        <w:t xml:space="preserve">augstskolu un zinātnisko institūtu, </w:t>
      </w:r>
      <w:r w:rsidRPr="00B94590">
        <w:rPr>
          <w:rFonts w:ascii="Times New Roman" w:hAnsi="Times New Roman" w:cs="Times New Roman"/>
          <w:sz w:val="24"/>
          <w:szCs w:val="24"/>
        </w:rPr>
        <w:t xml:space="preserve">pašvaldību, kapitālsabiedrību un ostu grāmatvedības darbinieki un vadītāji (pārskatu ievadīšana un </w:t>
      </w:r>
      <w:r w:rsidRPr="004A7151">
        <w:rPr>
          <w:rFonts w:ascii="Times New Roman" w:hAnsi="Times New Roman" w:cs="Times New Roman"/>
          <w:sz w:val="24"/>
          <w:szCs w:val="24"/>
        </w:rPr>
        <w:t>parakstīšana)</w:t>
      </w:r>
      <w:r w:rsidR="00315837" w:rsidRPr="004A7151">
        <w:rPr>
          <w:rFonts w:ascii="Times New Roman" w:hAnsi="Times New Roman" w:cs="Times New Roman"/>
          <w:sz w:val="24"/>
          <w:szCs w:val="24"/>
        </w:rPr>
        <w:t>, izņemot drošības un citas klasificētās iestādes</w:t>
      </w:r>
      <w:r w:rsidRPr="004A7151">
        <w:rPr>
          <w:rFonts w:ascii="Times New Roman" w:hAnsi="Times New Roman" w:cs="Times New Roman"/>
          <w:sz w:val="24"/>
          <w:szCs w:val="24"/>
        </w:rPr>
        <w:t>;</w:t>
      </w:r>
    </w:p>
    <w:p w:rsidR="00E30F4B"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 xml:space="preserve">Nozaru ministriju </w:t>
      </w:r>
      <w:r w:rsidR="0070642F" w:rsidRPr="00B94590">
        <w:rPr>
          <w:rFonts w:ascii="Times New Roman" w:hAnsi="Times New Roman" w:cs="Times New Roman"/>
          <w:sz w:val="24"/>
          <w:szCs w:val="24"/>
        </w:rPr>
        <w:t xml:space="preserve">finanšu vai </w:t>
      </w:r>
      <w:r w:rsidRPr="00B94590">
        <w:rPr>
          <w:rFonts w:ascii="Times New Roman" w:hAnsi="Times New Roman" w:cs="Times New Roman"/>
          <w:sz w:val="24"/>
          <w:szCs w:val="24"/>
        </w:rPr>
        <w:t>grāmatvedības darbinieki;</w:t>
      </w:r>
    </w:p>
    <w:p w:rsidR="00E30F4B"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V</w:t>
      </w:r>
      <w:r w:rsidR="00135413" w:rsidRPr="00B94590">
        <w:rPr>
          <w:rFonts w:ascii="Times New Roman" w:hAnsi="Times New Roman" w:cs="Times New Roman"/>
          <w:sz w:val="24"/>
          <w:szCs w:val="24"/>
        </w:rPr>
        <w:t>K</w:t>
      </w:r>
      <w:r w:rsidRPr="00B94590">
        <w:rPr>
          <w:rFonts w:ascii="Times New Roman" w:hAnsi="Times New Roman" w:cs="Times New Roman"/>
          <w:sz w:val="24"/>
          <w:szCs w:val="24"/>
        </w:rPr>
        <w:t xml:space="preserve"> </w:t>
      </w:r>
      <w:r w:rsidR="00135413" w:rsidRPr="00B94590">
        <w:rPr>
          <w:rFonts w:ascii="Times New Roman" w:hAnsi="Times New Roman" w:cs="Times New Roman"/>
          <w:sz w:val="24"/>
          <w:szCs w:val="24"/>
        </w:rPr>
        <w:t>P</w:t>
      </w:r>
      <w:r w:rsidRPr="00B94590">
        <w:rPr>
          <w:rFonts w:ascii="Times New Roman" w:hAnsi="Times New Roman" w:cs="Times New Roman"/>
          <w:sz w:val="24"/>
          <w:szCs w:val="24"/>
        </w:rPr>
        <w:t>ārskatu departamenta darbinieki;</w:t>
      </w:r>
    </w:p>
    <w:p w:rsidR="00A978A5" w:rsidRPr="00B94590" w:rsidRDefault="00A978A5"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FM Finanšu vadības un metodoloģijas departamenta darbinieki;</w:t>
      </w:r>
    </w:p>
    <w:p w:rsidR="00E30F4B"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Valsts kontroles revidenti;</w:t>
      </w:r>
    </w:p>
    <w:p w:rsidR="00AD6E74"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Zvērināti revidenti;</w:t>
      </w:r>
    </w:p>
    <w:p w:rsidR="00ED55CF" w:rsidRPr="00B94590" w:rsidRDefault="00ED55CF" w:rsidP="00A65510">
      <w:pPr>
        <w:pStyle w:val="Heading3"/>
        <w:jc w:val="both"/>
      </w:pPr>
      <w:bookmarkStart w:id="51" w:name="_Toc292619574"/>
      <w:bookmarkStart w:id="52" w:name="_Toc293616267"/>
      <w:bookmarkStart w:id="53" w:name="_Toc121137058"/>
      <w:bookmarkStart w:id="54" w:name="_Toc120974129"/>
      <w:r w:rsidRPr="00B94590">
        <w:t>Lietotāju izglītošana un apmācība</w:t>
      </w:r>
      <w:bookmarkEnd w:id="51"/>
      <w:bookmarkEnd w:id="52"/>
      <w:bookmarkEnd w:id="53"/>
      <w:bookmarkEnd w:id="54"/>
    </w:p>
    <w:p w:rsidR="0000095B" w:rsidRPr="00B94590" w:rsidRDefault="0000095B" w:rsidP="00A65510">
      <w:pPr>
        <w:jc w:val="both"/>
        <w:rPr>
          <w:highlight w:val="yellow"/>
        </w:rPr>
      </w:pPr>
      <w:r w:rsidRPr="00B94590">
        <w:t>Pieņemot ekspluatācijā jaunu IS F</w:t>
      </w:r>
      <w:r w:rsidR="0034038F" w:rsidRPr="00B94590">
        <w:t>M</w:t>
      </w:r>
      <w:r w:rsidRPr="00B94590">
        <w:t xml:space="preserve"> vai V</w:t>
      </w:r>
      <w:r w:rsidR="00135413" w:rsidRPr="00B94590">
        <w:t>K</w:t>
      </w:r>
      <w:r w:rsidRPr="00B94590">
        <w:t xml:space="preserve"> tiek veikta lietotāju apmācība. Mainoties lietotājiem, tie tiek apmācīti individuāli. Apmācību parasti veic attiecīgā informācijas resursa īpašnieks, tā aizvietotājs vai attiecīgās biznesa struktūrvienības  kompetentais darbinieks (</w:t>
      </w:r>
      <w:r w:rsidRPr="00B94590">
        <w:rPr>
          <w:i/>
        </w:rPr>
        <w:t>key user</w:t>
      </w:r>
      <w:r w:rsidRPr="00B94590">
        <w:t>).</w:t>
      </w:r>
    </w:p>
    <w:p w:rsidR="00ED55CF" w:rsidRPr="00B94590" w:rsidRDefault="00ED55CF" w:rsidP="00A65510">
      <w:pPr>
        <w:pStyle w:val="Heading3"/>
        <w:jc w:val="both"/>
      </w:pPr>
      <w:bookmarkStart w:id="55" w:name="_Toc292619575"/>
      <w:bookmarkStart w:id="56" w:name="_Toc293616268"/>
      <w:bookmarkStart w:id="57" w:name="_Toc120974130"/>
      <w:bookmarkStart w:id="58" w:name="_Toc121137059"/>
      <w:r w:rsidRPr="00B94590">
        <w:t>Lietotāju atbalsts</w:t>
      </w:r>
      <w:bookmarkEnd w:id="55"/>
      <w:bookmarkEnd w:id="56"/>
      <w:bookmarkEnd w:id="57"/>
      <w:bookmarkEnd w:id="58"/>
    </w:p>
    <w:p w:rsidR="00ED58D5" w:rsidRPr="00B94590" w:rsidRDefault="00ED58D5" w:rsidP="00ED58D5">
      <w:pPr>
        <w:jc w:val="both"/>
      </w:pPr>
      <w:r w:rsidRPr="00B94590">
        <w:t>Vienotās valsts budžeta plānošanas un izpildes informācijas sistēmas plānošanas bloka no</w:t>
      </w:r>
      <w:r w:rsidR="00450996" w:rsidRPr="00B94590">
        <w:t>z</w:t>
      </w:r>
      <w:r w:rsidRPr="00B94590">
        <w:t>aru ministriju lietotājie</w:t>
      </w:r>
      <w:r w:rsidR="00336C49" w:rsidRPr="00B94590">
        <w:t>m telefona konsultāciju atbalstu</w:t>
      </w:r>
      <w:r w:rsidRPr="00B94590">
        <w:t xml:space="preserve"> sniedz F</w:t>
      </w:r>
      <w:r w:rsidR="00135413" w:rsidRPr="00B94590">
        <w:t>M</w:t>
      </w:r>
      <w:r w:rsidRPr="00B94590">
        <w:t xml:space="preserve"> </w:t>
      </w:r>
      <w:r w:rsidR="00135413" w:rsidRPr="00B94590">
        <w:t>B</w:t>
      </w:r>
      <w:r w:rsidRPr="00B94590">
        <w:t>udžeta departaments.</w:t>
      </w:r>
    </w:p>
    <w:p w:rsidR="00ED55CF" w:rsidRPr="00B94590" w:rsidRDefault="00ED58D5" w:rsidP="00ED58D5">
      <w:pPr>
        <w:jc w:val="both"/>
      </w:pPr>
      <w:r w:rsidRPr="00B94590">
        <w:t>V</w:t>
      </w:r>
      <w:r w:rsidR="00135413" w:rsidRPr="00B94590">
        <w:t>K</w:t>
      </w:r>
      <w:r w:rsidRPr="00B94590">
        <w:t xml:space="preserve"> IS (t.sk. VBPBP) ārējo lietotāju atbalstam ir izveidots vienots lietotāju telefonatbalsta serviss, kura funkcijas pilda </w:t>
      </w:r>
      <w:r w:rsidR="00775DEE" w:rsidRPr="00B94590">
        <w:t xml:space="preserve">VK Klientu apkalpošanas un pakalpojumu attīstības departamenta Klientu apkalpošanas daļas </w:t>
      </w:r>
      <w:r w:rsidRPr="00B94590">
        <w:t xml:space="preserve">darbinieki (atbalsts sistēmas lietošanas, autentifikācijas jautājumos), par specifiskiem jautājumiem saistībā ar </w:t>
      </w:r>
      <w:r w:rsidR="0070642F" w:rsidRPr="00B94590">
        <w:t xml:space="preserve">finanšu </w:t>
      </w:r>
      <w:r w:rsidRPr="00B94590">
        <w:t>pārskatiem atb</w:t>
      </w:r>
      <w:r w:rsidR="00DF1195" w:rsidRPr="00B94590">
        <w:t>al</w:t>
      </w:r>
      <w:r w:rsidRPr="00B94590">
        <w:t>stu sniedz V</w:t>
      </w:r>
      <w:r w:rsidR="00135413" w:rsidRPr="00B94590">
        <w:t>K</w:t>
      </w:r>
      <w:r w:rsidRPr="00B94590">
        <w:t xml:space="preserve"> </w:t>
      </w:r>
      <w:r w:rsidR="00135413" w:rsidRPr="00B94590">
        <w:t>P</w:t>
      </w:r>
      <w:r w:rsidRPr="00B94590">
        <w:t>ārskatu departaments, par specifiskiem jautājumiem saistībā ar programmatūras tehniskām problēmām (instalācijas, datu apmaiņas formāti u.c.) atbalstu sniedz V</w:t>
      </w:r>
      <w:r w:rsidR="00135413" w:rsidRPr="00B94590">
        <w:t>K</w:t>
      </w:r>
      <w:r w:rsidRPr="00B94590">
        <w:t xml:space="preserve"> </w:t>
      </w:r>
      <w:r w:rsidR="00135413" w:rsidRPr="00B94590">
        <w:t>I</w:t>
      </w:r>
      <w:r w:rsidRPr="00B94590">
        <w:t>nformātikas departaments.</w:t>
      </w:r>
    </w:p>
    <w:p w:rsidR="00ED55CF" w:rsidRPr="00B94590" w:rsidRDefault="00ED55CF" w:rsidP="00A65510">
      <w:pPr>
        <w:keepNext/>
        <w:jc w:val="both"/>
      </w:pPr>
    </w:p>
    <w:p w:rsidR="00ED55CF" w:rsidRPr="00B94590" w:rsidRDefault="00ED55CF" w:rsidP="00A65510">
      <w:pPr>
        <w:keepNext/>
        <w:jc w:val="both"/>
      </w:pPr>
    </w:p>
    <w:p w:rsidR="00ED55CF" w:rsidRPr="00B94590" w:rsidRDefault="00ED55CF" w:rsidP="00A65510">
      <w:pPr>
        <w:pStyle w:val="Heading2"/>
        <w:jc w:val="both"/>
        <w:rPr>
          <w:lang w:val="lv-LV"/>
        </w:rPr>
      </w:pPr>
      <w:bookmarkStart w:id="59" w:name="_Toc292619576"/>
      <w:bookmarkStart w:id="60" w:name="_Toc293616269"/>
      <w:r w:rsidRPr="00B94590">
        <w:rPr>
          <w:lang w:val="lv-LV"/>
        </w:rPr>
        <w:t>Atbalsta stratēģija</w:t>
      </w:r>
      <w:bookmarkEnd w:id="59"/>
      <w:bookmarkEnd w:id="60"/>
    </w:p>
    <w:p w:rsidR="00ED55CF" w:rsidRPr="00B94590" w:rsidRDefault="00A84A9B" w:rsidP="00A65510">
      <w:pPr>
        <w:pStyle w:val="BodyTextIndent2"/>
        <w:ind w:left="0" w:firstLine="0"/>
      </w:pPr>
      <w:r w:rsidRPr="00B94590">
        <w:t>Vienot</w:t>
      </w:r>
      <w:r w:rsidR="0070642F" w:rsidRPr="00B94590">
        <w:t>ās</w:t>
      </w:r>
      <w:r w:rsidRPr="00B94590">
        <w:t xml:space="preserve"> valsts budžeta plānošanas un izpildes informācijas sistēmas atbalsta programmatūra ir datu bāzu vadības sistēma Oracle (10.02 - 64bit), tehnoloģiskā platforma ir SAP Netweaver 7.0.</w:t>
      </w:r>
    </w:p>
    <w:p w:rsidR="00ED55CF" w:rsidRPr="00B94590" w:rsidRDefault="00ED55CF" w:rsidP="00A65510">
      <w:pPr>
        <w:pStyle w:val="Heading1"/>
        <w:jc w:val="both"/>
        <w:rPr>
          <w:b w:val="0"/>
          <w:iCs/>
          <w:kern w:val="0"/>
          <w:szCs w:val="28"/>
          <w:lang w:val="lv-LV"/>
        </w:rPr>
      </w:pPr>
      <w:bookmarkStart w:id="61" w:name="_Toc292619577"/>
      <w:bookmarkStart w:id="62" w:name="_Toc293616270"/>
      <w:bookmarkStart w:id="63" w:name="_Ref51140323"/>
      <w:bookmarkStart w:id="64" w:name="_Ref50948528"/>
      <w:bookmarkStart w:id="65" w:name="_Ref50345144"/>
      <w:r w:rsidRPr="00B94590">
        <w:rPr>
          <w:lang w:val="lv-LV"/>
        </w:rPr>
        <w:lastRenderedPageBreak/>
        <w:t xml:space="preserve"> IETEICAMĀS</w:t>
      </w:r>
      <w:bookmarkEnd w:id="61"/>
      <w:r w:rsidR="00775DEE" w:rsidRPr="00B94590">
        <w:rPr>
          <w:lang w:val="lv-LV"/>
        </w:rPr>
        <w:t xml:space="preserve"> SISTĒMAS</w:t>
      </w:r>
      <w:r w:rsidR="00135413" w:rsidRPr="00B94590">
        <w:rPr>
          <w:lang w:val="lv-LV"/>
        </w:rPr>
        <w:t xml:space="preserve"> </w:t>
      </w:r>
      <w:r w:rsidR="00813EDE" w:rsidRPr="00B94590">
        <w:rPr>
          <w:lang w:val="lv-LV"/>
        </w:rPr>
        <w:t>IZMAIŅAS</w:t>
      </w:r>
      <w:bookmarkEnd w:id="62"/>
    </w:p>
    <w:p w:rsidR="00ED55CF" w:rsidRPr="00B94590" w:rsidRDefault="00ED55CF" w:rsidP="00A65510">
      <w:pPr>
        <w:pStyle w:val="Heading2"/>
        <w:jc w:val="both"/>
        <w:rPr>
          <w:lang w:val="lv-LV"/>
        </w:rPr>
      </w:pPr>
      <w:bookmarkStart w:id="66" w:name="_Toc292619578"/>
      <w:bookmarkStart w:id="67" w:name="_Toc293616271"/>
      <w:bookmarkEnd w:id="63"/>
      <w:r w:rsidRPr="00B94590">
        <w:rPr>
          <w:lang w:val="lv-LV"/>
        </w:rPr>
        <w:t>Izmaiņu pamatojums</w:t>
      </w:r>
      <w:bookmarkEnd w:id="66"/>
      <w:bookmarkEnd w:id="67"/>
    </w:p>
    <w:p w:rsidR="00E32BE0" w:rsidRPr="00B94590" w:rsidRDefault="00E32BE0" w:rsidP="009D31A9">
      <w:pPr>
        <w:ind w:firstLine="576"/>
        <w:jc w:val="both"/>
      </w:pPr>
      <w:r w:rsidRPr="00B94590">
        <w:t>Pašlaik datu noliktavā atsevišķi tiek uzturēti dati par budžeta izpildi, tomēr šajā noliktavā netiek uzturēti dati par iestāžu finanšu grāmatvedību, kā arī atskaišu tehnoloģija ir relatīvi neelastīga izmaiņu gadījumā.</w:t>
      </w:r>
    </w:p>
    <w:p w:rsidR="00515BB0" w:rsidRPr="00B94590" w:rsidRDefault="00515BB0" w:rsidP="009D31A9">
      <w:pPr>
        <w:ind w:firstLine="576"/>
        <w:jc w:val="both"/>
      </w:pPr>
      <w:r w:rsidRPr="00B94590">
        <w:t>Starptautiskajā praksē ir pieņemti</w:t>
      </w:r>
      <w:r w:rsidR="002779FF" w:rsidRPr="00B94590">
        <w:t xml:space="preserve"> Starptautiskie finanšu pārskatu standarti/</w:t>
      </w:r>
      <w:r w:rsidRPr="00B94590">
        <w:t xml:space="preserve"> Starptautiskie grāmatvedības standarti (</w:t>
      </w:r>
      <w:r w:rsidR="00142A71" w:rsidRPr="00B94590">
        <w:rPr>
          <w:i/>
        </w:rPr>
        <w:t>International Financial Reporting Standards</w:t>
      </w:r>
      <w:r w:rsidR="00576D31" w:rsidRPr="00B94590">
        <w:rPr>
          <w:i/>
        </w:rPr>
        <w:t>/International Accounting Standards</w:t>
      </w:r>
      <w:r w:rsidR="00142A71" w:rsidRPr="00B94590">
        <w:rPr>
          <w:i/>
        </w:rPr>
        <w:t xml:space="preserve">, turpmāk tekstā </w:t>
      </w:r>
      <w:r w:rsidR="00576D31" w:rsidRPr="00B94590">
        <w:rPr>
          <w:i/>
        </w:rPr>
        <w:t>IFRS/IAS</w:t>
      </w:r>
      <w:r w:rsidRPr="00B94590">
        <w:t>) un Starptautiskie publiskā sektora grāmatvedības standarti (</w:t>
      </w:r>
      <w:r w:rsidR="00142A71" w:rsidRPr="00B94590">
        <w:rPr>
          <w:i/>
        </w:rPr>
        <w:t xml:space="preserve">International Public Sector Accounting Standards, </w:t>
      </w:r>
      <w:r w:rsidR="00142A71" w:rsidRPr="00B94590">
        <w:rPr>
          <w:b/>
          <w:i/>
        </w:rPr>
        <w:t>turpmāk tekstā IPSAS</w:t>
      </w:r>
      <w:r w:rsidRPr="00B94590">
        <w:t xml:space="preserve">). </w:t>
      </w:r>
      <w:r w:rsidR="00576D31" w:rsidRPr="00B94590">
        <w:t>IFRS/IAS</w:t>
      </w:r>
      <w:r w:rsidRPr="00B94590">
        <w:t xml:space="preserve"> viens no pamatprincipiem ir uzņēmuma darbības turpināšanas princips, kas saistīts ar peļņas gūšanu.</w:t>
      </w:r>
    </w:p>
    <w:p w:rsidR="00515BB0" w:rsidRPr="00B94590" w:rsidRDefault="00142A71" w:rsidP="009D31A9">
      <w:pPr>
        <w:ind w:firstLine="576"/>
        <w:jc w:val="both"/>
      </w:pPr>
      <w:r w:rsidRPr="00B94590">
        <w:t>IPSAS</w:t>
      </w:r>
      <w:r w:rsidR="00515BB0" w:rsidRPr="00B94590">
        <w:t xml:space="preserve"> arī viens no galvenajiem pamatprincipiem ir darbības turpināšanas princips, bet tas nav saistīts ar peļņas gūšanu, bet gan ar pakalpojuma sniegšanu sabiedrībai vai valdības funkciju nodrošināšanu, tādējādi diezgan būtiska grāmatvedības standartu daļa balstās uz atšķirīgiem pieņēmumiem.</w:t>
      </w:r>
    </w:p>
    <w:p w:rsidR="00515BB0" w:rsidRPr="00B94590" w:rsidRDefault="00142A71" w:rsidP="009D31A9">
      <w:pPr>
        <w:ind w:firstLine="576"/>
        <w:jc w:val="both"/>
      </w:pPr>
      <w:r w:rsidRPr="00B94590">
        <w:t>IPSAS</w:t>
      </w:r>
      <w:r w:rsidR="00515BB0" w:rsidRPr="00B94590">
        <w:t xml:space="preserve"> lielākoties aptver to pašu jautājumu loku, ko </w:t>
      </w:r>
      <w:r w:rsidR="00576D31" w:rsidRPr="00B94590">
        <w:t>IFRS/IAS</w:t>
      </w:r>
      <w:r w:rsidR="00515BB0" w:rsidRPr="00B94590">
        <w:t xml:space="preserve">, tomēr šeit uzsvars likts uz sabiedrības interešu nodrošināšanu un aizstāvību (izglītības joma, veselības joma, tiesas). Publiskā sektora funkcijas, finansējums (nodokļi) un darbības rezultātu novērtējuma kritēriji būtiski atšķiras no pārējiem nacionālās ekonomikas sektoriem. </w:t>
      </w:r>
      <w:r w:rsidRPr="00B94590">
        <w:t>IPSAS</w:t>
      </w:r>
      <w:r w:rsidR="00515BB0" w:rsidRPr="00B94590">
        <w:t xml:space="preserve"> papildus reglamentē tādas finanšu uzskaites jomas kā nodokļus, transfertus, budžeta informācijas atklāšanu. </w:t>
      </w:r>
      <w:r w:rsidRPr="00B94590">
        <w:t>IPSAS</w:t>
      </w:r>
      <w:r w:rsidR="00515BB0" w:rsidRPr="00B94590">
        <w:t xml:space="preserve"> izstrādāti, iespēju robežās harmonizējot tos ar Starptautiskā valūtas fonda metodoloģiju un Eiropas Savienības regulām (ESA 95). </w:t>
      </w:r>
    </w:p>
    <w:p w:rsidR="00515BB0" w:rsidRPr="00B94590" w:rsidRDefault="00515BB0" w:rsidP="009D31A9">
      <w:pPr>
        <w:ind w:firstLine="576"/>
        <w:jc w:val="both"/>
      </w:pPr>
      <w:r w:rsidRPr="00B94590">
        <w:t xml:space="preserve">Katrā valstī ir vēsturiski izveidojušās atšķirīgas un konservatīvas budžeta veidošanas un izpildes sistēmas. Izstrādājot nacionālos standartus atbilstoši </w:t>
      </w:r>
      <w:r w:rsidR="00142A71" w:rsidRPr="00B94590">
        <w:t>IPSAS</w:t>
      </w:r>
      <w:r w:rsidRPr="00B94590">
        <w:t xml:space="preserve">, tie tiek modificēti ievērojot katras valsts specifiku. Tomēr starptautiskajām finanšu institūcijām un reitingu aģentūrām ir vieglāk novērtēt un salīdzināt savā starpā valstis, kuru nacionālie standarti saskaņoti ar </w:t>
      </w:r>
      <w:r w:rsidR="00142A71" w:rsidRPr="00B94590">
        <w:t>IPSAS</w:t>
      </w:r>
      <w:r w:rsidRPr="00B94590">
        <w:t>. Valstīm, kurām nav vienoti standarti visām vispārējās valdības sektora vienībām grāmatvedības uzskaites un pārskatu jomā, ir problēmas vispārējās valdības pārskatu sagatavošanā.</w:t>
      </w:r>
    </w:p>
    <w:p w:rsidR="00515BB0" w:rsidRPr="00B94590" w:rsidRDefault="00515BB0" w:rsidP="009D31A9">
      <w:pPr>
        <w:ind w:firstLine="576"/>
        <w:jc w:val="both"/>
      </w:pPr>
      <w:r w:rsidRPr="00B94590">
        <w:t xml:space="preserve">Normatīvie akti budžeta iestāžu grāmatvedības uzskaites jomā ir detalizētāki un pēc iespējas nosaka vienu iespējamo metodi aktīvu un saistību novērtēšanai un norādīšanai pārskatos. Vienota uzskaites un pārskatu sagatavošanas metodoloģija nepieciešama, jo budžeta iestāžu pārskati tiek konsolidēti, sagatavojot kopējo valsts finanšu pārskatu. Konsolidētais pārskats saskaņā ar </w:t>
      </w:r>
      <w:r w:rsidR="00576D31" w:rsidRPr="00B94590">
        <w:t>IFRS/IAS</w:t>
      </w:r>
      <w:r w:rsidRPr="00B94590">
        <w:t xml:space="preserve"> sagatavojams, balstoties uz vienotu metožu lietošanu. </w:t>
      </w:r>
    </w:p>
    <w:p w:rsidR="007052AA" w:rsidRPr="00B94590" w:rsidRDefault="007052AA" w:rsidP="00A65510">
      <w:pPr>
        <w:pStyle w:val="Heading2"/>
        <w:jc w:val="both"/>
        <w:rPr>
          <w:lang w:val="lv-LV"/>
        </w:rPr>
      </w:pPr>
      <w:bookmarkStart w:id="68" w:name="_Ref257633157"/>
      <w:bookmarkStart w:id="69" w:name="_Toc292619579"/>
      <w:bookmarkStart w:id="70" w:name="_Toc293616272"/>
      <w:r w:rsidRPr="00B94590">
        <w:rPr>
          <w:lang w:val="lv-LV"/>
        </w:rPr>
        <w:t xml:space="preserve">Piedāvātais risinājums </w:t>
      </w:r>
    </w:p>
    <w:p w:rsidR="007052AA" w:rsidRPr="00B94590" w:rsidRDefault="0083333E" w:rsidP="007052AA">
      <w:pPr>
        <w:rPr>
          <w:lang w:eastAsia="en-US"/>
        </w:rPr>
      </w:pPr>
      <w:r w:rsidRPr="00B94590">
        <w:rPr>
          <w:lang w:eastAsia="en-US"/>
        </w:rPr>
        <w:t>Informācijas sistēmas koncepcija paredz i</w:t>
      </w:r>
      <w:r w:rsidR="007052AA" w:rsidRPr="00B94590">
        <w:rPr>
          <w:lang w:eastAsia="en-US"/>
        </w:rPr>
        <w:t>zstrādāt pilnu tehnoloģisko risinājumu, k</w:t>
      </w:r>
      <w:r w:rsidRPr="00B94590">
        <w:rPr>
          <w:lang w:eastAsia="en-US"/>
        </w:rPr>
        <w:t xml:space="preserve">as aprakstīts turpmāk.  Piedāvātais tehnoloģiskais risinājums ir vērsts uz esošo informācijas sistēmu uzlabojumu un papildinājumu ar papildus funkcionalitāti, kas turpmāk uzlabos </w:t>
      </w:r>
      <w:r w:rsidR="009D31A9" w:rsidRPr="00B94590">
        <w:rPr>
          <w:lang w:eastAsia="en-US"/>
        </w:rPr>
        <w:t>darba efektivitāti</w:t>
      </w:r>
      <w:r w:rsidRPr="00B94590">
        <w:rPr>
          <w:lang w:eastAsia="en-US"/>
        </w:rPr>
        <w:t xml:space="preserve">. </w:t>
      </w:r>
    </w:p>
    <w:p w:rsidR="00ED55CF" w:rsidRPr="00B94590" w:rsidRDefault="00ED55CF" w:rsidP="00A65510">
      <w:pPr>
        <w:pStyle w:val="Heading2"/>
        <w:jc w:val="both"/>
        <w:rPr>
          <w:lang w:val="lv-LV"/>
        </w:rPr>
      </w:pPr>
      <w:r w:rsidRPr="00B94590">
        <w:rPr>
          <w:lang w:val="lv-LV"/>
        </w:rPr>
        <w:lastRenderedPageBreak/>
        <w:t>Nepieciešamo izmaiņu apraksts</w:t>
      </w:r>
      <w:bookmarkEnd w:id="68"/>
      <w:bookmarkEnd w:id="69"/>
      <w:bookmarkEnd w:id="70"/>
    </w:p>
    <w:p w:rsidR="00CD0CDF" w:rsidRPr="00B94590" w:rsidRDefault="00D177D1" w:rsidP="00A65510">
      <w:pPr>
        <w:pStyle w:val="Heading3"/>
        <w:jc w:val="both"/>
      </w:pPr>
      <w:bookmarkStart w:id="71" w:name="_Toc292619580"/>
      <w:r w:rsidRPr="00B94590">
        <w:tab/>
      </w:r>
      <w:bookmarkStart w:id="72" w:name="_Toc293616273"/>
      <w:r w:rsidR="00CD0CDF" w:rsidRPr="00B94590">
        <w:t>Nepieciešamās izmaiņas attiec</w:t>
      </w:r>
      <w:r w:rsidR="00381010" w:rsidRPr="00B94590">
        <w:t>ī</w:t>
      </w:r>
      <w:r w:rsidR="00CD0CDF" w:rsidRPr="00B94590">
        <w:t xml:space="preserve">bā uz </w:t>
      </w:r>
      <w:bookmarkEnd w:id="71"/>
      <w:bookmarkEnd w:id="72"/>
      <w:r w:rsidR="00787B13" w:rsidRPr="00B94590">
        <w:t xml:space="preserve">grāmatvedības procesu standartizāciju budžeta iestādēs </w:t>
      </w:r>
    </w:p>
    <w:p w:rsidR="00787B13" w:rsidRPr="00B94590" w:rsidRDefault="00787B13" w:rsidP="00787B13">
      <w:pPr>
        <w:spacing w:after="120"/>
        <w:jc w:val="both"/>
      </w:pPr>
      <w:r w:rsidRPr="00B94590">
        <w:rPr>
          <w:lang w:eastAsia="en-US"/>
        </w:rPr>
        <w:t xml:space="preserve">Lai nodrošinātu, ka datu noliktavā importējamie un analizējamie finanšu grāmatvedības dati ir salīdzināmi un izmantojami analīzei, nepieciešams, lai šie dati būtu viendabīgi un standartizēti. To var panākt veicot budžeta iestāžu pārvaldības procesu vienādošanu (standartizāciju), kas ļautu optimizēt iestādēs notiekošos finanšu vadības un administratīvos (t.sk. grāmatvedības uzskaites) procesus, tādējādi radot priekšnoteikumus finanšu, informācijas tehnoloģiju un personāla resursu efektīvākai izmantošanai. </w:t>
      </w:r>
      <w:r w:rsidRPr="00B94590">
        <w:t>Standartizācija jāveic biznesa procesu līmenī, t.i. tai jābūt platformneatkarīgam (</w:t>
      </w:r>
      <w:r w:rsidRPr="00B94590">
        <w:rPr>
          <w:i/>
        </w:rPr>
        <w:t>portability</w:t>
      </w:r>
      <w:r w:rsidRPr="00B94590">
        <w:t>), līdz ar to nav būtiski kādas tieši grāmatvedības sistēmas izmantos iestādes, kas apstrādā informāciju un laika gaitā šīs sistēmas var tikt mainītas.</w:t>
      </w:r>
    </w:p>
    <w:p w:rsidR="00787B13" w:rsidRPr="00B94590" w:rsidRDefault="00787B13" w:rsidP="00787B13">
      <w:pPr>
        <w:spacing w:after="120"/>
        <w:jc w:val="both"/>
      </w:pPr>
      <w:r w:rsidRPr="00B94590">
        <w:t xml:space="preserve">Projekta ieviešanas gaitā ir jāvērtē šādu papildinājumu nepieciešamais apjoms, kas tādejādi nodrošinātu sekmīgu šo pasākumu īstenošanu. </w:t>
      </w:r>
    </w:p>
    <w:p w:rsidR="00787B13" w:rsidRPr="00B94590" w:rsidRDefault="00787B13" w:rsidP="00787B13">
      <w:pPr>
        <w:spacing w:after="120"/>
        <w:jc w:val="both"/>
        <w:rPr>
          <w:lang w:eastAsia="en-US"/>
        </w:rPr>
      </w:pPr>
      <w:r w:rsidRPr="00B94590">
        <w:rPr>
          <w:lang w:eastAsia="en-US"/>
        </w:rPr>
        <w:t xml:space="preserve">Lai procesu standartizācija būtu veiksmīga, tā jāiekļauj atbilstošos normatīvajos aktos. </w:t>
      </w:r>
    </w:p>
    <w:p w:rsidR="00787B13" w:rsidRPr="00B94590" w:rsidRDefault="00787B13" w:rsidP="00787B13">
      <w:pPr>
        <w:spacing w:after="120"/>
        <w:jc w:val="both"/>
        <w:rPr>
          <w:lang w:eastAsia="en-US"/>
        </w:rPr>
      </w:pPr>
      <w:r w:rsidRPr="00B94590">
        <w:t>Lai</w:t>
      </w:r>
      <w:r w:rsidRPr="00B94590">
        <w:rPr>
          <w:lang w:eastAsia="en-US"/>
        </w:rPr>
        <w:t xml:space="preserve"> procesu standartizācija būtu pietiekami efektīva un detalizēta, </w:t>
      </w:r>
      <w:r w:rsidRPr="00B94590">
        <w:t>nepieciešami atbilstošas detalizācijas standarti un to pielietošanas rokasgrāmatas, kas būtu saistošas visām  budžeta iestādēm, no valsts budžeta daļēji finansētām atvasinātām publiskajām personām un to izveidotām iestādēm, budžeta nefinansētām iestādēm un VK valsts budžeta finanšu uzskaitei (turpmāk tekstā- iestāde (vienība)).</w:t>
      </w:r>
    </w:p>
    <w:p w:rsidR="00787B13" w:rsidRPr="00B94590" w:rsidRDefault="00787B13" w:rsidP="00787B13">
      <w:pPr>
        <w:spacing w:after="120"/>
        <w:jc w:val="both"/>
        <w:rPr>
          <w:lang w:eastAsia="en-US"/>
        </w:rPr>
      </w:pPr>
      <w:r w:rsidRPr="00B94590">
        <w:rPr>
          <w:lang w:eastAsia="en-US"/>
        </w:rPr>
        <w:t>Šobrīd Latvijā ir izstrādāti atsevišķi Latvijas grāmatvedības standarti, kas orientēti uz privātā sektora grāmatvedības uzskaiti un kam ir ieteikuma raksturs, tomēr publiskā sektora grāmatvedības uzskaite atšķiras no privātā sektora grāmatvedības uzskaites un pastāv plašs jautājumu loks, ko Latvijas grāmatvedības standarti neaptver, piemēram subsīdiju un dotāciju uzskaite.</w:t>
      </w:r>
    </w:p>
    <w:p w:rsidR="00787B13" w:rsidRPr="00B94590" w:rsidRDefault="00787B13" w:rsidP="00787B13">
      <w:pPr>
        <w:spacing w:after="120"/>
        <w:jc w:val="both"/>
        <w:rPr>
          <w:lang w:eastAsia="en-US"/>
        </w:rPr>
      </w:pPr>
      <w:r w:rsidRPr="00B94590">
        <w:rPr>
          <w:lang w:eastAsia="en-US"/>
        </w:rPr>
        <w:t>Eiropas Savienības dalībvalstis šobrīd publiskā sektora grāmatvedības uzskaites standartizācijai piemēro IPSAS (</w:t>
      </w:r>
      <w:r w:rsidRPr="00B94590">
        <w:rPr>
          <w:i/>
          <w:lang w:eastAsia="en-US"/>
        </w:rPr>
        <w:t>International Public Sector for Accounting Standard</w:t>
      </w:r>
      <w:r w:rsidRPr="00B94590">
        <w:rPr>
          <w:lang w:eastAsia="en-US"/>
        </w:rPr>
        <w:t xml:space="preserve">). Šī standarta piemērošana netiek noteikta obligāti, taču tā ieviešana sekmē grāmatvedības uzskaites un procesu standartizāciju, kā arī ļauj risināt atsevišķus, ar grāmatvedības uzskaiti saistītus, problēmjautājumus ES dalībvalstu starpā. Šo standartu principi iekļauti Ministru kabineta 2009.gada 15.decembra noteikumos Nr. 1486 “Kārtība kādā budžeta iestādes kārto grāmatvedības uzskaiti”. Līdz šim Latvijā nav izstrādāti un apstiprināti šādi standarti, taču spēkā esošie normatīvie akti ir vērsti uz grāmatvedības uzskaites vienādošanu budžeta iestādēs. </w:t>
      </w:r>
    </w:p>
    <w:p w:rsidR="00787B13" w:rsidRPr="00B94590" w:rsidRDefault="00787B13" w:rsidP="00787B13">
      <w:pPr>
        <w:spacing w:after="120"/>
        <w:jc w:val="both"/>
        <w:rPr>
          <w:lang w:eastAsia="en-US"/>
        </w:rPr>
      </w:pPr>
      <w:r w:rsidRPr="00B94590">
        <w:rPr>
          <w:lang w:eastAsia="en-US"/>
        </w:rPr>
        <w:t>Izstrādājot Latvijas publiskā sektora grāmatvedības standartus:</w:t>
      </w:r>
    </w:p>
    <w:p w:rsidR="00787B13" w:rsidRPr="00B94590" w:rsidRDefault="00787B13" w:rsidP="00787B13">
      <w:pPr>
        <w:pStyle w:val="ListParagraph"/>
        <w:numPr>
          <w:ilvl w:val="0"/>
          <w:numId w:val="26"/>
        </w:numPr>
        <w:spacing w:after="120"/>
        <w:jc w:val="both"/>
      </w:pPr>
      <w:r w:rsidRPr="00B94590">
        <w:rPr>
          <w:rFonts w:ascii="Times New Roman" w:hAnsi="Times New Roman" w:cs="Times New Roman"/>
          <w:sz w:val="24"/>
          <w:szCs w:val="24"/>
        </w:rPr>
        <w:t xml:space="preserve"> par pamatu būtu jāizmanto IPSAS, piemērojot tos Latvijas situācijai, un nosakot grāmatvedības uzskaites un pārskatu sagatavošanas pamatprincipus arī specifiskās, šobrīd nereglamentētas uzskaites jomās, kā arī paredzot detalizētākus ieteikumus dažādu darījumu uzskaitei;</w:t>
      </w:r>
    </w:p>
    <w:p w:rsidR="00787B13" w:rsidRPr="00B94590" w:rsidRDefault="00787B13" w:rsidP="00787B13">
      <w:pPr>
        <w:pStyle w:val="ListParagraph"/>
        <w:numPr>
          <w:ilvl w:val="0"/>
          <w:numId w:val="26"/>
        </w:numPr>
        <w:spacing w:after="120"/>
        <w:jc w:val="both"/>
      </w:pPr>
      <w:r w:rsidRPr="00B94590">
        <w:rPr>
          <w:rFonts w:ascii="Times New Roman" w:hAnsi="Times New Roman" w:cs="Times New Roman"/>
          <w:sz w:val="24"/>
          <w:szCs w:val="24"/>
        </w:rPr>
        <w:t>to ieviešanas termiņi jāsaskaņo ar IPSAS plānoto izmaiņu ieviešanas termiņiem.</w:t>
      </w:r>
    </w:p>
    <w:p w:rsidR="00787B13" w:rsidRPr="00B94590" w:rsidRDefault="00787B13" w:rsidP="00787B13">
      <w:pPr>
        <w:spacing w:after="120"/>
        <w:jc w:val="both"/>
      </w:pPr>
      <w:r w:rsidRPr="00B94590">
        <w:t>Lai</w:t>
      </w:r>
      <w:r w:rsidRPr="00B94590">
        <w:rPr>
          <w:lang w:eastAsia="en-US"/>
        </w:rPr>
        <w:t xml:space="preserve"> procesu standartizācija būtu pietiekami efektīva un detalizēta, </w:t>
      </w:r>
      <w:r w:rsidRPr="00B94590">
        <w:t xml:space="preserve">Latvijas situācijai būtu pielāgojami Starptautiskās grāmatvežu federācijas Publiskā sektora komitejas </w:t>
      </w:r>
      <w:r w:rsidRPr="00B94590">
        <w:lastRenderedPageBreak/>
        <w:t>šobrīd izstrādātie 29 IPSAS, kuriem jānodrošina to noteikto mērķu, darbības jomu, definīciju un skaidrojumu par informācijas atklāšanu, atbilstība Latvijas Republikas likumiem un normatīvajiem aktiem grāmatvedības uzskaites un pārskatu sagatavošanas publiskajam sektoram jomā:</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18"/>
          <w:szCs w:val="24"/>
        </w:rPr>
      </w:pPr>
      <w:r w:rsidRPr="00B94590">
        <w:rPr>
          <w:rFonts w:ascii="Times New Roman" w:hAnsi="Times New Roman" w:cs="Times New Roman"/>
          <w:b/>
          <w:i/>
          <w:sz w:val="24"/>
          <w:szCs w:val="24"/>
          <w:u w:val="single"/>
        </w:rPr>
        <w:t xml:space="preserve">Finanšu pārskata sagatavošana (Presentation of Financial Statements </w:t>
      </w:r>
      <w:r w:rsidRPr="00B94590">
        <w:rPr>
          <w:rFonts w:ascii="Times New Roman" w:hAnsi="Times New Roman" w:cs="Times New Roman"/>
          <w:i/>
          <w:sz w:val="24"/>
          <w:szCs w:val="24"/>
          <w:u w:val="single"/>
        </w:rPr>
        <w:t>IPSAS 1</w:t>
      </w:r>
      <w:r w:rsidRPr="00B94590">
        <w:rPr>
          <w:rFonts w:ascii="Times New Roman" w:hAnsi="Times New Roman" w:cs="Times New Roman"/>
          <w:b/>
          <w:i/>
          <w:sz w:val="24"/>
          <w:szCs w:val="24"/>
          <w:u w:val="single"/>
        </w:rPr>
        <w:t>)</w:t>
      </w:r>
    </w:p>
    <w:p w:rsidR="00787B13" w:rsidRPr="00B94590" w:rsidRDefault="00787B13" w:rsidP="00787B13">
      <w:pPr>
        <w:spacing w:before="240" w:after="120"/>
        <w:ind w:left="720" w:right="91"/>
        <w:jc w:val="both"/>
        <w:rPr>
          <w:b/>
          <w:i/>
        </w:rPr>
      </w:pPr>
      <w:r w:rsidRPr="00B94590">
        <w:rPr>
          <w:b/>
          <w:i/>
        </w:rPr>
        <w:t>Mērķis</w:t>
      </w:r>
    </w:p>
    <w:p w:rsidR="00787B13" w:rsidRPr="00B94590" w:rsidRDefault="00787B13" w:rsidP="00787B13">
      <w:pPr>
        <w:spacing w:before="240" w:after="120"/>
        <w:ind w:left="720" w:right="-51"/>
        <w:jc w:val="both"/>
        <w:rPr>
          <w:i/>
        </w:rPr>
      </w:pPr>
      <w:r w:rsidRPr="00B94590">
        <w:rPr>
          <w:i/>
        </w:rPr>
        <w:t xml:space="preserve">Šā standarta mērķis ir noteikt vispārēja rakstura finanšu pārskatu sniegšanas principu, lai nodrošinātu salīdzināmību ar iestādes (vienības) iepriekšējo periodu finanšu pārskatiem un citu iestāžu (vienību) finanšu pārskatiem. Lai sasniegtu šo mērķi, šajā standartā izklāstītas vispārējas prasības finanšu pārskatu sniegšanai, pamatnostādnes par to struktūru un minimālas prasības attiecībā uz finanšu pārskatu saturu. Konkrētu darījumu un citu notikumu atzīšana, novērtēšana un informācijas atklāšana ir aprakstīta citos IPSAS. </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b/>
          <w:i/>
          <w:sz w:val="24"/>
          <w:szCs w:val="24"/>
          <w:u w:val="single"/>
        </w:rPr>
      </w:pPr>
      <w:r w:rsidRPr="00B94590">
        <w:rPr>
          <w:rFonts w:ascii="Times New Roman" w:hAnsi="Times New Roman" w:cs="Times New Roman"/>
          <w:b/>
          <w:i/>
          <w:sz w:val="24"/>
          <w:szCs w:val="24"/>
          <w:u w:val="single"/>
        </w:rPr>
        <w:t xml:space="preserve">Naudas plūsmas pārskats  (Cash Flow Statements </w:t>
      </w:r>
      <w:r w:rsidRPr="00B94590">
        <w:rPr>
          <w:rFonts w:ascii="Times New Roman" w:hAnsi="Times New Roman" w:cs="Times New Roman"/>
          <w:i/>
          <w:sz w:val="24"/>
          <w:szCs w:val="24"/>
          <w:u w:val="single"/>
        </w:rPr>
        <w:t>IPSAS2</w:t>
      </w:r>
      <w:r w:rsidRPr="00B94590">
        <w:rPr>
          <w:rFonts w:ascii="Times New Roman" w:hAnsi="Times New Roman" w:cs="Times New Roman"/>
          <w:b/>
          <w:i/>
          <w:sz w:val="24"/>
          <w:szCs w:val="24"/>
          <w:u w:val="single"/>
        </w:rPr>
        <w:t>)</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Šā standarta mērķis ir pieprasīt informācijas sniegšanu par iestādes (vienības) naudas un tās ekvivalentu vēsturiskajām izmaiņām ar naudas plūsmas pārskata palīdzību, kurā klasificētas perioda naudas plūsmas no pamatdarbības, ieguldījumu un finansēšanas darbības.</w:t>
      </w:r>
    </w:p>
    <w:p w:rsidR="00787B13" w:rsidRPr="00B94590" w:rsidRDefault="00787B13" w:rsidP="00787B13">
      <w:pPr>
        <w:shd w:val="clear" w:color="auto" w:fill="FFFFFF"/>
        <w:spacing w:before="14" w:line="240" w:lineRule="exact"/>
        <w:ind w:left="567"/>
        <w:jc w:val="both"/>
        <w:rPr>
          <w:i/>
        </w:rPr>
      </w:pPr>
      <w:r w:rsidRPr="00B94590">
        <w:rPr>
          <w:i/>
          <w:spacing w:val="-1"/>
        </w:rPr>
        <w:t xml:space="preserve">Naudas plūsmas pārskats norāda naudas ienākšanas avotus, posteņus, par kuriem pārskata perioda </w:t>
      </w:r>
      <w:r w:rsidRPr="00B94590">
        <w:rPr>
          <w:i/>
        </w:rPr>
        <w:t xml:space="preserve">laikā ir tērēta nauda, un naudas atlikumu pārskata datumā. Informācija par iestādes (vienības) naudas plūsmām ir noderīga finanšu pārskatu lietotājiem, jo tā sniedz informāciju, kas ļauj nodrošināt </w:t>
      </w:r>
      <w:r w:rsidRPr="00B94590">
        <w:rPr>
          <w:i/>
          <w:spacing w:val="-1"/>
        </w:rPr>
        <w:t xml:space="preserve">gan atbildību par līdzekļu izlietojumu, gan palīdz lēmumu pieņemšanā. Informācija par naudas </w:t>
      </w:r>
      <w:r w:rsidRPr="00B94590">
        <w:rPr>
          <w:i/>
        </w:rPr>
        <w:t>plūsmām ļauj lietotājiem noskaidrot, kā iestāde (vienība) ir ieguvusi savas darbības finansēšanai nepieciešamos naudas līdzekļus un kādā veidā šie naudas līdzekļi ir izlietoti. Pieņemot un izvērtējot lēmumus par resursu sadalījumu, piemēram, par iestādes (vienības) darbības ilgspējīgumu, lietotājiem nepieciešama izpratne par naudas plūsmu laiku un to, cik droša ir to rašanās. Šī standarta mērķis ir noteikt, lai naudas plūsmas pārskatā, kurš klasificē pārskata periodā radušās naudas plūsmas no pamatdarbības, ieguldījumu un finansēšanas darbībām, tiktu sniegta informācija par to, kā laika gaitā mainījusies iestādes (vienības) nauda un tās ekvivalenti.</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Perioda neto peļņa vai zaudējumi, fundamentālas kļūdas un grāmatvedības politiku izmaiņas (Net Surplus or Deficit for the Period - Fundamental Errors and Changing in Accounting Policies</w:t>
      </w:r>
      <w:r w:rsidRPr="00B94590">
        <w:rPr>
          <w:rFonts w:ascii="Times New Roman" w:hAnsi="Times New Roman" w:cs="Times New Roman"/>
          <w:sz w:val="24"/>
          <w:szCs w:val="24"/>
        </w:rPr>
        <w:t xml:space="preserve"> IPSAS 3)</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51"/>
        <w:jc w:val="both"/>
        <w:rPr>
          <w:i/>
        </w:rPr>
      </w:pPr>
      <w:r w:rsidRPr="00B94590">
        <w:rPr>
          <w:i/>
        </w:rPr>
        <w:t xml:space="preserve">Šī standarta mērķis ir noteikt kritērijus grāmatvedības politikas izvēlei un maiņai, tai skaitā izmaiņām grāmatvedības politikā un izmaiņām grāmatvedības aplēsēs, grāmatvedības metodēm un atklāšanai, un kļūdu labošanai. Šis standarts ir veidots, lai uzsvērtu iestādes (vienības) finanšu pārskatu nozīmību </w:t>
      </w:r>
      <w:r w:rsidRPr="00B94590">
        <w:rPr>
          <w:i/>
        </w:rPr>
        <w:lastRenderedPageBreak/>
        <w:t>un ticamību, kā arī šo finanšu pārskatu salīdzināmību laika gaitā un ar citu iestāžu finanšu pārskatiem.</w:t>
      </w:r>
    </w:p>
    <w:p w:rsidR="00787B13" w:rsidRPr="00B94590" w:rsidRDefault="00787B13" w:rsidP="00787B13">
      <w:pPr>
        <w:shd w:val="clear" w:color="auto" w:fill="FFFFFF"/>
        <w:spacing w:before="211" w:line="230" w:lineRule="exact"/>
        <w:ind w:left="567" w:right="-51"/>
        <w:jc w:val="both"/>
        <w:rPr>
          <w:i/>
        </w:rPr>
      </w:pPr>
      <w:r w:rsidRPr="00B94590">
        <w:rPr>
          <w:i/>
        </w:rPr>
        <w:t xml:space="preserve">Šī standarta mērķis ir arī noteikt finanšu pārskatu posteņu klasifikāciju, skaidrojumus un vienotu grāmatvedības pieeju finanšu pārskatu posteņiem, lai visas iestādes (vienības) sagatavotu un sniegtu informāciju par šiem posteņiem pēc konsekventiem principiem. </w:t>
      </w:r>
    </w:p>
    <w:p w:rsidR="00787B13" w:rsidRPr="00B94590" w:rsidRDefault="00787B13" w:rsidP="00787B13">
      <w:pPr>
        <w:shd w:val="clear" w:color="auto" w:fill="FFFFFF"/>
        <w:spacing w:before="226" w:line="230" w:lineRule="exact"/>
        <w:ind w:left="567" w:right="-51"/>
        <w:jc w:val="both"/>
        <w:rPr>
          <w:i/>
        </w:rPr>
      </w:pPr>
      <w:r w:rsidRPr="00B94590">
        <w:rPr>
          <w:i/>
          <w:spacing w:val="-1"/>
        </w:rPr>
        <w:t xml:space="preserve">Tāpat šajā standartā ir noteikta prasība klasificēt un skaidrot ārkārtas posteņus un atsevišķi </w:t>
      </w:r>
      <w:r w:rsidRPr="00B94590">
        <w:rPr>
          <w:i/>
        </w:rPr>
        <w:t xml:space="preserve">skaidrot noteiktus finanšu pārskatu posteņus. </w:t>
      </w:r>
    </w:p>
    <w:p w:rsidR="00787B13" w:rsidRPr="00B94590" w:rsidRDefault="00787B13" w:rsidP="00787B13">
      <w:pPr>
        <w:shd w:val="clear" w:color="auto" w:fill="FFFFFF"/>
        <w:spacing w:before="230" w:line="230" w:lineRule="exact"/>
        <w:ind w:left="567" w:right="-51"/>
        <w:jc w:val="both"/>
        <w:rPr>
          <w:i/>
        </w:rPr>
      </w:pPr>
      <w:r w:rsidRPr="00B94590">
        <w:rPr>
          <w:i/>
        </w:rPr>
        <w:t xml:space="preserve">Ārkārtas posteņu skaidrojums naudas plūsmas pārskatiem nepieciešams sniegt saskaņā ar 2. </w:t>
      </w:r>
      <w:r w:rsidRPr="00B94590">
        <w:rPr>
          <w:i/>
          <w:spacing w:val="-1"/>
        </w:rPr>
        <w:t>Starptautisko publiskā sektora grāmatvedības standartu (IPSAS) "Naudas plūsmas pārskati”  noteikto.</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Ārvalstu valūtas kursu izmaiņu ietekme (The Effects of changes in Foreign Exchange Rates</w:t>
      </w:r>
      <w:r w:rsidRPr="00B94590">
        <w:rPr>
          <w:rFonts w:ascii="Times New Roman" w:hAnsi="Times New Roman" w:cs="Times New Roman"/>
          <w:i/>
          <w:sz w:val="24"/>
          <w:szCs w:val="24"/>
        </w:rPr>
        <w:t xml:space="preserve"> IPSAS 4)</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spacing w:before="240" w:after="120"/>
        <w:ind w:left="567" w:right="-51"/>
        <w:jc w:val="both"/>
        <w:rPr>
          <w:rFonts w:ascii="Times New Roman" w:hAnsi="Times New Roman" w:cs="Times New Roman"/>
          <w:b/>
          <w:i/>
          <w:sz w:val="24"/>
          <w:szCs w:val="24"/>
        </w:rPr>
      </w:pPr>
      <w:r w:rsidRPr="00B94590">
        <w:rPr>
          <w:rFonts w:ascii="Times New Roman" w:hAnsi="Times New Roman" w:cs="Times New Roman"/>
          <w:i/>
          <w:sz w:val="24"/>
          <w:szCs w:val="24"/>
        </w:rPr>
        <w:t>Šī standarta mērķis ir sniegt vadlīnijas, kā darījumus ārvalstu valūtā un darbības ārvalstīs iekļaut iestādes (vienības) finanšu pārskatos un kā pārrēķināt finanšu pārskatus uzrādīšanas valūtā.</w:t>
      </w:r>
    </w:p>
    <w:p w:rsidR="00787B13" w:rsidRPr="00B94590" w:rsidRDefault="00787B13" w:rsidP="00787B13">
      <w:pPr>
        <w:pStyle w:val="ListParagraph"/>
        <w:numPr>
          <w:ilvl w:val="2"/>
          <w:numId w:val="3"/>
        </w:numPr>
        <w:tabs>
          <w:tab w:val="clear" w:pos="1332"/>
          <w:tab w:val="num" w:pos="567"/>
        </w:tabs>
        <w:spacing w:before="240" w:after="120"/>
        <w:ind w:left="567" w:right="-51" w:firstLine="141"/>
        <w:jc w:val="both"/>
        <w:rPr>
          <w:rFonts w:ascii="Times New Roman" w:hAnsi="Times New Roman" w:cs="Times New Roman"/>
          <w:i/>
          <w:sz w:val="24"/>
          <w:szCs w:val="24"/>
        </w:rPr>
      </w:pPr>
      <w:r w:rsidRPr="00B94590">
        <w:rPr>
          <w:rFonts w:ascii="Times New Roman" w:hAnsi="Times New Roman" w:cs="Times New Roman"/>
          <w:i/>
          <w:sz w:val="24"/>
          <w:szCs w:val="24"/>
        </w:rPr>
        <w:t xml:space="preserve">Iestāde  (vienība) darbību ārvalstīs var īstenot divos veidos. Tai var būt darījumi ārvalstu valūtā vai ārvalstu darbība. Bez tam, iestāde (vienība) var iesniegt savus finanšu pārskatus ārvalstu valūtā. </w:t>
      </w:r>
    </w:p>
    <w:p w:rsidR="00787B13" w:rsidRPr="00B94590" w:rsidRDefault="00787B13" w:rsidP="00787B13">
      <w:pPr>
        <w:pStyle w:val="ListParagraph"/>
        <w:numPr>
          <w:ilvl w:val="2"/>
          <w:numId w:val="3"/>
        </w:numPr>
        <w:tabs>
          <w:tab w:val="clear" w:pos="1332"/>
          <w:tab w:val="num" w:pos="567"/>
        </w:tabs>
        <w:spacing w:before="240" w:after="120"/>
        <w:ind w:left="567" w:right="-51" w:firstLine="141"/>
        <w:jc w:val="both"/>
        <w:rPr>
          <w:rFonts w:ascii="Times New Roman" w:hAnsi="Times New Roman" w:cs="Times New Roman"/>
          <w:i/>
          <w:sz w:val="24"/>
          <w:szCs w:val="24"/>
        </w:rPr>
      </w:pPr>
      <w:r w:rsidRPr="00B94590">
        <w:rPr>
          <w:rFonts w:ascii="Times New Roman" w:hAnsi="Times New Roman" w:cs="Times New Roman"/>
          <w:i/>
          <w:sz w:val="24"/>
          <w:szCs w:val="24"/>
        </w:rPr>
        <w:t xml:space="preserve">Galvenie jautājumi ir saistīti ar to, kuru valūtas </w:t>
      </w:r>
      <w:r w:rsidRPr="00B94590">
        <w:rPr>
          <w:rFonts w:ascii="Times New Roman" w:hAnsi="Times New Roman" w:cs="Times New Roman"/>
          <w:i/>
          <w:sz w:val="24"/>
          <w:szCs w:val="24"/>
        </w:rPr>
        <w:br/>
        <w:t>kursu(-s) izmantot un kā valūtas kursu izmaiņu ietekmi uzrādīt finanšu pārskatos.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Aizņēmumu izmaksas (Borrowing Costs</w:t>
      </w:r>
      <w:r w:rsidRPr="00B94590">
        <w:rPr>
          <w:rFonts w:ascii="Times New Roman" w:hAnsi="Times New Roman" w:cs="Times New Roman"/>
          <w:sz w:val="24"/>
          <w:szCs w:val="24"/>
        </w:rPr>
        <w:t xml:space="preserve"> IPSAS 5)</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sz w:val="18"/>
        </w:rPr>
      </w:pPr>
      <w:r w:rsidRPr="00B94590">
        <w:rPr>
          <w:i/>
        </w:rPr>
        <w:t xml:space="preserve">Šī standarta mērķis ir noteikt grāmatvedības metodi aizņēmumu izmaksām. Šis standarts vispārēji pieprasa aizņēmumu izmaksu tūlītēju norakstīšanu izdevumos. Šis standarts tomēr kā atļautu alternatīvu metodi pieļauj to aizņēmumu izmaksu kapitalizāciju, kuri ir tieši attiecināmi uz kritērijiem atbilstošā aktīva iegādei, būvniecībai vai ražošanai. </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Konsolidētie un atsevišķie finanšu pārskati (</w:t>
      </w:r>
      <w:r w:rsidRPr="00B94590">
        <w:rPr>
          <w:rFonts w:ascii="Times New Roman" w:hAnsi="Times New Roman" w:cs="Times New Roman"/>
          <w:b/>
          <w:i/>
          <w:sz w:val="24"/>
          <w:szCs w:val="24"/>
        </w:rPr>
        <w:t>Consolidated and Separate Financial Statements</w:t>
      </w:r>
      <w:r w:rsidRPr="00B94590">
        <w:rPr>
          <w:rFonts w:ascii="Times New Roman" w:hAnsi="Times New Roman" w:cs="Times New Roman"/>
          <w:sz w:val="24"/>
          <w:szCs w:val="24"/>
        </w:rPr>
        <w:t xml:space="preserve"> IPSAS 6)</w:t>
      </w:r>
    </w:p>
    <w:p w:rsidR="00787B13" w:rsidRPr="00B94590" w:rsidRDefault="00787B13" w:rsidP="00787B13">
      <w:pPr>
        <w:spacing w:before="240" w:after="120"/>
        <w:ind w:left="600" w:right="-766"/>
        <w:jc w:val="both"/>
        <w:rPr>
          <w:b/>
          <w:i/>
        </w:rPr>
      </w:pPr>
      <w:r w:rsidRPr="00B94590">
        <w:rPr>
          <w:b/>
          <w:i/>
        </w:rPr>
        <w:t xml:space="preserve">Mērķis </w:t>
      </w:r>
    </w:p>
    <w:p w:rsidR="00787B13" w:rsidRPr="00B94590" w:rsidRDefault="00787B13" w:rsidP="00787B13">
      <w:pPr>
        <w:shd w:val="clear" w:color="auto" w:fill="FFFFFF"/>
        <w:spacing w:before="182" w:line="230" w:lineRule="exact"/>
        <w:ind w:left="567" w:right="5"/>
        <w:jc w:val="both"/>
        <w:rPr>
          <w:i/>
        </w:rPr>
      </w:pPr>
      <w:r w:rsidRPr="00B94590">
        <w:rPr>
          <w:i/>
        </w:rPr>
        <w:t>Šā standarta mērķis ir noteikt vispārēja rakstura finanšu pārskatu sniegšanas principus</w:t>
      </w:r>
      <w:r w:rsidRPr="00B94590">
        <w:rPr>
          <w:bCs/>
          <w:i/>
          <w:iCs/>
        </w:rPr>
        <w:t xml:space="preserve"> iestādei (vienībai), kura sagatavo un sniedz ekonomiskās vienības (piemēram, nozares, pašvaldības) konsolidētos finanšu pārskatus, saskaņā ar uzkrājumu principu.</w:t>
      </w:r>
    </w:p>
    <w:p w:rsidR="00787B13" w:rsidRPr="00B94590" w:rsidRDefault="00787B13" w:rsidP="00787B13">
      <w:pPr>
        <w:spacing w:before="240" w:after="120"/>
        <w:ind w:left="600" w:right="91"/>
        <w:jc w:val="both"/>
        <w:rPr>
          <w:i/>
        </w:rPr>
      </w:pPr>
      <w:r w:rsidRPr="00B94590">
        <w:rPr>
          <w:i/>
        </w:rPr>
        <w:t xml:space="preserve">Šis standarts jāpiemēro ekonomiskajai vienībai, sagatavojot un sniedzot iestādes (vienības) kontrolē esošo iestāžu  atsevišķos finanšu pārskatu, kā arī </w:t>
      </w:r>
      <w:r w:rsidRPr="00B94590">
        <w:rPr>
          <w:i/>
        </w:rPr>
        <w:lastRenderedPageBreak/>
        <w:t>kopīgi kontrolēto uzņēmumu un asociēto uzņēmumu atsevišķos finanšu pārskatus, ja nacionālie normatīvie akti to pieprasa.</w:t>
      </w:r>
    </w:p>
    <w:p w:rsidR="00787B13" w:rsidRPr="00B94590" w:rsidRDefault="00787B13" w:rsidP="00787B13">
      <w:pPr>
        <w:autoSpaceDE w:val="0"/>
        <w:autoSpaceDN w:val="0"/>
        <w:adjustRightInd w:val="0"/>
        <w:ind w:left="567"/>
        <w:rPr>
          <w:rFonts w:eastAsiaTheme="minorHAnsi"/>
          <w:i/>
          <w:lang w:eastAsia="en-US"/>
        </w:rPr>
      </w:pPr>
      <w:r w:rsidRPr="00B94590">
        <w:rPr>
          <w:rFonts w:eastAsiaTheme="minorHAnsi"/>
          <w:i/>
          <w:lang w:eastAsia="en-US"/>
        </w:rPr>
        <w:t xml:space="preserve">Šis standarts neaplūko vienību apvienošanas uzskaites metodes un to ietekmi uz konsolidāciju, tai skaitā vienību apvienošanā radušos nemateriālo vērtību uzskaiti un konsolidāciju (vienību apvienošanas uzskaites norādījumi skatāmi attiecīgos IFRS/IAS vai nacionālos standartos par uzņēmējdarbības apvienošanas uzskaiti). </w:t>
      </w:r>
    </w:p>
    <w:p w:rsidR="00787B13" w:rsidRPr="00B94590" w:rsidRDefault="00787B13" w:rsidP="00787B13">
      <w:pPr>
        <w:pStyle w:val="ListParagraph"/>
        <w:numPr>
          <w:ilvl w:val="1"/>
          <w:numId w:val="13"/>
        </w:numPr>
        <w:spacing w:before="240" w:after="120"/>
        <w:ind w:left="22" w:right="91" w:hanging="22"/>
        <w:jc w:val="both"/>
        <w:rPr>
          <w:i/>
        </w:rPr>
      </w:pPr>
      <w:r w:rsidRPr="00B94590">
        <w:rPr>
          <w:rFonts w:ascii="Times New Roman" w:hAnsi="Times New Roman" w:cs="Times New Roman"/>
          <w:b/>
          <w:i/>
          <w:sz w:val="24"/>
          <w:szCs w:val="24"/>
          <w:u w:val="single"/>
        </w:rPr>
        <w:t>Ieguldījumi asociētajos uzņēmumos (Investments in Associates</w:t>
      </w:r>
      <w:r w:rsidRPr="00B94590">
        <w:t>IPSAS 7)</w:t>
      </w:r>
    </w:p>
    <w:p w:rsidR="00787B13" w:rsidRPr="00B94590" w:rsidRDefault="00787B13" w:rsidP="00787B13">
      <w:pPr>
        <w:spacing w:before="240" w:after="120"/>
        <w:ind w:left="262" w:right="-766"/>
        <w:jc w:val="both"/>
        <w:rPr>
          <w:b/>
          <w:i/>
        </w:rPr>
      </w:pPr>
      <w:r w:rsidRPr="00B94590">
        <w:rPr>
          <w:b/>
          <w:i/>
        </w:rPr>
        <w:t>Mērķis</w:t>
      </w:r>
    </w:p>
    <w:p w:rsidR="00787B13" w:rsidRPr="00B94590" w:rsidRDefault="00787B13" w:rsidP="00787B13">
      <w:pPr>
        <w:widowControl w:val="0"/>
        <w:shd w:val="clear" w:color="auto" w:fill="FFFFFF"/>
        <w:tabs>
          <w:tab w:val="left" w:pos="1134"/>
        </w:tabs>
        <w:autoSpaceDE w:val="0"/>
        <w:autoSpaceDN w:val="0"/>
        <w:adjustRightInd w:val="0"/>
        <w:spacing w:before="178" w:line="230" w:lineRule="exact"/>
        <w:ind w:left="229"/>
        <w:jc w:val="both"/>
        <w:rPr>
          <w:bCs/>
          <w:i/>
          <w:iCs/>
          <w:spacing w:val="-10"/>
        </w:rPr>
      </w:pPr>
      <w:r w:rsidRPr="00B94590">
        <w:rPr>
          <w:i/>
        </w:rPr>
        <w:t>Šis standarts jāpiemēro, uzskaitot ieguldījumus asociētajos uzņēmumos</w:t>
      </w:r>
      <w:r w:rsidRPr="00B94590">
        <w:rPr>
          <w:bCs/>
          <w:i/>
          <w:iCs/>
        </w:rPr>
        <w:t>, ja ieguldījums asociētajā uzņēmumā  nodrošina līdzdalību īpašumtiesībās akciju turēšanas vai citas formālas pašu kapitāla struktūras veidā.</w:t>
      </w:r>
    </w:p>
    <w:p w:rsidR="00787B13" w:rsidRPr="00B94590" w:rsidRDefault="00787B13" w:rsidP="00787B13">
      <w:pPr>
        <w:spacing w:before="240" w:after="120"/>
        <w:ind w:left="262" w:right="-51"/>
        <w:jc w:val="both"/>
        <w:rPr>
          <w:i/>
        </w:rPr>
      </w:pPr>
      <w:r w:rsidRPr="00B94590">
        <w:rPr>
          <w:i/>
        </w:rPr>
        <w:t>Tomēr tas neattiecas uz ieguldījumiem asociētajos uzņēmumos, kas pieder:</w:t>
      </w:r>
    </w:p>
    <w:p w:rsidR="00787B13" w:rsidRPr="00B94590" w:rsidRDefault="00787B13" w:rsidP="00787B13">
      <w:pPr>
        <w:spacing w:before="240" w:after="120"/>
        <w:ind w:left="262" w:right="-766"/>
        <w:jc w:val="both"/>
        <w:rPr>
          <w:i/>
        </w:rPr>
      </w:pPr>
      <w:r w:rsidRPr="00B94590">
        <w:rPr>
          <w:i/>
        </w:rPr>
        <w:t>a) riska kapitāla organizācijām;</w:t>
      </w:r>
    </w:p>
    <w:p w:rsidR="00787B13" w:rsidRPr="00B94590" w:rsidRDefault="00787B13" w:rsidP="00787B13">
      <w:pPr>
        <w:widowControl w:val="0"/>
        <w:shd w:val="clear" w:color="auto" w:fill="FFFFFF"/>
        <w:tabs>
          <w:tab w:val="left" w:pos="533"/>
        </w:tabs>
        <w:autoSpaceDE w:val="0"/>
        <w:autoSpaceDN w:val="0"/>
        <w:adjustRightInd w:val="0"/>
        <w:spacing w:before="230" w:line="230" w:lineRule="exact"/>
        <w:ind w:left="229" w:right="5"/>
        <w:jc w:val="both"/>
        <w:rPr>
          <w:i/>
        </w:rPr>
      </w:pPr>
      <w:r w:rsidRPr="00B94590">
        <w:rPr>
          <w:i/>
        </w:rPr>
        <w:t xml:space="preserve">b) savstarpējiem ieguldījuma fondiem, trastiem ar daļām vai līdzīgām sabiedrībām, ieskaitot ar ieguldījumiem saistītus apdrošināšanas fondus, kas pie sākotnējās atzīšanas tiek noteikti to patiesajā vērtībā caur peļņu vai zaudējumiem vai klasificēti kā tirdzniecībai turēti un uzskaitīti saskaņā ar 29.IPSAS Finanšu instrumenti: Atzīšana un novērtēšana. </w:t>
      </w:r>
    </w:p>
    <w:p w:rsidR="00787B13" w:rsidRPr="00B94590" w:rsidRDefault="00787B13" w:rsidP="00787B13">
      <w:pPr>
        <w:widowControl w:val="0"/>
        <w:shd w:val="clear" w:color="auto" w:fill="FFFFFF"/>
        <w:tabs>
          <w:tab w:val="left" w:pos="533"/>
        </w:tabs>
        <w:autoSpaceDE w:val="0"/>
        <w:autoSpaceDN w:val="0"/>
        <w:adjustRightInd w:val="0"/>
        <w:spacing w:before="230" w:line="230" w:lineRule="exact"/>
        <w:ind w:left="229" w:right="5"/>
        <w:jc w:val="both"/>
        <w:rPr>
          <w:i/>
          <w:spacing w:val="-10"/>
        </w:rPr>
      </w:pPr>
      <w:r w:rsidRPr="00B94590">
        <w:rPr>
          <w:i/>
        </w:rPr>
        <w:t xml:space="preserve">Šis standarts apskata pamatprincipus, kā uzskaitīt līdzdalību asociēto uzņēmumu īpašumtiesībās. Proti, ieguldījums citā vienībā (uzņēmumā) pakļauj ieguldītāju riskiem un dod tam </w:t>
      </w:r>
      <w:r w:rsidRPr="00B94590">
        <w:rPr>
          <w:i/>
          <w:spacing w:val="-1"/>
        </w:rPr>
        <w:t xml:space="preserve">tiesības uz atlīdzību, kas saistīta ar līdzdalību īpašumtiesībās. Standarts attiecas tikai uz </w:t>
      </w:r>
      <w:r w:rsidRPr="00B94590">
        <w:rPr>
          <w:i/>
        </w:rPr>
        <w:t xml:space="preserve">ieguldījumiem tās vienības (uzņēmumā) formālā pašu kapitāla struktūrā (vai tās ekvivalentā), kurā veikts ieguldījums. </w:t>
      </w:r>
    </w:p>
    <w:p w:rsidR="00787B13" w:rsidRPr="00B94590" w:rsidRDefault="00787B13" w:rsidP="00787B13">
      <w:pPr>
        <w:pStyle w:val="ListParagraph"/>
        <w:numPr>
          <w:ilvl w:val="1"/>
          <w:numId w:val="13"/>
        </w:numPr>
        <w:spacing w:before="240" w:after="120"/>
        <w:ind w:left="22"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Līdzdalība kopuzņēmumos  (Interests in Joint Ventures</w:t>
      </w:r>
      <w:r w:rsidRPr="00B94590">
        <w:rPr>
          <w:rFonts w:ascii="Times New Roman" w:hAnsi="Times New Roman" w:cs="Times New Roman"/>
          <w:sz w:val="24"/>
          <w:szCs w:val="24"/>
        </w:rPr>
        <w:t xml:space="preserve"> IPSAS 8)</w:t>
      </w:r>
    </w:p>
    <w:p w:rsidR="00787B13" w:rsidRPr="00B94590" w:rsidRDefault="00787B13" w:rsidP="00787B13">
      <w:pPr>
        <w:spacing w:before="240" w:after="120"/>
        <w:ind w:left="262" w:right="-766"/>
        <w:jc w:val="both"/>
        <w:rPr>
          <w:b/>
          <w:i/>
        </w:rPr>
      </w:pPr>
      <w:r w:rsidRPr="00B94590">
        <w:rPr>
          <w:b/>
          <w:i/>
        </w:rPr>
        <w:t>Mērķis</w:t>
      </w:r>
    </w:p>
    <w:p w:rsidR="00787B13" w:rsidRPr="00B94590" w:rsidRDefault="00787B13" w:rsidP="00787B13">
      <w:pPr>
        <w:pStyle w:val="ListParagraph"/>
        <w:shd w:val="clear" w:color="auto" w:fill="FFFFFF"/>
        <w:spacing w:before="178" w:line="230" w:lineRule="exact"/>
        <w:ind w:left="229" w:right="10"/>
        <w:rPr>
          <w:i/>
          <w:iCs/>
          <w:sz w:val="24"/>
          <w:szCs w:val="24"/>
        </w:rPr>
      </w:pPr>
      <w:r w:rsidRPr="00B94590">
        <w:rPr>
          <w:rFonts w:ascii="Times New Roman" w:hAnsi="Times New Roman" w:cs="Times New Roman"/>
          <w:i/>
          <w:sz w:val="24"/>
          <w:szCs w:val="24"/>
        </w:rPr>
        <w:t xml:space="preserve">Šī standarta mērķis ir noteikt  </w:t>
      </w:r>
      <w:r w:rsidRPr="00B94590">
        <w:rPr>
          <w:rFonts w:ascii="Times New Roman" w:hAnsi="Times New Roman" w:cs="Times New Roman"/>
          <w:i/>
          <w:iCs/>
          <w:sz w:val="24"/>
          <w:szCs w:val="24"/>
        </w:rPr>
        <w:t xml:space="preserve"> iestādei (vienībai), kura sagatavo un sniedz finanšu pārskatus saskaņā ar grāmatvedības uzskaites uzkrāšanas principu, līdzdalības</w:t>
      </w:r>
      <w:r w:rsidRPr="00B94590">
        <w:rPr>
          <w:rFonts w:ascii="Times New Roman" w:hAnsi="Times New Roman" w:cs="Times New Roman"/>
          <w:i/>
          <w:iCs/>
          <w:sz w:val="24"/>
          <w:szCs w:val="24"/>
        </w:rPr>
        <w:br/>
        <w:t>kopuzņēmumos uzskaites pamatprincipus un tos izklāstīt. Šis standarts arī nosaka, ka  iestādei (vienībai) jānodrošina pārskatu sniegšana par kopuzņēmuma aktīviem, saistībām,ienākumiem un izdevumiem kopuzņēmuma dalībnieku un ieguldītāju finanšu pārskatos, neatkarīgi no kopuzņēmuma darbības struktūras vai formas.</w:t>
      </w:r>
    </w:p>
    <w:p w:rsidR="00787B13" w:rsidRPr="00B94590" w:rsidRDefault="00787B13" w:rsidP="00787B13">
      <w:pPr>
        <w:spacing w:before="240" w:after="120"/>
        <w:ind w:left="229" w:right="91"/>
        <w:jc w:val="both"/>
        <w:rPr>
          <w:i/>
        </w:rPr>
      </w:pPr>
      <w:r w:rsidRPr="00B94590">
        <w:rPr>
          <w:i/>
        </w:rPr>
        <w:t>Tomēr šis standarts neattiecas uz ieguldījumiem kopuzņēmumos, kas pieder:</w:t>
      </w:r>
    </w:p>
    <w:p w:rsidR="00787B13" w:rsidRPr="00B94590" w:rsidRDefault="00787B13" w:rsidP="00787B13">
      <w:pPr>
        <w:spacing w:before="240" w:after="120"/>
        <w:ind w:left="229" w:right="-766"/>
        <w:jc w:val="both"/>
        <w:rPr>
          <w:i/>
        </w:rPr>
      </w:pPr>
      <w:r w:rsidRPr="00B94590">
        <w:rPr>
          <w:i/>
        </w:rPr>
        <w:t>a) riska kapitāla organizācijām;</w:t>
      </w:r>
    </w:p>
    <w:p w:rsidR="00787B13" w:rsidRPr="00B94590" w:rsidRDefault="00787B13" w:rsidP="00787B13">
      <w:pPr>
        <w:spacing w:before="240" w:after="120"/>
        <w:ind w:left="229" w:right="-51"/>
        <w:jc w:val="both"/>
        <w:rPr>
          <w:i/>
        </w:rPr>
      </w:pPr>
      <w:r w:rsidRPr="00B94590">
        <w:rPr>
          <w:i/>
        </w:rPr>
        <w:t xml:space="preserve">b) savstarpējiem ieguldījuma fondiem, trastiem ar daļām vai līdzīgām sabiedrībām, ieskaitot ar ieguldījumiem saistītus apdrošināšanas fondus, kas pie sākotnējās atzīšanas tiek noteikti to patiesajā vērtībā caur peļņu vai zaudējumiem vai klasificēti kā tirdzniecībai turēti un uzskaitīti saskaņā ar 29.IPSAS Finanšu instrumenti: Atzīšana un novērtēšana. </w:t>
      </w:r>
    </w:p>
    <w:p w:rsidR="00787B13" w:rsidRPr="00B94590" w:rsidRDefault="00787B13" w:rsidP="00787B13">
      <w:pPr>
        <w:pStyle w:val="ListParagraph"/>
        <w:shd w:val="clear" w:color="auto" w:fill="FFFFFF"/>
        <w:tabs>
          <w:tab w:val="left" w:pos="542"/>
        </w:tabs>
        <w:spacing w:before="178" w:line="230" w:lineRule="exact"/>
        <w:ind w:left="0" w:right="10"/>
        <w:jc w:val="both"/>
        <w:rPr>
          <w:i/>
          <w:iCs/>
          <w:sz w:val="20"/>
          <w:szCs w:val="20"/>
        </w:rPr>
      </w:pPr>
    </w:p>
    <w:p w:rsidR="00787B13" w:rsidRPr="00B94590" w:rsidRDefault="00787B13" w:rsidP="00787B13">
      <w:pPr>
        <w:pStyle w:val="ListParagraph"/>
        <w:numPr>
          <w:ilvl w:val="1"/>
          <w:numId w:val="13"/>
        </w:numPr>
        <w:spacing w:before="240" w:after="120"/>
        <w:ind w:left="22"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Ieņēmumi no apmaiņas darījumiem (Revenue from Exchange Transactions</w:t>
      </w:r>
      <w:r w:rsidRPr="00B94590">
        <w:rPr>
          <w:rFonts w:ascii="Times New Roman" w:hAnsi="Times New Roman" w:cs="Times New Roman"/>
          <w:sz w:val="24"/>
          <w:szCs w:val="24"/>
        </w:rPr>
        <w:t xml:space="preserve"> IPSAS 9)</w:t>
      </w:r>
    </w:p>
    <w:p w:rsidR="00787B13" w:rsidRPr="00B94590" w:rsidRDefault="00787B13" w:rsidP="00787B13">
      <w:pPr>
        <w:spacing w:before="240" w:after="120"/>
        <w:ind w:left="262" w:right="-766"/>
        <w:jc w:val="both"/>
        <w:rPr>
          <w:b/>
          <w:i/>
        </w:rPr>
      </w:pPr>
      <w:r w:rsidRPr="00B94590">
        <w:rPr>
          <w:b/>
          <w:i/>
        </w:rPr>
        <w:lastRenderedPageBreak/>
        <w:t>Mērķis</w:t>
      </w:r>
    </w:p>
    <w:p w:rsidR="00787B13" w:rsidRPr="00B94590" w:rsidRDefault="00787B13" w:rsidP="00787B13">
      <w:pPr>
        <w:spacing w:before="240" w:after="120"/>
        <w:ind w:left="262" w:right="-51"/>
        <w:jc w:val="both"/>
        <w:rPr>
          <w:b/>
          <w:i/>
        </w:rPr>
      </w:pPr>
      <w:r w:rsidRPr="00B94590">
        <w:rPr>
          <w:i/>
        </w:rPr>
        <w:t>Šī standarta mērķis ir noteikt grāmatvedības uzskaites pieeju ieņēmumiem, kas rodas no apmaiņas darījumiem un notikumiem.</w:t>
      </w:r>
    </w:p>
    <w:p w:rsidR="00787B13" w:rsidRPr="00B94590" w:rsidRDefault="00787B13" w:rsidP="00787B13">
      <w:pPr>
        <w:spacing w:before="240" w:after="120"/>
        <w:ind w:left="262" w:right="-51"/>
        <w:jc w:val="both"/>
        <w:rPr>
          <w:i/>
        </w:rPr>
      </w:pPr>
      <w:r w:rsidRPr="00B94590">
        <w:rPr>
          <w:i/>
        </w:rPr>
        <w:t>Starptautiskās grāmatvedības standartu komiteja „Finanšu pārskatu sagatavošanu un sniegšanu pamatnostādnēs”  jēdzienu „ienākumi” definē  kā saimniecisko labumu pieaugumu pārskata periodā, kas nozīmē aktīvu ieplūdi vai to vērtības palielināšanu, vai saistību samazināšanos, kā rezultātā palielinās pašu kapitāls, taču tas nenotiek saistībā ar pašu kapitāla dalībnieku ieguldījumiem. Ienākumi ietver gan ieņēmumus, gan guvumus.  Šajā standartā jēdziena „ienākumi” vietā lieto  jēdzienu „ ieņēmumi” , kas aptver gan ieņēmumus, gan guvumus. Atsevišķi konkrēti posteņi, kas jāatzīst ieņēmumos apskatīti citos standartos un neietilpst šī standarta darbības jomā. Piemēram guvumi, kas rodas no pamatlīdzekļu pārdošanas, ir konkrēti apskatīti standartos par pamatlīdzekļiem, un šajā standartā netiek aplūkoti.</w:t>
      </w:r>
    </w:p>
    <w:p w:rsidR="00787B13" w:rsidRPr="00B94590" w:rsidRDefault="00787B13" w:rsidP="00787B13">
      <w:pPr>
        <w:spacing w:before="240" w:after="120"/>
        <w:ind w:left="262" w:right="-51"/>
        <w:jc w:val="both"/>
        <w:rPr>
          <w:i/>
        </w:rPr>
      </w:pPr>
      <w:r w:rsidRPr="00B94590">
        <w:rPr>
          <w:i/>
        </w:rPr>
        <w:t>Galvenais jautājums ieņēmumu uzskaitē ir tas, kā noteikt ieņēmumu atzīšanas laiku. Ieņēmumus atzīst tad, kad ir ticama nākotnes ekonomisko labumu un pakalpojumu ienākšana iestādē (vienībā), un kad šos labumus var ticami novērtēt. Šis standarts nosaka gadījumus, kad būs izpildīti šie kritēriji un tādēļ tiks atzīti ieņēmumi. Tas sniedz arī praktiskus norādījumus par šo kritēriju lietošanu.</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Būvlīgumi (Construction Contracts</w:t>
      </w:r>
      <w:r w:rsidRPr="00B94590">
        <w:rPr>
          <w:rFonts w:ascii="Times New Roman" w:hAnsi="Times New Roman" w:cs="Times New Roman"/>
          <w:sz w:val="24"/>
          <w:szCs w:val="24"/>
        </w:rPr>
        <w:t xml:space="preserve"> IPSAS 11)</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51"/>
        <w:jc w:val="both"/>
        <w:rPr>
          <w:i/>
        </w:rPr>
      </w:pPr>
      <w:r w:rsidRPr="00B94590">
        <w:rPr>
          <w:i/>
        </w:rPr>
        <w:t xml:space="preserve">Šī standarta mērķis ir noteikt grāmatvedības metodi ieņēmumiem un izmaksām, kas ir saistītas ar būvlīgumiem. </w:t>
      </w:r>
    </w:p>
    <w:p w:rsidR="00787B13" w:rsidRPr="00B94590" w:rsidRDefault="00787B13" w:rsidP="00787B13">
      <w:pPr>
        <w:shd w:val="clear" w:color="auto" w:fill="FFFFFF"/>
        <w:spacing w:before="173"/>
        <w:ind w:left="566" w:right="5"/>
        <w:jc w:val="both"/>
        <w:rPr>
          <w:i/>
        </w:rPr>
      </w:pPr>
      <w:r w:rsidRPr="00B94590">
        <w:rPr>
          <w:i/>
        </w:rPr>
        <w:t>Šis standarts:</w:t>
      </w:r>
    </w:p>
    <w:p w:rsidR="00787B13" w:rsidRPr="00B94590" w:rsidRDefault="00787B13" w:rsidP="00787B13">
      <w:pPr>
        <w:widowControl w:val="0"/>
        <w:numPr>
          <w:ilvl w:val="0"/>
          <w:numId w:val="23"/>
        </w:numPr>
        <w:shd w:val="clear" w:color="auto" w:fill="FFFFFF"/>
        <w:tabs>
          <w:tab w:val="left" w:pos="514"/>
        </w:tabs>
        <w:autoSpaceDE w:val="0"/>
        <w:autoSpaceDN w:val="0"/>
        <w:adjustRightInd w:val="0"/>
        <w:spacing w:before="230"/>
        <w:ind w:left="566"/>
        <w:rPr>
          <w:i/>
        </w:rPr>
      </w:pPr>
      <w:r w:rsidRPr="00B94590">
        <w:rPr>
          <w:i/>
          <w:spacing w:val="-8"/>
        </w:rPr>
        <w:t>nosaka, kādas vienošanās klasificējamas par būvlīgumiem;</w:t>
      </w:r>
    </w:p>
    <w:p w:rsidR="00787B13" w:rsidRPr="00B94590" w:rsidRDefault="00787B13" w:rsidP="00787B13">
      <w:pPr>
        <w:widowControl w:val="0"/>
        <w:numPr>
          <w:ilvl w:val="0"/>
          <w:numId w:val="23"/>
        </w:numPr>
        <w:shd w:val="clear" w:color="auto" w:fill="FFFFFF"/>
        <w:tabs>
          <w:tab w:val="left" w:pos="514"/>
        </w:tabs>
        <w:autoSpaceDE w:val="0"/>
        <w:autoSpaceDN w:val="0"/>
        <w:adjustRightInd w:val="0"/>
        <w:spacing w:before="235"/>
        <w:ind w:left="566"/>
        <w:rPr>
          <w:i/>
        </w:rPr>
      </w:pPr>
      <w:r w:rsidRPr="00B94590">
        <w:rPr>
          <w:i/>
          <w:spacing w:val="-8"/>
        </w:rPr>
        <w:t>sniedz norādījumus par publiskajā sektorā iespējamo buvlīgumu veidiem;</w:t>
      </w:r>
    </w:p>
    <w:p w:rsidR="00787B13" w:rsidRPr="00B94590" w:rsidRDefault="00787B13" w:rsidP="00787B13">
      <w:pPr>
        <w:widowControl w:val="0"/>
        <w:numPr>
          <w:ilvl w:val="0"/>
          <w:numId w:val="23"/>
        </w:numPr>
        <w:shd w:val="clear" w:color="auto" w:fill="FFFFFF"/>
        <w:tabs>
          <w:tab w:val="left" w:pos="514"/>
        </w:tabs>
        <w:autoSpaceDE w:val="0"/>
        <w:autoSpaceDN w:val="0"/>
        <w:adjustRightInd w:val="0"/>
        <w:spacing w:before="226"/>
        <w:ind w:left="566"/>
        <w:rPr>
          <w:i/>
        </w:rPr>
      </w:pPr>
      <w:r w:rsidRPr="00B94590">
        <w:rPr>
          <w:i/>
        </w:rPr>
        <w:t>apskata ar līgumu saistīto izmaksu un, ja tas ir atbilstoši, ieņēmumu atzīšanas un skaidrošanas bāzi.</w:t>
      </w:r>
    </w:p>
    <w:p w:rsidR="00787B13" w:rsidRPr="00B94590" w:rsidRDefault="00787B13" w:rsidP="00787B13">
      <w:pPr>
        <w:spacing w:before="240" w:after="120"/>
        <w:ind w:left="600" w:right="-51"/>
        <w:jc w:val="both"/>
        <w:rPr>
          <w:i/>
        </w:rPr>
      </w:pPr>
      <w:r w:rsidRPr="00B94590">
        <w:rPr>
          <w:i/>
        </w:rPr>
        <w:t>Būvlīgumu ietvaros veikto darbību ilgtermiņa rakstura dēļ-  datums, kad uzsāk līgumā noteikto darbību, un datums, kad šo darbību pabeidz, parasti ir dažādos pārskata periodos. Tādēļ galvenais jautājums būvlīgumu uzskaitē ir līguma ieņēmumu un līguma izmaksu sadale pa pārskata periodiem, kuros veic būvdarbus.</w:t>
      </w:r>
    </w:p>
    <w:p w:rsidR="00787B13" w:rsidRPr="00B94590" w:rsidRDefault="00787B13" w:rsidP="00787B13">
      <w:pPr>
        <w:shd w:val="clear" w:color="auto" w:fill="FFFFFF"/>
        <w:spacing w:before="221" w:line="235" w:lineRule="exact"/>
        <w:ind w:left="567" w:right="5"/>
        <w:jc w:val="both"/>
        <w:rPr>
          <w:i/>
        </w:rPr>
      </w:pPr>
      <w:r w:rsidRPr="00B94590">
        <w:rPr>
          <w:i/>
          <w:spacing w:val="-7"/>
        </w:rPr>
        <w:t xml:space="preserve">No starptautiskās pieredzes secināts, ka dažkārt iestāžu (vienību) slēgtos būvlīgumos nav noteikta ar līgumu </w:t>
      </w:r>
      <w:r w:rsidRPr="00B94590">
        <w:rPr>
          <w:i/>
          <w:spacing w:val="-8"/>
        </w:rPr>
        <w:t xml:space="preserve">saistīto ieņēmumu summa. Tas drīzāk ir būvniecības atbalstam domāts, apropriācijas vai citā </w:t>
      </w:r>
      <w:r w:rsidRPr="00B94590">
        <w:rPr>
          <w:i/>
          <w:spacing w:val="-5"/>
        </w:rPr>
        <w:t xml:space="preserve">veidā piešķirts finansējums no vispārējiem valsts ieņēmumiem, atbalsta maksājums vai </w:t>
      </w:r>
      <w:r w:rsidRPr="00B94590">
        <w:rPr>
          <w:i/>
          <w:spacing w:val="-9"/>
        </w:rPr>
        <w:t xml:space="preserve">dotācija. Šajos gadījumos galvenais jautājums, veicot līgumu uzskaiti, ir būvniecības izmaksu </w:t>
      </w:r>
      <w:r w:rsidRPr="00B94590">
        <w:rPr>
          <w:i/>
          <w:spacing w:val="-7"/>
        </w:rPr>
        <w:t xml:space="preserve">attiecināšana uz pārskata periodu, kurā veikti attiecīgie būvdarbi, kā arī saistīto izdevumu </w:t>
      </w:r>
      <w:r w:rsidRPr="00B94590">
        <w:rPr>
          <w:i/>
        </w:rPr>
        <w:t>atzīšana.</w:t>
      </w:r>
    </w:p>
    <w:p w:rsidR="00787B13" w:rsidRPr="00B94590" w:rsidRDefault="00787B13" w:rsidP="00787B13">
      <w:pPr>
        <w:shd w:val="clear" w:color="auto" w:fill="FFFFFF"/>
        <w:spacing w:before="216" w:line="235" w:lineRule="exact"/>
        <w:ind w:left="567" w:right="10"/>
        <w:jc w:val="both"/>
        <w:rPr>
          <w:i/>
        </w:rPr>
      </w:pPr>
      <w:r w:rsidRPr="00B94590">
        <w:rPr>
          <w:i/>
          <w:spacing w:val="-7"/>
        </w:rPr>
        <w:lastRenderedPageBreak/>
        <w:t xml:space="preserve">No starptautiskās pieredzes secināts, ka dažkārt </w:t>
      </w:r>
      <w:r w:rsidRPr="00B94590">
        <w:rPr>
          <w:i/>
          <w:spacing w:val="-8"/>
        </w:rPr>
        <w:t xml:space="preserve">iestāde (vienība) var slēgt būvlīgumus uz komerciāliem vai nekomerciāliem pamatiem, pilnībā vai daļēji atgūstot izmaksas. Šajos gadījumos buvlīgumu </w:t>
      </w:r>
      <w:r w:rsidRPr="00B94590">
        <w:rPr>
          <w:i/>
          <w:spacing w:val="-7"/>
        </w:rPr>
        <w:t xml:space="preserve">uzskaites primārais jautājums ir gan līguma ieņēmumu, gan izmaksu sadale pa pārskata </w:t>
      </w:r>
      <w:r w:rsidRPr="00B94590">
        <w:rPr>
          <w:i/>
        </w:rPr>
        <w:t>periodiem, kuros būvdarbi tiek veikti.</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Krājumi (Inventories</w:t>
      </w:r>
      <w:r w:rsidRPr="00B94590">
        <w:rPr>
          <w:rFonts w:ascii="Times New Roman" w:hAnsi="Times New Roman" w:cs="Times New Roman"/>
          <w:sz w:val="24"/>
          <w:szCs w:val="24"/>
        </w:rPr>
        <w:t xml:space="preserve"> IPSAS 12)</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766"/>
        <w:jc w:val="both"/>
        <w:rPr>
          <w:i/>
        </w:rPr>
      </w:pPr>
      <w:r w:rsidRPr="00B94590">
        <w:rPr>
          <w:i/>
        </w:rPr>
        <w:t>Šī standarta mērķis ir noteikt grāmatvedības metodi krājumiem. Galvenais jautājums krājumu uzskaitē ir izmaksu summa, kas jāatzīst par aktīvu un jāpārnes uz nākamajiem periodiem līdz attiecīgo ieņēmumu atzīšanai. Šajā standartā sniegti norādījumi par izmaksu noteikšanu un to turpmāko atzīšanu par izdevumiem, tostarp par vērtības daļēju norakstījumu līdz neto pārdošanas vērtībai. Tajā sniegti arī norādījumi par izmaksu formulām, kuras lieto izmaksu attiecināšanai uz krājumiem.</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Noma (Leases</w:t>
      </w:r>
      <w:r w:rsidRPr="00B94590">
        <w:rPr>
          <w:rFonts w:ascii="Times New Roman" w:hAnsi="Times New Roman" w:cs="Times New Roman"/>
          <w:sz w:val="24"/>
          <w:szCs w:val="24"/>
        </w:rPr>
        <w:t xml:space="preserve"> IPSAS 13)</w:t>
      </w:r>
    </w:p>
    <w:p w:rsidR="00787B13" w:rsidRPr="00B94590" w:rsidRDefault="00787B13" w:rsidP="00787B13">
      <w:pPr>
        <w:spacing w:before="240" w:after="120"/>
        <w:ind w:left="600" w:right="-51"/>
        <w:jc w:val="both"/>
        <w:rPr>
          <w:b/>
          <w:i/>
        </w:rPr>
      </w:pPr>
      <w:r w:rsidRPr="00B94590">
        <w:rPr>
          <w:b/>
          <w:i/>
        </w:rPr>
        <w:t>Mērķis</w:t>
      </w:r>
    </w:p>
    <w:p w:rsidR="00787B13" w:rsidRPr="00B94590" w:rsidRDefault="00787B13" w:rsidP="00787B13">
      <w:pPr>
        <w:spacing w:before="240" w:after="120"/>
        <w:ind w:left="600" w:right="91"/>
        <w:jc w:val="both"/>
        <w:rPr>
          <w:i/>
          <w:sz w:val="18"/>
        </w:rPr>
      </w:pPr>
      <w:r w:rsidRPr="00B94590">
        <w:rPr>
          <w:i/>
        </w:rPr>
        <w:t>Šī standarta mērķis ir noteikt atbilstīgas grāmatvedības politikas un skaidrojumu prasības, kuras nomniekiem un iznomātājiem jālieto attiecībā uz finanšu un operatīvās nomas darījumiem.</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Notikumi pēc bilances datuma (Events after the Reporting Date</w:t>
      </w:r>
      <w:r w:rsidRPr="00B94590">
        <w:rPr>
          <w:rFonts w:ascii="Times New Roman" w:hAnsi="Times New Roman" w:cs="Times New Roman"/>
          <w:sz w:val="24"/>
          <w:szCs w:val="24"/>
        </w:rPr>
        <w:t xml:space="preserve"> IPSAS 14)</w:t>
      </w:r>
    </w:p>
    <w:p w:rsidR="00787B13" w:rsidRPr="00B94590" w:rsidRDefault="00787B13" w:rsidP="00787B13">
      <w:pPr>
        <w:spacing w:before="240" w:after="120"/>
        <w:ind w:left="600" w:right="91"/>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Šī standarta mērķis ir noteikt:</w:t>
      </w:r>
    </w:p>
    <w:p w:rsidR="00787B13" w:rsidRPr="00B94590" w:rsidRDefault="00787B13" w:rsidP="00787B13">
      <w:pPr>
        <w:spacing w:before="240" w:after="120"/>
        <w:ind w:left="600" w:right="91"/>
        <w:jc w:val="both"/>
        <w:rPr>
          <w:i/>
        </w:rPr>
      </w:pPr>
      <w:r w:rsidRPr="00B94590">
        <w:rPr>
          <w:i/>
        </w:rPr>
        <w:t>(a) kad iestādei (vienībai) jākoriģē finanšu pārskati, ņemot vērā notikumus pēc bilances datuma, un</w:t>
      </w:r>
    </w:p>
    <w:p w:rsidR="00787B13" w:rsidRPr="00B94590" w:rsidRDefault="00787B13" w:rsidP="00787B13">
      <w:pPr>
        <w:spacing w:before="240" w:after="120"/>
        <w:ind w:left="600" w:right="91"/>
        <w:jc w:val="both"/>
        <w:rPr>
          <w:i/>
        </w:rPr>
      </w:pPr>
      <w:r w:rsidRPr="00B94590">
        <w:rPr>
          <w:i/>
        </w:rPr>
        <w:t>(b) informācija, kas iestādei (vienībai) jāatklāj par datumu, kad finanšu pārskati tika apstiprināti publiskošanai, un par notikumiem pēc bilances datuma.</w:t>
      </w:r>
    </w:p>
    <w:p w:rsidR="00787B13" w:rsidRPr="00B94590" w:rsidRDefault="00787B13" w:rsidP="00787B13">
      <w:pPr>
        <w:spacing w:before="240" w:after="120"/>
        <w:ind w:left="600" w:right="91"/>
        <w:jc w:val="both"/>
        <w:rPr>
          <w:i/>
        </w:rPr>
      </w:pPr>
      <w:r w:rsidRPr="00B94590">
        <w:rPr>
          <w:i/>
        </w:rPr>
        <w:t>Standarts arī nosaka, ka iestāde (vienība) nedrīkst sagatavot finanšu pārskatus, pamatojoties uz darbības turpināšanas principu, ja notikumi pēc bilances datuma liecina par to, ka darbības turpināšanas princips nav atbilstīgs.</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Finanšu instrumenti: Informācijas atklāšana un sniegšana (Financial Instruments: Disclosure and Presentation</w:t>
      </w:r>
      <w:r w:rsidRPr="00B94590">
        <w:rPr>
          <w:rFonts w:ascii="Times New Roman" w:hAnsi="Times New Roman" w:cs="Times New Roman"/>
          <w:sz w:val="24"/>
          <w:szCs w:val="24"/>
        </w:rPr>
        <w:t xml:space="preserve"> IPSAS 15)* </w:t>
      </w:r>
    </w:p>
    <w:p w:rsidR="00787B13" w:rsidRPr="00B94590" w:rsidRDefault="00787B13" w:rsidP="00787B13">
      <w:pPr>
        <w:pStyle w:val="ListParagraph"/>
        <w:spacing w:before="240" w:after="120"/>
        <w:ind w:left="0" w:right="91"/>
        <w:jc w:val="both"/>
        <w:rPr>
          <w:rFonts w:ascii="Times New Roman" w:hAnsi="Times New Roman" w:cs="Times New Roman"/>
          <w:i/>
          <w:sz w:val="18"/>
          <w:szCs w:val="18"/>
        </w:rPr>
      </w:pPr>
      <w:r w:rsidRPr="00B94590">
        <w:rPr>
          <w:rFonts w:ascii="Times New Roman" w:hAnsi="Times New Roman" w:cs="Times New Roman"/>
          <w:i/>
          <w:sz w:val="18"/>
          <w:szCs w:val="18"/>
          <w:u w:val="single"/>
        </w:rPr>
        <w:t>* no 2013.gada 1.janvāra piemērojamas 28.-30.IPSAS prasības</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hd w:val="clear" w:color="auto" w:fill="FFFFFF"/>
        <w:spacing w:before="158" w:line="230" w:lineRule="exact"/>
        <w:ind w:left="567" w:right="10"/>
        <w:jc w:val="both"/>
        <w:rPr>
          <w:i/>
        </w:rPr>
      </w:pPr>
      <w:r w:rsidRPr="00B94590">
        <w:rPr>
          <w:i/>
        </w:rPr>
        <w:t xml:space="preserve">Starptautisko finanšu tirgu dinamiskums izraisījis plašu visdažādāko finanšu instrumentu </w:t>
      </w:r>
      <w:r w:rsidRPr="00B94590">
        <w:rPr>
          <w:i/>
          <w:spacing w:val="-1"/>
        </w:rPr>
        <w:t xml:space="preserve">lietošanu, sākot ar tādiem tradicionāliem primārajiem instrumentiem kā, piemēram, obligācijas un beidzot ar dažādām atvasināto instrumentu formām, piemēram, procentu likmju mijmaiņas </w:t>
      </w:r>
      <w:r w:rsidRPr="00B94590">
        <w:rPr>
          <w:i/>
        </w:rPr>
        <w:t xml:space="preserve">darījumiem. Publiskā sektora vienības savā darbībā izmanto virkni visdažādāko finanšu </w:t>
      </w:r>
      <w:r w:rsidRPr="00B94590">
        <w:rPr>
          <w:i/>
        </w:rPr>
        <w:lastRenderedPageBreak/>
        <w:t>i</w:t>
      </w:r>
      <w:r w:rsidRPr="00B94590">
        <w:rPr>
          <w:i/>
          <w:spacing w:val="-1"/>
        </w:rPr>
        <w:t xml:space="preserve">nstrumentu, sākot ar vienkāršiem instrumentiem, piemēram, debitoru un kreditoru parādi, un </w:t>
      </w:r>
      <w:r w:rsidRPr="00B94590">
        <w:rPr>
          <w:i/>
        </w:rPr>
        <w:t xml:space="preserve">beidzot ar sarežģītākiem instrumentiem (piemēram, starpvalūtu (cross currencv) mijmaiņas </w:t>
      </w:r>
      <w:r w:rsidRPr="00B94590">
        <w:rPr>
          <w:i/>
          <w:spacing w:val="-2"/>
        </w:rPr>
        <w:t xml:space="preserve">darījumiem, lai ierobežotu valūtas saistību risku). Retākos gadījumos publiskā sektora vienības var arī emitēt pašu kapitāla instrumentus vai saliktos saistību/pašu kapitāla instrumentus. Tā var </w:t>
      </w:r>
      <w:r w:rsidRPr="00B94590">
        <w:rPr>
          <w:i/>
        </w:rPr>
        <w:t xml:space="preserve">notikt, ja ekonomiskajā vienībā ietilpst valsts uzņēmums (VU), kurš emitē pašu kapitāla </w:t>
      </w:r>
      <w:r w:rsidRPr="00B94590">
        <w:rPr>
          <w:i/>
          <w:spacing w:val="-2"/>
        </w:rPr>
        <w:t xml:space="preserve">instrumentus finanšu tirgos, vai ari ja publiskā sektora vienība emitē parāda instrumentus, kuri </w:t>
      </w:r>
      <w:r w:rsidRPr="00B94590">
        <w:rPr>
          <w:i/>
        </w:rPr>
        <w:t>noteiktos apstākļos pārvēršas par līdzdalību īpašumtiesībās.</w:t>
      </w:r>
    </w:p>
    <w:p w:rsidR="00787B13" w:rsidRPr="00B94590" w:rsidRDefault="00787B13" w:rsidP="00787B13">
      <w:pPr>
        <w:shd w:val="clear" w:color="auto" w:fill="FFFFFF"/>
        <w:spacing w:before="235" w:line="230" w:lineRule="exact"/>
        <w:ind w:left="567" w:right="19"/>
        <w:jc w:val="both"/>
        <w:rPr>
          <w:i/>
        </w:rPr>
      </w:pPr>
      <w:r w:rsidRPr="00B94590">
        <w:rPr>
          <w:i/>
        </w:rPr>
        <w:t xml:space="preserve">Šī standarta mērķis ir palīdzēt finanšu pārskatu lietotājiem labāk izprast bilances un ārpusbilances finanšu instrumentu ietekmi uz valdības vai citas publiskā sektora vienības </w:t>
      </w:r>
      <w:r w:rsidRPr="00B94590">
        <w:rPr>
          <w:i/>
          <w:spacing w:val="-1"/>
        </w:rPr>
        <w:t xml:space="preserve">finansiālo stāvokli, darbības rezultātiem un naudas plūsmām. Šajā standartā "bilance", runājot </w:t>
      </w:r>
      <w:r w:rsidRPr="00B94590">
        <w:rPr>
          <w:i/>
        </w:rPr>
        <w:t>par bilances un ārpusbilances instrumentiem, nozīmē to pašu, ko pārskats par finansiālo stāvokli.</w:t>
      </w:r>
    </w:p>
    <w:p w:rsidR="00787B13" w:rsidRPr="00B94590" w:rsidRDefault="00787B13" w:rsidP="00787B13">
      <w:pPr>
        <w:shd w:val="clear" w:color="auto" w:fill="FFFFFF"/>
        <w:spacing w:before="226" w:line="230" w:lineRule="exact"/>
        <w:ind w:left="567" w:right="19"/>
        <w:jc w:val="both"/>
        <w:rPr>
          <w:i/>
        </w:rPr>
      </w:pPr>
      <w:r w:rsidRPr="00B94590">
        <w:rPr>
          <w:i/>
          <w:spacing w:val="-1"/>
        </w:rPr>
        <w:t xml:space="preserve">Standarts izvirza noteiktas prasības attiecībā uz bilances finanšu instrumentu uzrādīšanu, kā arī </w:t>
      </w:r>
      <w:r w:rsidRPr="00B94590">
        <w:rPr>
          <w:i/>
        </w:rPr>
        <w:t xml:space="preserve">nosaka informāciju, kura jāskaidro gan par bilances (atzītiem), gan par ārpusbilances (neatzītiem) finanšu instrumentiem. Standarta punkti, kuri attiecas uz informācijas sniegšanu, aplūko finanšu instrumentu klasificēšanu par saistībām vai neto aktīviem/pašu kapitālu, attiecīgo procentu, dividenžu, ieņēmumu un izdevumu klasifikāciju, kā arī apstākļus, kādos finanšu aktīvi un finanšu saistības ir savstarpēji jāieskaita. Standarta punkti, kuri attiecas uz informācijas atklāšanu, aplūko informāciju par faktoriem, kas ietekmē ar finanšu </w:t>
      </w:r>
      <w:r w:rsidRPr="00B94590">
        <w:rPr>
          <w:i/>
          <w:spacing w:val="-1"/>
        </w:rPr>
        <w:t xml:space="preserve">instrumentiem saistīto vienības turpmāko periodu naudas plūsmu lielumu, paredzamo laiku un </w:t>
      </w:r>
      <w:r w:rsidRPr="00B94590">
        <w:rPr>
          <w:i/>
        </w:rPr>
        <w:t xml:space="preserve">noteiktību, kā arī attiecībā uz finanšu instrumentiem lietojamās grāmatvedības politikas. Standarts arī iesaka atklāt informāciju par vienības darbībā izmantoto finanšu instrumentu raksturu un lietošanas apjomu, informāciju par finansiālajiem mērķiem, kuru sasniegšanai šie </w:t>
      </w:r>
      <w:r w:rsidRPr="00B94590">
        <w:rPr>
          <w:i/>
          <w:spacing w:val="-2"/>
        </w:rPr>
        <w:t xml:space="preserve">instrumenti tiek izmantoti, kā ari informāciju par riskiem, kuri saistīti ar finanšu instrumentiem, </w:t>
      </w:r>
      <w:r w:rsidRPr="00B94590">
        <w:rPr>
          <w:i/>
        </w:rPr>
        <w:t>un vadības politiku attiecībā uz šo risku kontroli.</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Ieguldījumu īpašums (Investment Property IPSAS</w:t>
      </w:r>
      <w:r w:rsidRPr="00B94590">
        <w:rPr>
          <w:rFonts w:ascii="Times New Roman" w:hAnsi="Times New Roman" w:cs="Times New Roman"/>
          <w:sz w:val="24"/>
          <w:szCs w:val="24"/>
        </w:rPr>
        <w:t xml:space="preserve"> 16)</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Šī standarta mērķis ir noteikt grāmatvedības uzskaites metodes ieguldījumu īpašumam un ar to saistītās informācijas atklāšanas prasības.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Pamatlīdzekļi (Property, Plant and Equipment</w:t>
      </w:r>
      <w:r w:rsidRPr="00B94590">
        <w:rPr>
          <w:rFonts w:ascii="Times New Roman" w:hAnsi="Times New Roman" w:cs="Times New Roman"/>
          <w:sz w:val="24"/>
          <w:szCs w:val="24"/>
        </w:rPr>
        <w:t xml:space="preserve"> IPSAS 17)</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51"/>
        <w:jc w:val="both"/>
        <w:rPr>
          <w:i/>
        </w:rPr>
      </w:pPr>
      <w:r w:rsidRPr="00B94590">
        <w:rPr>
          <w:i/>
        </w:rPr>
        <w:t>Šī standarta mērķis ir noteikt grāmatvedības metodi pamatlīdzekļiem, lai finanšu pārskatu lietotāji var izšķirt informāciju par iestādes (vienības) ieguldījumiem pamatlīdzekļos un izmaiņām šajos ieguldījumos. Galvenie jautājumi pamatlīdzekļu uzskaitē ir aktīvu atzīšanas laika izvēle, to uzskaites vērtību noteikšana un to nolietojuma izmaksu noteikšana.</w:t>
      </w:r>
    </w:p>
    <w:p w:rsidR="00787B13" w:rsidRPr="00B94590" w:rsidRDefault="00787B13" w:rsidP="00787B13">
      <w:pPr>
        <w:pStyle w:val="ListParagraph"/>
        <w:numPr>
          <w:ilvl w:val="1"/>
          <w:numId w:val="13"/>
        </w:numPr>
        <w:spacing w:before="240" w:after="120"/>
        <w:ind w:left="360" w:right="-51"/>
        <w:jc w:val="both"/>
        <w:rPr>
          <w:rFonts w:ascii="Times New Roman" w:hAnsi="Times New Roman" w:cs="Times New Roman"/>
          <w:i/>
          <w:sz w:val="24"/>
          <w:szCs w:val="24"/>
        </w:rPr>
      </w:pPr>
      <w:r w:rsidRPr="00B94590">
        <w:rPr>
          <w:rFonts w:ascii="Times New Roman" w:hAnsi="Times New Roman" w:cs="Times New Roman"/>
          <w:b/>
          <w:i/>
          <w:sz w:val="24"/>
          <w:szCs w:val="24"/>
          <w:u w:val="single"/>
        </w:rPr>
        <w:t>Uzkrājumi, iespējamās saistības un iespējamie aktīvi (Provisions, Contingent Liabilities, Contingent Assets</w:t>
      </w:r>
      <w:r w:rsidRPr="00B94590">
        <w:rPr>
          <w:rFonts w:ascii="Times New Roman" w:hAnsi="Times New Roman" w:cs="Times New Roman"/>
          <w:sz w:val="24"/>
          <w:szCs w:val="24"/>
        </w:rPr>
        <w:t xml:space="preserve"> IPSAS 19)</w:t>
      </w:r>
    </w:p>
    <w:p w:rsidR="00787B13" w:rsidRPr="00B94590" w:rsidRDefault="00787B13" w:rsidP="00787B13">
      <w:pPr>
        <w:spacing w:before="240" w:after="120"/>
        <w:ind w:left="600" w:right="-51"/>
        <w:jc w:val="both"/>
        <w:rPr>
          <w:b/>
          <w:i/>
        </w:rPr>
      </w:pPr>
      <w:r w:rsidRPr="00B94590">
        <w:rPr>
          <w:b/>
          <w:i/>
        </w:rPr>
        <w:t>Mērķis</w:t>
      </w:r>
    </w:p>
    <w:p w:rsidR="00787B13" w:rsidRPr="00B94590" w:rsidRDefault="00787B13" w:rsidP="00787B13">
      <w:pPr>
        <w:shd w:val="clear" w:color="auto" w:fill="FFFFFF"/>
        <w:spacing w:before="158" w:line="230" w:lineRule="exact"/>
        <w:ind w:left="567" w:right="5"/>
        <w:jc w:val="both"/>
        <w:rPr>
          <w:i/>
        </w:rPr>
      </w:pPr>
      <w:r w:rsidRPr="00B94590">
        <w:rPr>
          <w:i/>
          <w:spacing w:val="-9"/>
        </w:rPr>
        <w:t xml:space="preserve">Šī standarta mērķis ir definēt uzkrājumus, iespējamās saistības un iespējamos aktīvus, apzināt </w:t>
      </w:r>
      <w:r w:rsidRPr="00B94590">
        <w:rPr>
          <w:i/>
          <w:spacing w:val="-7"/>
        </w:rPr>
        <w:t xml:space="preserve">apstākļus, kādos jāatzīst uzkrājumi, noteikt, kā tie jānovērtē un kāda informācija par tiem </w:t>
      </w:r>
      <w:r w:rsidRPr="00B94590">
        <w:rPr>
          <w:i/>
          <w:spacing w:val="-9"/>
        </w:rPr>
        <w:t xml:space="preserve">jāatklāj. Bez tam standarts paredz, ka finanšu pārskatu pielikumos </w:t>
      </w:r>
      <w:r w:rsidRPr="00B94590">
        <w:rPr>
          <w:i/>
          <w:spacing w:val="-9"/>
        </w:rPr>
        <w:lastRenderedPageBreak/>
        <w:t xml:space="preserve">par iespējamajām saistībām </w:t>
      </w:r>
      <w:r w:rsidRPr="00B94590">
        <w:rPr>
          <w:i/>
          <w:spacing w:val="-8"/>
        </w:rPr>
        <w:t xml:space="preserve">un iespējamajiem aktīviem jāatklāj noteikta informācija, kas nodrošinātu pārskatu lietotājiem </w:t>
      </w:r>
      <w:r w:rsidRPr="00B94590">
        <w:rPr>
          <w:i/>
        </w:rPr>
        <w:t>iespēju izprast to raksturu, laiku un apjomu.</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Informācijas atklāšana par saistītām pusēm (Related Party Disclosures</w:t>
      </w:r>
      <w:r w:rsidRPr="00B94590">
        <w:rPr>
          <w:rFonts w:ascii="Times New Roman" w:hAnsi="Times New Roman" w:cs="Times New Roman"/>
          <w:sz w:val="24"/>
          <w:szCs w:val="24"/>
        </w:rPr>
        <w:t xml:space="preserve"> IPSAS 20 )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hd w:val="clear" w:color="auto" w:fill="FFFFFF"/>
        <w:spacing w:before="182" w:line="230" w:lineRule="exact"/>
        <w:ind w:left="567" w:right="5"/>
        <w:jc w:val="both"/>
        <w:rPr>
          <w:i/>
        </w:rPr>
      </w:pPr>
      <w:r w:rsidRPr="00B94590">
        <w:rPr>
          <w:i/>
          <w:spacing w:val="-1"/>
        </w:rPr>
        <w:t xml:space="preserve">Šī standarta mērķis ir pieprasīt skaidrojumu, ja pastāv saistītu personu attiecības, kurās pastāv </w:t>
      </w:r>
      <w:r w:rsidRPr="00B94590">
        <w:rPr>
          <w:i/>
        </w:rPr>
        <w:t>kontrole, un noteiktos apstākļos skaidrot informāciju par darījumiem starp iestādi (vienību) un tās saistītajām personām. Šī informācija nepieciešama pārskata atbildības nodrošināšanai, un tā atvieglo izpratni par iestādes (vienības), kas sagatavo pārskatu, finansiālo stāvokli un darbības rezultātiem. Galvenais, skaidrojot informāciju par saistītām personām, ir noteikt, kuras personas kontrolē vai būtiski ietekmē iestādi (vienību), kas sagatavo pārskatu, un noteikt, kāda informācija būtu jāskaidro par darījumiem ar šīm personām.</w:t>
      </w:r>
    </w:p>
    <w:p w:rsidR="00787B13" w:rsidRPr="00B94590" w:rsidRDefault="00787B13" w:rsidP="00787B13">
      <w:pPr>
        <w:pStyle w:val="ListParagraph"/>
        <w:numPr>
          <w:ilvl w:val="0"/>
          <w:numId w:val="24"/>
        </w:numPr>
        <w:spacing w:before="240" w:after="120"/>
        <w:ind w:left="425" w:right="91" w:hanging="851"/>
        <w:jc w:val="both"/>
        <w:rPr>
          <w:rFonts w:ascii="Times New Roman" w:hAnsi="Times New Roman" w:cs="Times New Roman"/>
          <w:i/>
          <w:sz w:val="24"/>
          <w:szCs w:val="24"/>
        </w:rPr>
      </w:pPr>
      <w:r w:rsidRPr="00B94590">
        <w:rPr>
          <w:rFonts w:ascii="Times New Roman" w:hAnsi="Times New Roman" w:cs="Times New Roman"/>
          <w:b/>
          <w:i/>
          <w:sz w:val="24"/>
          <w:szCs w:val="24"/>
          <w:u w:val="single"/>
        </w:rPr>
        <w:t xml:space="preserve">Aktīvu vērtības samazināšanās (Impairment of Non-cash-generating Assets </w:t>
      </w:r>
      <w:r w:rsidRPr="00B94590">
        <w:rPr>
          <w:rFonts w:ascii="Times New Roman" w:hAnsi="Times New Roman" w:cs="Times New Roman"/>
          <w:sz w:val="24"/>
          <w:szCs w:val="24"/>
        </w:rPr>
        <w:t>IPSAS 21)</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Šī standarta mērķis ir noteikt kārtību, kas iestādei (vienībai) jāizmanto, lai noteiktu, ka aktīva vērtība ir samazinājusies un nodrošinātu, ka tā aktīvi tiek uzskaitīti vērtībā, kas nav augstāka par to atgūstamo summu. Standarts arī nosaka, kad iestādei (vienībai) jāaplēš zaudējumi no vērtības samazināšanās un definē informācijas atklāšanas prasības.</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rPr>
        <w:t>Vispārējās valdības sektora finanšu informācijas atklāšana</w:t>
      </w:r>
      <w:r w:rsidRPr="00B94590">
        <w:rPr>
          <w:rFonts w:ascii="Times New Roman" w:hAnsi="Times New Roman" w:cs="Times New Roman"/>
          <w:b/>
          <w:i/>
          <w:sz w:val="24"/>
          <w:szCs w:val="24"/>
          <w:u w:val="single"/>
        </w:rPr>
        <w:t xml:space="preserve"> (Disclosure of Financial Information About the General Government Sector</w:t>
      </w:r>
      <w:r w:rsidRPr="00B94590">
        <w:rPr>
          <w:rFonts w:ascii="Times New Roman" w:hAnsi="Times New Roman" w:cs="Times New Roman"/>
          <w:sz w:val="24"/>
          <w:szCs w:val="24"/>
        </w:rPr>
        <w:t>IPSAS 22)</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spacing w:before="240" w:after="120"/>
        <w:ind w:left="360" w:right="91"/>
        <w:jc w:val="both"/>
        <w:rPr>
          <w:rFonts w:ascii="Times New Roman" w:hAnsi="Times New Roman" w:cs="Times New Roman"/>
          <w:i/>
          <w:sz w:val="24"/>
          <w:szCs w:val="24"/>
        </w:rPr>
      </w:pPr>
      <w:r w:rsidRPr="00B94590">
        <w:rPr>
          <w:rFonts w:ascii="Times New Roman" w:hAnsi="Times New Roman" w:cs="Times New Roman"/>
          <w:i/>
          <w:sz w:val="24"/>
          <w:szCs w:val="24"/>
        </w:rPr>
        <w:t>Standarta mērķis ir noteikt informācijas atklāšanas prasības valdībām, kuras izvēlas sniegt vispārējās valdības sektora informāciju savos konsolidētajos finanšu pārskatos. Vispārējās valdības sektora informācijas atklāšana var palielināt finanšu pārskatu caurskatāmību, un nodrošināt labāku izpratni par valdības tirgus un ārpustirgus veida darbību attiecībām, un par finanšu pārskatu pārskatos uzrādītās informācijas atklāšanas principu saistību ar statistiskajiem mērķiem sagatavojamo finanšu pārskatu informācijas atklāšanas principiem.</w:t>
      </w:r>
    </w:p>
    <w:p w:rsidR="00787B13" w:rsidRPr="00B94590" w:rsidRDefault="00787B13" w:rsidP="00787B13">
      <w:pPr>
        <w:pStyle w:val="ListParagraph"/>
        <w:numPr>
          <w:ilvl w:val="0"/>
          <w:numId w:val="24"/>
        </w:numPr>
        <w:spacing w:before="240" w:after="120"/>
        <w:ind w:left="425" w:right="91" w:hanging="425"/>
        <w:jc w:val="both"/>
        <w:rPr>
          <w:rFonts w:ascii="Times New Roman" w:hAnsi="Times New Roman" w:cs="Times New Roman"/>
          <w:i/>
          <w:sz w:val="24"/>
          <w:szCs w:val="24"/>
        </w:rPr>
      </w:pPr>
      <w:r w:rsidRPr="00B94590">
        <w:rPr>
          <w:rFonts w:ascii="Times New Roman" w:hAnsi="Times New Roman" w:cs="Times New Roman"/>
          <w:b/>
          <w:i/>
          <w:sz w:val="24"/>
          <w:szCs w:val="24"/>
          <w:u w:val="single"/>
        </w:rPr>
        <w:t xml:space="preserve">Ieņēmumi no  bez apmaiņas darījumiem (nodokļi un transferti) (Revenue from Non-Exchange Transactions (Taxes and Transfers) </w:t>
      </w:r>
      <w:r w:rsidRPr="00B94590">
        <w:rPr>
          <w:rFonts w:ascii="Times New Roman" w:hAnsi="Times New Roman" w:cs="Times New Roman"/>
          <w:sz w:val="24"/>
          <w:szCs w:val="24"/>
        </w:rPr>
        <w:t>IPSAS 23)</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708"/>
        <w:jc w:val="both"/>
        <w:rPr>
          <w:i/>
          <w:lang w:eastAsia="en-US"/>
        </w:rPr>
      </w:pPr>
      <w:r w:rsidRPr="00B94590">
        <w:rPr>
          <w:rFonts w:eastAsiaTheme="minorHAnsi"/>
          <w:i/>
          <w:lang w:eastAsia="en-US"/>
        </w:rPr>
        <w:t>Standarta mērķis ir noteikt finanšu pārskatu sniegšanas prasības par i</w:t>
      </w:r>
      <w:r w:rsidRPr="00B94590">
        <w:rPr>
          <w:i/>
          <w:lang w:eastAsia="en-US"/>
        </w:rPr>
        <w:t xml:space="preserve">eņēmumiem no darījumiem bez apmaiņas, kas nav tie bezapmaiņas darījumi, kuri rodas no iestāžu (vienību) apvienošanas. Šis standarts nosaka principus, kas jāievēro </w:t>
      </w:r>
      <w:r w:rsidRPr="00B94590">
        <w:rPr>
          <w:rFonts w:eastAsiaTheme="minorHAnsi"/>
          <w:i/>
          <w:lang w:eastAsia="en-US"/>
        </w:rPr>
        <w:t>i</w:t>
      </w:r>
      <w:r w:rsidRPr="00B94590">
        <w:rPr>
          <w:i/>
          <w:lang w:eastAsia="en-US"/>
        </w:rPr>
        <w:t>eņēmumu no darījumiem bez apmaiņas, iekļaujot arī īpašnieku ieguldījumu identificēšanu, atzīšanā un novērtēšanā.</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lastRenderedPageBreak/>
        <w:t>Budžeta informācijas sniegšana finanšu pārskatos (Presentation of Budget Information in Financial Statements</w:t>
      </w:r>
      <w:r w:rsidRPr="00B94590">
        <w:rPr>
          <w:rFonts w:ascii="Times New Roman" w:hAnsi="Times New Roman" w:cs="Times New Roman"/>
          <w:i/>
          <w:sz w:val="24"/>
          <w:szCs w:val="24"/>
        </w:rPr>
        <w:t xml:space="preserve"> IPSAS 24)</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autoSpaceDE w:val="0"/>
        <w:autoSpaceDN w:val="0"/>
        <w:adjustRightInd w:val="0"/>
        <w:ind w:left="567"/>
        <w:jc w:val="both"/>
        <w:rPr>
          <w:rFonts w:ascii="Times New Roman" w:hAnsi="Times New Roman" w:cs="Times New Roman"/>
          <w:i/>
          <w:sz w:val="24"/>
          <w:szCs w:val="24"/>
        </w:rPr>
      </w:pPr>
      <w:r w:rsidRPr="00B94590">
        <w:rPr>
          <w:rFonts w:ascii="Times New Roman" w:hAnsi="Times New Roman" w:cs="Times New Roman"/>
          <w:i/>
          <w:sz w:val="24"/>
          <w:szCs w:val="24"/>
        </w:rPr>
        <w:t>Standarts nosaka apstiprinātā budžeta un salīdzinošo budžeta izpildes rādītāju iekļaušanu to (iestāžu) vienību  finanšu pārskatos, kurām ir pienākums sniegt sabiedrībai informāciju vai kuras ir izvēlējušās sniegt sabiedrībai pieejamu informāciju par saviem apstiprinātajiem budžetiem. Šis standarts arī pieprasa skaidrojumus par apstiprinātā budžeta un tā izpildes rādītāju būtiskām atšķirībām. Atbilstība šī standarta prasībām nodrošina, ka publiskā sektora iestādes (vienības) izpilda savus pienākumus pret sabiedrību un palielina savu finanšu pārskatu caurskatāmību, parādot:</w:t>
      </w:r>
    </w:p>
    <w:p w:rsidR="00787B13" w:rsidRPr="00B94590" w:rsidRDefault="00787B13" w:rsidP="00787B13">
      <w:pPr>
        <w:pStyle w:val="ListParagraph"/>
        <w:autoSpaceDE w:val="0"/>
        <w:autoSpaceDN w:val="0"/>
        <w:adjustRightInd w:val="0"/>
        <w:ind w:left="567"/>
        <w:jc w:val="both"/>
        <w:rPr>
          <w:rFonts w:ascii="Times New Roman" w:hAnsi="Times New Roman" w:cs="Times New Roman"/>
          <w:i/>
          <w:sz w:val="24"/>
          <w:szCs w:val="24"/>
        </w:rPr>
      </w:pPr>
      <w:r w:rsidRPr="00B94590">
        <w:rPr>
          <w:rFonts w:ascii="Times New Roman" w:hAnsi="Times New Roman" w:cs="Times New Roman"/>
          <w:i/>
          <w:sz w:val="24"/>
          <w:szCs w:val="24"/>
        </w:rPr>
        <w:t xml:space="preserve"> (a)  atbilstību apstiprinātajam budžetam (-iem), un;</w:t>
      </w:r>
    </w:p>
    <w:p w:rsidR="00787B13" w:rsidRPr="00B94590" w:rsidRDefault="00787B13" w:rsidP="00787B13">
      <w:pPr>
        <w:pStyle w:val="ListParagraph"/>
        <w:autoSpaceDE w:val="0"/>
        <w:autoSpaceDN w:val="0"/>
        <w:adjustRightInd w:val="0"/>
        <w:ind w:left="567"/>
        <w:jc w:val="both"/>
        <w:rPr>
          <w:rFonts w:ascii="Times New Roman" w:hAnsi="Times New Roman" w:cs="Times New Roman"/>
          <w:i/>
          <w:sz w:val="24"/>
          <w:szCs w:val="24"/>
        </w:rPr>
      </w:pPr>
      <w:r w:rsidRPr="00B94590">
        <w:rPr>
          <w:rFonts w:ascii="Times New Roman" w:hAnsi="Times New Roman" w:cs="Times New Roman"/>
          <w:i/>
          <w:sz w:val="24"/>
          <w:szCs w:val="24"/>
        </w:rPr>
        <w:t>(b) ja budžetam un finanšu pārskatiem ir vienādi informācijas atklāšanas principi, tad parāda savu finansiālo veiktspēju, sasniedzot budžeta apstiprinātos rezultātus.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Darbinieku pabalsti (Employee Benefits</w:t>
      </w:r>
      <w:r w:rsidRPr="00B94590">
        <w:rPr>
          <w:rFonts w:ascii="Times New Roman" w:hAnsi="Times New Roman" w:cs="Times New Roman"/>
          <w:sz w:val="24"/>
          <w:szCs w:val="24"/>
        </w:rPr>
        <w:t xml:space="preserve"> IPSAS 25)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autoSpaceDE w:val="0"/>
        <w:autoSpaceDN w:val="0"/>
        <w:adjustRightInd w:val="0"/>
        <w:ind w:left="567"/>
        <w:rPr>
          <w:rFonts w:ascii="Times New Roman" w:hAnsi="Times New Roman" w:cs="Times New Roman"/>
          <w:i/>
          <w:sz w:val="24"/>
          <w:szCs w:val="24"/>
        </w:rPr>
      </w:pPr>
      <w:r w:rsidRPr="00B94590">
        <w:rPr>
          <w:rFonts w:ascii="Times New Roman" w:hAnsi="Times New Roman" w:cs="Times New Roman"/>
          <w:i/>
          <w:sz w:val="24"/>
          <w:szCs w:val="24"/>
        </w:rPr>
        <w:t>Šī standarta mērķis ir noteikt grāmatvedības uzskaiti un informācijas atklāšanu par darbinieku pabalstiem. Standarts pieprasa, lai iestāde atzītu:</w:t>
      </w:r>
    </w:p>
    <w:p w:rsidR="00787B13" w:rsidRPr="00B94590" w:rsidRDefault="00787B13" w:rsidP="00787B13">
      <w:pPr>
        <w:pStyle w:val="ListParagraph"/>
        <w:autoSpaceDE w:val="0"/>
        <w:autoSpaceDN w:val="0"/>
        <w:adjustRightInd w:val="0"/>
        <w:ind w:left="567"/>
        <w:rPr>
          <w:rFonts w:ascii="Times New Roman" w:hAnsi="Times New Roman" w:cs="Times New Roman"/>
          <w:i/>
          <w:sz w:val="24"/>
          <w:szCs w:val="24"/>
        </w:rPr>
      </w:pPr>
      <w:r w:rsidRPr="00B94590">
        <w:rPr>
          <w:rFonts w:ascii="Times New Roman" w:hAnsi="Times New Roman" w:cs="Times New Roman"/>
          <w:i/>
          <w:sz w:val="24"/>
          <w:szCs w:val="24"/>
        </w:rPr>
        <w:t>a) saistības, kad darbinieks ir veicis darbu apmaiņā pret darbinieku labumiem, kuri jāmaksā turpmāk; un</w:t>
      </w:r>
    </w:p>
    <w:p w:rsidR="00787B13" w:rsidRPr="00B94590" w:rsidRDefault="00787B13" w:rsidP="00787B13">
      <w:pPr>
        <w:autoSpaceDE w:val="0"/>
        <w:autoSpaceDN w:val="0"/>
        <w:adjustRightInd w:val="0"/>
        <w:ind w:left="567"/>
        <w:rPr>
          <w:i/>
        </w:rPr>
      </w:pPr>
      <w:r w:rsidRPr="00B94590">
        <w:rPr>
          <w:i/>
        </w:rPr>
        <w:t>b) izdevumus, kad iestāde patērē saimniecisko labumu, kas rodas no darbinieka veikta darba apmaiņā pret darbinieku labumiem.</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rPr>
        <w:t>Naudas līdzekļu ienesošo aktīvu vērtības samazināšanās</w:t>
      </w:r>
      <w:r w:rsidRPr="00B94590">
        <w:rPr>
          <w:rFonts w:ascii="Times New Roman" w:hAnsi="Times New Roman" w:cs="Times New Roman"/>
          <w:b/>
          <w:i/>
          <w:sz w:val="24"/>
          <w:szCs w:val="24"/>
          <w:u w:val="single"/>
        </w:rPr>
        <w:t xml:space="preserve"> (Impairment of Cash-Generating Assets </w:t>
      </w:r>
      <w:r w:rsidRPr="00B94590">
        <w:rPr>
          <w:rFonts w:ascii="Times New Roman" w:hAnsi="Times New Roman" w:cs="Times New Roman"/>
          <w:sz w:val="24"/>
          <w:szCs w:val="24"/>
        </w:rPr>
        <w:t xml:space="preserve"> IPSAS 26 )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autoSpaceDE w:val="0"/>
        <w:autoSpaceDN w:val="0"/>
        <w:adjustRightInd w:val="0"/>
        <w:ind w:left="567"/>
        <w:jc w:val="both"/>
        <w:rPr>
          <w:b/>
          <w:i/>
          <w:sz w:val="18"/>
        </w:rPr>
      </w:pPr>
      <w:r w:rsidRPr="00B94590">
        <w:rPr>
          <w:rFonts w:ascii="Times New Roman" w:hAnsi="Times New Roman" w:cs="Times New Roman"/>
          <w:i/>
          <w:sz w:val="24"/>
          <w:szCs w:val="24"/>
        </w:rPr>
        <w:t>Standarta mērķis ir noteikt tās procedūras,  kuras iestāde (vienība) pielieto, lai noteiktu, vai naudas līdzekļu ienesošo aktīvu vērtība ir  samazinājusies un lai nodrošinātu vērtības samazināšanās (radīto) zaudējumu atzīšanu. Šis standarts arī nosaka, kad iestādei (vienībai) jāreversē vērtības samazināšanās radītie zaudējumi un nosaka to atklāšanu finanšu pārskatos.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 xml:space="preserve">Lauksaimniecība (Agriculture </w:t>
      </w:r>
      <w:r w:rsidRPr="00B94590">
        <w:rPr>
          <w:rFonts w:ascii="Times New Roman" w:hAnsi="Times New Roman" w:cs="Times New Roman"/>
          <w:sz w:val="24"/>
          <w:szCs w:val="24"/>
        </w:rPr>
        <w:t xml:space="preserve">IPSAS 27)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 xml:space="preserve">Šī standarta mērķis ir noteikt grāmatvedības metodi un informācijas atklāšanu saistībā ar lauksaimniecisko darbību. </w:t>
      </w:r>
    </w:p>
    <w:p w:rsidR="00787B13" w:rsidRPr="00B94590" w:rsidRDefault="00787B13" w:rsidP="00787B13">
      <w:pPr>
        <w:pStyle w:val="ListParagraph"/>
        <w:numPr>
          <w:ilvl w:val="1"/>
          <w:numId w:val="13"/>
        </w:numPr>
        <w:spacing w:before="240" w:after="120"/>
        <w:ind w:left="360" w:right="-766"/>
        <w:jc w:val="both"/>
        <w:rPr>
          <w:i/>
          <w:sz w:val="18"/>
          <w:szCs w:val="18"/>
        </w:rPr>
      </w:pPr>
      <w:r w:rsidRPr="00B94590">
        <w:rPr>
          <w:rFonts w:ascii="Times New Roman" w:hAnsi="Times New Roman" w:cs="Times New Roman"/>
          <w:b/>
          <w:i/>
          <w:sz w:val="24"/>
          <w:szCs w:val="24"/>
          <w:u w:val="single"/>
        </w:rPr>
        <w:t>Finanšu instrumenti: informācijas sniegšana (Financial Instruments: Presentation</w:t>
      </w:r>
      <w:r w:rsidRPr="00B94590">
        <w:rPr>
          <w:rFonts w:ascii="Times New Roman" w:hAnsi="Times New Roman" w:cs="Times New Roman"/>
          <w:sz w:val="24"/>
          <w:szCs w:val="24"/>
        </w:rPr>
        <w:t xml:space="preserve"> IPSAS 28)** </w:t>
      </w:r>
      <w:r w:rsidRPr="00B94590">
        <w:rPr>
          <w:i/>
          <w:sz w:val="18"/>
          <w:szCs w:val="18"/>
        </w:rPr>
        <w:t>** piemērojams no 2013.gada 1.janvāra</w:t>
      </w:r>
    </w:p>
    <w:p w:rsidR="00787B13" w:rsidRPr="00B94590" w:rsidRDefault="00787B13" w:rsidP="00787B13">
      <w:pPr>
        <w:spacing w:before="240" w:after="120"/>
        <w:ind w:left="360" w:right="-766"/>
        <w:jc w:val="both"/>
        <w:rPr>
          <w:b/>
          <w:i/>
        </w:rPr>
      </w:pPr>
      <w:r w:rsidRPr="00B94590">
        <w:rPr>
          <w:b/>
          <w:i/>
        </w:rPr>
        <w:lastRenderedPageBreak/>
        <w:t>Mērķis</w:t>
      </w:r>
    </w:p>
    <w:p w:rsidR="00787B13" w:rsidRPr="00B94590" w:rsidRDefault="00787B13" w:rsidP="00787B13">
      <w:pPr>
        <w:spacing w:before="240" w:after="120"/>
        <w:ind w:left="360" w:right="91"/>
        <w:jc w:val="both"/>
        <w:rPr>
          <w:i/>
        </w:rPr>
      </w:pPr>
      <w:r w:rsidRPr="00B94590">
        <w:rPr>
          <w:i/>
        </w:rPr>
        <w:t xml:space="preserve">Šis Standarts paredz prasības finanšu instrumentu uzrādīšanai un nosaka, kāda informāciju par tiem jāatklāj. </w:t>
      </w:r>
    </w:p>
    <w:p w:rsidR="00787B13" w:rsidRPr="00B94590" w:rsidRDefault="00787B13" w:rsidP="00787B13">
      <w:pPr>
        <w:spacing w:before="240" w:after="120"/>
        <w:ind w:left="360" w:right="91"/>
        <w:jc w:val="both"/>
        <w:rPr>
          <w:i/>
        </w:rPr>
      </w:pPr>
      <w:r w:rsidRPr="00B94590">
        <w:rPr>
          <w:i/>
        </w:rPr>
        <w:t>Uzrādīšanas prasības attiecas uz finanšu instrumentu:</w:t>
      </w:r>
    </w:p>
    <w:p w:rsidR="00787B13" w:rsidRPr="00B94590" w:rsidRDefault="00787B13" w:rsidP="00787B13">
      <w:pPr>
        <w:pStyle w:val="ListParagraph"/>
        <w:numPr>
          <w:ilvl w:val="0"/>
          <w:numId w:val="25"/>
        </w:numPr>
        <w:spacing w:before="240" w:after="120"/>
        <w:ind w:left="1144" w:right="91"/>
        <w:jc w:val="both"/>
        <w:rPr>
          <w:i/>
        </w:rPr>
      </w:pPr>
      <w:r w:rsidRPr="00B94590">
        <w:rPr>
          <w:rFonts w:ascii="Times New Roman" w:hAnsi="Times New Roman" w:cs="Times New Roman"/>
          <w:i/>
          <w:sz w:val="24"/>
          <w:szCs w:val="24"/>
        </w:rPr>
        <w:t>klasifikāciju no emitenta viedokļa finanšu aktīvos, finanšu saistībās un pašu kapitāla instrumentos;</w:t>
      </w:r>
    </w:p>
    <w:p w:rsidR="00787B13" w:rsidRPr="00B94590" w:rsidRDefault="00787B13" w:rsidP="00787B13">
      <w:pPr>
        <w:pStyle w:val="ListParagraph"/>
        <w:numPr>
          <w:ilvl w:val="0"/>
          <w:numId w:val="25"/>
        </w:numPr>
        <w:spacing w:before="240" w:after="120"/>
        <w:ind w:left="1144" w:right="91"/>
        <w:jc w:val="both"/>
        <w:rPr>
          <w:i/>
        </w:rPr>
      </w:pPr>
      <w:r w:rsidRPr="00B94590">
        <w:rPr>
          <w:rFonts w:ascii="Times New Roman" w:hAnsi="Times New Roman" w:cs="Times New Roman"/>
          <w:i/>
          <w:sz w:val="24"/>
          <w:szCs w:val="24"/>
        </w:rPr>
        <w:t xml:space="preserve">uz saistītās līdzdalības, dividenžu, zaudējumu un guvumu klasifikāciju; </w:t>
      </w:r>
    </w:p>
    <w:p w:rsidR="00787B13" w:rsidRPr="00B94590" w:rsidRDefault="00787B13" w:rsidP="00787B13">
      <w:pPr>
        <w:pStyle w:val="ListParagraph"/>
        <w:numPr>
          <w:ilvl w:val="0"/>
          <w:numId w:val="25"/>
        </w:numPr>
        <w:spacing w:before="240" w:after="120"/>
        <w:ind w:left="1144" w:right="91"/>
        <w:jc w:val="both"/>
        <w:rPr>
          <w:i/>
        </w:rPr>
      </w:pPr>
      <w:r w:rsidRPr="00B94590">
        <w:rPr>
          <w:rFonts w:ascii="Times New Roman" w:hAnsi="Times New Roman" w:cs="Times New Roman"/>
          <w:i/>
          <w:sz w:val="24"/>
          <w:szCs w:val="24"/>
        </w:rPr>
        <w:t xml:space="preserve">uz apstākļiem, kuros finanšu aktīvi un finanšu saistības jāieskaita. </w:t>
      </w:r>
    </w:p>
    <w:p w:rsidR="00787B13" w:rsidRPr="00B94590" w:rsidRDefault="00787B13" w:rsidP="00787B13">
      <w:pPr>
        <w:spacing w:before="240" w:after="120"/>
        <w:ind w:left="784" w:right="91"/>
        <w:jc w:val="both"/>
        <w:rPr>
          <w:i/>
        </w:rPr>
      </w:pPr>
      <w:r w:rsidRPr="00B94590">
        <w:rPr>
          <w:i/>
        </w:rPr>
        <w:t xml:space="preserve">Standarts pieprasa informācijas atklāšanu par faktoriem, kas ietekmē iestādes (vienības) nākotnes naudas plūsmu summu, laiku un noteiktību saistībā ar finanšu instrumentiem un grāmatvedības politikām, kas šiem instrumentiem tiek piemērotas. </w:t>
      </w:r>
    </w:p>
    <w:p w:rsidR="00787B13" w:rsidRPr="00B94590" w:rsidRDefault="00787B13" w:rsidP="00787B13">
      <w:pPr>
        <w:spacing w:before="240" w:after="120"/>
        <w:ind w:left="784" w:right="91"/>
        <w:jc w:val="both"/>
        <w:rPr>
          <w:i/>
        </w:rPr>
      </w:pPr>
      <w:r w:rsidRPr="00B94590">
        <w:rPr>
          <w:i/>
        </w:rPr>
        <w:t>Šis standarts pieprasa arī informācijas atklāšanu par iestādes (vienības) finanšu instrumentu lietojuma veidu un apmēru, nolūkiem, kādiem tie tiek izmantoti, ar tiem saistītiem riskiem un vadības politikām šo risku kontrolei.</w:t>
      </w:r>
    </w:p>
    <w:p w:rsidR="00787B13" w:rsidRPr="00B94590" w:rsidRDefault="00787B13" w:rsidP="00787B13">
      <w:pPr>
        <w:autoSpaceDE w:val="0"/>
        <w:autoSpaceDN w:val="0"/>
        <w:adjustRightInd w:val="0"/>
        <w:ind w:left="752"/>
        <w:jc w:val="both"/>
        <w:rPr>
          <w:i/>
        </w:rPr>
      </w:pPr>
      <w:r w:rsidRPr="00B94590">
        <w:rPr>
          <w:i/>
          <w:lang w:eastAsia="en-US"/>
        </w:rPr>
        <w:t>Šī standarta principi papildina principus finanšu aktīvu un finanšu saistību atzīšanai un novērtēšanai 29.IPSAS    „</w:t>
      </w:r>
      <w:r w:rsidRPr="00B94590">
        <w:rPr>
          <w:i/>
          <w:iCs/>
          <w:lang w:eastAsia="en-US"/>
        </w:rPr>
        <w:t>Finanšu instrumenti: atzīšana un novērtēšana”</w:t>
      </w:r>
      <w:r w:rsidRPr="00B94590">
        <w:rPr>
          <w:i/>
          <w:lang w:eastAsia="en-US"/>
        </w:rPr>
        <w:t>, un informācijas atklāšanai par tiem 30. IPSAS „</w:t>
      </w:r>
      <w:r w:rsidRPr="00B94590">
        <w:rPr>
          <w:i/>
          <w:iCs/>
          <w:lang w:eastAsia="en-US"/>
        </w:rPr>
        <w:t>Finanšu instrumentiinformācijas atklāšana”.</w:t>
      </w:r>
    </w:p>
    <w:p w:rsidR="00787B13" w:rsidRPr="00B94590" w:rsidRDefault="00787B13" w:rsidP="00787B13">
      <w:pPr>
        <w:spacing w:before="240" w:after="120"/>
        <w:ind w:left="360" w:right="-766"/>
        <w:jc w:val="both"/>
        <w:rPr>
          <w:b/>
          <w:i/>
          <w:sz w:val="18"/>
        </w:rPr>
      </w:pP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Finanšu instrumenti: atzīšana un novērtēšana (Financial Instruments: Recognition and Measurement</w:t>
      </w:r>
      <w:r w:rsidRPr="00B94590">
        <w:rPr>
          <w:rFonts w:ascii="Times New Roman" w:hAnsi="Times New Roman" w:cs="Times New Roman"/>
          <w:sz w:val="24"/>
          <w:szCs w:val="24"/>
        </w:rPr>
        <w:t xml:space="preserve"> IPSAS 29) ** </w:t>
      </w:r>
    </w:p>
    <w:p w:rsidR="00787B13" w:rsidRPr="00B94590" w:rsidRDefault="00787B13" w:rsidP="00787B13">
      <w:pPr>
        <w:spacing w:before="240" w:after="120"/>
        <w:ind w:left="600" w:right="-766"/>
        <w:jc w:val="both"/>
        <w:rPr>
          <w:i/>
          <w:sz w:val="18"/>
          <w:szCs w:val="18"/>
        </w:rPr>
      </w:pPr>
      <w:r w:rsidRPr="00B94590">
        <w:rPr>
          <w:i/>
          <w:sz w:val="18"/>
          <w:szCs w:val="18"/>
        </w:rPr>
        <w:t>** piemērojams no 2013.gada 1.janvāra</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567"/>
        <w:jc w:val="both"/>
        <w:rPr>
          <w:b/>
          <w:i/>
        </w:rPr>
      </w:pPr>
      <w:r w:rsidRPr="00B94590">
        <w:rPr>
          <w:i/>
          <w:lang w:eastAsia="en-US"/>
        </w:rPr>
        <w:t>Šī standarta mērķis ir noteikt principus finanšu aktīvu, finanšu saistību un atsevišķu nefinanšu posteņu pirkšanas vai pārdošanas līgumu atzīšanai un novērtēšanai. Ar finanšu instrumentiem saistītās informācijas sniegšanas prasības ir izklāstītas 28.IPSAS „</w:t>
      </w:r>
      <w:r w:rsidRPr="00B94590">
        <w:rPr>
          <w:i/>
          <w:iCs/>
          <w:lang w:eastAsia="en-US"/>
        </w:rPr>
        <w:t>Finanšu instrumenti: informācijas sniegšana”</w:t>
      </w:r>
      <w:r w:rsidRPr="00B94590">
        <w:rPr>
          <w:i/>
          <w:lang w:eastAsia="en-US"/>
        </w:rPr>
        <w:t>. Ar finanšu instrumentiem saistītās informācijas atklāšanas prasības ir izklāstītas 30.IPSAS „</w:t>
      </w:r>
      <w:r w:rsidRPr="00B94590">
        <w:rPr>
          <w:i/>
          <w:iCs/>
          <w:lang w:eastAsia="en-US"/>
        </w:rPr>
        <w:t>Finanšu instrumenti: informācijas atklāšana”</w:t>
      </w:r>
      <w:r w:rsidRPr="00B94590">
        <w:rPr>
          <w:i/>
          <w:lang w:eastAsia="en-US"/>
        </w:rPr>
        <w:t>.</w:t>
      </w:r>
    </w:p>
    <w:p w:rsidR="00787B13" w:rsidRPr="00B94590" w:rsidRDefault="00787B13" w:rsidP="00787B13">
      <w:pPr>
        <w:spacing w:before="240" w:after="120"/>
        <w:ind w:left="600" w:right="-766"/>
        <w:jc w:val="both"/>
        <w:rPr>
          <w:i/>
          <w:sz w:val="18"/>
        </w:rPr>
      </w:pP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Finanšu instrumenti: informācijas atklāšana (Financial Instruments: Disclosures</w:t>
      </w:r>
      <w:r w:rsidRPr="00B94590">
        <w:rPr>
          <w:rFonts w:ascii="Times New Roman" w:hAnsi="Times New Roman" w:cs="Times New Roman"/>
          <w:sz w:val="24"/>
          <w:szCs w:val="24"/>
        </w:rPr>
        <w:t xml:space="preserve"> IPSAS 30) ** </w:t>
      </w:r>
    </w:p>
    <w:p w:rsidR="00787B13" w:rsidRPr="00B94590" w:rsidRDefault="00787B13" w:rsidP="00787B13">
      <w:pPr>
        <w:spacing w:before="240" w:after="120"/>
        <w:ind w:left="600" w:right="-766"/>
        <w:jc w:val="both"/>
        <w:rPr>
          <w:i/>
          <w:sz w:val="18"/>
          <w:szCs w:val="18"/>
        </w:rPr>
      </w:pPr>
      <w:r w:rsidRPr="00B94590">
        <w:rPr>
          <w:i/>
          <w:sz w:val="18"/>
          <w:szCs w:val="18"/>
        </w:rPr>
        <w:t>** piemērojams no 2013.gada 1.janvāra</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567"/>
        <w:jc w:val="both"/>
        <w:rPr>
          <w:i/>
          <w:lang w:eastAsia="en-US"/>
        </w:rPr>
      </w:pPr>
      <w:r w:rsidRPr="00B94590">
        <w:rPr>
          <w:i/>
          <w:lang w:eastAsia="en-US"/>
        </w:rPr>
        <w:t>Šī standarta mērķis ir pieprasīt  iestādēm (vienībām) savos finanšu pārskatos atklāt informāciju, kas lietotājiem ļauj novērtēt:</w:t>
      </w:r>
    </w:p>
    <w:p w:rsidR="00787B13" w:rsidRPr="00B94590" w:rsidRDefault="00787B13" w:rsidP="00787B13">
      <w:pPr>
        <w:autoSpaceDE w:val="0"/>
        <w:autoSpaceDN w:val="0"/>
        <w:adjustRightInd w:val="0"/>
        <w:ind w:left="567"/>
        <w:jc w:val="both"/>
        <w:rPr>
          <w:i/>
          <w:lang w:eastAsia="en-US"/>
        </w:rPr>
      </w:pPr>
      <w:r w:rsidRPr="00B94590">
        <w:rPr>
          <w:i/>
          <w:lang w:eastAsia="en-US"/>
        </w:rPr>
        <w:lastRenderedPageBreak/>
        <w:t>a) finanšu instrumentu nozīmīgumu uzņēmuma finansiālajam stāvoklim un darbības rezultātiem; un</w:t>
      </w:r>
    </w:p>
    <w:p w:rsidR="00787B13" w:rsidRPr="00B94590" w:rsidRDefault="00787B13" w:rsidP="00787B13">
      <w:pPr>
        <w:autoSpaceDE w:val="0"/>
        <w:autoSpaceDN w:val="0"/>
        <w:adjustRightInd w:val="0"/>
        <w:ind w:left="567"/>
        <w:jc w:val="both"/>
        <w:rPr>
          <w:i/>
          <w:lang w:eastAsia="en-US"/>
        </w:rPr>
      </w:pPr>
      <w:r w:rsidRPr="00B94590">
        <w:rPr>
          <w:i/>
          <w:lang w:eastAsia="en-US"/>
        </w:rPr>
        <w:t>b) no finanšu instrumentiem izrietošo risku veidu un apmēru, kuriem uzņēmums ir pakļauts attiecīgajā periodāun pārskata datumā, un kā uzņēmums pārvalda šos riskus.</w:t>
      </w:r>
    </w:p>
    <w:p w:rsidR="00787B13" w:rsidRPr="00B94590" w:rsidRDefault="00787B13" w:rsidP="00787B13">
      <w:pPr>
        <w:autoSpaceDE w:val="0"/>
        <w:autoSpaceDN w:val="0"/>
        <w:adjustRightInd w:val="0"/>
        <w:ind w:left="567"/>
        <w:jc w:val="both"/>
        <w:rPr>
          <w:b/>
          <w:i/>
          <w:lang w:eastAsia="en-US"/>
        </w:rPr>
      </w:pPr>
      <w:r w:rsidRPr="00B94590">
        <w:rPr>
          <w:i/>
          <w:lang w:eastAsia="en-US"/>
        </w:rPr>
        <w:t>Šī standarta principi papildina principus finanšu aktīvu un finanšu saistību atzīšanai, novērtēšanai un uzrādīšanai 28. IPSAS „</w:t>
      </w:r>
      <w:r w:rsidRPr="00B94590">
        <w:rPr>
          <w:i/>
          <w:iCs/>
          <w:lang w:eastAsia="en-US"/>
        </w:rPr>
        <w:t xml:space="preserve">Finanšu instrumenti: informācijas sniegšana” </w:t>
      </w:r>
      <w:r w:rsidRPr="00B94590">
        <w:rPr>
          <w:i/>
          <w:lang w:eastAsia="en-US"/>
        </w:rPr>
        <w:t>un 29. IPSAS „</w:t>
      </w:r>
      <w:r w:rsidRPr="00B94590">
        <w:rPr>
          <w:i/>
          <w:iCs/>
          <w:lang w:eastAsia="en-US"/>
        </w:rPr>
        <w:t>Finanšu instrumenti: atzīšana un novērtēšana”</w:t>
      </w:r>
      <w:r w:rsidRPr="00B94590">
        <w:rPr>
          <w:i/>
          <w:lang w:eastAsia="en-US"/>
        </w:rPr>
        <w:t>.</w:t>
      </w:r>
    </w:p>
    <w:p w:rsidR="00787B13" w:rsidRPr="00B94590" w:rsidRDefault="00787B13" w:rsidP="00787B13">
      <w:pPr>
        <w:rPr>
          <w:lang w:eastAsia="en-US"/>
        </w:rPr>
      </w:pP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b/>
          <w:i/>
          <w:sz w:val="24"/>
          <w:szCs w:val="24"/>
        </w:rPr>
      </w:pPr>
      <w:r w:rsidRPr="00B94590">
        <w:rPr>
          <w:rFonts w:ascii="Times New Roman" w:hAnsi="Times New Roman" w:cs="Times New Roman"/>
          <w:b/>
          <w:i/>
          <w:sz w:val="24"/>
          <w:szCs w:val="24"/>
        </w:rPr>
        <w:t>Nemateriālie aktīvi (</w:t>
      </w:r>
      <w:r w:rsidRPr="00B94590">
        <w:rPr>
          <w:rFonts w:ascii="Times New Roman" w:hAnsi="Times New Roman" w:cs="Times New Roman"/>
          <w:b/>
          <w:i/>
          <w:sz w:val="24"/>
          <w:szCs w:val="24"/>
          <w:u w:val="single"/>
        </w:rPr>
        <w:t xml:space="preserve"> Intangible Assets</w:t>
      </w:r>
      <w:r w:rsidRPr="00B94590">
        <w:rPr>
          <w:rFonts w:ascii="Times New Roman" w:hAnsi="Times New Roman" w:cs="Times New Roman"/>
          <w:i/>
          <w:sz w:val="24"/>
          <w:szCs w:val="24"/>
        </w:rPr>
        <w:t>IPSAS 31</w:t>
      </w:r>
      <w:r w:rsidRPr="00B94590">
        <w:rPr>
          <w:rFonts w:ascii="Times New Roman" w:hAnsi="Times New Roman" w:cs="Times New Roman"/>
          <w:b/>
          <w:i/>
          <w:sz w:val="24"/>
          <w:szCs w:val="24"/>
        </w:rPr>
        <w:t xml:space="preserve">)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708"/>
        <w:jc w:val="both"/>
        <w:rPr>
          <w:i/>
          <w:lang w:eastAsia="en-US"/>
        </w:rPr>
      </w:pPr>
      <w:r w:rsidRPr="00B94590">
        <w:rPr>
          <w:i/>
          <w:lang w:eastAsia="en-US"/>
        </w:rPr>
        <w:t>Šī standarta mērķis ir noteikt grāmatvedības metodi nemateriālajiem aktīviem, kuri nav konkrēti aplūkoti nevienā citā standartā. Šis standarts nosaka, ka iestādei (vienībai) jāatzīst nemateriālais aktīvs tikai tad, ja tas atbilst noteiktiem kritērijiem. Standarts arī precizē, kā noteikt nemateriālo aktīvu uzskaites vērtību, un izvirza noteiktas informācijas atklāšanas prasības attiecībā uz nemateriālajiem aktīviem.</w:t>
      </w:r>
    </w:p>
    <w:p w:rsidR="00787B13" w:rsidRPr="00B94590" w:rsidRDefault="00787B13" w:rsidP="00787B13">
      <w:pPr>
        <w:pStyle w:val="ListParagraph"/>
        <w:spacing w:after="120"/>
        <w:ind w:left="0" w:right="91"/>
        <w:jc w:val="both"/>
        <w:rPr>
          <w:rFonts w:ascii="Times New Roman" w:hAnsi="Times New Roman" w:cs="Times New Roman"/>
          <w:sz w:val="24"/>
          <w:szCs w:val="24"/>
        </w:rPr>
      </w:pPr>
      <w:r w:rsidRPr="00B94590">
        <w:rPr>
          <w:rFonts w:ascii="Times New Roman" w:hAnsi="Times New Roman" w:cs="Times New Roman"/>
          <w:sz w:val="24"/>
          <w:szCs w:val="24"/>
        </w:rPr>
        <w:t>Latvijas situācijai būtu jāpielāgo sekojoši Starptautiskie grāmatvedības standarti  (IFRS/IAS), kuri nav ietverti IPSAS:</w:t>
      </w:r>
    </w:p>
    <w:p w:rsidR="00787B13" w:rsidRPr="00B94590" w:rsidRDefault="00787B13" w:rsidP="00787B13">
      <w:pPr>
        <w:pStyle w:val="ListParagraph"/>
        <w:numPr>
          <w:ilvl w:val="1"/>
          <w:numId w:val="13"/>
        </w:numPr>
        <w:spacing w:after="120"/>
        <w:ind w:left="360" w:right="91"/>
        <w:jc w:val="both"/>
        <w:rPr>
          <w:rFonts w:ascii="Times New Roman" w:hAnsi="Times New Roman" w:cs="Times New Roman"/>
          <w:sz w:val="24"/>
          <w:szCs w:val="24"/>
        </w:rPr>
      </w:pPr>
      <w:r w:rsidRPr="00B94590">
        <w:rPr>
          <w:rFonts w:ascii="Times New Roman" w:hAnsi="Times New Roman" w:cs="Times New Roman"/>
          <w:b/>
          <w:i/>
          <w:sz w:val="24"/>
          <w:szCs w:val="24"/>
          <w:u w:val="single"/>
        </w:rPr>
        <w:t>Peļņa par akciju (Earnings Per Share</w:t>
      </w:r>
      <w:r w:rsidRPr="00B94590">
        <w:rPr>
          <w:rFonts w:ascii="Times New Roman" w:hAnsi="Times New Roman" w:cs="Times New Roman"/>
          <w:sz w:val="24"/>
          <w:szCs w:val="24"/>
        </w:rPr>
        <w:t xml:space="preserve"> IAS 33 )</w:t>
      </w:r>
    </w:p>
    <w:p w:rsidR="00787B13" w:rsidRPr="00B94590" w:rsidRDefault="00787B13" w:rsidP="00787B13">
      <w:pPr>
        <w:spacing w:after="120"/>
        <w:ind w:left="600" w:right="91"/>
        <w:jc w:val="both"/>
        <w:rPr>
          <w:b/>
          <w:i/>
        </w:rPr>
      </w:pPr>
      <w:r w:rsidRPr="00B94590">
        <w:rPr>
          <w:b/>
          <w:i/>
        </w:rPr>
        <w:t>Mērķis</w:t>
      </w:r>
    </w:p>
    <w:p w:rsidR="00787B13" w:rsidRPr="00B94590" w:rsidRDefault="00787B13" w:rsidP="00787B13">
      <w:pPr>
        <w:spacing w:after="120"/>
        <w:ind w:left="600" w:right="91"/>
        <w:jc w:val="both"/>
        <w:rPr>
          <w:i/>
        </w:rPr>
      </w:pPr>
      <w:r w:rsidRPr="00B94590">
        <w:rPr>
          <w:i/>
        </w:rPr>
        <w:t>Šī Standarta mērķis ir aprakstīt principus, saskaņā ar kuriem noteikt un uzrādīt peļņu par akciju, tādējādi uzlabojot iespējas salīdzināt dažādu iestāžu (vienību)  darbības rezultātus vienā periodā, kā arī vienas iestādes (vienības) darbības rezultātus dažādos pārskata periodos. Kaut arī informācijai par peļņu par akciju ir ierobežojumi, jo peļņas noteikšanā var tikt izmantotas atšķirīgas grāmatvedības politikas, konsekventi noteikts saucējs uzlabo finanšu pārskatus. Šī standarta galvenais uzmanības objekts ir saucējs peļņas par akciju aprēķinā.</w:t>
      </w:r>
    </w:p>
    <w:p w:rsidR="00787B13" w:rsidRPr="00B94590" w:rsidRDefault="00787B13" w:rsidP="00787B13">
      <w:pPr>
        <w:pStyle w:val="ListParagraph"/>
        <w:numPr>
          <w:ilvl w:val="1"/>
          <w:numId w:val="13"/>
        </w:numPr>
        <w:spacing w:after="120"/>
        <w:ind w:left="360" w:right="91"/>
        <w:jc w:val="both"/>
        <w:rPr>
          <w:rFonts w:ascii="Times New Roman" w:hAnsi="Times New Roman" w:cs="Times New Roman"/>
          <w:sz w:val="24"/>
          <w:szCs w:val="24"/>
        </w:rPr>
      </w:pPr>
      <w:r w:rsidRPr="00B94590">
        <w:rPr>
          <w:rFonts w:ascii="Times New Roman" w:hAnsi="Times New Roman" w:cs="Times New Roman"/>
          <w:b/>
          <w:i/>
          <w:sz w:val="24"/>
          <w:szCs w:val="24"/>
          <w:u w:val="single"/>
        </w:rPr>
        <w:t>Pensijas pabalsta plānu uzskaite un pārskatu sniegšana (Accounting and Reporting by Retirement Benefit Plans</w:t>
      </w:r>
      <w:r w:rsidRPr="00B94590">
        <w:rPr>
          <w:rFonts w:ascii="Times New Roman" w:hAnsi="Times New Roman" w:cs="Times New Roman"/>
          <w:sz w:val="24"/>
          <w:szCs w:val="24"/>
        </w:rPr>
        <w:t xml:space="preserve"> IAS26)</w:t>
      </w:r>
    </w:p>
    <w:p w:rsidR="00787B13" w:rsidRPr="00B94590" w:rsidRDefault="00787B13" w:rsidP="00787B13">
      <w:pPr>
        <w:spacing w:after="120"/>
        <w:ind w:left="600" w:right="-766"/>
        <w:jc w:val="both"/>
        <w:rPr>
          <w:b/>
          <w:i/>
        </w:rPr>
      </w:pPr>
      <w:r w:rsidRPr="00B94590">
        <w:rPr>
          <w:b/>
          <w:i/>
        </w:rPr>
        <w:t>Mērķis</w:t>
      </w:r>
    </w:p>
    <w:p w:rsidR="00787B13" w:rsidRPr="00B94590" w:rsidRDefault="00787B13" w:rsidP="00787B13">
      <w:pPr>
        <w:ind w:left="567"/>
        <w:jc w:val="both"/>
        <w:textAlignment w:val="top"/>
        <w:rPr>
          <w:i/>
        </w:rPr>
      </w:pPr>
      <w:r w:rsidRPr="00B94590">
        <w:rPr>
          <w:rFonts w:eastAsiaTheme="minorHAnsi"/>
          <w:i/>
          <w:lang w:eastAsia="en-US"/>
        </w:rPr>
        <w:t xml:space="preserve">Šis standarts aplūko plāna uzskaiti un pārskatu sniegšanu visiem dalībniekiem kā vienai grupai, bet neaplūko pārskatus atsevišķiem dalībniekiem par viņu tiesībām uz pensijas pabalstiem. </w:t>
      </w:r>
      <w:r w:rsidRPr="00B94590">
        <w:rPr>
          <w:rStyle w:val="hps"/>
          <w:i/>
        </w:rPr>
        <w:t>Visus iestādes (vienības) pieejamos pabalstu plānus ir jāiekļauj paziņojumā</w:t>
      </w:r>
      <w:r w:rsidRPr="00B94590">
        <w:rPr>
          <w:i/>
        </w:rPr>
        <w:t xml:space="preserve"> par </w:t>
      </w:r>
      <w:r w:rsidRPr="00B94590">
        <w:rPr>
          <w:rStyle w:val="hps"/>
          <w:i/>
        </w:rPr>
        <w:t>neto aktīvu izmaiņām,</w:t>
      </w:r>
      <w:r w:rsidRPr="00B94590">
        <w:rPr>
          <w:i/>
        </w:rPr>
        <w:t xml:space="preserve"> jāsniedz kopsavilkums par </w:t>
      </w:r>
      <w:r w:rsidRPr="00B94590">
        <w:rPr>
          <w:rStyle w:val="hps"/>
          <w:i/>
        </w:rPr>
        <w:t>nozīmīgām grāmatvedības politikām un plāna apraksts un jebkādu plāna izmaiņu ietekme attiecīgajā periodā</w:t>
      </w:r>
      <w:r w:rsidRPr="00B94590">
        <w:rPr>
          <w:i/>
        </w:rPr>
        <w:t>.</w:t>
      </w:r>
    </w:p>
    <w:p w:rsidR="00787B13" w:rsidRPr="00B94590" w:rsidRDefault="00787B13" w:rsidP="00787B13">
      <w:pPr>
        <w:autoSpaceDE w:val="0"/>
        <w:autoSpaceDN w:val="0"/>
        <w:adjustRightInd w:val="0"/>
        <w:ind w:left="567" w:firstLine="2268"/>
        <w:jc w:val="both"/>
        <w:rPr>
          <w:rFonts w:eastAsiaTheme="minorHAnsi"/>
          <w:i/>
          <w:lang w:eastAsia="en-US"/>
        </w:rPr>
      </w:pPr>
    </w:p>
    <w:p w:rsidR="00787B13" w:rsidRPr="00B94590" w:rsidRDefault="00787B13" w:rsidP="00787B13">
      <w:pPr>
        <w:pStyle w:val="ListParagraph"/>
        <w:numPr>
          <w:ilvl w:val="0"/>
          <w:numId w:val="13"/>
        </w:numPr>
        <w:spacing w:after="120"/>
        <w:ind w:left="0" w:right="-766" w:firstLine="0"/>
        <w:jc w:val="both"/>
        <w:rPr>
          <w:rFonts w:ascii="Times New Roman" w:hAnsi="Times New Roman" w:cs="Times New Roman"/>
          <w:b/>
          <w:i/>
          <w:sz w:val="24"/>
          <w:szCs w:val="24"/>
          <w:u w:val="single"/>
        </w:rPr>
      </w:pPr>
      <w:r w:rsidRPr="00B94590">
        <w:rPr>
          <w:rFonts w:ascii="Times New Roman" w:hAnsi="Times New Roman" w:cs="Times New Roman"/>
          <w:b/>
          <w:i/>
          <w:sz w:val="24"/>
          <w:szCs w:val="24"/>
          <w:u w:val="single"/>
        </w:rPr>
        <w:t>Standarts par Privātās - publiskās partnerības projektu uzskaiti;</w:t>
      </w:r>
    </w:p>
    <w:p w:rsidR="00787B13" w:rsidRPr="00B94590" w:rsidRDefault="00787B13" w:rsidP="00787B13">
      <w:pPr>
        <w:pStyle w:val="ListParagraph"/>
        <w:numPr>
          <w:ilvl w:val="0"/>
          <w:numId w:val="13"/>
        </w:numPr>
        <w:spacing w:after="120"/>
        <w:ind w:left="0" w:right="-765" w:firstLine="0"/>
        <w:contextualSpacing w:val="0"/>
        <w:jc w:val="both"/>
        <w:rPr>
          <w:rFonts w:ascii="Times New Roman" w:hAnsi="Times New Roman" w:cs="Times New Roman"/>
          <w:sz w:val="24"/>
          <w:szCs w:val="24"/>
        </w:rPr>
      </w:pPr>
      <w:r w:rsidRPr="00B94590">
        <w:rPr>
          <w:rFonts w:ascii="Times New Roman" w:hAnsi="Times New Roman" w:cs="Times New Roman"/>
          <w:b/>
          <w:i/>
          <w:sz w:val="24"/>
          <w:szCs w:val="24"/>
          <w:u w:val="single"/>
        </w:rPr>
        <w:t>Standarts par budžeta plānošanu.</w:t>
      </w:r>
    </w:p>
    <w:p w:rsidR="00787B13" w:rsidRPr="00B94590" w:rsidRDefault="00787B13" w:rsidP="00787B13">
      <w:pPr>
        <w:spacing w:after="120"/>
        <w:ind w:right="-765"/>
        <w:jc w:val="both"/>
      </w:pPr>
    </w:p>
    <w:p w:rsidR="00787B13" w:rsidRPr="00B94590" w:rsidRDefault="00787B13" w:rsidP="00787B13">
      <w:pPr>
        <w:spacing w:after="120"/>
        <w:ind w:right="-765"/>
        <w:jc w:val="both"/>
      </w:pPr>
      <w:r w:rsidRPr="00B94590">
        <w:t>Publiskā sektora nacionālajos standartos netiek ietverti sekojoši IPSAS:</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lastRenderedPageBreak/>
        <w:t>Finanšu pārskati valstīs ar hiperinflāciju (Financial Reporting  in Hyperinflationary Economies</w:t>
      </w:r>
      <w:r w:rsidRPr="00B94590">
        <w:rPr>
          <w:rFonts w:ascii="Times New Roman" w:hAnsi="Times New Roman" w:cs="Times New Roman"/>
          <w:sz w:val="24"/>
          <w:szCs w:val="24"/>
        </w:rPr>
        <w:t xml:space="preserve"> IPSAS 10);</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Segmentu atspoguļošana pārskatos (Segment Reporting</w:t>
      </w:r>
      <w:r w:rsidRPr="00B94590">
        <w:rPr>
          <w:rFonts w:ascii="Times New Roman" w:hAnsi="Times New Roman" w:cs="Times New Roman"/>
          <w:sz w:val="24"/>
          <w:szCs w:val="24"/>
        </w:rPr>
        <w:t xml:space="preserve"> IPSAS 18)</w:t>
      </w:r>
    </w:p>
    <w:p w:rsidR="00787B13" w:rsidRPr="00B94590" w:rsidRDefault="00787B13" w:rsidP="00787B13">
      <w:pPr>
        <w:spacing w:after="120"/>
        <w:ind w:right="91"/>
        <w:jc w:val="both"/>
      </w:pPr>
      <w:r w:rsidRPr="00B94590">
        <w:t xml:space="preserve">Papildus izstrādājamas </w:t>
      </w:r>
      <w:r w:rsidRPr="00B94590">
        <w:rPr>
          <w:b/>
        </w:rPr>
        <w:t>rokasgrāmatas</w:t>
      </w:r>
      <w:r w:rsidRPr="00B94590">
        <w:t xml:space="preserve"> standartu piemērošanai, kurās ietvertas detalizētas darījumu grāmatojumu shēmas un piemēri. Rokasgrāmatas nepieciešamas katram standartam, kā arī atsevišķi par specifiskiem jautājumiem: </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Militārām vajadzībām izmantojamo pamatlīdzekļu un krājumu uzskaite;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Lauksaimniecības ražošanas un krājumu uzskaite;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Kultūrvēsturisko pieminekļu un bibliotēku fondu uzskaite;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Ārvalstu finanšu palīdzības līdzfinansēto projektu uzskaite;</w:t>
      </w:r>
    </w:p>
    <w:p w:rsidR="00787B13" w:rsidRPr="00B94590" w:rsidRDefault="00787B13" w:rsidP="00787B13">
      <w:pPr>
        <w:pStyle w:val="ListParagraph"/>
        <w:numPr>
          <w:ilvl w:val="0"/>
          <w:numId w:val="14"/>
        </w:numPr>
        <w:spacing w:after="120"/>
        <w:ind w:left="425" w:right="91" w:firstLine="0"/>
        <w:contextualSpacing w:val="0"/>
        <w:jc w:val="both"/>
        <w:rPr>
          <w:rFonts w:ascii="Times New Roman" w:hAnsi="Times New Roman" w:cs="Times New Roman"/>
          <w:sz w:val="24"/>
          <w:szCs w:val="24"/>
        </w:rPr>
      </w:pPr>
      <w:r w:rsidRPr="00B94590">
        <w:rPr>
          <w:rFonts w:ascii="Times New Roman" w:hAnsi="Times New Roman" w:cs="Times New Roman"/>
          <w:sz w:val="24"/>
          <w:szCs w:val="24"/>
        </w:rPr>
        <w:t>Citiem jautājumiem, kuri esošajā brīdī var nebūt identificēti, bet kuru nepieciešamība var parādīties standartu izstrādes un pielāgošanas gaitā.</w:t>
      </w:r>
    </w:p>
    <w:p w:rsidR="00787B13" w:rsidRPr="00B94590" w:rsidRDefault="00787B13" w:rsidP="00787B13">
      <w:pPr>
        <w:spacing w:after="120"/>
        <w:ind w:left="68" w:right="91"/>
        <w:jc w:val="both"/>
      </w:pPr>
      <w:r w:rsidRPr="00B94590">
        <w:t xml:space="preserve">Vienlaicīgi ar standartiem nepieciešams izstrādāt valsts budžeta iestāžu finanšu vadības </w:t>
      </w:r>
      <w:r w:rsidRPr="00B94590">
        <w:rPr>
          <w:b/>
        </w:rPr>
        <w:t xml:space="preserve">procesu aprakstus </w:t>
      </w:r>
      <w:r w:rsidRPr="00B94590">
        <w:t>un noteikt obligāto</w:t>
      </w:r>
      <w:r w:rsidRPr="00B94590">
        <w:rPr>
          <w:b/>
        </w:rPr>
        <w:t xml:space="preserve"> dokumentāciju. </w:t>
      </w:r>
      <w:r w:rsidRPr="00B94590">
        <w:t>Dokumentācijas saturu un apjomu  nosaka pēc tam, kad definēts procesa apraksts, atkarībā no tā, kā process tiek organizēts, piemēram, inventarizācijas veikšana, materiālu saņemšana un norakstīšana.</w:t>
      </w:r>
    </w:p>
    <w:p w:rsidR="00787B13" w:rsidRPr="00B94590" w:rsidRDefault="00787B13" w:rsidP="00787B13">
      <w:pPr>
        <w:spacing w:after="120"/>
        <w:ind w:left="68" w:right="91"/>
        <w:jc w:val="both"/>
      </w:pPr>
      <w:r w:rsidRPr="00B94590">
        <w:t>Izstrādājot standartus, tos nepieciešams harmonizēt ar Eiropas Savienības regulām (ESA nosacījumiem).</w:t>
      </w:r>
    </w:p>
    <w:p w:rsidR="00787B13" w:rsidRPr="00B94590" w:rsidRDefault="00787B13" w:rsidP="00787B13">
      <w:pPr>
        <w:spacing w:after="120"/>
        <w:ind w:left="68" w:right="91"/>
        <w:jc w:val="both"/>
      </w:pPr>
      <w:r w:rsidRPr="00B94590">
        <w:t xml:space="preserve">Pēc standartu un rokasgrāmatu apstiprināšanas nepieciešams veikt pietiekami detalizētas </w:t>
      </w:r>
      <w:r w:rsidRPr="00B94590">
        <w:rPr>
          <w:b/>
        </w:rPr>
        <w:t>apmācības</w:t>
      </w:r>
      <w:r w:rsidRPr="00B94590">
        <w:t xml:space="preserve"> budžeta iestāžu darbiniekiem, lai to ieviešana būtu efektīva.</w:t>
      </w:r>
    </w:p>
    <w:p w:rsidR="00787B13" w:rsidRPr="00B94590" w:rsidRDefault="00787B13" w:rsidP="00787B13">
      <w:pPr>
        <w:spacing w:after="120"/>
        <w:ind w:left="68" w:right="91"/>
        <w:jc w:val="both"/>
      </w:pPr>
      <w:r w:rsidRPr="00B94590">
        <w:t xml:space="preserve">Nepieciešams normatīvos aktos noteikt </w:t>
      </w:r>
      <w:r w:rsidRPr="00B94590">
        <w:rPr>
          <w:b/>
        </w:rPr>
        <w:t>atbildīgo institūciju (vai ekspertu komisiju)</w:t>
      </w:r>
      <w:r w:rsidRPr="00B94590">
        <w:t xml:space="preserve"> par standartu, rokasgrāmatu un procesu aprakstu turpmāku regulāru aktualizēšanu. Pēc standartu pieņemšanas nepieciešams pārskatīt visus normatīvos aktus, kuri saistīti ar standartos aptverto jautājumu loku.</w:t>
      </w:r>
    </w:p>
    <w:p w:rsidR="00787B13" w:rsidRPr="00B94590" w:rsidRDefault="00787B13" w:rsidP="00787B13">
      <w:pPr>
        <w:spacing w:after="120"/>
        <w:ind w:right="91"/>
        <w:jc w:val="both"/>
      </w:pPr>
      <w:r w:rsidRPr="00B94590">
        <w:t xml:space="preserve">Vienlaikus ar standartu izstrādi jāatrisina jautājums par izstrādāto dokumentu juridisko statusu, jo tiem jābūt saistošiem visām publiskā sektora vienībām (gan valsts budžeta iestādēm, gan pašvaldībām). </w:t>
      </w:r>
    </w:p>
    <w:p w:rsidR="00787B13" w:rsidRPr="00B94590" w:rsidRDefault="00787B13" w:rsidP="00787B13">
      <w:pPr>
        <w:spacing w:after="120"/>
        <w:ind w:left="68" w:right="91"/>
        <w:jc w:val="both"/>
      </w:pPr>
      <w:r w:rsidRPr="00B94590">
        <w:t>Standartu ieviešanai definēs pilotprojektu izvēlētā nozarē, reizē veicot grāmatvedības programmatūras centralizāciju un pielāgošanu šiem standartiem.</w:t>
      </w:r>
    </w:p>
    <w:p w:rsidR="00787B13" w:rsidRPr="00B94590" w:rsidRDefault="00787B13" w:rsidP="00787B13">
      <w:pPr>
        <w:spacing w:after="120"/>
        <w:ind w:left="68" w:right="91"/>
        <w:jc w:val="both"/>
      </w:pPr>
      <w:r w:rsidRPr="00B94590">
        <w:t>Pilotprojekta ietvaros būtu jāievieš tehniskais risinājums, kas nodrošina izvēlētās nozares ministrijas un tās padotības iestāžu finanšu vadības un grāmatvedības datu apstrādi vienotā informācijas sistēmā, kur iestādes ir loģiski atdalītas viena no otras, bet izmanto vienotus pamatdatus, klasifikatorus,  un nodrošina resora un iestāžu datu konsolidāciju.</w:t>
      </w:r>
    </w:p>
    <w:p w:rsidR="00787B13" w:rsidRPr="00B94590" w:rsidRDefault="00787B13" w:rsidP="00787B13">
      <w:pPr>
        <w:spacing w:after="120"/>
        <w:ind w:left="68" w:right="91"/>
        <w:jc w:val="both"/>
      </w:pPr>
      <w:r w:rsidRPr="00B94590">
        <w:t>Pilotprojekta ietvaros būtu jānodrošina visu datu pārnešanu uz centralizēto sistēmu no esošajām atsevišķajām padotības iestāžu grāmatvedības sistēmām, vienlaicīgi nodrošinot arī pārnesto datu integritāti.</w:t>
      </w:r>
    </w:p>
    <w:p w:rsidR="00787B13" w:rsidRPr="00B94590" w:rsidRDefault="00787B13" w:rsidP="00787B13">
      <w:pPr>
        <w:spacing w:after="120"/>
        <w:ind w:left="68" w:right="91"/>
        <w:jc w:val="both"/>
      </w:pPr>
      <w:r w:rsidRPr="00B94590">
        <w:t>Lai grāmatvedības uzskaite būtu vienota, nozares ietvaros jāizstrādā nozares grāmatvedības uzskaites centralizācijas vadlīnijas, kurās precīzi jāapraksta tehniskā realizācija standartos noteiktajām prasībām.</w:t>
      </w:r>
    </w:p>
    <w:p w:rsidR="00787B13" w:rsidRPr="00B94590" w:rsidRDefault="00787B13" w:rsidP="00787B13">
      <w:pPr>
        <w:spacing w:after="120"/>
        <w:ind w:left="68" w:right="91"/>
        <w:jc w:val="both"/>
      </w:pPr>
      <w:r w:rsidRPr="00B94590">
        <w:t>Pilotprojektā ieviešamajai vienotajai nozares grāmatvedības sistēmai jānodrošina vienota uzskaite saskaņā ar:</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lastRenderedPageBreak/>
        <w:t>spēkā esošiem Eiropas Savienības, Saeimas, Ministru kabineta izdotajiem normatīvajiem aktiem, kas nosaka saimniecisko darbību valsts budžeta iestādēs.</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spēkā esošu pilotprojekta nozares ministrijas un tās padotībā esošo iestāžu grāmatvedības uzskaites kārtību un iekšējiem normatīvajiem aktiem;</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grāmatvedības uzskaites centralizācijas vadlīnijās definētajiem principiem.</w:t>
      </w:r>
    </w:p>
    <w:p w:rsidR="00787B13" w:rsidRPr="00B94590" w:rsidRDefault="00787B13" w:rsidP="00787B13">
      <w:pPr>
        <w:spacing w:after="120"/>
        <w:ind w:left="68" w:right="91"/>
        <w:jc w:val="both"/>
      </w:pPr>
      <w:r w:rsidRPr="00B94590">
        <w:t>Pilotprojektā ieviešamajai vienotajai nozares grāmatvedības sistēmai jānodrošina datu integrācija šādos griezumos:</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centralizēta pamata datu pārvaldība un kopējo klasifikatoru uzturēšana atbilstoši apstiprinātajām vadlīnijām, iestāžu atsevišķo datu uzturēšana un iestādes finanšu pārskatu sastādīšana saskaņā ar normatīvajiem aktiem iestādes līmenī;</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konsolidēta nozares ministrijas un tās padotības iestāžu virsgrāmata;</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iestāžu finanšu datu analīze, plānošana, kontrole un analītisko pārskatu izveide;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 xml:space="preserve">iepriekšējo gadu uzskaites datu arhivēšana; </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grāmatvedības informācijas sistēmā esošo arhivēto elektronisko datu un dokumentu nodošana  valsts arhīvā glabāšanai;</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kontu atlikumu pārrēķinu pārskata perioda beigās no darījuma valūtām  uz nacionālo valūtu;</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sākotnējā ieraksta stornēšanas gadījumā sasaiste ar stornējamo ierakstu.</w:t>
      </w:r>
    </w:p>
    <w:p w:rsidR="00CD0CDF" w:rsidRPr="00B94590" w:rsidRDefault="00CD0CDF" w:rsidP="00A65510">
      <w:pPr>
        <w:pStyle w:val="Heading3"/>
        <w:jc w:val="both"/>
      </w:pPr>
      <w:bookmarkStart w:id="73" w:name="_Toc292619581"/>
      <w:bookmarkStart w:id="74" w:name="_Toc293616274"/>
      <w:r w:rsidRPr="00B94590">
        <w:t>Nepieciešamās izmaiņas att</w:t>
      </w:r>
      <w:r w:rsidR="00381010" w:rsidRPr="00B94590">
        <w:t>i</w:t>
      </w:r>
      <w:r w:rsidRPr="00B94590">
        <w:t xml:space="preserve">ecībā uz </w:t>
      </w:r>
      <w:r w:rsidR="00165EB4" w:rsidRPr="00B94590">
        <w:t xml:space="preserve">atlīdzības uzskaites sistēmu </w:t>
      </w:r>
      <w:bookmarkEnd w:id="73"/>
      <w:bookmarkEnd w:id="74"/>
    </w:p>
    <w:p w:rsidR="00165EB4" w:rsidRPr="002F5C4D" w:rsidRDefault="00165EB4" w:rsidP="00165EB4">
      <w:pPr>
        <w:spacing w:after="120"/>
        <w:jc w:val="both"/>
      </w:pPr>
      <w:r w:rsidRPr="002F5C4D">
        <w:rPr>
          <w:lang w:eastAsia="en-US"/>
        </w:rPr>
        <w:t>Attiecībā uz atlīdzības uzskaites sistēmas datu analīzi, būtu jāveic VBPBP sistēmas integrācija ar datu noliktavu</w:t>
      </w:r>
      <w:r w:rsidR="00D23005" w:rsidRPr="002F5C4D">
        <w:rPr>
          <w:lang w:eastAsia="en-US"/>
        </w:rPr>
        <w:t xml:space="preserve">, </w:t>
      </w:r>
      <w:r w:rsidRPr="002F5C4D">
        <w:rPr>
          <w:lang w:eastAsia="en-US"/>
        </w:rPr>
        <w:t xml:space="preserve">lai uz datu noliktavu analīzes vajadzībām varētu nodot </w:t>
      </w:r>
      <w:r w:rsidRPr="002F5C4D">
        <w:t xml:space="preserve">Ministru kabineta noteikumu Nr.541 „Noteikumi par valsts un pašvaldību institūciju amatpersonu un darbinieku atlīdzības uzskaites sistēmu” 15. </w:t>
      </w:r>
      <w:r w:rsidR="00D23005" w:rsidRPr="002F5C4D">
        <w:t>p</w:t>
      </w:r>
      <w:r w:rsidRPr="002F5C4D">
        <w:t>ielikumā definēto pārskatu, kas jau realizēts VBPBP sist</w:t>
      </w:r>
      <w:r w:rsidR="00D23005" w:rsidRPr="002F5C4D">
        <w:t xml:space="preserve">ēmā. Paralēli jāparedz  iespēja pārnest jau esošo datu noliktavu turpmāk veidojot </w:t>
      </w:r>
      <w:r w:rsidRPr="002F5C4D">
        <w:t>vienot</w:t>
      </w:r>
      <w:r w:rsidR="00D23005" w:rsidRPr="002F5C4D">
        <w:t>u</w:t>
      </w:r>
      <w:r w:rsidRPr="002F5C4D">
        <w:t xml:space="preserve"> datu noliktav</w:t>
      </w:r>
      <w:r w:rsidR="00D23005" w:rsidRPr="002F5C4D">
        <w:t>u, kurā</w:t>
      </w:r>
      <w:r w:rsidRPr="002F5C4D">
        <w:t xml:space="preserve"> uzkrāt arī detalizēto informāciju par sabiedriskajā sektorā nodarbinātajiem un viņu atlīdzību veidojošajām komponentēm (</w:t>
      </w:r>
      <w:r w:rsidR="000B25FC" w:rsidRPr="002F5C4D">
        <w:t>n</w:t>
      </w:r>
      <w:r w:rsidRPr="002F5C4D">
        <w:t>oteikumu Nr.541 4.-12.punkts)</w:t>
      </w:r>
      <w:r w:rsidR="00B94590" w:rsidRPr="002F5C4D">
        <w:t>, datu informāciju uzkrājot gan par darbiniekiem, gan arī civildienesta ierēdņiem</w:t>
      </w:r>
      <w:r w:rsidR="005861E8" w:rsidRPr="002F5C4D">
        <w:t>, kas nodarbināti valsts tiešās pārvaldes iestādēs</w:t>
      </w:r>
      <w:r w:rsidRPr="002F5C4D">
        <w:t xml:space="preserve">. </w:t>
      </w:r>
      <w:r w:rsidR="00D23005" w:rsidRPr="002F5C4D">
        <w:t xml:space="preserve">Šāda veidā tiktu pilnveidota esošā atlīdzības uzskaites sistēma, kā arī nodrošināta iespēja izmantot iepriekš uzkrātos datus. </w:t>
      </w:r>
      <w:r w:rsidRPr="002F5C4D">
        <w:t>Līdz ar to papildus būtu jāveido lietotājiem draudzīgāka datu ievades forma, jāmodificē VBPBP esošais XML datu importa formāts, lai nodrošinātu automātisku datu importu no iestāžu personālvadības un grāmatvedības sistēmām. Formātam jābūt platformneatkarīgam (</w:t>
      </w:r>
      <w:r w:rsidRPr="002F5C4D">
        <w:rPr>
          <w:i/>
        </w:rPr>
        <w:t>portability</w:t>
      </w:r>
      <w:r w:rsidRPr="002F5C4D">
        <w:t>), līdz ar to nav būtiski kādas tieši personālvadības un grāmatvedības sistēmas izmantos iestādes, kas iesniegs informāciju un laika gaitā šīs sistēmas var tikt mainītas. Pārskatu datu konsolidācija agregācija būtu jāveic VBPBP sistēmā un tālāk uz datu noliktavu dati jānodod tādā agregācijas līmenī, ko būtu ērti izmantot datu analīzes vajadzībām ar 3.3.2 nodaļā aprakstīto finanšu datu analīzes rīku.</w:t>
      </w:r>
      <w:r w:rsidR="006D4520" w:rsidRPr="002F5C4D">
        <w:t xml:space="preserve"> Kopumā šāda pieeja uzlabos </w:t>
      </w:r>
      <w:r w:rsidR="00D23005" w:rsidRPr="002F5C4D">
        <w:t xml:space="preserve">turpmāko darbu ar atlīdzības </w:t>
      </w:r>
      <w:r w:rsidR="00642EBD" w:rsidRPr="002F5C4D">
        <w:t xml:space="preserve">uzskaites </w:t>
      </w:r>
      <w:r w:rsidR="00D23005" w:rsidRPr="002F5C4D">
        <w:t>sistēmā jau uzkrātajiem un turpmāk savāktajiem datiem</w:t>
      </w:r>
      <w:r w:rsidR="006D4520" w:rsidRPr="002F5C4D">
        <w:t>. Ar šo piedāvāto risinājumu netiek paredzēts iegādāties vienotu centralizētu programmatūru kas turpmāk varētu tikt izmantot</w:t>
      </w:r>
      <w:r w:rsidR="00E64C38" w:rsidRPr="002F5C4D">
        <w:t>a</w:t>
      </w:r>
      <w:r w:rsidR="006D4520" w:rsidRPr="002F5C4D">
        <w:t xml:space="preserve"> kā atsevišķa aplikācija lai uzskaitītu personāla informāciju, ko paredz Noteikumi Nr. 541. </w:t>
      </w:r>
    </w:p>
    <w:p w:rsidR="00111105" w:rsidRDefault="00165EB4" w:rsidP="00165EB4">
      <w:pPr>
        <w:spacing w:before="120"/>
        <w:jc w:val="both"/>
      </w:pPr>
      <w:r w:rsidRPr="00B94590">
        <w:lastRenderedPageBreak/>
        <w:t>Lai precīzi un atbilstoši vajadzībām veiktu šajā koncepcijā aprakstītās izmaiņas, jāizstrādā un jāsaskaņo detalizēta tehniskā programmatūras prasību specifikācija (PPS) un tehniskais projektējums (PPA) kā arī jāizstrādā lietotāju dokumentācija.</w:t>
      </w:r>
      <w:r w:rsidR="00B94590">
        <w:rPr>
          <w:color w:val="FF0000"/>
        </w:rPr>
        <w:t xml:space="preserve"> </w:t>
      </w:r>
      <w:r w:rsidR="00B94590" w:rsidRPr="004A7151">
        <w:t xml:space="preserve">Tehniskajās specifikācijas cita starpā arī ir jāietver iespēja turpmāk uzkrāt datus par valsts </w:t>
      </w:r>
      <w:r w:rsidR="007A1345" w:rsidRPr="004A7151">
        <w:t xml:space="preserve">tiešajā </w:t>
      </w:r>
      <w:r w:rsidR="00B94590" w:rsidRPr="004A7151">
        <w:t>pārvaldē nodarbināto (gan darbinieku, gan ar</w:t>
      </w:r>
      <w:r w:rsidR="006D4520" w:rsidRPr="004A7151">
        <w:t>ī civildienesta ierēdņu) discip</w:t>
      </w:r>
      <w:r w:rsidR="00B94590" w:rsidRPr="004A7151">
        <w:t xml:space="preserve">linārsodiem, valodu zināšanām, apgūtajām izglītības programmām utml., tādejādi nodrošinot nepieciešamo informāciju turpmākai datu analīzei, ko savukārt varēs </w:t>
      </w:r>
      <w:r w:rsidR="00FB0AD0" w:rsidRPr="004A7151">
        <w:t xml:space="preserve">izmantot lēmumu pieņemšanai turpmākai cilvēkresursu attīstības plānošanai valsts pārvaldē. </w:t>
      </w:r>
    </w:p>
    <w:p w:rsidR="00111105" w:rsidRPr="000B25FC" w:rsidRDefault="00111105" w:rsidP="00165EB4">
      <w:pPr>
        <w:spacing w:before="120"/>
        <w:jc w:val="both"/>
      </w:pPr>
      <w:r w:rsidRPr="000B25FC">
        <w:t xml:space="preserve">Lai apzinātu </w:t>
      </w:r>
      <w:r w:rsidR="000B25FC" w:rsidRPr="000B25FC">
        <w:t>valsts tiešās pārvaldes</w:t>
      </w:r>
      <w:r w:rsidRPr="000B25FC">
        <w:t xml:space="preserve"> iestādēs esošo amatu aizpildījumu, identificētu brīvās amata vietas un atbilstoši plānotu cilvēkresursus un to atlīdzību, ir būtiski regulāri iegūt aktuālus datus par vakancēm no visām </w:t>
      </w:r>
      <w:r w:rsidR="00C07D72">
        <w:t>valsts tiešās pārvaldes iestādēm.</w:t>
      </w:r>
      <w:r w:rsidRPr="000B25FC">
        <w:t xml:space="preserve">  Informācijas pieejamība par vakantajiem amatiem valsts tiešajā pārvaldē arī nodrošinātu iespēju Valsts kancelejai veikt karjeras attīstības plānošanas koordinēšanu ierēdņiem.</w:t>
      </w:r>
    </w:p>
    <w:p w:rsidR="00111105" w:rsidRPr="000B25FC" w:rsidRDefault="00111105" w:rsidP="00111105">
      <w:pPr>
        <w:jc w:val="both"/>
      </w:pPr>
      <w:r w:rsidRPr="000B25FC">
        <w:t xml:space="preserve">Lai nodrošinātu </w:t>
      </w:r>
      <w:r w:rsidR="000B25FC" w:rsidRPr="000B25FC">
        <w:t xml:space="preserve">valsts tiešās pārvaldes </w:t>
      </w:r>
      <w:r w:rsidRPr="000B25FC">
        <w:t xml:space="preserve">cilvēkresursu politikas ieviešanas koordinēšanu, ir būtiski analizēt ne tikai aktuālo amatu aizpildījumu sabiedriskā sektora iestādēs un ar to saistīto budžeta līdzekļu izlietojumu, bet arī identificēt darbinieku mobilitāti jeb pārvietošanos vismaz valsts tiešās pārvaldes iestāžu ietvaros (izņemot Nacionālos bruņotos spēkus un citas institūcijas, kas informāciju Noteikumu Nr.541 izpildei sniedz kodētā veidā). </w:t>
      </w:r>
      <w:r w:rsidR="000B25FC" w:rsidRPr="000B25FC">
        <w:t>Informācija par m</w:t>
      </w:r>
      <w:r w:rsidRPr="000B25FC">
        <w:t>obilitāt</w:t>
      </w:r>
      <w:r w:rsidR="000B25FC" w:rsidRPr="000B25FC">
        <w:t>i</w:t>
      </w:r>
      <w:r w:rsidRPr="000B25FC">
        <w:t xml:space="preserve"> radīs iespēju analizēt cilvēkresursu pārvietošanos </w:t>
      </w:r>
      <w:r w:rsidR="000B25FC" w:rsidRPr="000B25FC">
        <w:t>valsts tiešās pārvaldes</w:t>
      </w:r>
      <w:r w:rsidRPr="000B25FC">
        <w:t xml:space="preserve"> ietvaros, amatu maiņu vienas iestādes ietvaros, kā arī identificēt nodarbināto skaitu, kas atstājuši </w:t>
      </w:r>
      <w:r w:rsidR="000B25FC" w:rsidRPr="000B25FC">
        <w:t>valsts tiešās pārvaldes iestādes</w:t>
      </w:r>
      <w:r w:rsidRPr="000B25FC">
        <w:t xml:space="preserve">. Veicot detalizētāku cilvēkresursu analīzi (vērtējot datus par amatiem, nodarbināto izglītību, novērtējumu un atlīdzību) iespējams noteikt nodarbināto mobilitātes cēloņus un piedāvāt </w:t>
      </w:r>
      <w:r w:rsidR="000B25FC" w:rsidRPr="000B25FC">
        <w:t xml:space="preserve">iespējamos </w:t>
      </w:r>
      <w:r w:rsidRPr="000B25FC">
        <w:t>risinājumus attiecībā uz mobilitātes veicināšanu vai mazināšan</w:t>
      </w:r>
      <w:r w:rsidR="000B25FC" w:rsidRPr="000B25FC">
        <w:t>u</w:t>
      </w:r>
      <w:r w:rsidRPr="000B25FC">
        <w:t xml:space="preserve">. </w:t>
      </w:r>
    </w:p>
    <w:p w:rsidR="00111105" w:rsidRPr="000B25FC" w:rsidRDefault="00111105" w:rsidP="00111105">
      <w:pPr>
        <w:jc w:val="both"/>
      </w:pPr>
      <w:r w:rsidRPr="000B25FC">
        <w:t xml:space="preserve">Informācijas apkopošana par </w:t>
      </w:r>
      <w:r w:rsidR="000B25FC" w:rsidRPr="000B25FC">
        <w:t>valsts tiešā pārvaldē</w:t>
      </w:r>
      <w:r w:rsidRPr="000B25FC">
        <w:t xml:space="preserve"> nodarbināto vecumu, dzimumu un izglītību u.c. rādītājiem nodrošina iespēju veikt augstākas detalizācijas pakāpes analīzi par </w:t>
      </w:r>
      <w:r w:rsidR="000B25FC" w:rsidRPr="000B25FC">
        <w:t>valsts tiešajā pārvaldē</w:t>
      </w:r>
      <w:r w:rsidRPr="000B25FC">
        <w:t xml:space="preserve"> nodarbinātajiem cilvēkresursiem, veidojot ne tikai statistiku par </w:t>
      </w:r>
      <w:r w:rsidR="000B25FC" w:rsidRPr="000B25FC">
        <w:t xml:space="preserve">valsts tiešajā pārvaldē </w:t>
      </w:r>
      <w:r w:rsidRPr="000B25FC">
        <w:t>nodarbinātajiem, bet arī veikt nodarbināto cilvēkresursu kvalitātes un tās sasaistes ar atlīdzību analīzi.</w:t>
      </w:r>
    </w:p>
    <w:p w:rsidR="00111105" w:rsidRPr="000B25FC" w:rsidRDefault="00111105" w:rsidP="00111105">
      <w:pPr>
        <w:jc w:val="both"/>
      </w:pPr>
      <w:r w:rsidRPr="000B25FC">
        <w:t xml:space="preserve">Lai nodrošinātu atlīdzības veidošanās principu izsekojamību, ir būtiski iegūt informāciju ne tikai par darbinieku atlīdzību iestādēs, bet arī par šo darbinieku amatiem un to kvalifikācijas prasībām saskaņā ar Valsts un pašvaldību institūciju amatu katalogu un amatus regulējošiem normatīvajiem aktiem. Amatu klasificēšanas rezultātu apkopošana un analīze ir arī nepieciešama, lai būtu iespējams veikt amatu klasificēšanas rezultātu izlīdzināšanu un amatu savstarpējo salīdzināšanu valsts tiešās pārvaldes iestādēs. </w:t>
      </w:r>
    </w:p>
    <w:p w:rsidR="00111105" w:rsidRPr="00780EBC" w:rsidRDefault="00111105" w:rsidP="00111105">
      <w:pPr>
        <w:jc w:val="both"/>
        <w:rPr>
          <w:color w:val="FF0000"/>
          <w:highlight w:val="yellow"/>
        </w:rPr>
      </w:pPr>
    </w:p>
    <w:p w:rsidR="00111105" w:rsidRPr="000B25FC" w:rsidRDefault="000B25FC" w:rsidP="00111105">
      <w:pPr>
        <w:jc w:val="both"/>
      </w:pPr>
      <w:r w:rsidRPr="000B25FC">
        <w:t>Valsts tiešā pārvaldē</w:t>
      </w:r>
      <w:r w:rsidR="00111105" w:rsidRPr="000B25FC">
        <w:t xml:space="preserve"> nodarbināto cilvēkresursu atlīdzības vadība un analīze</w:t>
      </w:r>
      <w:r w:rsidR="00780EBC" w:rsidRPr="000B25FC">
        <w:t xml:space="preserve"> ir </w:t>
      </w:r>
      <w:r w:rsidR="00111105" w:rsidRPr="000B25FC">
        <w:t xml:space="preserve"> nepieciešama atlīdzības politikas izstrādei un koordinēšanai, tai skaitā, </w:t>
      </w:r>
      <w:r w:rsidRPr="000B25FC">
        <w:t>valsts tiešā pārvaldē</w:t>
      </w:r>
      <w:r w:rsidR="00111105" w:rsidRPr="000B25FC">
        <w:t xml:space="preserve"> nodarbināto atlīdzības uzskaite un analīze, kas </w:t>
      </w:r>
      <w:r w:rsidR="00780EBC" w:rsidRPr="000B25FC">
        <w:t xml:space="preserve">īpaši </w:t>
      </w:r>
      <w:r w:rsidR="00111105" w:rsidRPr="000B25FC">
        <w:t>nepieciešama valsts budžeta finansējuma pieprasījumu atlīdzībai izvērtēšanai attiecībā uz valsts tiešās pārvaldes iestādēm valsts budžeta likumprojekta izstrādes laikā, kā arī budžeta līdzekļu izlietojuma kontrolei.</w:t>
      </w:r>
    </w:p>
    <w:p w:rsidR="005E357B" w:rsidRPr="000B25FC" w:rsidRDefault="005E357B" w:rsidP="00111105">
      <w:pPr>
        <w:jc w:val="both"/>
      </w:pPr>
      <w:r w:rsidRPr="000B25FC">
        <w:t>Minētā informācija nepieciešama</w:t>
      </w:r>
      <w:r w:rsidR="00780EBC" w:rsidRPr="000B25FC">
        <w:t xml:space="preserve"> arī </w:t>
      </w:r>
      <w:r w:rsidRPr="000B25FC">
        <w:t xml:space="preserve">lai: </w:t>
      </w:r>
    </w:p>
    <w:p w:rsidR="005E357B" w:rsidRPr="000B25FC" w:rsidRDefault="005E357B"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t xml:space="preserve">Analizētu institūcijas / institūciju grupas izlietotos finanšu līdzekļus atlīdzībai un salīdzinātu tos ar iesniegtajiem budžeta pieprasījumiem; </w:t>
      </w:r>
    </w:p>
    <w:p w:rsidR="005E357B" w:rsidRPr="000B25FC" w:rsidRDefault="005E357B"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lastRenderedPageBreak/>
        <w:t xml:space="preserve">Būtu iespējams salīdzināt cilvēkresursu atlīdzībai </w:t>
      </w:r>
      <w:r w:rsidR="000B25FC" w:rsidRPr="000B25FC">
        <w:rPr>
          <w:rFonts w:ascii="Times New Roman" w:hAnsi="Times New Roman" w:cs="Times New Roman"/>
          <w:sz w:val="24"/>
          <w:szCs w:val="24"/>
        </w:rPr>
        <w:t>i</w:t>
      </w:r>
      <w:r w:rsidRPr="000B25FC">
        <w:rPr>
          <w:rFonts w:ascii="Times New Roman" w:hAnsi="Times New Roman" w:cs="Times New Roman"/>
          <w:sz w:val="24"/>
          <w:szCs w:val="24"/>
        </w:rPr>
        <w:t>zlietotos valsts budžeta līdzekļus institūciju starpā;</w:t>
      </w:r>
    </w:p>
    <w:p w:rsidR="005E357B" w:rsidRPr="000B25FC" w:rsidRDefault="005E357B"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t xml:space="preserve">Analizētu konkrēta amata, amatu grupas, saimes un līmeņa atlīdzību un sniegtu priekšlikumus par nepieciešamajiem uzlabojumiem un pilnveidojumiem </w:t>
      </w:r>
      <w:r w:rsidR="00C07D72">
        <w:rPr>
          <w:rFonts w:ascii="Times New Roman" w:hAnsi="Times New Roman" w:cs="Times New Roman"/>
          <w:sz w:val="24"/>
          <w:szCs w:val="24"/>
        </w:rPr>
        <w:t xml:space="preserve">vienotajā </w:t>
      </w:r>
      <w:r w:rsidRPr="000B25FC">
        <w:rPr>
          <w:rFonts w:ascii="Times New Roman" w:hAnsi="Times New Roman" w:cs="Times New Roman"/>
          <w:sz w:val="24"/>
          <w:szCs w:val="24"/>
        </w:rPr>
        <w:t>atlīdzības sistēmā;</w:t>
      </w:r>
    </w:p>
    <w:p w:rsidR="00780EBC" w:rsidRPr="000B25FC" w:rsidRDefault="00780EBC"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t xml:space="preserve">Salīdzinātu vienādu vai  līdzīgu amatu atlīdzību gan vienas institūcijas ietvaros, gan institūcijas/ institūciju grupu starpā. </w:t>
      </w:r>
    </w:p>
    <w:p w:rsidR="00165EB4" w:rsidRPr="004A7151" w:rsidRDefault="00FB0AD0" w:rsidP="00165EB4">
      <w:pPr>
        <w:spacing w:before="120"/>
        <w:jc w:val="both"/>
      </w:pPr>
      <w:r w:rsidRPr="004A7151">
        <w:t xml:space="preserve">Savukārt izmantojot valsts finanšu datu analīzes rīku no datu noliktavas būs iespējams iegūt standartizēta formāta atskaites (piem informācija par vakancēm pēdējo 2 mēnešu laikā, darbinieku skaits noteiktā vecuma grupā, darbinieku loks ar noteikta līmeņa konkrētas svešvalodas zināšanām utml.), kā arī veidot vienreizējas (unikālas) atskaites konkrētam gadījumam, izmantojot datu noliktavā esošo informāciju. </w:t>
      </w:r>
      <w:r w:rsidR="00165EB4" w:rsidRPr="004A7151">
        <w:t>Minētā sistēmas dokumentācija jāizstrādā atbilstoši Latvijas standartiem: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4A7151">
        <w:rPr>
          <w:rFonts w:ascii="Times New Roman" w:hAnsi="Times New Roman" w:cs="Times New Roman"/>
          <w:sz w:val="24"/>
          <w:szCs w:val="24"/>
        </w:rPr>
        <w:t xml:space="preserve">LVS 68:1996 INFORMĀCIJAS TEHNOLOĢIJA. </w:t>
      </w:r>
      <w:r w:rsidRPr="00B94590">
        <w:rPr>
          <w:rFonts w:ascii="Times New Roman" w:hAnsi="Times New Roman" w:cs="Times New Roman"/>
          <w:sz w:val="24"/>
          <w:szCs w:val="24"/>
        </w:rPr>
        <w:t>PROGRAMMINŽENIERIJA. Programmatūras prasību specifikācijas (PPS) ceļvedis;</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72:1996  INFORMĀCIJAS TEHNOLOĢIJA. PROGRAMMINŽENIERIJA. Ieteicamā prakse programmatūras projektējuma aprakstīšanai;</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66:1996  INFORMĀCIJAS TEHNOLOĢIJA. PROGRAMMINŽENIERIJA. Programmatūras lietotāja dokumentācija;</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 xml:space="preserve">Atbilstoši Ministru kabineta 2005.gada 11.oktobra noteikumu Nr.764 „Valsts informācijas sistēmu vispārējās tehniskās prasības” 4.5 apakšpunktā noteiktajam, sistēmas dokumentācijai ir jābūt pietiekamai, lai varētu izdarīt izmaiņas sistēmā vai pilnībā atjaunot sistēmas darbību. </w:t>
      </w:r>
    </w:p>
    <w:p w:rsidR="00165EB4" w:rsidRPr="00B94590" w:rsidRDefault="00165EB4" w:rsidP="00165EB4">
      <w:pPr>
        <w:spacing w:before="120"/>
        <w:jc w:val="both"/>
      </w:pPr>
      <w:r w:rsidRPr="00B94590">
        <w:rPr>
          <w:b/>
        </w:rPr>
        <w:t>Sistēmas drošība.</w:t>
      </w:r>
      <w:r w:rsidRPr="00B94590">
        <w:t xml:space="preserve"> VBPBP lietotāju autentifikācijai sistēmā un parakstīšanai izmanto Oracle Access Manager (OAM) autentifikācijas rīkus. Atbilstoši MK rīkojumam Nr. 140 „Par Koncepciju par vienota autentifikācijas mehānisma ieviešanas iespējām valsts informācijas sistēmās” piedāvājumam atbalstīt risinājumu, kurā iestāžu darbinieku autentificēšanai jaunveidojamās un modernizējamās valsts informācijas sistēmās izmanto autentifikācijas principu, kas pamatojas uz savstarpēju uzticēšanos (federated authentication), OAM tehnoloģija ir balstīta uz lietotāju pārvaldību LDAP. Atbilstoši MK rīkojumam Vides aizsardzības un reģionālās attīstības ministrijai sadarbībā ar Satiksmes ministriju un Iekšlietu ministriju izstrādāt un vides aizsardzības un reģionālās attīstības ministram līdz 2012.gada 1.martam jāiesniedz noteiktā kārtībā Ministru kabinetā tiesību aktu projektus, kas nosaka vienotu tiesisko regulējumu personas autentifikācijai. Kamēr šāda regulējama nav, sistēmu autentifikācija tiks būvēta, lai tā nebūt pretrunā ar „Koncepciju par vienota autentifikācijas mehānisma ieviešanas iespējām valsts informācijas sistēmās” un vajadzības gadījumā var tikt pielāgota, kad notiks koncepcijas realizācija. Sistēmas drošības nodrošināšanai Valsts kasē ir nozīmēts informācijas sistēmu drošības pārvaldnieks, kurš saskaņā ar MK 11.10.2005. noteikumu Nr. 765 pārzinim jānodrošina drošības pasākumu komplekss, lai nodrošinātu VBPBP informācijas pieejamību, veselumu un konfidencialitāti, t.sk. reizi gadā veic sistēmas risku analīzi, </w:t>
      </w:r>
      <w:r w:rsidRPr="00B94590">
        <w:lastRenderedPageBreak/>
        <w:t>sastāda un kontrolē risku mazināšanas plānu, reizi gadā veci sistēmas drošības pārbaudes</w:t>
      </w:r>
    </w:p>
    <w:p w:rsidR="00165EB4" w:rsidRPr="00B94590" w:rsidRDefault="00165EB4" w:rsidP="00165EB4">
      <w:pPr>
        <w:spacing w:before="120"/>
        <w:jc w:val="both"/>
      </w:pPr>
      <w:r w:rsidRPr="00B94590">
        <w:rPr>
          <w:b/>
        </w:rPr>
        <w:t>Sistēmas veiktspēja.</w:t>
      </w:r>
      <w:r w:rsidRPr="00B94590">
        <w:t xml:space="preserve"> Pašlaik VBPBP ir ~4500 lietotāju un analizējot sistēmas noslodzi var konstatēt, ka sistēmai jānodrošina līdz 600 vienlaicīgu lietotāju darbību apstrādi. Šajā nodaļā aprakstītās izmaiņas būtiski nepalielinās kopējo lietotāju skaitu, jo aprakstīto funkcionalitāti izmantos jau esošie sistēmas lietotāji, tomēr var tikt palielināties vienlaicīgo lietotāju skaits līdz 900 vienlaicīgiem lietotājiem, kas ņemts vērā nosakot aptuvenos infrastruktūras parametrus </w:t>
      </w:r>
      <w:r w:rsidRPr="00B94590">
        <w:fldChar w:fldCharType="begin"/>
      </w:r>
      <w:r w:rsidRPr="00B94590">
        <w:instrText xml:space="preserve"> REF _Ref303198018 \r \h </w:instrText>
      </w:r>
      <w:r w:rsidRPr="00B94590">
        <w:fldChar w:fldCharType="separate"/>
      </w:r>
      <w:r w:rsidR="00B34772">
        <w:t>4.7.1</w:t>
      </w:r>
      <w:r w:rsidRPr="00B94590">
        <w:fldChar w:fldCharType="end"/>
      </w:r>
      <w:r w:rsidRPr="00B94590">
        <w:t xml:space="preserve"> nodaļā.</w:t>
      </w:r>
    </w:p>
    <w:p w:rsidR="00165EB4" w:rsidRPr="00B94590" w:rsidRDefault="00165EB4" w:rsidP="00A65510">
      <w:pPr>
        <w:jc w:val="both"/>
        <w:rPr>
          <w:lang w:eastAsia="en-US"/>
        </w:rPr>
      </w:pPr>
    </w:p>
    <w:p w:rsidR="00742979" w:rsidRPr="00B94590" w:rsidRDefault="00CD0CDF" w:rsidP="00742979">
      <w:pPr>
        <w:pStyle w:val="Heading3"/>
        <w:jc w:val="both"/>
      </w:pPr>
      <w:bookmarkStart w:id="75" w:name="_Toc292619582"/>
      <w:bookmarkStart w:id="76" w:name="_Toc293616275"/>
      <w:r w:rsidRPr="00B94590">
        <w:t>Nepieciešamās izmaiņas attiecībā uz</w:t>
      </w:r>
      <w:bookmarkEnd w:id="75"/>
      <w:bookmarkEnd w:id="76"/>
      <w:r w:rsidR="00165EB4" w:rsidRPr="00B94590">
        <w:t xml:space="preserve"> valsts finanšu datu analīzes rīku</w:t>
      </w:r>
      <w:r w:rsidRPr="00B94590">
        <w:tab/>
      </w:r>
      <w:r w:rsidR="00742979" w:rsidRPr="00B94590">
        <w:tab/>
      </w:r>
    </w:p>
    <w:p w:rsidR="00165EB4" w:rsidRPr="00B94590" w:rsidRDefault="00165EB4" w:rsidP="00165EB4">
      <w:pPr>
        <w:jc w:val="both"/>
        <w:rPr>
          <w:lang w:eastAsia="en-US"/>
        </w:rPr>
      </w:pPr>
      <w:r w:rsidRPr="00B94590">
        <w:rPr>
          <w:lang w:eastAsia="en-US"/>
        </w:rPr>
        <w:t>Plānots izstrādāt mūsdienīgu valsts budžeta un finanšu grāmatvedības datu  analīzes rīku, tādejādi iegūstot nepieciešamo analītisko materiālu, lai pilnvērtīgi sagatavotu lēmumiem nepieciešamo informāciju gadskārtējam valsts budžeta likumam un vidēja termiņa budžeta ietvara likumam. Ar šī rīka palīdzību tiktu iegūta analītiska informācija, balstoties uz standartizētiem atskaišu formātiem, kā arī apmācīti darbinieki, lai tie spētu definēt un analizēt uzkrājamās informācijas kopas un iegūtu konkrētu nepieciešamo informāciju, izmantojot datus, kas uzkrāti saistītajās datu noliktavās (</w:t>
      </w:r>
      <w:r w:rsidRPr="00B94590">
        <w:rPr>
          <w:i/>
          <w:lang w:eastAsia="en-US"/>
        </w:rPr>
        <w:t>ad-hock analīze)</w:t>
      </w:r>
      <w:r w:rsidRPr="00B94590">
        <w:rPr>
          <w:lang w:eastAsia="en-US"/>
        </w:rPr>
        <w:t xml:space="preserve">. </w:t>
      </w:r>
    </w:p>
    <w:p w:rsidR="00165EB4" w:rsidRPr="00B94590" w:rsidRDefault="00165EB4" w:rsidP="00165EB4">
      <w:pPr>
        <w:jc w:val="both"/>
        <w:rPr>
          <w:lang w:eastAsia="en-US"/>
        </w:rPr>
      </w:pPr>
      <w:r w:rsidRPr="00B94590">
        <w:rPr>
          <w:lang w:eastAsia="en-US"/>
        </w:rPr>
        <w:t>Valsts finanšu datu analīzes rīks tiktu būvēts izmantojot tādu tehnoloģisko risinājumu kā BI (</w:t>
      </w:r>
      <w:r w:rsidRPr="00B94590">
        <w:rPr>
          <w:i/>
          <w:lang w:eastAsia="en-US"/>
        </w:rPr>
        <w:t>Business Intelligence</w:t>
      </w:r>
      <w:r w:rsidRPr="00B94590">
        <w:rPr>
          <w:lang w:eastAsia="en-US"/>
        </w:rPr>
        <w:t xml:space="preserve">), kas nodrošina informācijas operatīvu un regulāru analīzi, sniedzot arī ilustratīvu materiālu un iezīmējot „kritiskos” lielumus. Ar šī analīzes rīka palīdzību tiktu ģenerētas atskaites no datu noliktavās uzkrātajiem datiem (iegūta arī informācija par valsts tiešās pārvaldes iestāžu vispārīgo administratīvo izdevumu efektivizēšanu, tādejādi nodrošinot viendabīgu resursu plānošanu valsts budžeta iestādēm u.c.). </w:t>
      </w:r>
    </w:p>
    <w:p w:rsidR="00165EB4" w:rsidRDefault="00165EB4" w:rsidP="00165EB4">
      <w:pPr>
        <w:spacing w:after="120"/>
        <w:jc w:val="both"/>
        <w:rPr>
          <w:lang w:eastAsia="en-US"/>
        </w:rPr>
      </w:pPr>
      <w:r w:rsidRPr="00B94590">
        <w:rPr>
          <w:lang w:eastAsia="en-US"/>
        </w:rPr>
        <w:t xml:space="preserve">Izmantojot šo analīzes rīku analītiskā informācija tiktu iegūta ātrāk, tā būtu savstarpēji salīdzināma pa laika periodiem, atbilstoši datu noliktavās uzkrātajiem datiem. </w:t>
      </w:r>
    </w:p>
    <w:p w:rsidR="00D23005" w:rsidRPr="002F5C4D" w:rsidRDefault="00D23005" w:rsidP="00165EB4">
      <w:pPr>
        <w:spacing w:after="120"/>
        <w:jc w:val="both"/>
        <w:rPr>
          <w:lang w:eastAsia="en-US"/>
        </w:rPr>
      </w:pPr>
      <w:r w:rsidRPr="002F5C4D">
        <w:rPr>
          <w:lang w:eastAsia="en-US"/>
        </w:rPr>
        <w:t xml:space="preserve">Attiecībā uz atlīdzības uzskaiti tiktu iegūta gan regulāra analītiskā informācija, gan arī individuāli pieprasāmā analītiskā informācija no datiem, kas uzkrāti datu noliktavā. Piemērojot šādu tehnoloģisko risinājumu </w:t>
      </w:r>
      <w:r w:rsidR="00F66B10" w:rsidRPr="002F5C4D">
        <w:rPr>
          <w:lang w:eastAsia="en-US"/>
        </w:rPr>
        <w:t xml:space="preserve">tiks paātrināta vizuālā analītiskā materiāla sagatavošana, uzlabotos tā kvalitāte. Šāda veidā varētu iegūt tādu analītisku informāciju, kā piemēram, plānotās un faktiskās atlīdzības salīdzinājums (dažādā laika periodā, ko iespējams definēt), dažādu piemaksu piemērošana gan iestāžu griezumā, gan starp darbiniekiem, dažādu kompensējoša rakstura izdevumu piemērošanu nodarbinātajiem (pabalsti, kompensācijas par mācību izdevumiem (t.sk. apmaksājot dalību dažādos apmācības kursos)), prēmiju un cita veida motivācijas elementu piemērošana, atlīdzības izmaiņas sadalījumā pa nodarbināto grupām dažādos laika periodos utml., ar mērķi veikt nepieciešamos pilnveidojumus vienotajā atlīdzības  sistēmā, kā arī racionālā valsts budžeta līdzekļu sadalē. Šādu un citu analītisko materiālu izmantošana turpmāk ļaus </w:t>
      </w:r>
      <w:r w:rsidR="00241D5E" w:rsidRPr="002F5C4D">
        <w:rPr>
          <w:lang w:eastAsia="en-US"/>
        </w:rPr>
        <w:t xml:space="preserve">konstatēt arī problemātiskos jautājumus, kas palīdzēs uzlabot vienotās atlīdzības politiku un pilnveidot tās ieviešanu (sagatavojot kvalitatīvus un uz pierādījumiem balstītus grozījumus normatīvajos aktos). </w:t>
      </w:r>
    </w:p>
    <w:p w:rsidR="00165EB4" w:rsidRPr="00B94590" w:rsidRDefault="00165EB4" w:rsidP="00165EB4">
      <w:pPr>
        <w:jc w:val="both"/>
      </w:pPr>
      <w:r w:rsidRPr="00B94590">
        <w:rPr>
          <w:lang w:eastAsia="en-US"/>
        </w:rPr>
        <w:t xml:space="preserve">BI risinājums tiktu integrēts ar esošo </w:t>
      </w:r>
      <w:r w:rsidRPr="00B94590">
        <w:t xml:space="preserve">VVBPIS. VVBPIS ir tehnoloģiski būvēta izmantojot standarta produkta SAP platformu, kas pielāgota specifiskajām valsts budžeta plānošanas un izpildes funkcionālajām prasībām. Sistēma balstās uz 4 apakšsistēmām: </w:t>
      </w:r>
    </w:p>
    <w:p w:rsidR="00165EB4" w:rsidRPr="00B94590" w:rsidRDefault="00165EB4" w:rsidP="00165EB4">
      <w:pPr>
        <w:numPr>
          <w:ilvl w:val="0"/>
          <w:numId w:val="15"/>
        </w:numPr>
        <w:jc w:val="both"/>
      </w:pPr>
      <w:r w:rsidRPr="00B94590">
        <w:lastRenderedPageBreak/>
        <w:t>Plānošanas sistēma (Realizēta ar SAP BW/BPS līdzekļiem, kur SAP BW glabājas plānošanas datu struktūras, bet ar SAP BW/BPS līdzekļiem tiek nodrošināts plānošanas process)</w:t>
      </w:r>
    </w:p>
    <w:p w:rsidR="00165EB4" w:rsidRPr="00B94590" w:rsidRDefault="00165EB4" w:rsidP="00165EB4">
      <w:pPr>
        <w:numPr>
          <w:ilvl w:val="0"/>
          <w:numId w:val="15"/>
        </w:numPr>
        <w:jc w:val="both"/>
      </w:pPr>
      <w:r w:rsidRPr="00B94590">
        <w:t>Portāls (Realizēts ar SAP Portal līdzekļiem)</w:t>
      </w:r>
    </w:p>
    <w:p w:rsidR="00165EB4" w:rsidRPr="00B94590" w:rsidRDefault="00165EB4" w:rsidP="00165EB4">
      <w:pPr>
        <w:numPr>
          <w:ilvl w:val="0"/>
          <w:numId w:val="15"/>
        </w:numPr>
        <w:jc w:val="both"/>
      </w:pPr>
      <w:r w:rsidRPr="00B94590">
        <w:t>Budžeta izpildes sistēma (Realizēta ar SAP ERP līdzekļiem aktivizējot FI un FM komponentes.)</w:t>
      </w:r>
    </w:p>
    <w:p w:rsidR="00165EB4" w:rsidRPr="00B94590" w:rsidRDefault="00165EB4" w:rsidP="00165EB4">
      <w:pPr>
        <w:numPr>
          <w:ilvl w:val="0"/>
          <w:numId w:val="15"/>
        </w:numPr>
        <w:jc w:val="both"/>
      </w:pPr>
      <w:r w:rsidRPr="00B94590">
        <w:t>Budžeta izpildes datu noliktava (Realizēta ar SAP BW līdzekļiem)</w:t>
      </w:r>
    </w:p>
    <w:p w:rsidR="00165EB4" w:rsidRPr="00B94590" w:rsidRDefault="00165EB4" w:rsidP="00165EB4">
      <w:pPr>
        <w:spacing w:after="120"/>
        <w:jc w:val="both"/>
        <w:rPr>
          <w:lang w:eastAsia="en-US"/>
        </w:rPr>
      </w:pPr>
      <w:r w:rsidRPr="00B94590">
        <w:rPr>
          <w:lang w:eastAsia="en-US"/>
        </w:rPr>
        <w:t>Divas no šīm apakšsistēmām izmanto tehnoloģisko komponenti SAP BW (SAP business warehouse), t.i. agregēto datu noliktavu. BI risinājumam būtu jānodrošina analīzes iespējas no šīm abām datu noliktavām.</w:t>
      </w:r>
    </w:p>
    <w:p w:rsidR="00165EB4" w:rsidRPr="00B94590" w:rsidRDefault="00165EB4" w:rsidP="00165EB4">
      <w:pPr>
        <w:spacing w:after="120"/>
        <w:jc w:val="both"/>
        <w:rPr>
          <w:lang w:eastAsia="en-US"/>
        </w:rPr>
      </w:pPr>
      <w:r w:rsidRPr="00B94590">
        <w:rPr>
          <w:lang w:eastAsia="en-US"/>
        </w:rPr>
        <w:t xml:space="preserve">Lai risinājums būtu pilnvērtīgs valsts finanšu datu analīzes rīks, papildus BI tehnoloģiskajam risinājumam tieši atskaišu izstrādei, būtu arī jāveic </w:t>
      </w:r>
      <w:r w:rsidRPr="00B94590">
        <w:rPr>
          <w:b/>
          <w:lang w:eastAsia="en-US"/>
        </w:rPr>
        <w:t>būtiska esošo VVBPIS datu noliktavu pārbūve un attīstība,</w:t>
      </w:r>
      <w:r w:rsidRPr="00B94590">
        <w:rPr>
          <w:lang w:eastAsia="en-US"/>
        </w:rPr>
        <w:t xml:space="preserve"> kur viens no posmiem būtu apvienot tehnoloģisko platformu Valsts Budžeta plānošanas un Izpildes kontroles procesiem, lai tie tiktu darbināti uz vienas kopējas SAP BW instances ar minimizētu datu pārneses un transformāciju skaitu</w:t>
      </w:r>
    </w:p>
    <w:p w:rsidR="00165EB4" w:rsidRPr="00B94590" w:rsidRDefault="00165EB4" w:rsidP="00165EB4">
      <w:pPr>
        <w:spacing w:after="120"/>
        <w:jc w:val="both"/>
        <w:rPr>
          <w:lang w:eastAsia="en-US"/>
        </w:rPr>
      </w:pPr>
      <w:r w:rsidRPr="00B94590">
        <w:rPr>
          <w:lang w:eastAsia="en-US"/>
        </w:rPr>
        <w:t xml:space="preserve">Apvienojot tehnoloģisko platformu valsts budžeta plānošanas un izpildes kontroles procesiem, galvenie ieguvumi būtu: </w:t>
      </w:r>
    </w:p>
    <w:p w:rsidR="00165EB4" w:rsidRPr="00B94590" w:rsidRDefault="00165EB4" w:rsidP="00165EB4">
      <w:pPr>
        <w:spacing w:after="120"/>
        <w:jc w:val="both"/>
        <w:rPr>
          <w:lang w:eastAsia="en-US"/>
        </w:rPr>
      </w:pPr>
      <w:r w:rsidRPr="00B94590">
        <w:rPr>
          <w:lang w:eastAsia="en-US"/>
        </w:rPr>
        <w:t>- Kopīgi sistēmas pamatdati (klasifikatori, hierarhijas)</w:t>
      </w:r>
    </w:p>
    <w:p w:rsidR="00165EB4" w:rsidRPr="00B94590" w:rsidRDefault="00165EB4" w:rsidP="00165EB4">
      <w:pPr>
        <w:spacing w:after="120"/>
        <w:jc w:val="both"/>
        <w:rPr>
          <w:lang w:eastAsia="en-US"/>
        </w:rPr>
      </w:pPr>
      <w:r w:rsidRPr="00B94590">
        <w:rPr>
          <w:lang w:eastAsia="en-US"/>
        </w:rPr>
        <w:t xml:space="preserve">- Nav nepieciešama datu pārlāde kontroles atskaišu (izpilde pret plānu) sagatavošanai </w:t>
      </w:r>
    </w:p>
    <w:p w:rsidR="00165EB4" w:rsidRPr="00B94590" w:rsidRDefault="00165EB4" w:rsidP="00165EB4">
      <w:pPr>
        <w:spacing w:after="120"/>
        <w:jc w:val="both"/>
        <w:rPr>
          <w:lang w:eastAsia="en-US"/>
        </w:rPr>
      </w:pPr>
      <w:r w:rsidRPr="00B94590">
        <w:rPr>
          <w:lang w:eastAsia="en-US"/>
        </w:rPr>
        <w:t xml:space="preserve">- abi sistēmas bloki strādā vienā serverī, līdz ar to atbrīvojas otrs serveris, samazinās sistēmas uzturēšanas izmaksas  </w:t>
      </w:r>
    </w:p>
    <w:p w:rsidR="00165EB4" w:rsidRPr="00B94590" w:rsidRDefault="00165EB4" w:rsidP="00165EB4">
      <w:pPr>
        <w:spacing w:after="120"/>
        <w:jc w:val="both"/>
        <w:rPr>
          <w:lang w:eastAsia="en-US"/>
        </w:rPr>
      </w:pPr>
      <w:r w:rsidRPr="00B94590">
        <w:rPr>
          <w:lang w:eastAsia="en-US"/>
        </w:rPr>
        <w:t>- apvienojot, samazinās datu pārneses interfeisi</w:t>
      </w:r>
    </w:p>
    <w:p w:rsidR="00165EB4" w:rsidRPr="00B94590" w:rsidRDefault="00165EB4" w:rsidP="00165EB4">
      <w:pPr>
        <w:spacing w:after="120"/>
        <w:jc w:val="both"/>
        <w:rPr>
          <w:lang w:eastAsia="en-US"/>
        </w:rPr>
      </w:pPr>
      <w:r w:rsidRPr="00B94590">
        <w:rPr>
          <w:lang w:eastAsia="en-US"/>
        </w:rPr>
        <w:t xml:space="preserve">- nav nepieciešams dublēt datus (plāna datus, izpildes datus, pamatdatus, hierarhijas, utml) divās BW instancēs </w:t>
      </w:r>
    </w:p>
    <w:p w:rsidR="00165EB4" w:rsidRPr="00B94590" w:rsidRDefault="00165EB4" w:rsidP="00165EB4">
      <w:pPr>
        <w:spacing w:after="120"/>
        <w:jc w:val="both"/>
        <w:rPr>
          <w:lang w:eastAsia="en-US"/>
        </w:rPr>
      </w:pPr>
      <w:r w:rsidRPr="00B94590">
        <w:rPr>
          <w:lang w:eastAsia="en-US"/>
        </w:rPr>
        <w:t>- samazinās nepieciešamo pārskatu skaits</w:t>
      </w:r>
    </w:p>
    <w:p w:rsidR="00165EB4" w:rsidRPr="00B94590" w:rsidRDefault="00165EB4" w:rsidP="00165EB4">
      <w:pPr>
        <w:spacing w:after="120"/>
        <w:jc w:val="both"/>
        <w:rPr>
          <w:lang w:eastAsia="en-US"/>
        </w:rPr>
      </w:pPr>
      <w:r w:rsidRPr="00B94590">
        <w:rPr>
          <w:lang w:eastAsia="en-US"/>
        </w:rPr>
        <w:t>- tiek samazināts laiks pieprasīto datu ieguvei, jo visi dati atrodas vienotā tehnoloģiskajā sistēmā (serverī)</w:t>
      </w:r>
    </w:p>
    <w:p w:rsidR="00165EB4" w:rsidRPr="00B94590" w:rsidRDefault="00165EB4" w:rsidP="00165EB4">
      <w:pPr>
        <w:spacing w:after="120"/>
        <w:jc w:val="both"/>
        <w:rPr>
          <w:lang w:eastAsia="en-US"/>
        </w:rPr>
      </w:pPr>
      <w:r w:rsidRPr="00B94590">
        <w:rPr>
          <w:lang w:eastAsia="en-US"/>
        </w:rPr>
        <w:t>- paaugstinās sistēmas datu drošība (nav lieku pārnesu kuru rezultātā var tikt pazaudēta datu integritāte)</w:t>
      </w:r>
    </w:p>
    <w:p w:rsidR="00165EB4" w:rsidRPr="00B94590" w:rsidRDefault="00165EB4" w:rsidP="00165EB4">
      <w:pPr>
        <w:spacing w:after="120"/>
        <w:jc w:val="both"/>
        <w:rPr>
          <w:lang w:eastAsia="en-US"/>
        </w:rPr>
      </w:pPr>
      <w:r w:rsidRPr="00B94590">
        <w:rPr>
          <w:lang w:eastAsia="en-US"/>
        </w:rPr>
        <w:t>- sistēmas apvienošanas brīdī tiks veikta esošas SAP versijas atjaunināšana (upgrade), kas ļauj izmantot modernus SAP plānošanas un analīze rīkus</w:t>
      </w:r>
    </w:p>
    <w:p w:rsidR="00165EB4" w:rsidRPr="00B94590" w:rsidRDefault="00165EB4" w:rsidP="00165EB4">
      <w:pPr>
        <w:spacing w:after="120"/>
        <w:jc w:val="both"/>
        <w:rPr>
          <w:lang w:eastAsia="en-US"/>
        </w:rPr>
      </w:pPr>
      <w:r w:rsidRPr="00B94590">
        <w:rPr>
          <w:lang w:eastAsia="en-US"/>
        </w:rPr>
        <w:t>Pašlaik esošajā budžeta izpildes datu noliktavā dati tiek importēti no budžeta izpildes sistēmas (SAP ERP), nodrošinot, ka tiek savākti dati tieši budžeta izpildes atskaišu izstrādei dažādos griezumos.</w:t>
      </w:r>
    </w:p>
    <w:p w:rsidR="00165EB4" w:rsidRPr="00B94590" w:rsidRDefault="00165EB4" w:rsidP="00165EB4">
      <w:pPr>
        <w:spacing w:after="120"/>
        <w:jc w:val="both"/>
        <w:rPr>
          <w:lang w:eastAsia="en-US"/>
        </w:rPr>
      </w:pPr>
      <w:r w:rsidRPr="00B94590">
        <w:rPr>
          <w:lang w:eastAsia="en-US"/>
        </w:rPr>
        <w:t>Lai nodrošinātu plašāku datu analīzi, būtu jāpārveido datu noliktavas datu struktūras un jānodrošina datu imports, lai datu noliktavā tiktu uzturēti arī valsts budžeta iestāžu finanšu grāmatvedības atskaišu dati.</w:t>
      </w:r>
      <w:r w:rsidRPr="00B94590">
        <w:t xml:space="preserve"> Šobrīd netiek plānots, ka tiks pieprasītas papildus atskaites vai informācija lai nodrošinātu datu analīzi. </w:t>
      </w:r>
    </w:p>
    <w:p w:rsidR="00165EB4" w:rsidRPr="00B94590" w:rsidRDefault="00165EB4" w:rsidP="00165EB4">
      <w:pPr>
        <w:spacing w:after="120"/>
        <w:jc w:val="both"/>
        <w:rPr>
          <w:lang w:eastAsia="en-US"/>
        </w:rPr>
      </w:pPr>
      <w:r w:rsidRPr="00B94590">
        <w:rPr>
          <w:lang w:eastAsia="en-US"/>
        </w:rPr>
        <w:t>Tā kā pārskatu datu sagatavošanai un iesniegšanai visas valsts budžeta iestādes izmanto VBPBP sistēmu un iestādes jau ir nodrošinātas ar nepieciešamajiem autentifikācijas rīkiem, kā arī sistēmas instalācijām, optimāli būtu šo sistēmu izmantot arī  finanšu grāmatvedības datu savākšanai no iestādēm, konsolidēšanai, apstrādei un tālākam importam SAP BW sistēmā, no kuras šie dati būtu pieejami BI analīzei.</w:t>
      </w:r>
    </w:p>
    <w:p w:rsidR="00165EB4" w:rsidRPr="00B94590" w:rsidRDefault="00165EB4" w:rsidP="00165EB4">
      <w:pPr>
        <w:spacing w:after="120"/>
        <w:jc w:val="both"/>
        <w:rPr>
          <w:lang w:eastAsia="en-US"/>
        </w:rPr>
      </w:pPr>
      <w:r w:rsidRPr="00B94590">
        <w:rPr>
          <w:lang w:eastAsia="en-US"/>
        </w:rPr>
        <w:lastRenderedPageBreak/>
        <w:t>BI risinājuma tehnoloģiskā komponente būtu SAP Business Objects, kura izmantošana jau ir uzsākta VK (tiek izmantots SAP Business Objects Edge BI, standard package) strādājot ar VVBPIS. Izmantojot šo tehnoloģiju, arī nozaru ministrijas nepieciešamības gadījumā varēs izmantot šo valsts budžeta datu analīzes instrumentu (lietojot standarta interneta pārlūkprogrammu un SAP Business Objects Edge BI named user licenci), lai veiktu  savas nozares finanšu līdzekļu izlietojuma analīzi un turpmāk veiktu to racionālu plānošanu atbilstoši nozarei izvirzītajiem mērķiem.</w:t>
      </w:r>
    </w:p>
    <w:p w:rsidR="00165EB4" w:rsidRPr="004A7151" w:rsidRDefault="00165EB4" w:rsidP="00165EB4">
      <w:pPr>
        <w:spacing w:after="120"/>
        <w:jc w:val="both"/>
        <w:rPr>
          <w:lang w:eastAsia="en-US"/>
        </w:rPr>
      </w:pPr>
      <w:r w:rsidRPr="00B94590">
        <w:rPr>
          <w:lang w:eastAsia="en-US"/>
        </w:rPr>
        <w:t xml:space="preserve">Šī projekta ietvaros jāvērtē iespēja paplašināt pašreizējo VK izmantoto SAP Business Objects Edge BI, standard package 10 licenču komplektu līdz ne vairāk kā 150 licencēm, t.i. vidēji 10 licences katrai ministrijai (12 ministrijas, lai būtu iespējams jau resora finanšu darbiniekiem veikt resora budžeta plānošanas un izpildes analīzi un racionāli plānot resora fiskālo politiku) un papildus 30 licences, kas tiks izmantotas centralizētai datu analīzei VK un FM. Šāds papildinājums jāvērtē no lietošanas nepieciešamības mērķiem un pieejamiem finanšu resursiem, kā arī uzturēšanas izmaksām nākotnē, ņemot vērā efektīvu un lietderīgu finanšu līdzekļu izmantošanu. </w:t>
      </w:r>
      <w:r w:rsidR="007A1345" w:rsidRPr="004A7151">
        <w:rPr>
          <w:lang w:eastAsia="en-US"/>
        </w:rPr>
        <w:t xml:space="preserve">Ar šādu pieeju ministrijām tiks dota iespēja pilnībā skatīt savu pakļautībā un pārraudzība esošo institūciju ievadīto informāciju, kā arī veikt nepieciešamo analīzi, izmantojot standarta atskaites kas jau tiek paredzētas, kā arī veidot vienreizējas (unikālas) atskaites izmantojot datu noliktavā uzkrātos datus par savu resoru. </w:t>
      </w:r>
    </w:p>
    <w:p w:rsidR="005861E8" w:rsidRPr="004A7151" w:rsidRDefault="005861E8" w:rsidP="006D4520">
      <w:pPr>
        <w:spacing w:after="120"/>
        <w:ind w:right="91"/>
        <w:jc w:val="both"/>
      </w:pPr>
      <w:r w:rsidRPr="004A7151">
        <w:t xml:space="preserve">Ieviešot valsts finanšu datu analīzes rīku un ļaujot to izmantot ministrijām sava resora ievadīto datu analīzei būs nepieciešams veikt </w:t>
      </w:r>
      <w:r w:rsidRPr="004A7151">
        <w:rPr>
          <w:b/>
        </w:rPr>
        <w:t>apmācības</w:t>
      </w:r>
      <w:r w:rsidRPr="004A7151">
        <w:t xml:space="preserve"> ministriju darbiniekiem</w:t>
      </w:r>
      <w:r w:rsidR="00030EEB" w:rsidRPr="004A7151">
        <w:t xml:space="preserve">. </w:t>
      </w:r>
    </w:p>
    <w:p w:rsidR="005861E8" w:rsidRPr="007A1345" w:rsidRDefault="005861E8" w:rsidP="00165EB4">
      <w:pPr>
        <w:spacing w:after="120"/>
        <w:jc w:val="both"/>
        <w:rPr>
          <w:color w:val="FF0000"/>
          <w:lang w:eastAsia="en-US"/>
        </w:rPr>
      </w:pPr>
    </w:p>
    <w:p w:rsidR="00165EB4" w:rsidRPr="00B94590" w:rsidRDefault="00165EB4" w:rsidP="00165EB4">
      <w:pPr>
        <w:spacing w:after="120"/>
        <w:jc w:val="both"/>
      </w:pPr>
      <w:r w:rsidRPr="00B94590">
        <w:t>SAP Business Objects būtiskākās priekšrocības ir:</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Lietotāju neatkarība</w:t>
      </w:r>
      <w:r w:rsidRPr="00B94590">
        <w:rPr>
          <w:rFonts w:ascii="Times New Roman" w:hAnsi="Times New Roman" w:cs="Times New Roman"/>
          <w:sz w:val="24"/>
          <w:szCs w:val="24"/>
        </w:rPr>
        <w:t xml:space="preserve"> - lietotāji paši var izveidot savas atskaites un saglabāt tās, kā arī dalīties (publicēt, piešķirt pieeju) ar tām ar citiem darbiniekiem.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Datu drošība</w:t>
      </w:r>
      <w:r w:rsidRPr="00B94590">
        <w:rPr>
          <w:rFonts w:ascii="Times New Roman" w:hAnsi="Times New Roman" w:cs="Times New Roman"/>
          <w:sz w:val="24"/>
          <w:szCs w:val="24"/>
        </w:rPr>
        <w:t xml:space="preserve"> - administratori var ierobežot lietotāju pieejas tiesības gan konkrētām atskaitēm, kā arī atsevišķiem datu objektiem.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 xml:space="preserve">Plašas analīzes iespējas </w:t>
      </w:r>
      <w:r w:rsidRPr="00B94590">
        <w:rPr>
          <w:rFonts w:ascii="Times New Roman" w:hAnsi="Times New Roman" w:cs="Times New Roman"/>
          <w:sz w:val="24"/>
          <w:szCs w:val="24"/>
        </w:rPr>
        <w:t>- informāciju iespējams attēlot tabulu un grafiku veidā, papildināt ar jauniem aprēķiniem.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 xml:space="preserve">Scenāriji, kā arī analīze „kas būtu, ja…” </w:t>
      </w:r>
      <w:r w:rsidRPr="00B94590">
        <w:rPr>
          <w:rFonts w:ascii="Times New Roman" w:hAnsi="Times New Roman" w:cs="Times New Roman"/>
          <w:sz w:val="24"/>
          <w:szCs w:val="24"/>
        </w:rPr>
        <w:t>- izmantojot mainīgos parametrus, iespējams modelēt dažādus attīstības scenārijus, tos savstarpēji salīdzināt un izvēlēties optimālāko rīcības modeli.</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Interaktīvas atskaites</w:t>
      </w:r>
      <w:r w:rsidRPr="00B94590">
        <w:rPr>
          <w:rFonts w:ascii="Times New Roman" w:hAnsi="Times New Roman" w:cs="Times New Roman"/>
          <w:sz w:val="24"/>
          <w:szCs w:val="24"/>
        </w:rPr>
        <w:t xml:space="preserve"> – iespēja atskaites būvēt tā, ka no jebkura skaitļa iespējams iedziļināties tā detaļās, dinamiski pāriet no vienas analīzes dimensijas uz citu.</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Pārskatu publicēšana</w:t>
      </w:r>
      <w:r w:rsidRPr="00B94590">
        <w:rPr>
          <w:rFonts w:ascii="Times New Roman" w:hAnsi="Times New Roman" w:cs="Times New Roman"/>
          <w:sz w:val="24"/>
          <w:szCs w:val="24"/>
        </w:rPr>
        <w:t xml:space="preserve"> - jebkuras atskaites var tikt automātiski ģenerētas un pielāgotas individuāli saņēmējam.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Integrācija ar MS Word, Excel vai PowerPoint</w:t>
      </w:r>
      <w:r w:rsidRPr="00B94590">
        <w:rPr>
          <w:rFonts w:ascii="Times New Roman" w:hAnsi="Times New Roman" w:cs="Times New Roman"/>
          <w:sz w:val="24"/>
          <w:szCs w:val="24"/>
        </w:rPr>
        <w:t xml:space="preserve"> - jebkuras atskaites vai to fragmentus iespējams integrēt MS Office dokumentos un jebkurā laikā veikt informācijas atjaunošanu par interesējošo periodu.</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Vizualizācija -</w:t>
      </w:r>
      <w:r w:rsidRPr="00B94590">
        <w:rPr>
          <w:rFonts w:ascii="Times New Roman" w:hAnsi="Times New Roman" w:cs="Times New Roman"/>
          <w:sz w:val="24"/>
          <w:szCs w:val="24"/>
        </w:rPr>
        <w:t xml:space="preserve"> atraktīva datu prezentācija sniedz iespēju uzskatamāk attēlot pētāmo problēmu un labāk izskaidrot atklātos rezultātus auditorijai.</w:t>
      </w:r>
    </w:p>
    <w:p w:rsidR="00165EB4" w:rsidRPr="00B94590" w:rsidRDefault="00165EB4" w:rsidP="00165EB4">
      <w:pPr>
        <w:spacing w:before="120"/>
        <w:ind w:left="360"/>
        <w:jc w:val="both"/>
      </w:pPr>
      <w:r w:rsidRPr="00B94590">
        <w:lastRenderedPageBreak/>
        <w:t xml:space="preserve">Kā piemērs analīzes iespējām būtu Ministru kabineta 2010.gada 21.jūnija noteikumu Nr.541 „Noteikumi par valsts un pašvaldību institūciju amatpersonu un darbinieku atlīdzības uzskaites sistēmu” 15. pielikumā definēto pārskatu </w:t>
      </w:r>
      <w:r w:rsidR="000B25FC">
        <w:t xml:space="preserve">un citas datu noliktavā uzkrātās </w:t>
      </w:r>
      <w:r w:rsidRPr="00B94590">
        <w:t>informācijas analīze, kur būtu iespējams veikt vizuālu (grafisku) salīdzināšanu par atlīdzību izmaiņām gan laika (mēneši, gadi), gan nozaru griezumā, salīdzinot izmaksas gan pa nodarbināto amatu grupām, gan dažādām atalgojuma pozīcijām (darba algas, piemaksas par nakts darbu, piemaksas par virsstundām, piemaksas par izdienu u.c.).</w:t>
      </w:r>
    </w:p>
    <w:p w:rsidR="00165EB4" w:rsidRPr="00B94590" w:rsidRDefault="00165EB4" w:rsidP="00165EB4">
      <w:pPr>
        <w:spacing w:before="120"/>
        <w:ind w:left="360"/>
        <w:jc w:val="both"/>
      </w:pPr>
      <w:r w:rsidRPr="00B94590">
        <w:t>SAP sistēmu pārvaldība (gan budžeta plānošanai gan izpildes kontrolei, gan analīzes rīka uzturēšanai BI) tiek veikta Valsts kasē,  kas ir FM resora kompetences centrs SAP un BI tehnoloģijām</w:t>
      </w:r>
    </w:p>
    <w:p w:rsidR="00165EB4" w:rsidRPr="00B94590" w:rsidRDefault="00165EB4" w:rsidP="00165EB4">
      <w:pPr>
        <w:spacing w:before="120"/>
        <w:ind w:left="360"/>
        <w:jc w:val="both"/>
      </w:pPr>
      <w:r w:rsidRPr="00B94590">
        <w:t>Lai precīzi un atbilstoši vajadzībām veiktu šajā koncepcijā aprakstītās izmaiņas, jāizstrādā un jāsaskaņo detalizēta tehniskā programmatūras prasību specifikācija (PPS) un tehniskais projektējums (PPA) kā arī jāizstrādā lietotāju dokumentācija. Minētā sistēmas dokumentācija jāizstrādā atbilstoši Latvijas standartiem: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68:1996 INFORMĀCIJAS TEHNOLOĢIJA. PROGRAMMINŽENIERIJA. Programmatūras prasību specifikācijas (PPS) ceļvedis;</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72:1996  INFORMĀCIJAS TEHNOLOĢIJA. PROGRAMMINŽENIERIJA. Ieteicamā prakse programmatūras projektējuma aprakstīšanai;</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66:1996  INFORMĀCIJAS TEHNOLOĢIJA. PROGRAMMINŽENIERIJA. Programmatūras lietotāja dokumentācija;</w:t>
      </w:r>
    </w:p>
    <w:p w:rsidR="00165EB4" w:rsidRPr="00B94590" w:rsidRDefault="00165EB4" w:rsidP="00165EB4">
      <w:pPr>
        <w:spacing w:before="120"/>
        <w:ind w:left="360"/>
        <w:jc w:val="both"/>
      </w:pPr>
      <w:r w:rsidRPr="00B94590">
        <w:t xml:space="preserve">Atbilstoši Ministru kabineta 2005.gada 11.oktobra noteikumu Nr.764 „Valsts informācijas sistēmu vispārējās tehniskās prasības” 4.5 apakšpunktā noteiktajam, sistēmas dokumentācijai ir jābūt pietiekamai, lai varētu izdarīt izmaiņas sistēmā vai pilnībā atjaunot sistēmas darbību. </w:t>
      </w:r>
    </w:p>
    <w:p w:rsidR="00165EB4" w:rsidRPr="00B94590" w:rsidRDefault="00165EB4" w:rsidP="00165EB4">
      <w:pPr>
        <w:spacing w:before="120"/>
        <w:ind w:left="360"/>
        <w:jc w:val="both"/>
      </w:pPr>
      <w:r w:rsidRPr="00B94590">
        <w:t>Pēc izmaiņu ieviešanas jāizstrādā atbilstoša IS lietotāja rokasgrāmata un administratora rokasgrāmata.</w:t>
      </w:r>
    </w:p>
    <w:p w:rsidR="00742979" w:rsidRPr="00B94590" w:rsidRDefault="00742979" w:rsidP="00742979">
      <w:pPr>
        <w:spacing w:after="120"/>
        <w:ind w:left="425" w:right="-765"/>
        <w:jc w:val="both"/>
      </w:pPr>
    </w:p>
    <w:p w:rsidR="00ED55CF" w:rsidRPr="00B94590" w:rsidRDefault="00ED55CF" w:rsidP="00A65510">
      <w:pPr>
        <w:pStyle w:val="Heading2"/>
        <w:jc w:val="both"/>
        <w:rPr>
          <w:lang w:val="lv-LV"/>
        </w:rPr>
      </w:pPr>
      <w:bookmarkStart w:id="77" w:name="_Toc292619583"/>
      <w:bookmarkStart w:id="78" w:name="_Toc293616276"/>
      <w:r w:rsidRPr="00B94590">
        <w:rPr>
          <w:lang w:val="lv-LV"/>
        </w:rPr>
        <w:t>Izmaiņu prioritātes</w:t>
      </w:r>
      <w:bookmarkEnd w:id="77"/>
      <w:bookmarkEnd w:id="78"/>
    </w:p>
    <w:p w:rsidR="007356AA" w:rsidRPr="00B94590" w:rsidRDefault="007356AA" w:rsidP="007356AA">
      <w:pPr>
        <w:jc w:val="both"/>
      </w:pPr>
      <w:r w:rsidRPr="00B94590">
        <w:t>Vienotas valsts iestāžu finanšu un vadības grāmatvedības atbalstošo sistēmu attīstībā tiek piedāvātas šādas prioritātes:</w:t>
      </w:r>
    </w:p>
    <w:p w:rsidR="007356AA" w:rsidRPr="00B94590" w:rsidRDefault="00B415B9" w:rsidP="00AE0FB9">
      <w:pPr>
        <w:pStyle w:val="Normalb"/>
        <w:numPr>
          <w:ilvl w:val="0"/>
          <w:numId w:val="10"/>
        </w:numPr>
        <w:jc w:val="both"/>
        <w:rPr>
          <w:b/>
          <w:bCs/>
        </w:rPr>
      </w:pPr>
      <w:r w:rsidRPr="00B94590">
        <w:rPr>
          <w:b/>
          <w:bCs/>
        </w:rPr>
        <w:t>Nepieciešamās izmaiņas attiecībā uz grāmatvedības procesu standartizāciju valsts budžeta iestādēs</w:t>
      </w:r>
      <w:r w:rsidRPr="00B94590">
        <w:rPr>
          <w:b/>
          <w:bCs/>
        </w:rPr>
        <w:tab/>
      </w:r>
      <w:r w:rsidRPr="00B94590">
        <w:rPr>
          <w:bCs/>
        </w:rPr>
        <w:t>Lai nodrošinātu nepieciešamās izmaiņas att</w:t>
      </w:r>
      <w:r w:rsidR="003F7CE7" w:rsidRPr="00B94590">
        <w:rPr>
          <w:bCs/>
        </w:rPr>
        <w:t>i</w:t>
      </w:r>
      <w:r w:rsidRPr="00B94590">
        <w:rPr>
          <w:bCs/>
        </w:rPr>
        <w:t xml:space="preserve">ecībā uz valsts finanšu datu analīzes rīku (skat. </w:t>
      </w:r>
      <w:r w:rsidR="0083333E" w:rsidRPr="00B94590">
        <w:rPr>
          <w:bCs/>
        </w:rPr>
        <w:t>turpmāk</w:t>
      </w:r>
      <w:r w:rsidRPr="00B94590">
        <w:rPr>
          <w:bCs/>
        </w:rPr>
        <w:t>), ka datu noliktavā importējamie un analizējamie finanšu grāmatvedības dati ir salīdzināmi un izmantojami analīzei, nepieciešams, lai šie dati būtu viendabīgi un standartizēti. To var panākt veicot valsts budžeta iestāžu pārvaldības procesu vienādošanu (standartizāciju), kas ļautu optimizēt iestādēs notiekošos finanšu vadības un administratīvos (t.sk. grāmatvedības uzskaites) procesus, tādējādi radot priekšnoteikumus finanšu, informācijas tehnoloģiju un personāla resursu efektīvākai izmantošanai.</w:t>
      </w:r>
    </w:p>
    <w:p w:rsidR="0083333E" w:rsidRPr="002F5C4D" w:rsidRDefault="0083333E" w:rsidP="0083333E">
      <w:pPr>
        <w:pStyle w:val="Normalb"/>
        <w:numPr>
          <w:ilvl w:val="0"/>
          <w:numId w:val="10"/>
        </w:numPr>
        <w:tabs>
          <w:tab w:val="num" w:pos="426"/>
        </w:tabs>
        <w:jc w:val="both"/>
      </w:pPr>
      <w:r w:rsidRPr="00B94590">
        <w:rPr>
          <w:b/>
          <w:bCs/>
        </w:rPr>
        <w:t>Atlīdzības uzskaites sistēmas uzlabošana</w:t>
      </w:r>
      <w:r w:rsidRPr="00B94590">
        <w:rPr>
          <w:bCs/>
        </w:rPr>
        <w:t xml:space="preserve">, pilnveidojot esošo Valsts kases informācijas sistēmu VBPBP, kura jau tiek izmantota visās valsts budžeta iestādēs un ir ērti izmantojama informācijas savākšanai, gan izmantojot manuālu datu </w:t>
      </w:r>
      <w:r w:rsidRPr="002F5C4D">
        <w:rPr>
          <w:bCs/>
        </w:rPr>
        <w:lastRenderedPageBreak/>
        <w:t>ievadi, gan datu importu XML formātā.</w:t>
      </w:r>
      <w:r w:rsidR="000B5115" w:rsidRPr="002F5C4D">
        <w:rPr>
          <w:bCs/>
        </w:rPr>
        <w:t xml:space="preserve"> Esošās PUD dati tiks pārnesti uz pilnveidoto datu noliktavu, kas ļaus turpmāk izmantot arī jau iepriekš uzkrātos datus</w:t>
      </w:r>
      <w:r w:rsidR="00031A59" w:rsidRPr="002F5C4D">
        <w:rPr>
          <w:bCs/>
        </w:rPr>
        <w:t xml:space="preserve">, tādejādi pilnveidojot PUD funkcionalitāti, uzlabojot tā darbības vidi. </w:t>
      </w:r>
    </w:p>
    <w:p w:rsidR="007356AA" w:rsidRPr="002F5C4D" w:rsidRDefault="00CF5426" w:rsidP="00AE0FB9">
      <w:pPr>
        <w:pStyle w:val="Normalb"/>
        <w:numPr>
          <w:ilvl w:val="0"/>
          <w:numId w:val="10"/>
        </w:numPr>
        <w:jc w:val="both"/>
      </w:pPr>
      <w:r w:rsidRPr="002F5C4D">
        <w:rPr>
          <w:b/>
          <w:bCs/>
        </w:rPr>
        <w:t>Nepieciešamās izmaiņas att</w:t>
      </w:r>
      <w:r w:rsidR="00C7616E" w:rsidRPr="002F5C4D">
        <w:rPr>
          <w:b/>
          <w:bCs/>
        </w:rPr>
        <w:t>i</w:t>
      </w:r>
      <w:r w:rsidRPr="002F5C4D">
        <w:rPr>
          <w:b/>
          <w:bCs/>
        </w:rPr>
        <w:t xml:space="preserve">ecībā uz valsts finanšu datu analīzes rīku, </w:t>
      </w:r>
      <w:r w:rsidRPr="002F5C4D">
        <w:rPr>
          <w:bCs/>
        </w:rPr>
        <w:t xml:space="preserve">kur plānots izstrādāt mūsdienīgu valsts budžeta un finanšu grāmatvedības datu  analīzes rīku, tādejādi iegūstot nepieciešamo analītisko materiālu, lai pilnvērtīgi sagatavotu lēmumiem nepieciešamo informāciju gadskārtējam valsts budžeta likumam un vidēja termiņa budžeta </w:t>
      </w:r>
      <w:r w:rsidR="00791AE7" w:rsidRPr="002F5C4D">
        <w:rPr>
          <w:bCs/>
        </w:rPr>
        <w:t xml:space="preserve">ietvara likumam, </w:t>
      </w:r>
      <w:r w:rsidR="00742AEF" w:rsidRPr="002F5C4D">
        <w:rPr>
          <w:bCs/>
        </w:rPr>
        <w:t xml:space="preserve">tai skaitā atlīdzības politikas izstrādes jautājumos, </w:t>
      </w:r>
      <w:r w:rsidRPr="002F5C4D">
        <w:rPr>
          <w:bCs/>
        </w:rPr>
        <w:t>izmantojot tādu tehnoloģisko risinājumu kā BI (</w:t>
      </w:r>
      <w:r w:rsidRPr="002F5C4D">
        <w:rPr>
          <w:bCs/>
          <w:i/>
        </w:rPr>
        <w:t>Business Intelligence</w:t>
      </w:r>
      <w:r w:rsidRPr="002F5C4D">
        <w:rPr>
          <w:bCs/>
        </w:rPr>
        <w:t>)</w:t>
      </w:r>
      <w:r w:rsidR="0083333E" w:rsidRPr="002F5C4D">
        <w:rPr>
          <w:bCs/>
        </w:rPr>
        <w:t xml:space="preserve"> vai tā analogu</w:t>
      </w:r>
      <w:r w:rsidR="000B5115" w:rsidRPr="002F5C4D">
        <w:rPr>
          <w:bCs/>
        </w:rPr>
        <w:t>. Šī tehnoloģiskā risinājuma izmantošana ļaus būtiski uzlabot analītiskās informācijas kvalitāti un saturu, kā arī sarežģītāka apjoma analītiskos materiālos gatavot īsākā laika periodā</w:t>
      </w:r>
      <w:r w:rsidR="009747D3" w:rsidRPr="002F5C4D">
        <w:rPr>
          <w:bCs/>
        </w:rPr>
        <w:t>, tos maksimāli ilustrējot</w:t>
      </w:r>
      <w:r w:rsidR="007356AA" w:rsidRPr="002F5C4D">
        <w:t>;</w:t>
      </w:r>
    </w:p>
    <w:p w:rsidR="00ED55CF" w:rsidRPr="002F5C4D" w:rsidRDefault="00ED55CF" w:rsidP="00A65510">
      <w:pPr>
        <w:pStyle w:val="Heading2"/>
        <w:jc w:val="both"/>
        <w:rPr>
          <w:lang w:val="lv-LV"/>
        </w:rPr>
      </w:pPr>
      <w:bookmarkStart w:id="79" w:name="_Toc292619584"/>
      <w:bookmarkStart w:id="80" w:name="_Toc293616277"/>
      <w:r w:rsidRPr="002F5C4D">
        <w:rPr>
          <w:lang w:val="lv-LV"/>
        </w:rPr>
        <w:t>Apspriestās, bet modifikācijā neiekļautās izmaiņas</w:t>
      </w:r>
      <w:bookmarkEnd w:id="79"/>
      <w:bookmarkEnd w:id="80"/>
    </w:p>
    <w:p w:rsidR="0035161A" w:rsidRPr="002F5C4D" w:rsidRDefault="0035161A" w:rsidP="0035161A">
      <w:pPr>
        <w:jc w:val="both"/>
      </w:pPr>
      <w:r w:rsidRPr="002F5C4D">
        <w:t>Dotajā dokument</w:t>
      </w:r>
      <w:r w:rsidR="00DB4AF8" w:rsidRPr="002F5C4D">
        <w:t>ā netiek aprakstīts apspriestai</w:t>
      </w:r>
      <w:r w:rsidRPr="002F5C4D">
        <w:t xml:space="preserve">s, bet noraidītais risinājums, izstrādāt </w:t>
      </w:r>
      <w:r w:rsidR="00A44C91" w:rsidRPr="002F5C4D">
        <w:t>uzlabojumus atlīdzības uzska</w:t>
      </w:r>
      <w:r w:rsidR="004622F9" w:rsidRPr="002F5C4D">
        <w:t>i</w:t>
      </w:r>
      <w:r w:rsidR="00A44C91" w:rsidRPr="002F5C4D">
        <w:t>tes sistēmā</w:t>
      </w:r>
      <w:r w:rsidRPr="002F5C4D">
        <w:t xml:space="preserve"> un valsts finanšu datu analīzes rīku, bez esošo publiskā sektora iestāžu grāmatvedības procesu sta</w:t>
      </w:r>
      <w:r w:rsidR="00DB4AF8" w:rsidRPr="002F5C4D">
        <w:t>ndartizācijas. Pamatojums – fi</w:t>
      </w:r>
      <w:r w:rsidRPr="002F5C4D">
        <w:t>n</w:t>
      </w:r>
      <w:r w:rsidR="00DB4AF8" w:rsidRPr="002F5C4D">
        <w:t>an</w:t>
      </w:r>
      <w:r w:rsidRPr="002F5C4D">
        <w:t>šu datu neviendabīgums un struktū</w:t>
      </w:r>
      <w:r w:rsidR="00C430ED" w:rsidRPr="002F5C4D">
        <w:t xml:space="preserve">ras dažādība, kas neļautu veikt </w:t>
      </w:r>
      <w:r w:rsidRPr="002F5C4D">
        <w:t>pietiekam</w:t>
      </w:r>
      <w:r w:rsidR="00C430ED" w:rsidRPr="002F5C4D">
        <w:t>i ticamu</w:t>
      </w:r>
      <w:r w:rsidRPr="002F5C4D">
        <w:t xml:space="preserve"> datu analīzi.</w:t>
      </w:r>
    </w:p>
    <w:p w:rsidR="00ED55CF" w:rsidRPr="002F5C4D" w:rsidRDefault="00ED55CF" w:rsidP="00A65510">
      <w:pPr>
        <w:pStyle w:val="Heading2"/>
        <w:jc w:val="both"/>
        <w:rPr>
          <w:lang w:val="lv-LV"/>
        </w:rPr>
      </w:pPr>
      <w:bookmarkStart w:id="81" w:name="_Toc292619585"/>
      <w:bookmarkStart w:id="82" w:name="_Toc293616278"/>
      <w:r w:rsidRPr="002F5C4D">
        <w:rPr>
          <w:lang w:val="lv-LV"/>
        </w:rPr>
        <w:t>Pieņēmumi un ierobežojumi</w:t>
      </w:r>
      <w:bookmarkEnd w:id="81"/>
      <w:bookmarkEnd w:id="82"/>
    </w:p>
    <w:p w:rsidR="00ED55CF" w:rsidRPr="002F5C4D" w:rsidRDefault="009962E5" w:rsidP="00A65510">
      <w:pPr>
        <w:jc w:val="both"/>
      </w:pPr>
      <w:r w:rsidRPr="002F5C4D">
        <w:t>Koncepcija balstīta uz esošo situāciju, ka valsts budžeta plānošanu veic F</w:t>
      </w:r>
      <w:r w:rsidR="00D67DDD" w:rsidRPr="002F5C4D">
        <w:t>M</w:t>
      </w:r>
      <w:r w:rsidRPr="002F5C4D">
        <w:t>. Koncepcijas risinājumi ir balstīti uz pieņēmumu, ka valsts pārvaldes iestādēs ir pieejams interneta pieslēgums.</w:t>
      </w:r>
    </w:p>
    <w:p w:rsidR="00422CA1" w:rsidRPr="002F5C4D" w:rsidRDefault="00422CA1" w:rsidP="00A65510">
      <w:pPr>
        <w:jc w:val="both"/>
      </w:pPr>
      <w:r w:rsidRPr="002F5C4D">
        <w:t xml:space="preserve">Ar koncepcijā piedāvāto risinājumu attiecībā uz </w:t>
      </w:r>
      <w:r w:rsidR="009747D3" w:rsidRPr="002F5C4D">
        <w:t>nākotnē paredzamajiem pilnveidojumiem patreizējam</w:t>
      </w:r>
      <w:r w:rsidRPr="002F5C4D">
        <w:t xml:space="preserve"> PUD tiek paredzēts uzlabot tā darbības vidi, neparedzot iegādāties vienotu centralizētu programmatūru personālvadības datu uzkrāšanai</w:t>
      </w:r>
      <w:r w:rsidR="00E64C38" w:rsidRPr="002F5C4D">
        <w:t xml:space="preserve"> katrā iestādē, bet uzkrājot datus centralizēti vienuviet. </w:t>
      </w:r>
      <w:r w:rsidRPr="002F5C4D">
        <w:t xml:space="preserve"> </w:t>
      </w:r>
      <w:r w:rsidR="00E64C38" w:rsidRPr="002F5C4D">
        <w:t xml:space="preserve">Iestādes turpinās strādāt ar savā rīcībā esošām personālvadības uzskaites sistēmām. </w:t>
      </w:r>
      <w:r w:rsidR="009747D3" w:rsidRPr="002F5C4D">
        <w:t xml:space="preserve">Šāda pieeja nodrošina datu centralizāciju, iespēju veikt kvalitatīvāku analīzi. </w:t>
      </w:r>
      <w:r w:rsidR="00031A59" w:rsidRPr="002F5C4D">
        <w:t xml:space="preserve">Valsts pārvaldes iestādes, kurām nav savas personāla uzskaites sistēmas un kuras līdz šim izmantoja  PUD informācijas apkopošanai, turpmāk informāciju ievadīs manuāli VBPBP, izmantojot tiešsaistes (Web) datu ievades formas. </w:t>
      </w:r>
    </w:p>
    <w:p w:rsidR="00031A59" w:rsidRDefault="00031A59" w:rsidP="00A65510">
      <w:pPr>
        <w:jc w:val="both"/>
        <w:rPr>
          <w:color w:val="FF0000"/>
        </w:rPr>
      </w:pPr>
    </w:p>
    <w:p w:rsidR="00031A59" w:rsidRDefault="00031A59" w:rsidP="00A65510">
      <w:pPr>
        <w:jc w:val="both"/>
        <w:rPr>
          <w:color w:val="FF0000"/>
        </w:rPr>
      </w:pPr>
    </w:p>
    <w:p w:rsidR="00ED55CF" w:rsidRPr="00B94590" w:rsidRDefault="00ED55CF" w:rsidP="00A65510">
      <w:pPr>
        <w:pStyle w:val="Heading1"/>
        <w:jc w:val="both"/>
        <w:rPr>
          <w:lang w:val="lv-LV"/>
        </w:rPr>
      </w:pPr>
      <w:bookmarkStart w:id="83" w:name="_Ref56517865"/>
      <w:bookmarkStart w:id="84" w:name="_Ref56517874"/>
      <w:bookmarkStart w:id="85" w:name="_Ref56517885"/>
      <w:bookmarkStart w:id="86" w:name="_Ref260208187"/>
      <w:bookmarkStart w:id="87" w:name="_Toc292619586"/>
      <w:bookmarkStart w:id="88" w:name="_Toc293616279"/>
      <w:r w:rsidRPr="00B94590">
        <w:rPr>
          <w:lang w:val="lv-LV"/>
        </w:rPr>
        <w:lastRenderedPageBreak/>
        <w:t>modifcēt</w:t>
      </w:r>
      <w:r w:rsidR="00124A67" w:rsidRPr="00B94590">
        <w:rPr>
          <w:lang w:val="lv-LV"/>
        </w:rPr>
        <w:t>O</w:t>
      </w:r>
      <w:r w:rsidRPr="00B94590">
        <w:rPr>
          <w:lang w:val="lv-LV"/>
        </w:rPr>
        <w:t xml:space="preserve"> sistēm</w:t>
      </w:r>
      <w:bookmarkEnd w:id="64"/>
      <w:bookmarkEnd w:id="83"/>
      <w:bookmarkEnd w:id="84"/>
      <w:bookmarkEnd w:id="85"/>
      <w:r w:rsidR="00124A67" w:rsidRPr="00B94590">
        <w:rPr>
          <w:lang w:val="lv-LV"/>
        </w:rPr>
        <w:t>U</w:t>
      </w:r>
      <w:r w:rsidR="00D67DDD" w:rsidRPr="00B94590">
        <w:rPr>
          <w:lang w:val="lv-LV"/>
        </w:rPr>
        <w:t xml:space="preserve"> </w:t>
      </w:r>
      <w:r w:rsidR="00831DFF" w:rsidRPr="00B94590">
        <w:rPr>
          <w:lang w:val="lv-LV"/>
        </w:rPr>
        <w:t>KONCEPCIJA</w:t>
      </w:r>
      <w:bookmarkEnd w:id="86"/>
      <w:bookmarkEnd w:id="87"/>
      <w:bookmarkEnd w:id="88"/>
    </w:p>
    <w:p w:rsidR="00ED55CF" w:rsidRPr="00B94590" w:rsidRDefault="00124A67" w:rsidP="00A65510">
      <w:pPr>
        <w:pStyle w:val="Heading2"/>
        <w:jc w:val="both"/>
        <w:rPr>
          <w:lang w:val="lv-LV"/>
        </w:rPr>
      </w:pPr>
      <w:bookmarkStart w:id="89" w:name="_Toc292619587"/>
      <w:bookmarkStart w:id="90" w:name="_Toc293616280"/>
      <w:r w:rsidRPr="00B94590">
        <w:rPr>
          <w:lang w:val="lv-LV"/>
        </w:rPr>
        <w:t>Sistēmu</w:t>
      </w:r>
      <w:r w:rsidR="00ED55CF" w:rsidRPr="00B94590">
        <w:rPr>
          <w:lang w:val="lv-LV"/>
        </w:rPr>
        <w:t xml:space="preserve"> bāze, mērķi un darbības sfēra</w:t>
      </w:r>
      <w:bookmarkEnd w:id="89"/>
      <w:bookmarkEnd w:id="90"/>
    </w:p>
    <w:p w:rsidR="00085477" w:rsidRPr="00B94590" w:rsidRDefault="00085477" w:rsidP="00A65510">
      <w:pPr>
        <w:pStyle w:val="Body0"/>
        <w:jc w:val="both"/>
      </w:pPr>
      <w:r w:rsidRPr="00B94590">
        <w:t>Vienotas valsts iestāžu finanšu un vadības grāmatvedības atbalstošo sistēmu mērķi ir:</w:t>
      </w:r>
    </w:p>
    <w:p w:rsidR="003D065B" w:rsidRPr="00B94590" w:rsidRDefault="004622F9" w:rsidP="00701E76">
      <w:pPr>
        <w:pStyle w:val="Body0"/>
        <w:numPr>
          <w:ilvl w:val="0"/>
          <w:numId w:val="20"/>
        </w:numPr>
        <w:jc w:val="both"/>
      </w:pPr>
      <w:r w:rsidRPr="00B94590">
        <w:t>Uzlabota budžeta iestāžu pārskatu datu kvalitāte un uzlabota informācijas apkopošanas un konsolidācijas procedūru izpilde, standartizējot nozaru uzskaites procesus</w:t>
      </w:r>
      <w:r w:rsidR="003D065B" w:rsidRPr="00B94590">
        <w:rPr>
          <w:lang w:eastAsia="en-US"/>
        </w:rPr>
        <w:t>;</w:t>
      </w:r>
    </w:p>
    <w:p w:rsidR="00E045AF" w:rsidRPr="00B94590" w:rsidRDefault="004622F9" w:rsidP="00701E76">
      <w:pPr>
        <w:pStyle w:val="Body0"/>
        <w:numPr>
          <w:ilvl w:val="0"/>
          <w:numId w:val="20"/>
        </w:numPr>
        <w:jc w:val="both"/>
      </w:pPr>
      <w:r w:rsidRPr="00B94590">
        <w:rPr>
          <w:lang w:eastAsia="en-US"/>
        </w:rPr>
        <w:t>Vienotā formātā (datu noliktavā) pieejama visa informācija par sabiedriskajā sektorā nodarbināto atlīdzību (atlīdzības uzskaites sistēma), tās izmaiņām, nodrošinot operatīvu datu analīzi un prognožu sagatavošanu</w:t>
      </w:r>
      <w:r w:rsidR="00E045AF" w:rsidRPr="00B94590">
        <w:t>;</w:t>
      </w:r>
    </w:p>
    <w:p w:rsidR="00742AEF" w:rsidRPr="00B94590" w:rsidRDefault="004622F9" w:rsidP="00701E76">
      <w:pPr>
        <w:pStyle w:val="Body0"/>
        <w:numPr>
          <w:ilvl w:val="0"/>
          <w:numId w:val="20"/>
        </w:numPr>
        <w:jc w:val="both"/>
      </w:pPr>
      <w:r w:rsidRPr="00B94590">
        <w:rPr>
          <w:lang w:eastAsia="en-US"/>
        </w:rPr>
        <w:t>Valsts finanšu datu analīzes iespējas ar mūsdienīgu datu analīzes rīku, tādejādi sniedzot nepieciešamo analītisko materiālu, lai pilnvērtīgi sagatavotu lēmumiem nepieciešamo informāciju gadskārtējam valsts budžeta likumam un vidēja termiņa budžeta ietvara likumam</w:t>
      </w:r>
      <w:r w:rsidR="00742AEF" w:rsidRPr="00B94590">
        <w:rPr>
          <w:lang w:eastAsia="en-US"/>
        </w:rPr>
        <w:t>.</w:t>
      </w:r>
    </w:p>
    <w:p w:rsidR="00D169A5" w:rsidRPr="00B94590" w:rsidRDefault="00D169A5" w:rsidP="00D67DDD">
      <w:pPr>
        <w:pStyle w:val="Body0"/>
        <w:jc w:val="both"/>
      </w:pPr>
      <w:r w:rsidRPr="00B94590">
        <w:t>Modificēto sistēmu darbības sfēra ir valsts iestāžu finanšu un vadības grāmatvedības procesu atbalsta uzlabošana.</w:t>
      </w:r>
    </w:p>
    <w:p w:rsidR="00ED55CF" w:rsidRPr="00B94590" w:rsidRDefault="00ED55CF" w:rsidP="00A65510">
      <w:pPr>
        <w:pStyle w:val="Heading2"/>
        <w:jc w:val="both"/>
        <w:rPr>
          <w:lang w:val="lv-LV"/>
        </w:rPr>
      </w:pPr>
      <w:bookmarkStart w:id="91" w:name="_Toc292619588"/>
      <w:bookmarkStart w:id="92" w:name="_Toc293616281"/>
      <w:r w:rsidRPr="00B94590">
        <w:rPr>
          <w:lang w:val="lv-LV"/>
        </w:rPr>
        <w:t>Darbības politikas un ierobežojumi</w:t>
      </w:r>
      <w:bookmarkEnd w:id="91"/>
      <w:bookmarkEnd w:id="92"/>
    </w:p>
    <w:p w:rsidR="00ED55CF" w:rsidRPr="00B94590" w:rsidRDefault="00847BEC" w:rsidP="00A65510">
      <w:pPr>
        <w:pStyle w:val="Body0"/>
        <w:jc w:val="both"/>
      </w:pPr>
      <w:r w:rsidRPr="00B94590">
        <w:t>Vienotas valsts iestāžu finanšu un vadības grāmatvedības atbalstošo sistēmu darbības politika ir balstīta uz savstarpēji integrētu sistēmu sadarbību. Sistēmu integrācijā plānots izmantot iespēju robežās platform-neatkarīgus tehniskos risinājumus.</w:t>
      </w:r>
      <w:r w:rsidR="00D67DDD" w:rsidRPr="00B94590">
        <w:t xml:space="preserve"> </w:t>
      </w:r>
      <w:r w:rsidR="008B49F6" w:rsidRPr="00B94590">
        <w:t>Koncepcijas risinājumi ir balstīti uz pieņēmumu, ka sistēmu potenciālajiem lietotājiem ir pieejams interneta pieslēgums.</w:t>
      </w:r>
    </w:p>
    <w:p w:rsidR="00ED55CF" w:rsidRPr="00B94590" w:rsidRDefault="00124A67" w:rsidP="00A65510">
      <w:pPr>
        <w:pStyle w:val="Heading2"/>
        <w:jc w:val="both"/>
        <w:rPr>
          <w:lang w:val="lv-LV"/>
        </w:rPr>
      </w:pPr>
      <w:bookmarkStart w:id="93" w:name="_Toc292619589"/>
      <w:bookmarkStart w:id="94" w:name="_Toc293616282"/>
      <w:r w:rsidRPr="00B94590">
        <w:rPr>
          <w:lang w:val="lv-LV"/>
        </w:rPr>
        <w:t>Sistēmu</w:t>
      </w:r>
      <w:r w:rsidR="00ED55CF" w:rsidRPr="00B94590">
        <w:rPr>
          <w:lang w:val="lv-LV"/>
        </w:rPr>
        <w:t xml:space="preserve"> arhitektūra</w:t>
      </w:r>
      <w:bookmarkEnd w:id="93"/>
      <w:bookmarkEnd w:id="94"/>
    </w:p>
    <w:p w:rsidR="00B17470" w:rsidRDefault="00A44C91" w:rsidP="00A65510">
      <w:pPr>
        <w:pStyle w:val="Body0"/>
        <w:jc w:val="both"/>
      </w:pPr>
      <w:r w:rsidRPr="00B94590">
        <w:t xml:space="preserve">Atlīdzības uzskaites sistēmā </w:t>
      </w:r>
      <w:r w:rsidR="00B17470" w:rsidRPr="00B94590">
        <w:t xml:space="preserve">iesaistīto sistēmu </w:t>
      </w:r>
      <w:r w:rsidR="000406CA" w:rsidRPr="00B94590">
        <w:t>savstarpējā sadarbība</w:t>
      </w:r>
      <w:r w:rsidR="009B05B4" w:rsidRPr="00B94590">
        <w:t xml:space="preserve"> un </w:t>
      </w:r>
      <w:r w:rsidR="00B17470" w:rsidRPr="00B94590">
        <w:t>arhitektūra</w:t>
      </w:r>
      <w:r w:rsidR="009B05B4" w:rsidRPr="00B94590">
        <w:t xml:space="preserve"> iekļauta shēmā, skat. </w:t>
      </w:r>
      <w:r w:rsidR="00AC6746" w:rsidRPr="00B94590">
        <w:fldChar w:fldCharType="begin"/>
      </w:r>
      <w:r w:rsidR="009B05B4" w:rsidRPr="00B94590">
        <w:instrText xml:space="preserve"> REF _Ref292627590 \h </w:instrText>
      </w:r>
      <w:r w:rsidR="00AC6746" w:rsidRPr="00B94590">
        <w:fldChar w:fldCharType="separate"/>
      </w:r>
      <w:r w:rsidR="00B34772" w:rsidRPr="00B94590">
        <w:t>Attēls Nr. 6</w:t>
      </w:r>
      <w:r w:rsidR="00AC6746" w:rsidRPr="00B94590">
        <w:fldChar w:fldCharType="end"/>
      </w:r>
      <w:r w:rsidR="009B05B4" w:rsidRPr="00B94590">
        <w:t>.</w:t>
      </w: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Pr="00B94590" w:rsidRDefault="00FC5C7A" w:rsidP="00A65510">
      <w:pPr>
        <w:pStyle w:val="Body0"/>
        <w:jc w:val="both"/>
      </w:pPr>
    </w:p>
    <w:p w:rsidR="00FC5C7A" w:rsidRDefault="00FC5C7A" w:rsidP="00FC5C7A">
      <w:r>
        <w:rPr>
          <w:noProof/>
          <w:color w:val="000000"/>
        </w:rPr>
        <w:lastRenderedPageBreak/>
        <w:drawing>
          <wp:anchor distT="0" distB="0" distL="114300" distR="114300" simplePos="0" relativeHeight="251691008" behindDoc="0" locked="0" layoutInCell="1" allowOverlap="1" wp14:anchorId="0CFC54D4" wp14:editId="474F088E">
            <wp:simplePos x="0" y="0"/>
            <wp:positionH relativeFrom="column">
              <wp:posOffset>4577715</wp:posOffset>
            </wp:positionH>
            <wp:positionV relativeFrom="paragraph">
              <wp:posOffset>71120</wp:posOffset>
            </wp:positionV>
            <wp:extent cx="695325" cy="1028700"/>
            <wp:effectExtent l="0" t="0" r="9525" b="0"/>
            <wp:wrapNone/>
            <wp:docPr id="52" name="Picture 52" descr="C:\Program Files\Microsoft Office\MEDIA\CAGCAT10\j0285750.wmf"/>
            <wp:cNvGraphicFramePr/>
            <a:graphic xmlns:a="http://schemas.openxmlformats.org/drawingml/2006/main">
              <a:graphicData uri="http://schemas.openxmlformats.org/drawingml/2006/picture">
                <pic:pic xmlns:pic="http://schemas.openxmlformats.org/drawingml/2006/picture">
                  <pic:nvPicPr>
                    <pic:cNvPr id="20" name="Picture 19" descr="C:\Program Files\Microsoft Office\MEDIA\CAGCAT10\j0285750.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extLst/>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94080" behindDoc="0" locked="0" layoutInCell="1" allowOverlap="1" wp14:anchorId="3E080AA0" wp14:editId="558C6A33">
                <wp:simplePos x="0" y="0"/>
                <wp:positionH relativeFrom="column">
                  <wp:posOffset>3317240</wp:posOffset>
                </wp:positionH>
                <wp:positionV relativeFrom="paragraph">
                  <wp:posOffset>-66040</wp:posOffset>
                </wp:positionV>
                <wp:extent cx="742950" cy="666750"/>
                <wp:effectExtent l="0" t="0" r="19050" b="19050"/>
                <wp:wrapNone/>
                <wp:docPr id="31" name="Oval 31"/>
                <wp:cNvGraphicFramePr/>
                <a:graphic xmlns:a="http://schemas.openxmlformats.org/drawingml/2006/main">
                  <a:graphicData uri="http://schemas.microsoft.com/office/word/2010/wordprocessingShape">
                    <wps:wsp>
                      <wps:cNvSpPr/>
                      <wps:spPr>
                        <a:xfrm>
                          <a:off x="0" y="0"/>
                          <a:ext cx="742950" cy="666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22"/>
                                <w:szCs w:val="22"/>
                              </w:rPr>
                              <w:t>FM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61.2pt;margin-top:-5.2pt;width:58.5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" fillcolor="white [3201]" strokecolor="#f79646 [3209]" strokeweight="2pt">
                <v:textbox>
                  <w:txbxContent>
                    <w:p w:rsidR="006F6894" w:rsidRDefault="006F6894" w:rsidP="00FC5C7A">
                      <w:pPr>
                        <w:pStyle w:val="NormalWeb"/>
                        <w:spacing w:before="0" w:after="0"/>
                      </w:pPr>
                      <w:r w:rsidRPr="00510895">
                        <w:rPr>
                          <w:rFonts w:asciiTheme="minorHAnsi" w:hAnsi="Calibri" w:cstheme="minorBidi"/>
                          <w:color w:val="000000" w:themeColor="dark1"/>
                          <w:sz w:val="22"/>
                          <w:szCs w:val="22"/>
                        </w:rPr>
                        <w:t>FM</w:t>
                      </w:r>
                    </w:p>
                  </w:txbxContent>
                </v:textbox>
              </v:oval>
            </w:pict>
          </mc:Fallback>
        </mc:AlternateContent>
      </w:r>
      <w:r>
        <w:rPr>
          <w:noProof/>
          <w:color w:val="000000"/>
        </w:rPr>
        <mc:AlternateContent>
          <mc:Choice Requires="wps">
            <w:drawing>
              <wp:anchor distT="0" distB="0" distL="114300" distR="114300" simplePos="0" relativeHeight="251693056" behindDoc="0" locked="0" layoutInCell="1" allowOverlap="1" wp14:anchorId="06D30AB6" wp14:editId="694E95F9">
                <wp:simplePos x="0" y="0"/>
                <wp:positionH relativeFrom="column">
                  <wp:posOffset>2492375</wp:posOffset>
                </wp:positionH>
                <wp:positionV relativeFrom="paragraph">
                  <wp:posOffset>179705</wp:posOffset>
                </wp:positionV>
                <wp:extent cx="676275" cy="619125"/>
                <wp:effectExtent l="0" t="0" r="28575" b="28575"/>
                <wp:wrapNone/>
                <wp:docPr id="32" name="Oval 32"/>
                <wp:cNvGraphicFramePr/>
                <a:graphic xmlns:a="http://schemas.openxmlformats.org/drawingml/2006/main">
                  <a:graphicData uri="http://schemas.microsoft.com/office/word/2010/wordprocessingShape">
                    <wps:wsp>
                      <wps:cNvSpPr/>
                      <wps:spPr>
                        <a:xfrm>
                          <a:off x="0" y="0"/>
                          <a:ext cx="676275" cy="619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22"/>
                                <w:szCs w:val="22"/>
                              </w:rPr>
                              <w:t>VK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 o:spid="_x0000_s1027" style="position:absolute;margin-left:196.25pt;margin-top:14.15pt;width:53.2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" fillcolor="white [3201]" strokecolor="#f79646 [3209]" strokeweight="2pt">
                <v:textbox>
                  <w:txbxContent>
                    <w:p w:rsidR="006F6894" w:rsidRDefault="006F6894" w:rsidP="00FC5C7A">
                      <w:pPr>
                        <w:pStyle w:val="NormalWeb"/>
                        <w:spacing w:before="0" w:after="0"/>
                      </w:pPr>
                      <w:r w:rsidRPr="00510895">
                        <w:rPr>
                          <w:rFonts w:asciiTheme="minorHAnsi" w:hAnsi="Calibri" w:cstheme="minorBidi"/>
                          <w:color w:val="000000" w:themeColor="dark1"/>
                          <w:sz w:val="22"/>
                          <w:szCs w:val="22"/>
                        </w:rPr>
                        <w:t>VK</w:t>
                      </w:r>
                    </w:p>
                  </w:txbxContent>
                </v:textbox>
              </v:oval>
            </w:pict>
          </mc:Fallback>
        </mc:AlternateContent>
      </w:r>
    </w:p>
    <w:tbl>
      <w:tblPr>
        <w:tblW w:w="8353" w:type="dxa"/>
        <w:tblInd w:w="108" w:type="dxa"/>
        <w:tblLook w:val="04A0" w:firstRow="1" w:lastRow="0" w:firstColumn="1" w:lastColumn="0" w:noHBand="0" w:noVBand="1"/>
      </w:tblPr>
      <w:tblGrid>
        <w:gridCol w:w="951"/>
        <w:gridCol w:w="747"/>
        <w:gridCol w:w="747"/>
        <w:gridCol w:w="747"/>
        <w:gridCol w:w="747"/>
        <w:gridCol w:w="747"/>
        <w:gridCol w:w="747"/>
        <w:gridCol w:w="747"/>
        <w:gridCol w:w="747"/>
        <w:gridCol w:w="747"/>
        <w:gridCol w:w="747"/>
      </w:tblGrid>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8416" behindDoc="0" locked="0" layoutInCell="1" allowOverlap="1" wp14:anchorId="01A39AEE" wp14:editId="7C7B51E2">
                      <wp:simplePos x="0" y="0"/>
                      <wp:positionH relativeFrom="column">
                        <wp:posOffset>340995</wp:posOffset>
                      </wp:positionH>
                      <wp:positionV relativeFrom="paragraph">
                        <wp:posOffset>142875</wp:posOffset>
                      </wp:positionV>
                      <wp:extent cx="1114425" cy="647700"/>
                      <wp:effectExtent l="0" t="0" r="28575" b="19050"/>
                      <wp:wrapNone/>
                      <wp:docPr id="33" name="Oval 33"/>
                      <wp:cNvGraphicFramePr/>
                      <a:graphic xmlns:a="http://schemas.openxmlformats.org/drawingml/2006/main">
                        <a:graphicData uri="http://schemas.microsoft.com/office/word/2010/wordprocessingShape">
                          <wps:wsp>
                            <wps:cNvSpPr/>
                            <wps:spPr>
                              <a:xfrm>
                                <a:off x="0" y="0"/>
                                <a:ext cx="1114425" cy="6477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F6894" w:rsidRPr="00510895" w:rsidRDefault="006F6894" w:rsidP="00FC5C7A">
                                  <w:pPr>
                                    <w:pStyle w:val="NormalWeb"/>
                                    <w:spacing w:before="0" w:after="0"/>
                                    <w:rPr>
                                      <w:sz w:val="12"/>
                                      <w:szCs w:val="12"/>
                                    </w:rPr>
                                  </w:pPr>
                                  <w:r w:rsidRPr="00510895">
                                    <w:rPr>
                                      <w:rFonts w:asciiTheme="minorHAnsi" w:hAnsi="Calibri" w:cstheme="minorBidi"/>
                                      <w:color w:val="000000" w:themeColor="dark1"/>
                                      <w:sz w:val="12"/>
                                      <w:szCs w:val="12"/>
                                    </w:rPr>
                                    <w:t>iestādes/resora grāmatvedība un</w:t>
                                  </w:r>
                                  <w:r w:rsidRPr="00510895">
                                    <w:rPr>
                                      <w:rFonts w:asciiTheme="minorHAnsi" w:hAnsi="Calibri" w:cstheme="minorBidi"/>
                                      <w:color w:val="000000" w:themeColor="dark1"/>
                                      <w:sz w:val="16"/>
                                      <w:szCs w:val="16"/>
                                    </w:rPr>
                                    <w:t xml:space="preserve"> </w:t>
                                  </w:r>
                                  <w:r w:rsidRPr="00510895">
                                    <w:rPr>
                                      <w:rFonts w:asciiTheme="minorHAnsi" w:hAnsi="Calibri" w:cstheme="minorBidi"/>
                                      <w:color w:val="000000" w:themeColor="dark1"/>
                                      <w:sz w:val="12"/>
                                      <w:szCs w:val="12"/>
                                    </w:rPr>
                                    <w:t>personālvadība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 o:spid="_x0000_s1028" style="position:absolute;margin-left:26.85pt;margin-top:11.25pt;width:87.75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" fillcolor="white [3201]" strokecolor="#f79646 [3209]" strokeweight="2pt">
                      <v:textbox>
                        <w:txbxContent>
                          <w:p w:rsidR="006F6894" w:rsidRPr="00510895" w:rsidRDefault="006F6894"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w:t>
                            </w:r>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1</w:t>
                            </w:r>
                          </w:p>
                        </w:txbxContent>
                      </v:textbox>
                    </v:oval>
                  </w:pict>
                </mc:Fallback>
              </mc:AlternateContent>
            </w:r>
          </w:p>
          <w:tbl>
            <w:tblPr>
              <w:tblW w:w="736" w:type="dxa"/>
              <w:tblCellSpacing w:w="0" w:type="dxa"/>
              <w:tblCellMar>
                <w:left w:w="0" w:type="dxa"/>
                <w:right w:w="0" w:type="dxa"/>
              </w:tblCellMar>
              <w:tblLook w:val="04A0" w:firstRow="1" w:lastRow="0" w:firstColumn="1" w:lastColumn="0" w:noHBand="0" w:noVBand="1"/>
            </w:tblPr>
            <w:tblGrid>
              <w:gridCol w:w="735"/>
            </w:tblGrid>
            <w:tr w:rsidR="00FC5C7A" w:rsidRPr="00510895" w:rsidTr="006F6894">
              <w:trPr>
                <w:trHeight w:val="303"/>
                <w:tblCellSpacing w:w="0" w:type="dxa"/>
              </w:trPr>
              <w:tc>
                <w:tcPr>
                  <w:tcW w:w="736"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bl>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5824" behindDoc="0" locked="0" layoutInCell="1" allowOverlap="1" wp14:anchorId="22013880" wp14:editId="23E14D02">
                      <wp:simplePos x="0" y="0"/>
                      <wp:positionH relativeFrom="column">
                        <wp:posOffset>70485</wp:posOffset>
                      </wp:positionH>
                      <wp:positionV relativeFrom="paragraph">
                        <wp:posOffset>95250</wp:posOffset>
                      </wp:positionV>
                      <wp:extent cx="51435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7.5pt" to="4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" strokecolor="#4579b8 [3044]"/>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8656" behindDoc="0" locked="0" layoutInCell="1" allowOverlap="1" wp14:anchorId="15541CA5" wp14:editId="56DBB464">
                      <wp:simplePos x="0" y="0"/>
                      <wp:positionH relativeFrom="column">
                        <wp:posOffset>-63500</wp:posOffset>
                      </wp:positionH>
                      <wp:positionV relativeFrom="paragraph">
                        <wp:posOffset>118110</wp:posOffset>
                      </wp:positionV>
                      <wp:extent cx="257175" cy="0"/>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pt,9.3pt" to="15.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" strokecolor="black [3040]"/>
                  </w:pict>
                </mc:Fallback>
              </mc:AlternateContent>
            </w:r>
            <w:r>
              <w:rPr>
                <w:noProof/>
                <w:color w:val="000000"/>
              </w:rPr>
              <mc:AlternateContent>
                <mc:Choice Requires="wps">
                  <w:drawing>
                    <wp:anchor distT="0" distB="0" distL="114300" distR="114300" simplePos="0" relativeHeight="251713536" behindDoc="0" locked="0" layoutInCell="1" allowOverlap="1" wp14:anchorId="45A440FC" wp14:editId="495DE986">
                      <wp:simplePos x="0" y="0"/>
                      <wp:positionH relativeFrom="column">
                        <wp:posOffset>194310</wp:posOffset>
                      </wp:positionH>
                      <wp:positionV relativeFrom="paragraph">
                        <wp:posOffset>114300</wp:posOffset>
                      </wp:positionV>
                      <wp:extent cx="0" cy="258127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2581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9pt" to="15.3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3776" behindDoc="0" locked="0" layoutInCell="1" allowOverlap="1" wp14:anchorId="32D49BB0" wp14:editId="216578E5">
                      <wp:simplePos x="0" y="0"/>
                      <wp:positionH relativeFrom="column">
                        <wp:posOffset>287020</wp:posOffset>
                      </wp:positionH>
                      <wp:positionV relativeFrom="paragraph">
                        <wp:posOffset>32385</wp:posOffset>
                      </wp:positionV>
                      <wp:extent cx="19050" cy="12954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905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2.6pt,2.55pt" to="24.1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w:drawing>
                <wp:anchor distT="0" distB="0" distL="114300" distR="114300" simplePos="0" relativeHeight="251707392" behindDoc="0" locked="0" layoutInCell="1" allowOverlap="1" wp14:anchorId="4CDBA762" wp14:editId="21B12B4D">
                  <wp:simplePos x="0" y="0"/>
                  <wp:positionH relativeFrom="column">
                    <wp:posOffset>201930</wp:posOffset>
                  </wp:positionH>
                  <wp:positionV relativeFrom="paragraph">
                    <wp:posOffset>156210</wp:posOffset>
                  </wp:positionV>
                  <wp:extent cx="466725" cy="447675"/>
                  <wp:effectExtent l="0" t="0" r="9525" b="9525"/>
                  <wp:wrapNone/>
                  <wp:docPr id="53" name="Picture 53" descr="C:\Program Files\Microsoft Office\MEDIA\CAGCAT10\j0292020.wmf"/>
                  <wp:cNvGraphicFramePr/>
                  <a:graphic xmlns:a="http://schemas.openxmlformats.org/drawingml/2006/main">
                    <a:graphicData uri="http://schemas.openxmlformats.org/drawingml/2006/picture">
                      <pic:pic xmlns:pic="http://schemas.openxmlformats.org/drawingml/2006/picture">
                        <pic:nvPicPr>
                          <pic:cNvPr id="10" name="Picture 9" descr="C:\Program Files\Microsoft Office\MEDIA\CAGCAT10\j0292020.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0704" behindDoc="0" locked="0" layoutInCell="1" allowOverlap="1" wp14:anchorId="24D6F481" wp14:editId="656EAFEF">
                      <wp:simplePos x="0" y="0"/>
                      <wp:positionH relativeFrom="column">
                        <wp:posOffset>222885</wp:posOffset>
                      </wp:positionH>
                      <wp:positionV relativeFrom="paragraph">
                        <wp:posOffset>76200</wp:posOffset>
                      </wp:positionV>
                      <wp:extent cx="0" cy="70485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6pt" to="1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9200" behindDoc="0" locked="0" layoutInCell="1" allowOverlap="1" wp14:anchorId="62605111" wp14:editId="2412F2F0">
                      <wp:simplePos x="0" y="0"/>
                      <wp:positionH relativeFrom="column">
                        <wp:posOffset>429895</wp:posOffset>
                      </wp:positionH>
                      <wp:positionV relativeFrom="paragraph">
                        <wp:posOffset>119380</wp:posOffset>
                      </wp:positionV>
                      <wp:extent cx="1219200" cy="419100"/>
                      <wp:effectExtent l="0" t="0" r="19050" b="19050"/>
                      <wp:wrapNone/>
                      <wp:docPr id="1083" name="Text Box 1083"/>
                      <wp:cNvGraphicFramePr/>
                      <a:graphic xmlns:a="http://schemas.openxmlformats.org/drawingml/2006/main">
                        <a:graphicData uri="http://schemas.microsoft.com/office/word/2010/wordprocessingShape">
                          <wps:wsp>
                            <wps:cNvSpPr txBox="1"/>
                            <wps:spPr>
                              <a:xfrm>
                                <a:off x="0" y="0"/>
                                <a:ext cx="1209675" cy="4000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VVBPIS app </w:t>
                                  </w:r>
                                </w:p>
                                <w:p w:rsidR="006F6894" w:rsidRDefault="006F6894" w:rsidP="00FC5C7A">
                                  <w:pPr>
                                    <w:pStyle w:val="NormalWeb"/>
                                    <w:spacing w:before="0" w:after="0"/>
                                  </w:pPr>
                                  <w:r w:rsidRPr="00510895">
                                    <w:rPr>
                                      <w:rFonts w:asciiTheme="minorHAnsi" w:hAnsi="Calibri" w:cstheme="minorBidi"/>
                                      <w:color w:val="000000" w:themeColor="dark1"/>
                                      <w:sz w:val="16"/>
                                      <w:szCs w:val="16"/>
                                    </w:rPr>
                                    <w:t>(SAP app server)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3" o:spid="_x0000_s1029" type="#_x0000_t202" style="position:absolute;margin-left:33.85pt;margin-top:9.4pt;width:96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" fillcolor="white [3201]" strokecolor="#7f7f7f [1601]">
                      <v:textbox>
                        <w:txbxContent>
                          <w:p w:rsidR="006F6894" w:rsidRDefault="006F6894"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VVBPIS app </w:t>
                            </w:r>
                          </w:p>
                          <w:p w:rsidR="006F6894" w:rsidRDefault="006F6894" w:rsidP="00FC5C7A">
                            <w:pPr>
                              <w:pStyle w:val="NormalWeb"/>
                              <w:spacing w:before="0" w:after="0"/>
                            </w:pPr>
                            <w:r w:rsidRPr="00510895">
                              <w:rPr>
                                <w:rFonts w:asciiTheme="minorHAnsi" w:hAnsi="Calibri" w:cstheme="minorBidi"/>
                                <w:color w:val="000000" w:themeColor="dark1"/>
                                <w:sz w:val="16"/>
                                <w:szCs w:val="16"/>
                              </w:rPr>
                              <w:t>(SAP app server)</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2032" behindDoc="0" locked="0" layoutInCell="1" allowOverlap="1" wp14:anchorId="05FE9B09" wp14:editId="138E6471">
                      <wp:simplePos x="0" y="0"/>
                      <wp:positionH relativeFrom="column">
                        <wp:posOffset>-2540</wp:posOffset>
                      </wp:positionH>
                      <wp:positionV relativeFrom="paragraph">
                        <wp:posOffset>7620</wp:posOffset>
                      </wp:positionV>
                      <wp:extent cx="571500" cy="600075"/>
                      <wp:effectExtent l="0" t="0" r="19050" b="28575"/>
                      <wp:wrapNone/>
                      <wp:docPr id="39" name="Vertical Scroll 39"/>
                      <wp:cNvGraphicFramePr/>
                      <a:graphic xmlns:a="http://schemas.openxmlformats.org/drawingml/2006/main">
                        <a:graphicData uri="http://schemas.microsoft.com/office/word/2010/wordprocessingShape">
                          <wps:wsp>
                            <wps:cNvSpPr/>
                            <wps:spPr>
                              <a:xfrm>
                                <a:off x="0" y="0"/>
                                <a:ext cx="542925" cy="581025"/>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XML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9" o:spid="_x0000_s1030" type="#_x0000_t97" style="position:absolute;margin-left:-.2pt;margin-top:.6pt;width:45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" fillcolor="white [3201]" strokecolor="#f79646 [3209]" strokeweight="2pt">
                      <v:textbo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XML</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9680" behindDoc="0" locked="0" layoutInCell="1" allowOverlap="1" wp14:anchorId="58AFF10E" wp14:editId="70BF9427">
                      <wp:simplePos x="0" y="0"/>
                      <wp:positionH relativeFrom="column">
                        <wp:posOffset>203200</wp:posOffset>
                      </wp:positionH>
                      <wp:positionV relativeFrom="paragraph">
                        <wp:posOffset>108585</wp:posOffset>
                      </wp:positionV>
                      <wp:extent cx="3143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6pt,8.55pt" to="40.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1728" behindDoc="0" locked="0" layoutInCell="1" allowOverlap="1" wp14:anchorId="00A395DB" wp14:editId="1EB8A570">
                      <wp:simplePos x="0" y="0"/>
                      <wp:positionH relativeFrom="column">
                        <wp:posOffset>226060</wp:posOffset>
                      </wp:positionH>
                      <wp:positionV relativeFrom="paragraph">
                        <wp:posOffset>13335</wp:posOffset>
                      </wp:positionV>
                      <wp:extent cx="1333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7.8pt,1.05pt" to="28.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" strokecolor="black [3040]"/>
                  </w:pict>
                </mc:Fallback>
              </mc:AlternateContent>
            </w:r>
            <w:r>
              <w:rPr>
                <w:noProof/>
                <w:color w:val="000000"/>
              </w:rPr>
              <w:drawing>
                <wp:anchor distT="0" distB="0" distL="114300" distR="114300" simplePos="0" relativeHeight="251689984" behindDoc="0" locked="0" layoutInCell="1" allowOverlap="1" wp14:anchorId="2CAF79FB" wp14:editId="62E74B51">
                  <wp:simplePos x="0" y="0"/>
                  <wp:positionH relativeFrom="column">
                    <wp:posOffset>226060</wp:posOffset>
                  </wp:positionH>
                  <wp:positionV relativeFrom="paragraph">
                    <wp:posOffset>-1270</wp:posOffset>
                  </wp:positionV>
                  <wp:extent cx="723900" cy="933450"/>
                  <wp:effectExtent l="0" t="0" r="0" b="0"/>
                  <wp:wrapNone/>
                  <wp:docPr id="54" name="Picture 54" descr="C:\Program Files\Microsoft Office\MEDIA\CAGCAT10\j0285750.wmf"/>
                  <wp:cNvGraphicFramePr/>
                  <a:graphic xmlns:a="http://schemas.openxmlformats.org/drawingml/2006/main">
                    <a:graphicData uri="http://schemas.openxmlformats.org/drawingml/2006/picture">
                      <pic:pic xmlns:pic="http://schemas.openxmlformats.org/drawingml/2006/picture">
                        <pic:nvPicPr>
                          <pic:cNvPr id="18" name="Picture 17" descr="C:\Program Files\Microsoft Office\MEDIA\CAGCAT10\j0285750.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0464" behindDoc="0" locked="0" layoutInCell="1" allowOverlap="1" wp14:anchorId="5E413C4D" wp14:editId="07B33E47">
                      <wp:simplePos x="0" y="0"/>
                      <wp:positionH relativeFrom="column">
                        <wp:posOffset>204470</wp:posOffset>
                      </wp:positionH>
                      <wp:positionV relativeFrom="paragraph">
                        <wp:posOffset>3810</wp:posOffset>
                      </wp:positionV>
                      <wp:extent cx="1247775" cy="571500"/>
                      <wp:effectExtent l="0" t="0" r="28575" b="19050"/>
                      <wp:wrapNone/>
                      <wp:docPr id="42" name="Oval 42"/>
                      <wp:cNvGraphicFramePr/>
                      <a:graphic xmlns:a="http://schemas.openxmlformats.org/drawingml/2006/main">
                        <a:graphicData uri="http://schemas.microsoft.com/office/word/2010/wordprocessingShape">
                          <wps:wsp>
                            <wps:cNvSpPr/>
                            <wps:spPr>
                              <a:xfrm>
                                <a:off x="0" y="0"/>
                                <a:ext cx="1247775"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F6894" w:rsidRPr="00510895" w:rsidRDefault="006F6894" w:rsidP="00FC5C7A">
                                  <w:pPr>
                                    <w:pStyle w:val="NormalWeb"/>
                                    <w:spacing w:before="0" w:after="0"/>
                                    <w:rPr>
                                      <w:sz w:val="12"/>
                                      <w:szCs w:val="12"/>
                                    </w:rPr>
                                  </w:pPr>
                                  <w:r w:rsidRPr="00510895">
                                    <w:rPr>
                                      <w:rFonts w:asciiTheme="minorHAnsi" w:hAnsi="Calibri" w:cstheme="minorBidi"/>
                                      <w:color w:val="000000" w:themeColor="dark1"/>
                                      <w:sz w:val="12"/>
                                      <w:szCs w:val="12"/>
                                    </w:rPr>
                                    <w:t>iestādes/resora grāmatvedība un personālvadība 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2" o:spid="_x0000_s1031" style="position:absolute;margin-left:16.1pt;margin-top:.3pt;width:98.25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" fillcolor="white [3201]" strokecolor="#f79646 [3209]" strokeweight="2pt">
                      <v:textbox>
                        <w:txbxContent>
                          <w:p w:rsidR="006F6894" w:rsidRPr="00510895" w:rsidRDefault="006F6894"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2</w:t>
                            </w:r>
                          </w:p>
                        </w:txbxContent>
                      </v:textbox>
                    </v:oval>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2752" behindDoc="0" locked="0" layoutInCell="1" allowOverlap="1" wp14:anchorId="0268D747" wp14:editId="0B177C16">
                      <wp:simplePos x="0" y="0"/>
                      <wp:positionH relativeFrom="column">
                        <wp:posOffset>26035</wp:posOffset>
                      </wp:positionH>
                      <wp:positionV relativeFrom="paragraph">
                        <wp:posOffset>1905</wp:posOffset>
                      </wp:positionV>
                      <wp:extent cx="200025" cy="0"/>
                      <wp:effectExtent l="0" t="0" r="9525" b="19050"/>
                      <wp:wrapNone/>
                      <wp:docPr id="43" name="Straight Connector 4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05pt,.15pt" to="17.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4800" behindDoc="0" locked="0" layoutInCell="1" allowOverlap="1" wp14:anchorId="1F0021CD" wp14:editId="631D7CB8">
                      <wp:simplePos x="0" y="0"/>
                      <wp:positionH relativeFrom="column">
                        <wp:posOffset>1270</wp:posOffset>
                      </wp:positionH>
                      <wp:positionV relativeFrom="paragraph">
                        <wp:posOffset>173355</wp:posOffset>
                      </wp:positionV>
                      <wp:extent cx="285750" cy="0"/>
                      <wp:effectExtent l="0" t="0" r="19050" b="19050"/>
                      <wp:wrapNone/>
                      <wp:docPr id="44" name="Straight Connector 44"/>
                      <wp:cNvGraphicFramePr/>
                      <a:graphic xmlns:a="http://schemas.openxmlformats.org/drawingml/2006/main">
                        <a:graphicData uri="http://schemas.microsoft.com/office/word/2010/wordprocessingShape">
                          <wps:wsp>
                            <wps:cNvCnPr/>
                            <wps:spPr>
                              <a:xfrm flipH="1">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pt,13.65pt" to="22.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0224" behindDoc="0" locked="0" layoutInCell="1" allowOverlap="1" wp14:anchorId="7D4685D4" wp14:editId="15891C97">
                      <wp:simplePos x="0" y="0"/>
                      <wp:positionH relativeFrom="column">
                        <wp:posOffset>118110</wp:posOffset>
                      </wp:positionH>
                      <wp:positionV relativeFrom="paragraph">
                        <wp:posOffset>-135255</wp:posOffset>
                      </wp:positionV>
                      <wp:extent cx="1123950" cy="2800350"/>
                      <wp:effectExtent l="0" t="0" r="19050" b="19050"/>
                      <wp:wrapNone/>
                      <wp:docPr id="1084" name="Flowchart: Magnetic Disk 1084"/>
                      <wp:cNvGraphicFramePr/>
                      <a:graphic xmlns:a="http://schemas.openxmlformats.org/drawingml/2006/main">
                        <a:graphicData uri="http://schemas.microsoft.com/office/word/2010/wordprocessingShape">
                          <wps:wsp>
                            <wps:cNvSpPr/>
                            <wps:spPr>
                              <a:xfrm>
                                <a:off x="0" y="0"/>
                                <a:ext cx="1123950" cy="2800350"/>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084" o:spid="_x0000_s1026" type="#_x0000_t132" style="position:absolute;margin-left:9.3pt;margin-top:-10.65pt;width:88.5pt;height:2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" fillcolor="white [3201]" strokecolor="#f79646 [3209]" strokeweight="2pt"/>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6608" behindDoc="0" locked="0" layoutInCell="1" allowOverlap="1" wp14:anchorId="481A8906" wp14:editId="3D077F8D">
                      <wp:simplePos x="0" y="0"/>
                      <wp:positionH relativeFrom="column">
                        <wp:posOffset>365126</wp:posOffset>
                      </wp:positionH>
                      <wp:positionV relativeFrom="paragraph">
                        <wp:posOffset>28575</wp:posOffset>
                      </wp:positionV>
                      <wp:extent cx="45719" cy="45719"/>
                      <wp:effectExtent l="0" t="0" r="12065" b="0"/>
                      <wp:wrapNone/>
                      <wp:docPr id="45" name="Arc 45"/>
                      <wp:cNvGraphicFramePr/>
                      <a:graphic xmlns:a="http://schemas.openxmlformats.org/drawingml/2006/main">
                        <a:graphicData uri="http://schemas.microsoft.com/office/word/2010/wordprocessingShape">
                          <wps:wsp>
                            <wps:cNvSpPr/>
                            <wps:spPr>
                              <a:xfrm>
                                <a:off x="0" y="0"/>
                                <a:ext cx="45719" cy="4571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45" o:spid="_x0000_s1026" style="position:absolute;margin-left:28.75pt;margin-top:2.25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" path="m22859,nsc35484,,45719,10235,45719,22860r-22859,c22860,15240,22859,7620,22859,xem22859,nfc35484,,45719,10235,45719,22860e" filled="f" strokecolor="#4579b8 [3044]">
                      <v:path arrowok="t" o:connecttype="custom" o:connectlocs="22859,0;45719,22860" o:connectangles="0,0"/>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7632" behindDoc="0" locked="0" layoutInCell="1" allowOverlap="1" wp14:anchorId="63B50BED" wp14:editId="33977CC8">
                      <wp:simplePos x="0" y="0"/>
                      <wp:positionH relativeFrom="column">
                        <wp:posOffset>-63500</wp:posOffset>
                      </wp:positionH>
                      <wp:positionV relativeFrom="paragraph">
                        <wp:posOffset>28575</wp:posOffset>
                      </wp:positionV>
                      <wp:extent cx="2667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pt,2.25pt" to="1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6btQEAALgDAAAOAAAAZHJzL2Uyb0RvYy54bWysU8GOEzEMvSPxD1HudKYV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4320" behindDoc="0" locked="0" layoutInCell="1" allowOverlap="1" wp14:anchorId="559ADDE5" wp14:editId="313F80D8">
                      <wp:simplePos x="0" y="0"/>
                      <wp:positionH relativeFrom="column">
                        <wp:posOffset>251460</wp:posOffset>
                      </wp:positionH>
                      <wp:positionV relativeFrom="paragraph">
                        <wp:posOffset>28575</wp:posOffset>
                      </wp:positionV>
                      <wp:extent cx="790575" cy="352425"/>
                      <wp:effectExtent l="0" t="0" r="28575" b="28575"/>
                      <wp:wrapNone/>
                      <wp:docPr id="1088" name="Text Box 1088"/>
                      <wp:cNvGraphicFramePr/>
                      <a:graphic xmlns:a="http://schemas.openxmlformats.org/drawingml/2006/main">
                        <a:graphicData uri="http://schemas.microsoft.com/office/word/2010/wordprocessingShape">
                          <wps:wsp>
                            <wps:cNvSpPr txBox="1"/>
                            <wps:spPr>
                              <a:xfrm>
                                <a:off x="0" y="0"/>
                                <a:ext cx="790575" cy="3524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VVBPIS (SAP)</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88" o:spid="_x0000_s1032" type="#_x0000_t202" style="position:absolute;margin-left:19.8pt;margin-top:2.25pt;width:62.2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" fillcolor="white [3201]" strokecolor="#7f7f7f [1601]">
                      <v:textbo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VVBPIS (SAP)</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w:drawing>
                <wp:anchor distT="0" distB="0" distL="114300" distR="114300" simplePos="0" relativeHeight="251709440" behindDoc="0" locked="0" layoutInCell="1" allowOverlap="1" wp14:anchorId="6C3EB276" wp14:editId="3C514A76">
                  <wp:simplePos x="0" y="0"/>
                  <wp:positionH relativeFrom="column">
                    <wp:posOffset>120015</wp:posOffset>
                  </wp:positionH>
                  <wp:positionV relativeFrom="paragraph">
                    <wp:posOffset>117475</wp:posOffset>
                  </wp:positionV>
                  <wp:extent cx="476250" cy="457200"/>
                  <wp:effectExtent l="0" t="0" r="0" b="0"/>
                  <wp:wrapNone/>
                  <wp:docPr id="55" name="Picture 55" descr="C:\Program Files\Microsoft Office\MEDIA\CAGCAT10\j0292020.wmf"/>
                  <wp:cNvGraphicFramePr/>
                  <a:graphic xmlns:a="http://schemas.openxmlformats.org/drawingml/2006/main">
                    <a:graphicData uri="http://schemas.openxmlformats.org/drawingml/2006/picture">
                      <pic:pic xmlns:pic="http://schemas.openxmlformats.org/drawingml/2006/picture">
                        <pic:nvPicPr>
                          <pic:cNvPr id="14" name="Picture 13" descr="C:\Program Files\Microsoft Office\MEDIA\CAGCAT10\j0292020.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5104" behindDoc="0" locked="0" layoutInCell="1" allowOverlap="1" wp14:anchorId="15A2526F" wp14:editId="0F411D55">
                      <wp:simplePos x="0" y="0"/>
                      <wp:positionH relativeFrom="column">
                        <wp:posOffset>251460</wp:posOffset>
                      </wp:positionH>
                      <wp:positionV relativeFrom="paragraph">
                        <wp:posOffset>95250</wp:posOffset>
                      </wp:positionV>
                      <wp:extent cx="0" cy="2057400"/>
                      <wp:effectExtent l="0" t="0" r="19050" b="19050"/>
                      <wp:wrapNone/>
                      <wp:docPr id="1069" name="Straight Connector 1069"/>
                      <wp:cNvGraphicFramePr/>
                      <a:graphic xmlns:a="http://schemas.openxmlformats.org/drawingml/2006/main">
                        <a:graphicData uri="http://schemas.microsoft.com/office/word/2010/wordprocessingShape">
                          <wps:wsp>
                            <wps:cNvCnPr/>
                            <wps:spPr>
                              <a:xfrm>
                                <a:off x="0" y="0"/>
                                <a:ext cx="0"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5pt" to="19.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" strokecolor="black [3040]"/>
                  </w:pict>
                </mc:Fallback>
              </mc:AlternateContent>
            </w:r>
            <w:r>
              <w:rPr>
                <w:noProof/>
                <w:color w:val="000000"/>
              </w:rPr>
              <mc:AlternateContent>
                <mc:Choice Requires="wps">
                  <w:drawing>
                    <wp:anchor distT="0" distB="0" distL="114300" distR="114300" simplePos="0" relativeHeight="251714560" behindDoc="0" locked="0" layoutInCell="1" allowOverlap="1" wp14:anchorId="500EF169" wp14:editId="68503770">
                      <wp:simplePos x="0" y="0"/>
                      <wp:positionH relativeFrom="column">
                        <wp:posOffset>253365</wp:posOffset>
                      </wp:positionH>
                      <wp:positionV relativeFrom="paragraph">
                        <wp:posOffset>91440</wp:posOffset>
                      </wp:positionV>
                      <wp:extent cx="380365" cy="0"/>
                      <wp:effectExtent l="0" t="0" r="19685" b="19050"/>
                      <wp:wrapNone/>
                      <wp:docPr id="47" name="Straight Connector 47"/>
                      <wp:cNvGraphicFramePr/>
                      <a:graphic xmlns:a="http://schemas.openxmlformats.org/drawingml/2006/main">
                        <a:graphicData uri="http://schemas.microsoft.com/office/word/2010/wordprocessingShape">
                          <wps:wsp>
                            <wps:cNvCnPr/>
                            <wps:spPr>
                              <a:xfrm>
                                <a:off x="0" y="0"/>
                                <a:ext cx="380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9.95pt,7.2pt" to="49.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" strokecolor="#4579b8 [3044]"/>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1248" behindDoc="0" locked="0" layoutInCell="1" allowOverlap="1" wp14:anchorId="686BABE9" wp14:editId="05AEFCE3">
                      <wp:simplePos x="0" y="0"/>
                      <wp:positionH relativeFrom="column">
                        <wp:posOffset>184785</wp:posOffset>
                      </wp:positionH>
                      <wp:positionV relativeFrom="paragraph">
                        <wp:posOffset>161925</wp:posOffset>
                      </wp:positionV>
                      <wp:extent cx="990600" cy="400050"/>
                      <wp:effectExtent l="0" t="0" r="19050" b="19050"/>
                      <wp:wrapNone/>
                      <wp:docPr id="1085" name="Text Box 1085"/>
                      <wp:cNvGraphicFramePr/>
                      <a:graphic xmlns:a="http://schemas.openxmlformats.org/drawingml/2006/main">
                        <a:graphicData uri="http://schemas.microsoft.com/office/word/2010/wordprocessingShape">
                          <wps:wsp>
                            <wps:cNvSpPr txBox="1"/>
                            <wps:spPr>
                              <a:xfrm>
                                <a:off x="0" y="0"/>
                                <a:ext cx="990600" cy="4000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Budžeta izpildes bloks SAP ERP</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85" o:spid="_x0000_s1033" type="#_x0000_t202" style="position:absolute;margin-left:14.55pt;margin-top:12.75pt;width:78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" fillcolor="white [3201]" strokecolor="#7f7f7f [1601]">
                      <v:textbox>
                        <w:txbxContent>
                          <w:p w:rsidR="006F6894" w:rsidRDefault="006F6894" w:rsidP="00FC5C7A">
                            <w:pPr>
                              <w:pStyle w:val="NormalWeb"/>
                              <w:spacing w:before="0" w:after="0"/>
                            </w:pPr>
                            <w:proofErr w:type="spellStart"/>
                            <w:r w:rsidRPr="00510895">
                              <w:rPr>
                                <w:rFonts w:asciiTheme="minorHAnsi" w:hAnsi="Calibri" w:cstheme="minorBidi"/>
                                <w:color w:val="000000" w:themeColor="dark1"/>
                                <w:sz w:val="16"/>
                                <w:szCs w:val="16"/>
                              </w:rPr>
                              <w:t>Budžeta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izpildes</w:t>
                            </w:r>
                            <w:proofErr w:type="spellEnd"/>
                            <w:r w:rsidRPr="00510895">
                              <w:rPr>
                                <w:rFonts w:asciiTheme="minorHAnsi" w:hAnsi="Calibri" w:cstheme="minorBidi"/>
                                <w:color w:val="000000" w:themeColor="dark1"/>
                                <w:sz w:val="16"/>
                                <w:szCs w:val="16"/>
                              </w:rPr>
                              <w:t xml:space="preserve"> </w:t>
                            </w:r>
                            <w:proofErr w:type="spellStart"/>
                            <w:proofErr w:type="gramStart"/>
                            <w:r w:rsidRPr="00510895">
                              <w:rPr>
                                <w:rFonts w:asciiTheme="minorHAnsi" w:hAnsi="Calibri" w:cstheme="minorBidi"/>
                                <w:color w:val="000000" w:themeColor="dark1"/>
                                <w:sz w:val="16"/>
                                <w:szCs w:val="16"/>
                              </w:rPr>
                              <w:t>bloks</w:t>
                            </w:r>
                            <w:proofErr w:type="spellEnd"/>
                            <w:proofErr w:type="gramEnd"/>
                            <w:r w:rsidRPr="00510895">
                              <w:rPr>
                                <w:rFonts w:asciiTheme="minorHAnsi" w:hAnsi="Calibri" w:cstheme="minorBidi"/>
                                <w:color w:val="000000" w:themeColor="dark1"/>
                                <w:sz w:val="16"/>
                                <w:szCs w:val="16"/>
                              </w:rPr>
                              <w:t xml:space="preserve"> SAP ERP</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80"/>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8176" behindDoc="0" locked="0" layoutInCell="1" allowOverlap="1" wp14:anchorId="252851E1" wp14:editId="16D9EE2C">
                      <wp:simplePos x="0" y="0"/>
                      <wp:positionH relativeFrom="column">
                        <wp:posOffset>218440</wp:posOffset>
                      </wp:positionH>
                      <wp:positionV relativeFrom="paragraph">
                        <wp:posOffset>33655</wp:posOffset>
                      </wp:positionV>
                      <wp:extent cx="847725" cy="352425"/>
                      <wp:effectExtent l="0" t="0" r="28575" b="28575"/>
                      <wp:wrapNone/>
                      <wp:docPr id="1078" name="Text Box 1078"/>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VBPBP (Apache webserver)</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78" o:spid="_x0000_s1034" type="#_x0000_t202" style="position:absolute;margin-left:17.2pt;margin-top:2.65pt;width:66.7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" fillcolor="white [3201]" strokecolor="#7f7f7f [1601]">
                      <v:textbo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VBPBP (Apache webserver)</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2512" behindDoc="0" locked="0" layoutInCell="1" allowOverlap="1" wp14:anchorId="4192C1C3" wp14:editId="36201D06">
                      <wp:simplePos x="0" y="0"/>
                      <wp:positionH relativeFrom="column">
                        <wp:posOffset>316865</wp:posOffset>
                      </wp:positionH>
                      <wp:positionV relativeFrom="paragraph">
                        <wp:posOffset>69215</wp:posOffset>
                      </wp:positionV>
                      <wp:extent cx="1171575" cy="571500"/>
                      <wp:effectExtent l="0" t="0" r="28575" b="19050"/>
                      <wp:wrapNone/>
                      <wp:docPr id="48" name="Oval 48"/>
                      <wp:cNvGraphicFramePr/>
                      <a:graphic xmlns:a="http://schemas.openxmlformats.org/drawingml/2006/main">
                        <a:graphicData uri="http://schemas.microsoft.com/office/word/2010/wordprocessingShape">
                          <wps:wsp>
                            <wps:cNvSpPr/>
                            <wps:spPr>
                              <a:xfrm>
                                <a:off x="0" y="0"/>
                                <a:ext cx="1171575"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F6894" w:rsidRPr="00510895" w:rsidRDefault="006F6894" w:rsidP="00FC5C7A">
                                  <w:pPr>
                                    <w:pStyle w:val="NormalWeb"/>
                                    <w:spacing w:before="0" w:after="0"/>
                                    <w:rPr>
                                      <w:sz w:val="12"/>
                                      <w:szCs w:val="12"/>
                                    </w:rPr>
                                  </w:pPr>
                                  <w:r w:rsidRPr="00510895">
                                    <w:rPr>
                                      <w:rFonts w:asciiTheme="minorHAnsi" w:hAnsi="Calibri" w:cstheme="minorBidi"/>
                                      <w:color w:val="000000" w:themeColor="dark1"/>
                                      <w:sz w:val="12"/>
                                      <w:szCs w:val="12"/>
                                    </w:rPr>
                                    <w:t>iestādes/resora grāmatvedība un personālvadība 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8" o:spid="_x0000_s1035" style="position:absolute;margin-left:24.95pt;margin-top:5.45pt;width:92.2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" fillcolor="white [3201]" strokecolor="#f79646 [3209]" strokeweight="2pt">
                      <v:textbox>
                        <w:txbxContent>
                          <w:p w:rsidR="006F6894" w:rsidRPr="00510895" w:rsidRDefault="006F6894"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N</w:t>
                            </w:r>
                          </w:p>
                        </w:txbxContent>
                      </v:textbox>
                    </v:oval>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5584" behindDoc="0" locked="0" layoutInCell="1" allowOverlap="1" wp14:anchorId="09063817" wp14:editId="4EA273B7">
                      <wp:simplePos x="0" y="0"/>
                      <wp:positionH relativeFrom="column">
                        <wp:posOffset>-63500</wp:posOffset>
                      </wp:positionH>
                      <wp:positionV relativeFrom="paragraph">
                        <wp:posOffset>156845</wp:posOffset>
                      </wp:positionV>
                      <wp:extent cx="2571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pt,12.35pt" to="15.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7152" behindDoc="0" locked="0" layoutInCell="1" allowOverlap="1" wp14:anchorId="493E1782" wp14:editId="6E18C2DF">
                      <wp:simplePos x="0" y="0"/>
                      <wp:positionH relativeFrom="column">
                        <wp:posOffset>213360</wp:posOffset>
                      </wp:positionH>
                      <wp:positionV relativeFrom="paragraph">
                        <wp:posOffset>-173355</wp:posOffset>
                      </wp:positionV>
                      <wp:extent cx="733425" cy="1219200"/>
                      <wp:effectExtent l="0" t="0" r="28575" b="19050"/>
                      <wp:wrapNone/>
                      <wp:docPr id="1077" name="Flowchart: Magnetic Disk 1077"/>
                      <wp:cNvGraphicFramePr/>
                      <a:graphic xmlns:a="http://schemas.openxmlformats.org/drawingml/2006/main">
                        <a:graphicData uri="http://schemas.microsoft.com/office/word/2010/wordprocessingShape">
                          <wps:wsp>
                            <wps:cNvSpPr/>
                            <wps:spPr>
                              <a:xfrm>
                                <a:off x="0" y="0"/>
                                <a:ext cx="733425" cy="1219200"/>
                              </a:xfrm>
                              <a:prstGeom prst="flowChartMagneticDisk">
                                <a:avLst/>
                              </a:prstGeom>
                            </wps:spPr>
                            <wps:style>
                              <a:lnRef idx="2">
                                <a:schemeClr val="accent6"/>
                              </a:lnRef>
                              <a:fillRef idx="1">
                                <a:schemeClr val="lt1"/>
                              </a:fillRef>
                              <a:effectRef idx="0">
                                <a:schemeClr val="accent6"/>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VBPBP DB (Oracle DBMS)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Magnetic Disk 1077" o:spid="_x0000_s1036" type="#_x0000_t132" style="position:absolute;margin-left:16.8pt;margin-top:-13.65pt;width:57.75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" fillcolor="white [3201]" strokecolor="#f79646 [3209]" strokeweight="2pt">
                      <v:textbo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VBPBP DB (Oracle DBMS)</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2272" behindDoc="0" locked="0" layoutInCell="1" allowOverlap="1" wp14:anchorId="46F8CD63" wp14:editId="51EC29DA">
                      <wp:simplePos x="0" y="0"/>
                      <wp:positionH relativeFrom="column">
                        <wp:posOffset>250190</wp:posOffset>
                      </wp:positionH>
                      <wp:positionV relativeFrom="paragraph">
                        <wp:posOffset>-19685</wp:posOffset>
                      </wp:positionV>
                      <wp:extent cx="895350" cy="561975"/>
                      <wp:effectExtent l="0" t="0" r="19050" b="28575"/>
                      <wp:wrapNone/>
                      <wp:docPr id="1086" name="Text Box 1086"/>
                      <wp:cNvGraphicFramePr/>
                      <a:graphic xmlns:a="http://schemas.openxmlformats.org/drawingml/2006/main">
                        <a:graphicData uri="http://schemas.microsoft.com/office/word/2010/wordprocessingShape">
                          <wps:wsp>
                            <wps:cNvSpPr txBox="1"/>
                            <wps:spPr>
                              <a:xfrm>
                                <a:off x="0" y="0"/>
                                <a:ext cx="895350" cy="5619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Budžeta plānošanas bloks SAP SEM</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86" o:spid="_x0000_s1037" type="#_x0000_t202" style="position:absolute;margin-left:19.7pt;margin-top:-1.55pt;width:70.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" fillcolor="white [3201]" strokecolor="#7f7f7f [1601]">
                      <v:textbox>
                        <w:txbxContent>
                          <w:p w:rsidR="006F6894" w:rsidRDefault="006F6894" w:rsidP="00FC5C7A">
                            <w:pPr>
                              <w:pStyle w:val="NormalWeb"/>
                              <w:spacing w:before="0" w:after="0"/>
                            </w:pPr>
                            <w:proofErr w:type="spellStart"/>
                            <w:r w:rsidRPr="00510895">
                              <w:rPr>
                                <w:rFonts w:asciiTheme="minorHAnsi" w:hAnsi="Calibri" w:cstheme="minorBidi"/>
                                <w:color w:val="000000" w:themeColor="dark1"/>
                                <w:sz w:val="16"/>
                                <w:szCs w:val="16"/>
                              </w:rPr>
                              <w:t>Budžeta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plānošanas</w:t>
                            </w:r>
                            <w:proofErr w:type="spellEnd"/>
                            <w:r w:rsidRPr="00510895">
                              <w:rPr>
                                <w:rFonts w:asciiTheme="minorHAnsi" w:hAnsi="Calibri" w:cstheme="minorBidi"/>
                                <w:color w:val="000000" w:themeColor="dark1"/>
                                <w:sz w:val="16"/>
                                <w:szCs w:val="16"/>
                              </w:rPr>
                              <w:t xml:space="preserve"> </w:t>
                            </w:r>
                            <w:proofErr w:type="spellStart"/>
                            <w:proofErr w:type="gramStart"/>
                            <w:r w:rsidRPr="00510895">
                              <w:rPr>
                                <w:rFonts w:asciiTheme="minorHAnsi" w:hAnsi="Calibri" w:cstheme="minorBidi"/>
                                <w:color w:val="000000" w:themeColor="dark1"/>
                                <w:sz w:val="16"/>
                                <w:szCs w:val="16"/>
                              </w:rPr>
                              <w:t>bloks</w:t>
                            </w:r>
                            <w:proofErr w:type="spellEnd"/>
                            <w:proofErr w:type="gramEnd"/>
                            <w:r w:rsidRPr="00510895">
                              <w:rPr>
                                <w:rFonts w:asciiTheme="minorHAnsi" w:hAnsi="Calibri" w:cstheme="minorBidi"/>
                                <w:color w:val="000000" w:themeColor="dark1"/>
                                <w:sz w:val="16"/>
                                <w:szCs w:val="16"/>
                              </w:rPr>
                              <w:t xml:space="preserve"> SAP SEM</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w:drawing>
                <wp:anchor distT="0" distB="0" distL="114300" distR="114300" simplePos="0" relativeHeight="251711488" behindDoc="0" locked="0" layoutInCell="1" allowOverlap="1" wp14:anchorId="6C0E76B2" wp14:editId="01EC7717">
                  <wp:simplePos x="0" y="0"/>
                  <wp:positionH relativeFrom="column">
                    <wp:posOffset>128270</wp:posOffset>
                  </wp:positionH>
                  <wp:positionV relativeFrom="paragraph">
                    <wp:posOffset>162560</wp:posOffset>
                  </wp:positionV>
                  <wp:extent cx="542925" cy="514350"/>
                  <wp:effectExtent l="0" t="0" r="9525" b="0"/>
                  <wp:wrapNone/>
                  <wp:docPr id="56" name="Picture 56" descr="C:\Program Files\Microsoft Office\MEDIA\CAGCAT10\j0292020.wmf"/>
                  <wp:cNvGraphicFramePr/>
                  <a:graphic xmlns:a="http://schemas.openxmlformats.org/drawingml/2006/main">
                    <a:graphicData uri="http://schemas.openxmlformats.org/drawingml/2006/picture">
                      <pic:pic xmlns:pic="http://schemas.openxmlformats.org/drawingml/2006/picture">
                        <pic:nvPicPr>
                          <pic:cNvPr id="15" name="Picture 14" descr="C:\Program Files\Microsoft Office\MEDIA\CAGCAT10\j0292020.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6368" behindDoc="0" locked="0" layoutInCell="1" allowOverlap="1" wp14:anchorId="67A15A89" wp14:editId="341B27EB">
                      <wp:simplePos x="0" y="0"/>
                      <wp:positionH relativeFrom="column">
                        <wp:posOffset>118745</wp:posOffset>
                      </wp:positionH>
                      <wp:positionV relativeFrom="paragraph">
                        <wp:posOffset>78105</wp:posOffset>
                      </wp:positionV>
                      <wp:extent cx="723900" cy="504825"/>
                      <wp:effectExtent l="0" t="0" r="19050" b="28575"/>
                      <wp:wrapNone/>
                      <wp:docPr id="1092" name="Text Box 1092"/>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Oracle DB Link </w:t>
                                  </w:r>
                                </w:p>
                                <w:p w:rsidR="006F6894" w:rsidRDefault="006F6894" w:rsidP="00FC5C7A">
                                  <w:pPr>
                                    <w:pStyle w:val="NormalWeb"/>
                                    <w:spacing w:before="0" w:after="0"/>
                                  </w:pPr>
                                  <w:r w:rsidRPr="00510895">
                                    <w:rPr>
                                      <w:rFonts w:asciiTheme="minorHAnsi" w:hAnsi="Calibri" w:cstheme="minorBidi"/>
                                      <w:color w:val="000000" w:themeColor="dark1"/>
                                      <w:sz w:val="16"/>
                                      <w:szCs w:val="16"/>
                                    </w:rPr>
                                    <w:t>(SAP PI/XI)</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092" o:spid="_x0000_s1038" type="#_x0000_t202" style="position:absolute;margin-left:9.35pt;margin-top:6.15pt;width:57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" fillcolor="white [3201]" strokecolor="#7f7f7f [1601]">
                      <v:textbox>
                        <w:txbxContent>
                          <w:p w:rsidR="006F6894" w:rsidRDefault="006F6894"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Oracle DB Link </w:t>
                            </w:r>
                          </w:p>
                          <w:p w:rsidR="006F6894" w:rsidRDefault="006F6894" w:rsidP="00FC5C7A">
                            <w:pPr>
                              <w:pStyle w:val="NormalWeb"/>
                              <w:spacing w:before="0" w:after="0"/>
                            </w:pPr>
                            <w:r w:rsidRPr="00510895">
                              <w:rPr>
                                <w:rFonts w:asciiTheme="minorHAnsi" w:hAnsi="Calibri" w:cstheme="minorBidi"/>
                                <w:color w:val="000000" w:themeColor="dark1"/>
                                <w:sz w:val="16"/>
                                <w:szCs w:val="16"/>
                              </w:rPr>
                              <w:t>(SAP PI/XI)</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6128" behindDoc="0" locked="0" layoutInCell="1" allowOverlap="1" wp14:anchorId="10D72D4D" wp14:editId="29F1AF07">
                      <wp:simplePos x="0" y="0"/>
                      <wp:positionH relativeFrom="column">
                        <wp:posOffset>297180</wp:posOffset>
                      </wp:positionH>
                      <wp:positionV relativeFrom="paragraph">
                        <wp:posOffset>-147955</wp:posOffset>
                      </wp:positionV>
                      <wp:extent cx="1152525" cy="419100"/>
                      <wp:effectExtent l="0" t="0" r="28575" b="19050"/>
                      <wp:wrapNone/>
                      <wp:docPr id="1076" name="Text Box 1076"/>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Manuāla informācijas precizēšana</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076" o:spid="_x0000_s1039" type="#_x0000_t202" style="position:absolute;margin-left:23.4pt;margin-top:-11.65pt;width:90.75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" fillcolor="white [3201]" strokecolor="#7f7f7f [1601]">
                      <v:textbox>
                        <w:txbxContent>
                          <w:p w:rsidR="006F6894" w:rsidRDefault="006F6894" w:rsidP="00FC5C7A">
                            <w:pPr>
                              <w:pStyle w:val="NormalWeb"/>
                              <w:spacing w:before="0" w:after="0"/>
                            </w:pPr>
                            <w:proofErr w:type="spellStart"/>
                            <w:r w:rsidRPr="00510895">
                              <w:rPr>
                                <w:rFonts w:asciiTheme="minorHAnsi" w:hAnsi="Calibri" w:cstheme="minorBidi"/>
                                <w:color w:val="000000" w:themeColor="dark1"/>
                                <w:sz w:val="16"/>
                                <w:szCs w:val="16"/>
                              </w:rPr>
                              <w:t>Manuāla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informācijas</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precizēšana</w:t>
                            </w:r>
                            <w:proofErr w:type="spellEnd"/>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5344" behindDoc="0" locked="0" layoutInCell="1" allowOverlap="1" wp14:anchorId="37D46108" wp14:editId="699B404D">
                      <wp:simplePos x="0" y="0"/>
                      <wp:positionH relativeFrom="column">
                        <wp:posOffset>3810</wp:posOffset>
                      </wp:positionH>
                      <wp:positionV relativeFrom="paragraph">
                        <wp:posOffset>-135255</wp:posOffset>
                      </wp:positionV>
                      <wp:extent cx="1066800" cy="9525"/>
                      <wp:effectExtent l="0" t="0" r="19050" b="28575"/>
                      <wp:wrapNone/>
                      <wp:docPr id="1090" name="Straight Connector 1090"/>
                      <wp:cNvGraphicFramePr/>
                      <a:graphic xmlns:a="http://schemas.openxmlformats.org/drawingml/2006/main">
                        <a:graphicData uri="http://schemas.microsoft.com/office/word/2010/wordprocessingShape">
                          <wps:wsp>
                            <wps:cNvCnPr/>
                            <wps:spPr>
                              <a:xfrm flipH="1">
                                <a:off x="0" y="0"/>
                                <a:ext cx="106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90"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65pt" to="8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7872" behindDoc="0" locked="0" layoutInCell="1" allowOverlap="1" wp14:anchorId="03FEC65C" wp14:editId="600C589D">
                      <wp:simplePos x="0" y="0"/>
                      <wp:positionH relativeFrom="column">
                        <wp:posOffset>270510</wp:posOffset>
                      </wp:positionH>
                      <wp:positionV relativeFrom="paragraph">
                        <wp:posOffset>177800</wp:posOffset>
                      </wp:positionV>
                      <wp:extent cx="0" cy="381000"/>
                      <wp:effectExtent l="0" t="0" r="19050" b="19050"/>
                      <wp:wrapNone/>
                      <wp:docPr id="50" name="Straight Connector 50"/>
                      <wp:cNvGraphicFramePr/>
                      <a:graphic xmlns:a="http://schemas.openxmlformats.org/drawingml/2006/main">
                        <a:graphicData uri="http://schemas.microsoft.com/office/word/2010/wordprocessingShape">
                          <wps:wsp>
                            <wps:cNvCnPr/>
                            <wps:spPr>
                              <a:xfrm flipV="1">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0"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21.3pt,14pt" to="21.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3296" behindDoc="0" locked="0" layoutInCell="1" allowOverlap="1" wp14:anchorId="54B06AC8" wp14:editId="0EFD5C24">
                      <wp:simplePos x="0" y="0"/>
                      <wp:positionH relativeFrom="column">
                        <wp:posOffset>250825</wp:posOffset>
                      </wp:positionH>
                      <wp:positionV relativeFrom="paragraph">
                        <wp:posOffset>-13970</wp:posOffset>
                      </wp:positionV>
                      <wp:extent cx="1009650" cy="238125"/>
                      <wp:effectExtent l="0" t="0" r="19050" b="28575"/>
                      <wp:wrapNone/>
                      <wp:docPr id="1087" name="Text Box 1087"/>
                      <wp:cNvGraphicFramePr/>
                      <a:graphic xmlns:a="http://schemas.openxmlformats.org/drawingml/2006/main">
                        <a:graphicData uri="http://schemas.microsoft.com/office/word/2010/wordprocessingShape">
                          <wps:wsp>
                            <wps:cNvSpPr txBox="1"/>
                            <wps:spPr>
                              <a:xfrm>
                                <a:off x="0" y="0"/>
                                <a:ext cx="1009650" cy="2190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(Oracle DMBS)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087" o:spid="_x0000_s1040" type="#_x0000_t202" style="position:absolute;margin-left:19.75pt;margin-top:-1.1pt;width:79.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" fillcolor="white [3201]" strokecolor="#7f7f7f [1601]">
                      <v:textbox>
                        <w:txbxContent>
                          <w:p w:rsidR="006F6894" w:rsidRDefault="006F6894" w:rsidP="00FC5C7A">
                            <w:pPr>
                              <w:pStyle w:val="NormalWeb"/>
                              <w:spacing w:before="0" w:after="0"/>
                            </w:pPr>
                            <w:r w:rsidRPr="00510895">
                              <w:rPr>
                                <w:rFonts w:asciiTheme="minorHAnsi" w:hAnsi="Calibri" w:cstheme="minorBidi"/>
                                <w:color w:val="000000" w:themeColor="dark1"/>
                                <w:sz w:val="16"/>
                                <w:szCs w:val="16"/>
                              </w:rPr>
                              <w:t>(Oracle DMBS)</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6848" behindDoc="0" locked="0" layoutInCell="1" allowOverlap="1" wp14:anchorId="28C4909E" wp14:editId="17ECD870">
                      <wp:simplePos x="0" y="0"/>
                      <wp:positionH relativeFrom="column">
                        <wp:posOffset>270510</wp:posOffset>
                      </wp:positionH>
                      <wp:positionV relativeFrom="paragraph">
                        <wp:posOffset>116840</wp:posOffset>
                      </wp:positionV>
                      <wp:extent cx="2009775" cy="0"/>
                      <wp:effectExtent l="0" t="0" r="9525" b="19050"/>
                      <wp:wrapNone/>
                      <wp:docPr id="51" name="Straight Connector 51"/>
                      <wp:cNvGraphicFramePr/>
                      <a:graphic xmlns:a="http://schemas.openxmlformats.org/drawingml/2006/main">
                        <a:graphicData uri="http://schemas.microsoft.com/office/word/2010/wordprocessingShape">
                          <wps:wsp>
                            <wps:cNvCnPr/>
                            <wps:spPr>
                              <a:xfrm flipH="1">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21.3pt,9.2pt" to="179.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bl>
    <w:p w:rsidR="00C87C2F" w:rsidRPr="00B94590" w:rsidRDefault="00C87C2F" w:rsidP="00A65510">
      <w:pPr>
        <w:pStyle w:val="Body0"/>
        <w:jc w:val="both"/>
      </w:pPr>
    </w:p>
    <w:p w:rsidR="009B05B4" w:rsidRPr="00B94590" w:rsidRDefault="009B05B4" w:rsidP="009B05B4">
      <w:pPr>
        <w:pStyle w:val="Caption"/>
      </w:pPr>
      <w:bookmarkStart w:id="95" w:name="_Ref292627590"/>
      <w:bookmarkStart w:id="96" w:name="_Toc293590900"/>
      <w:bookmarkStart w:id="97" w:name="_Toc292619590"/>
      <w:r w:rsidRPr="00B94590">
        <w:t xml:space="preserve">Attēls Nr. </w:t>
      </w:r>
      <w:r w:rsidR="00750ABF" w:rsidRPr="00B94590">
        <w:t>6</w:t>
      </w:r>
      <w:bookmarkEnd w:id="95"/>
      <w:r w:rsidRPr="00B94590">
        <w:t xml:space="preserve"> </w:t>
      </w:r>
      <w:r w:rsidR="00A44C91" w:rsidRPr="00B94590">
        <w:t xml:space="preserve">Atlīdzības uzskaites sistēmā </w:t>
      </w:r>
      <w:r w:rsidRPr="00B94590">
        <w:t>iesaistīto sistēmu arhitektūra</w:t>
      </w:r>
      <w:bookmarkEnd w:id="96"/>
    </w:p>
    <w:p w:rsidR="00ED55CF" w:rsidRPr="00B94590" w:rsidRDefault="00E420E4" w:rsidP="00A65510">
      <w:pPr>
        <w:pStyle w:val="Heading2"/>
        <w:jc w:val="both"/>
        <w:rPr>
          <w:lang w:val="lv-LV"/>
        </w:rPr>
      </w:pPr>
      <w:bookmarkStart w:id="98" w:name="_Toc293616283"/>
      <w:r w:rsidRPr="00B94590">
        <w:rPr>
          <w:lang w:val="lv-LV"/>
        </w:rPr>
        <w:t>Sistēmu</w:t>
      </w:r>
      <w:r w:rsidR="00ED55CF" w:rsidRPr="00B94590">
        <w:rPr>
          <w:lang w:val="lv-LV"/>
        </w:rPr>
        <w:t xml:space="preserve"> lietotāji un ietekmētais personāls</w:t>
      </w:r>
      <w:bookmarkEnd w:id="97"/>
      <w:bookmarkEnd w:id="98"/>
    </w:p>
    <w:p w:rsidR="004622F9" w:rsidRPr="00B94590" w:rsidRDefault="004622F9" w:rsidP="004622F9">
      <w:pPr>
        <w:pStyle w:val="Body0"/>
        <w:jc w:val="both"/>
        <w:rPr>
          <w:lang w:eastAsia="en-US"/>
        </w:rPr>
      </w:pPr>
      <w:bookmarkStart w:id="99" w:name="_Ref29379735"/>
      <w:bookmarkStart w:id="100" w:name="_Ref29379738"/>
      <w:bookmarkStart w:id="101" w:name="_Ref29611627"/>
      <w:bookmarkStart w:id="102" w:name="_Ref29611631"/>
      <w:bookmarkStart w:id="103" w:name="_Toc30221855"/>
      <w:r w:rsidRPr="00B94590">
        <w:rPr>
          <w:lang w:eastAsia="en-US"/>
        </w:rPr>
        <w:t>Latvijas publiskā sektora grāmatvedības standartus, rokasgrāmatas standartu piemērošanai un finanšu vadības procesu aprakstus izmantos visas publiskā sektora iestādes plānojot un organizējot savus finanšu vadības procesus.</w:t>
      </w:r>
    </w:p>
    <w:p w:rsidR="00742AEF" w:rsidRPr="00B94590" w:rsidRDefault="00742AEF" w:rsidP="00742AEF">
      <w:pPr>
        <w:pStyle w:val="Body0"/>
        <w:jc w:val="both"/>
        <w:rPr>
          <w:lang w:eastAsia="en-US"/>
        </w:rPr>
      </w:pPr>
      <w:r w:rsidRPr="00B94590">
        <w:rPr>
          <w:lang w:eastAsia="en-US"/>
        </w:rPr>
        <w:t>Atlīdzības uzskaites sistēmu</w:t>
      </w:r>
      <w:r w:rsidR="000C4A94" w:rsidRPr="00B94590">
        <w:rPr>
          <w:lang w:eastAsia="en-US"/>
        </w:rPr>
        <w:t>, kur dati tiks apstrādāti izmantojot Valsts finanšu datu analīzes rīku</w:t>
      </w:r>
      <w:r w:rsidRPr="00B94590">
        <w:rPr>
          <w:lang w:eastAsia="en-US"/>
        </w:rPr>
        <w:t xml:space="preserve"> (atbilstoši normatīvajam regulējumam)</w:t>
      </w:r>
      <w:r w:rsidR="004622F9" w:rsidRPr="00B94590">
        <w:rPr>
          <w:lang w:eastAsia="en-US"/>
        </w:rPr>
        <w:t>,</w:t>
      </w:r>
      <w:r w:rsidRPr="00B94590">
        <w:rPr>
          <w:lang w:eastAsia="en-US"/>
        </w:rPr>
        <w:t xml:space="preserve"> izmantos visu valsts institūciju, valsts dibinātu augstskolu, zinātnisko institūtu, pašvaldību, valsts un pašvaldību kapitālsabiedrību un ostu personāldaļu, grāmatvedības un citi pilnvarotie darbinieki. Papildus atlīdzības uzskaites sistēmas datus nozaru ministriju darbinieki varēs izmantot savas ministrijas pakļautības (padotības) iestāžu atlīdzības datu analīzei. Pamatā atlīdzības uzskaites sistēmu sabiedriskajā sektorā nodarbināto atlīdzības politikas izstrādei izmantos FM Finanšu vadības un metodoloģijas departaments.</w:t>
      </w:r>
    </w:p>
    <w:p w:rsidR="00891E35" w:rsidRPr="00B94590" w:rsidRDefault="00107344" w:rsidP="00A65510">
      <w:pPr>
        <w:pStyle w:val="Body0"/>
        <w:jc w:val="both"/>
        <w:rPr>
          <w:lang w:eastAsia="en-US"/>
        </w:rPr>
      </w:pPr>
      <w:r w:rsidRPr="00B94590">
        <w:t>Valsts finanšu datu analīzes rīks tiks veidots izmantojot Business Objects vai līdzvērtīgu tehnoloģiju, kas nozīmē, ka datu analīzes rezultāti būs pieejami izmantojot standarta interneta pārlūkprogrammu. Paredzēts, ka primāri datu an</w:t>
      </w:r>
      <w:r w:rsidR="00DF1195" w:rsidRPr="00B94590">
        <w:t>alīzes rīka lietotāji būs F</w:t>
      </w:r>
      <w:r w:rsidR="00D67DDD" w:rsidRPr="00B94590">
        <w:t>M</w:t>
      </w:r>
      <w:r w:rsidRPr="00B94590">
        <w:t xml:space="preserve"> un V</w:t>
      </w:r>
      <w:r w:rsidR="00D67DDD" w:rsidRPr="00B94590">
        <w:t>K</w:t>
      </w:r>
      <w:r w:rsidRPr="00B94590">
        <w:t xml:space="preserve"> darbinieki, kopumā analizējot valsts budžeta izpildes informāciju, kā arī valsts budžeta iestāžu finanšu grāmatvedības informāciju. </w:t>
      </w:r>
      <w:r w:rsidR="000C4A94" w:rsidRPr="00B94590">
        <w:rPr>
          <w:rStyle w:val="spelle"/>
        </w:rPr>
        <w:t>Valsts kanceleja to varēs pielietot cilvēkresursu attīstības politikas izstrādei valsts tiešā pārvaldē nodarbinātajiem.</w:t>
      </w:r>
    </w:p>
    <w:p w:rsidR="00ED55CF" w:rsidRPr="00B94590" w:rsidRDefault="00ED55CF" w:rsidP="00DB4AF8">
      <w:pPr>
        <w:pStyle w:val="Heading2"/>
        <w:jc w:val="both"/>
        <w:rPr>
          <w:lang w:val="lv-LV"/>
        </w:rPr>
      </w:pPr>
      <w:bookmarkStart w:id="104" w:name="_Toc292619591"/>
      <w:bookmarkStart w:id="105" w:name="_Toc293616284"/>
      <w:r w:rsidRPr="00B94590">
        <w:rPr>
          <w:lang w:val="lv-LV"/>
        </w:rPr>
        <w:t>Atbalsta stratēģija</w:t>
      </w:r>
      <w:bookmarkEnd w:id="104"/>
      <w:bookmarkEnd w:id="105"/>
    </w:p>
    <w:p w:rsidR="00370CE8" w:rsidRPr="00B94590" w:rsidRDefault="00777CC6" w:rsidP="00370CE8">
      <w:pPr>
        <w:pStyle w:val="Body0"/>
        <w:jc w:val="both"/>
      </w:pPr>
      <w:r w:rsidRPr="00B94590">
        <w:t xml:space="preserve">Vienotas valsts iestāžu finanšu un vadības grāmatvedības atbalstošo sistēmu </w:t>
      </w:r>
      <w:r w:rsidR="00370CE8" w:rsidRPr="00B94590">
        <w:t xml:space="preserve"> izmaiņu ietvaros būtu jāveic </w:t>
      </w:r>
      <w:r w:rsidR="00877723" w:rsidRPr="00B94590">
        <w:t xml:space="preserve">atbalstošo </w:t>
      </w:r>
      <w:r w:rsidR="00370CE8" w:rsidRPr="00B94590">
        <w:t xml:space="preserve">datu bāzu </w:t>
      </w:r>
      <w:r w:rsidR="00877723" w:rsidRPr="00B94590">
        <w:t xml:space="preserve">sistēmu versiju atjaunošana </w:t>
      </w:r>
      <w:r w:rsidR="00370CE8" w:rsidRPr="00B94590">
        <w:t>Atbilstoši pašreizējai Oracle tehnoloģiskajai attīstībai, būtu jāveic:</w:t>
      </w:r>
    </w:p>
    <w:p w:rsidR="00370CE8" w:rsidRPr="00B94590" w:rsidRDefault="00370CE8" w:rsidP="00701E76">
      <w:pPr>
        <w:pStyle w:val="Body0"/>
        <w:numPr>
          <w:ilvl w:val="0"/>
          <w:numId w:val="21"/>
        </w:numPr>
        <w:jc w:val="both"/>
      </w:pPr>
      <w:r w:rsidRPr="00B94590">
        <w:t>pāreja uz Oracle 11g standart datu bāzu serveri;</w:t>
      </w:r>
    </w:p>
    <w:p w:rsidR="00370CE8" w:rsidRPr="00B94590" w:rsidRDefault="00370CE8" w:rsidP="00701E76">
      <w:pPr>
        <w:pStyle w:val="Body0"/>
        <w:numPr>
          <w:ilvl w:val="0"/>
          <w:numId w:val="21"/>
        </w:numPr>
        <w:jc w:val="both"/>
      </w:pPr>
      <w:r w:rsidRPr="00B94590">
        <w:t>pāreja uz Oracle WebLogic 11g serveri;</w:t>
      </w:r>
    </w:p>
    <w:p w:rsidR="00370CE8" w:rsidRPr="00B94590" w:rsidRDefault="00370CE8" w:rsidP="00370CE8">
      <w:pPr>
        <w:pStyle w:val="Body0"/>
        <w:jc w:val="both"/>
      </w:pPr>
      <w:r w:rsidRPr="00B94590">
        <w:t>Sistēmas datu bāzu un aplikāciju serveru rekomendētā atbalstošā operētājsistēma būtu Linux</w:t>
      </w:r>
      <w:r w:rsidR="00877723" w:rsidRPr="00B94590">
        <w:t>/Unix</w:t>
      </w:r>
      <w:r w:rsidRPr="00B94590">
        <w:t>.</w:t>
      </w:r>
    </w:p>
    <w:p w:rsidR="00370CE8" w:rsidRPr="00B94590" w:rsidRDefault="00370CE8" w:rsidP="00370CE8">
      <w:pPr>
        <w:pStyle w:val="Body0"/>
        <w:jc w:val="both"/>
      </w:pPr>
      <w:r w:rsidRPr="00B94590">
        <w:t>Sistēm</w:t>
      </w:r>
      <w:r w:rsidR="00877723" w:rsidRPr="00B94590">
        <w:t>u</w:t>
      </w:r>
      <w:r w:rsidRPr="00B94590">
        <w:t xml:space="preserve"> tehnisko atbalstu un uzturēšanu veiktu V</w:t>
      </w:r>
      <w:r w:rsidR="00D67DDD" w:rsidRPr="00B94590">
        <w:t>K</w:t>
      </w:r>
      <w:r w:rsidRPr="00B94590">
        <w:t xml:space="preserve"> Informātikas departamenta darbinieki.</w:t>
      </w:r>
    </w:p>
    <w:p w:rsidR="00370CE8" w:rsidRPr="00B94590" w:rsidRDefault="00370CE8" w:rsidP="00370CE8">
      <w:pPr>
        <w:pStyle w:val="Body0"/>
        <w:jc w:val="both"/>
      </w:pPr>
      <w:r w:rsidRPr="00B94590">
        <w:t>Ārējo lietotāju atbalstu un konsultācijas veiktu V</w:t>
      </w:r>
      <w:r w:rsidR="00D67DDD" w:rsidRPr="00B94590">
        <w:t>K</w:t>
      </w:r>
      <w:r w:rsidRPr="00B94590">
        <w:t xml:space="preserve"> Klientu apkalpošanas un pakalpojumu attīs</w:t>
      </w:r>
      <w:r w:rsidR="00877723" w:rsidRPr="00B94590">
        <w:t>tības departamenta darbinieki</w:t>
      </w:r>
      <w:r w:rsidR="00D67DDD" w:rsidRPr="00B94590">
        <w:t xml:space="preserve">, kā arī </w:t>
      </w:r>
      <w:r w:rsidR="00352A67" w:rsidRPr="00B94590">
        <w:t>FM Finanšu vadības un metodoloģijas departamenta darbinieki</w:t>
      </w:r>
      <w:r w:rsidR="00D67DDD" w:rsidRPr="00B94590">
        <w:t>, atbilstoši kompetencei</w:t>
      </w:r>
      <w:r w:rsidR="00877723" w:rsidRPr="00B94590">
        <w:t>.</w:t>
      </w:r>
    </w:p>
    <w:p w:rsidR="00EF761F" w:rsidRPr="00B94590" w:rsidRDefault="00ED55CF" w:rsidP="00EF761F">
      <w:pPr>
        <w:pStyle w:val="Heading2"/>
        <w:jc w:val="both"/>
        <w:rPr>
          <w:lang w:val="lv-LV"/>
        </w:rPr>
      </w:pPr>
      <w:bookmarkStart w:id="106" w:name="_Toc292619592"/>
      <w:bookmarkStart w:id="107" w:name="_Toc293616285"/>
      <w:bookmarkEnd w:id="99"/>
      <w:bookmarkEnd w:id="100"/>
      <w:bookmarkEnd w:id="101"/>
      <w:bookmarkEnd w:id="102"/>
      <w:bookmarkEnd w:id="103"/>
      <w:r w:rsidRPr="00B94590">
        <w:rPr>
          <w:lang w:val="lv-LV"/>
        </w:rPr>
        <w:t>Valodu atbalsts</w:t>
      </w:r>
      <w:bookmarkEnd w:id="106"/>
      <w:bookmarkEnd w:id="107"/>
    </w:p>
    <w:p w:rsidR="00EF761F" w:rsidRPr="00B94590" w:rsidRDefault="00A83394" w:rsidP="004622F9">
      <w:pPr>
        <w:jc w:val="both"/>
        <w:rPr>
          <w:lang w:eastAsia="en-US"/>
        </w:rPr>
      </w:pPr>
      <w:r w:rsidRPr="00B94590">
        <w:rPr>
          <w:lang w:eastAsia="en-US"/>
        </w:rPr>
        <w:t xml:space="preserve">Atbilstoši Valsts informācijas sistēmu likuma 8.panta 7.punktam sistēmai jānodrošina saskarne valsts valodā, tomēr jāņem vērā </w:t>
      </w:r>
      <w:r w:rsidR="004622F9" w:rsidRPr="00B94590">
        <w:rPr>
          <w:lang w:eastAsia="en-US"/>
        </w:rPr>
        <w:t xml:space="preserve">ka sistēmā glabātā informācija </w:t>
      </w:r>
      <w:r w:rsidRPr="00B94590">
        <w:rPr>
          <w:lang w:eastAsia="en-US"/>
        </w:rPr>
        <w:t>var tikt glabāt</w:t>
      </w:r>
      <w:r w:rsidR="004622F9" w:rsidRPr="00B94590">
        <w:rPr>
          <w:lang w:eastAsia="en-US"/>
        </w:rPr>
        <w:t>a</w:t>
      </w:r>
      <w:r w:rsidRPr="00B94590">
        <w:rPr>
          <w:lang w:eastAsia="en-US"/>
        </w:rPr>
        <w:t xml:space="preserve"> dažādās valodās (latviešu, angļu, latīņu, krievu). </w:t>
      </w:r>
      <w:r w:rsidRPr="00B94590">
        <w:t>V</w:t>
      </w:r>
      <w:r w:rsidR="000406CA" w:rsidRPr="00B94590">
        <w:t>ienotu</w:t>
      </w:r>
      <w:r w:rsidRPr="00B94590">
        <w:t xml:space="preserve"> valsts iestāžu finanšu un vadības grā</w:t>
      </w:r>
      <w:r w:rsidR="000406CA" w:rsidRPr="00B94590">
        <w:t>matvedību</w:t>
      </w:r>
      <w:r w:rsidRPr="00B94590">
        <w:t xml:space="preserve"> atbalstošajām sistēmām </w:t>
      </w:r>
      <w:r w:rsidRPr="00B94590">
        <w:rPr>
          <w:lang w:eastAsia="en-US"/>
        </w:rPr>
        <w:t>ir jānodrošina daudzvalodības iespējas attiecībā uz datu glabāšanu un pārsūtīšanu.</w:t>
      </w:r>
    </w:p>
    <w:p w:rsidR="00ED55CF" w:rsidRPr="00B94590" w:rsidRDefault="00ED55CF" w:rsidP="00A65510">
      <w:pPr>
        <w:pStyle w:val="Heading2"/>
        <w:jc w:val="both"/>
        <w:rPr>
          <w:lang w:val="lv-LV"/>
        </w:rPr>
      </w:pPr>
      <w:bookmarkStart w:id="108" w:name="_Ref30215573"/>
      <w:bookmarkStart w:id="109" w:name="_Ref30215575"/>
      <w:bookmarkStart w:id="110" w:name="_Ref30215577"/>
      <w:bookmarkStart w:id="111" w:name="_Toc30221870"/>
      <w:bookmarkStart w:id="112" w:name="_Toc292619593"/>
      <w:bookmarkStart w:id="113" w:name="_Toc293616286"/>
      <w:r w:rsidRPr="00B94590">
        <w:rPr>
          <w:lang w:val="lv-LV"/>
        </w:rPr>
        <w:t xml:space="preserve">Prasības </w:t>
      </w:r>
      <w:r w:rsidR="00BA7230" w:rsidRPr="00B94590">
        <w:rPr>
          <w:lang w:val="lv-LV"/>
        </w:rPr>
        <w:t>sistēmu</w:t>
      </w:r>
      <w:r w:rsidRPr="00B94590">
        <w:rPr>
          <w:lang w:val="lv-LV"/>
        </w:rPr>
        <w:t xml:space="preserve"> nepieciešamaj</w:t>
      </w:r>
      <w:bookmarkEnd w:id="108"/>
      <w:bookmarkEnd w:id="109"/>
      <w:bookmarkEnd w:id="110"/>
      <w:bookmarkEnd w:id="111"/>
      <w:r w:rsidRPr="00B94590">
        <w:rPr>
          <w:lang w:val="lv-LV"/>
        </w:rPr>
        <w:t>iem tehniskajiem resursiem</w:t>
      </w:r>
      <w:bookmarkEnd w:id="112"/>
      <w:bookmarkEnd w:id="113"/>
    </w:p>
    <w:p w:rsidR="00ED55CF" w:rsidRPr="00B94590" w:rsidRDefault="00BA7230" w:rsidP="00A65510">
      <w:pPr>
        <w:pStyle w:val="Heading3"/>
        <w:jc w:val="both"/>
      </w:pPr>
      <w:bookmarkStart w:id="114" w:name="_Toc30143483"/>
      <w:bookmarkStart w:id="115" w:name="_Toc30221872"/>
      <w:bookmarkStart w:id="116" w:name="_Ref260207290"/>
      <w:bookmarkStart w:id="117" w:name="_Toc292619594"/>
      <w:bookmarkStart w:id="118" w:name="_Toc293616287"/>
      <w:bookmarkStart w:id="119" w:name="_Ref303198018"/>
      <w:r w:rsidRPr="00B94590">
        <w:t>Sistēmu</w:t>
      </w:r>
      <w:r w:rsidR="00ED55CF" w:rsidRPr="00B94590">
        <w:t xml:space="preserve"> datu bāzes servera un aplikāciju servera tehniskās prasības</w:t>
      </w:r>
      <w:bookmarkEnd w:id="114"/>
      <w:bookmarkEnd w:id="115"/>
      <w:bookmarkEnd w:id="116"/>
      <w:bookmarkEnd w:id="117"/>
      <w:bookmarkEnd w:id="118"/>
      <w:bookmarkEnd w:id="119"/>
    </w:p>
    <w:p w:rsidR="00617581" w:rsidRPr="00B94590" w:rsidRDefault="003A71F5" w:rsidP="00617581">
      <w:pPr>
        <w:pStyle w:val="Body0"/>
        <w:jc w:val="both"/>
      </w:pPr>
      <w:r w:rsidRPr="00B94590">
        <w:t>Precīzi nepieciešamie infrastruktūras tehniskie parametri tiks noteikti izstrādājot sistēmu izmaiņu tehniskās specifikācijas un neietilpst šī koncepcijas dokumenta darbības sfērā. Tomēr</w:t>
      </w:r>
      <w:r w:rsidR="00D67DDD" w:rsidRPr="00B94590">
        <w:t>,</w:t>
      </w:r>
      <w:r w:rsidRPr="00B94590">
        <w:t xml:space="preserve"> izvērtējot pašreizējo sistēmu noslodzi un koncepcijā apskatītos attīstības plānus, paredzams, ka serveru tehniskie parametri būs vismaz šādi vai lielāki:</w:t>
      </w:r>
    </w:p>
    <w:p w:rsidR="00617581" w:rsidRPr="00B94590" w:rsidRDefault="00617581" w:rsidP="00701E76">
      <w:pPr>
        <w:pStyle w:val="Body0"/>
        <w:numPr>
          <w:ilvl w:val="0"/>
          <w:numId w:val="22"/>
        </w:numPr>
        <w:jc w:val="both"/>
      </w:pPr>
      <w:r w:rsidRPr="00B94590">
        <w:rPr>
          <w:lang w:eastAsia="en-US"/>
        </w:rPr>
        <w:t>Centralizēto saistību reģistra</w:t>
      </w:r>
      <w:r w:rsidRPr="00B94590">
        <w:t xml:space="preserve"> aplikāciju s</w:t>
      </w:r>
      <w:r w:rsidR="000406CA" w:rsidRPr="00B94590">
        <w:t>erveris 32</w:t>
      </w:r>
      <w:r w:rsidRPr="00B94590">
        <w:t>GB RAM, 100GB HDD, 64bit OS;</w:t>
      </w:r>
    </w:p>
    <w:p w:rsidR="00617581" w:rsidRPr="00B94590" w:rsidRDefault="00617581" w:rsidP="00701E76">
      <w:pPr>
        <w:pStyle w:val="Body0"/>
        <w:numPr>
          <w:ilvl w:val="0"/>
          <w:numId w:val="22"/>
        </w:numPr>
        <w:jc w:val="both"/>
      </w:pPr>
      <w:r w:rsidRPr="00B94590">
        <w:rPr>
          <w:lang w:eastAsia="en-US"/>
        </w:rPr>
        <w:t>Centralizēto saistību reģistra</w:t>
      </w:r>
      <w:r w:rsidR="000406CA" w:rsidRPr="00B94590">
        <w:t xml:space="preserve"> Db serveris 64</w:t>
      </w:r>
      <w:r w:rsidRPr="00B94590">
        <w:t>GB RAM, 800GB HDD, 64bit OS.</w:t>
      </w:r>
    </w:p>
    <w:p w:rsidR="003A71F5" w:rsidRPr="00B94590" w:rsidRDefault="007B6898" w:rsidP="00701E76">
      <w:pPr>
        <w:pStyle w:val="Body0"/>
        <w:numPr>
          <w:ilvl w:val="0"/>
          <w:numId w:val="22"/>
        </w:numPr>
        <w:jc w:val="both"/>
      </w:pPr>
      <w:r w:rsidRPr="00B94590">
        <w:t>SAP BW aplikāciju serveris</w:t>
      </w:r>
      <w:r w:rsidR="000406CA" w:rsidRPr="00B94590">
        <w:t xml:space="preserve"> 6</w:t>
      </w:r>
      <w:r w:rsidR="00A60D8A" w:rsidRPr="00B94590">
        <w:t>4GB RAM, 100GB HDD, 64bit OS;</w:t>
      </w:r>
    </w:p>
    <w:p w:rsidR="007B6898" w:rsidRPr="00B94590" w:rsidRDefault="007B6898" w:rsidP="00701E76">
      <w:pPr>
        <w:pStyle w:val="Body0"/>
        <w:numPr>
          <w:ilvl w:val="0"/>
          <w:numId w:val="22"/>
        </w:numPr>
        <w:jc w:val="both"/>
      </w:pPr>
      <w:r w:rsidRPr="00B94590">
        <w:t>SAP BW datu bāzu serveris</w:t>
      </w:r>
      <w:r w:rsidR="000406CA" w:rsidRPr="00B94590">
        <w:t xml:space="preserve"> 128</w:t>
      </w:r>
      <w:r w:rsidR="00A60D8A" w:rsidRPr="00B94590">
        <w:t>GB RAM, 4 TB HDD (atsevišķs disku masīvs), 64bit OS;</w:t>
      </w:r>
    </w:p>
    <w:p w:rsidR="007B6898" w:rsidRPr="00B94590" w:rsidRDefault="007B6898" w:rsidP="00701E76">
      <w:pPr>
        <w:pStyle w:val="Body0"/>
        <w:numPr>
          <w:ilvl w:val="0"/>
          <w:numId w:val="22"/>
        </w:numPr>
        <w:jc w:val="both"/>
      </w:pPr>
      <w:r w:rsidRPr="00B94590">
        <w:t>Business Objects aplikāciju serveris</w:t>
      </w:r>
      <w:r w:rsidR="00A60D8A" w:rsidRPr="00B94590">
        <w:t xml:space="preserve"> 32GB RAM, 1</w:t>
      </w:r>
      <w:r w:rsidR="00E24CE7" w:rsidRPr="00B94590">
        <w:t>6</w:t>
      </w:r>
      <w:r w:rsidR="00A60D8A" w:rsidRPr="00B94590">
        <w:t>0 GB HDD, 64bit OS;</w:t>
      </w:r>
    </w:p>
    <w:p w:rsidR="00ED55CF" w:rsidRPr="00B94590" w:rsidRDefault="00ED55CF" w:rsidP="00A65510">
      <w:pPr>
        <w:pStyle w:val="Heading3"/>
        <w:jc w:val="both"/>
      </w:pPr>
      <w:bookmarkStart w:id="120" w:name="_Toc30143482"/>
      <w:bookmarkStart w:id="121" w:name="_Toc30221871"/>
      <w:bookmarkStart w:id="122" w:name="_Toc292619595"/>
      <w:bookmarkStart w:id="123" w:name="_Toc293616288"/>
      <w:r w:rsidRPr="00B94590">
        <w:t>Klientu darba staciju tehniskās prasības</w:t>
      </w:r>
      <w:bookmarkEnd w:id="120"/>
      <w:bookmarkEnd w:id="121"/>
      <w:r w:rsidRPr="00B94590">
        <w:t xml:space="preserve"> (lietotāja saskarnei client-to-server)</w:t>
      </w:r>
      <w:bookmarkEnd w:id="122"/>
      <w:bookmarkEnd w:id="123"/>
    </w:p>
    <w:p w:rsidR="00ED55CF" w:rsidRPr="00B94590" w:rsidRDefault="00A821AD" w:rsidP="00A65510">
      <w:pPr>
        <w:pStyle w:val="Body0"/>
        <w:jc w:val="both"/>
      </w:pPr>
      <w:r w:rsidRPr="00B94590">
        <w:t>Vienotas valsts iestāžu finanšu un vadības grāmatvedības atbalstošo sistēmu p</w:t>
      </w:r>
      <w:r w:rsidR="00ED55CF" w:rsidRPr="00B94590">
        <w:t>rogrammatūra jārealizē tā, lai tā darbotos uz datora ar šādiem minimālajiem parametriem:</w:t>
      </w:r>
    </w:p>
    <w:p w:rsidR="00ED55CF" w:rsidRPr="00B94590" w:rsidRDefault="007F48B3" w:rsidP="00AE0FB9">
      <w:pPr>
        <w:pStyle w:val="Normalb"/>
        <w:numPr>
          <w:ilvl w:val="0"/>
          <w:numId w:val="7"/>
        </w:numPr>
        <w:jc w:val="both"/>
      </w:pPr>
      <w:r w:rsidRPr="00B94590">
        <w:t>Populārākajā p</w:t>
      </w:r>
      <w:r w:rsidR="00ED55CF" w:rsidRPr="00B94590">
        <w:t xml:space="preserve">ārlūkprogrammas </w:t>
      </w:r>
      <w:r w:rsidR="00ED55CF" w:rsidRPr="00B94590">
        <w:rPr>
          <w:i/>
        </w:rPr>
        <w:t>Internet Explorer 7.0 (vai jaunāks)  vai Mozilla Firefox 3.6 (vai jaunāks)</w:t>
      </w:r>
      <w:r w:rsidR="004A3657" w:rsidRPr="00B94590">
        <w:rPr>
          <w:i/>
        </w:rPr>
        <w:t>, Google Chrome 13.x (vai jaunāks)</w:t>
      </w:r>
      <w:r w:rsidR="00ED55CF" w:rsidRPr="00B94590">
        <w:rPr>
          <w:i/>
        </w:rPr>
        <w:t>;</w:t>
      </w:r>
    </w:p>
    <w:p w:rsidR="00ED55CF" w:rsidRPr="00B94590" w:rsidRDefault="00ED55CF" w:rsidP="00AE0FB9">
      <w:pPr>
        <w:pStyle w:val="Normalb"/>
        <w:numPr>
          <w:ilvl w:val="0"/>
          <w:numId w:val="7"/>
        </w:numPr>
        <w:jc w:val="both"/>
      </w:pPr>
      <w:r w:rsidRPr="00B94590">
        <w:t xml:space="preserve">monitora izšķirtspēja vismaz </w:t>
      </w:r>
      <w:r w:rsidR="00124A67" w:rsidRPr="00B94590">
        <w:t>1024</w:t>
      </w:r>
      <w:r w:rsidRPr="00B94590">
        <w:t>x</w:t>
      </w:r>
      <w:r w:rsidR="00124A67" w:rsidRPr="00B94590">
        <w:t>768</w:t>
      </w:r>
      <w:r w:rsidRPr="00B94590">
        <w:t>;</w:t>
      </w:r>
    </w:p>
    <w:p w:rsidR="00ED55CF" w:rsidRPr="00B94590" w:rsidRDefault="00ED55CF" w:rsidP="00AE0FB9">
      <w:pPr>
        <w:pStyle w:val="Normalb"/>
        <w:numPr>
          <w:ilvl w:val="0"/>
          <w:numId w:val="7"/>
        </w:numPr>
        <w:jc w:val="both"/>
      </w:pPr>
      <w:r w:rsidRPr="00B94590">
        <w:t xml:space="preserve">Vismaz </w:t>
      </w:r>
      <w:r w:rsidR="0057039B" w:rsidRPr="00B94590">
        <w:t>1</w:t>
      </w:r>
      <w:r w:rsidRPr="00B94590">
        <w:t xml:space="preserve"> </w:t>
      </w:r>
      <w:r w:rsidR="0057039B" w:rsidRPr="00B94590">
        <w:t>G</w:t>
      </w:r>
      <w:r w:rsidRPr="00B94590">
        <w:t>B operatīvā atmiņa;</w:t>
      </w:r>
    </w:p>
    <w:p w:rsidR="00ED55CF" w:rsidRPr="00B94590" w:rsidRDefault="00ED55CF" w:rsidP="00AE0FB9">
      <w:pPr>
        <w:pStyle w:val="Normalb"/>
        <w:numPr>
          <w:ilvl w:val="0"/>
          <w:numId w:val="7"/>
        </w:numPr>
        <w:jc w:val="both"/>
      </w:pPr>
      <w:r w:rsidRPr="00B94590">
        <w:t xml:space="preserve">Vismaz </w:t>
      </w:r>
      <w:r w:rsidR="0057039B" w:rsidRPr="00B94590">
        <w:t>1</w:t>
      </w:r>
      <w:r w:rsidRPr="00B94590">
        <w:t xml:space="preserve"> </w:t>
      </w:r>
      <w:r w:rsidR="0057039B" w:rsidRPr="00B94590">
        <w:t>G</w:t>
      </w:r>
      <w:r w:rsidRPr="00B94590">
        <w:t>hz procesora takts frekvence.</w:t>
      </w:r>
    </w:p>
    <w:p w:rsidR="00ED55CF" w:rsidRPr="00B94590" w:rsidRDefault="00ED55CF" w:rsidP="00A65510">
      <w:pPr>
        <w:pStyle w:val="Normalb"/>
        <w:jc w:val="both"/>
      </w:pPr>
    </w:p>
    <w:p w:rsidR="00ED55CF" w:rsidRPr="00B94590" w:rsidRDefault="00ED55CF" w:rsidP="00A65510">
      <w:pPr>
        <w:pStyle w:val="Heading2"/>
        <w:jc w:val="both"/>
        <w:rPr>
          <w:lang w:val="lv-LV"/>
        </w:rPr>
      </w:pPr>
      <w:bookmarkStart w:id="124" w:name="_Toc292619596"/>
      <w:bookmarkStart w:id="125" w:name="_Toc293616289"/>
      <w:r w:rsidRPr="00B94590">
        <w:rPr>
          <w:lang w:val="lv-LV"/>
        </w:rPr>
        <w:t>Risinājuma finansēšanas iespējas</w:t>
      </w:r>
      <w:bookmarkEnd w:id="124"/>
      <w:r w:rsidR="00B627AD" w:rsidRPr="00B94590">
        <w:rPr>
          <w:lang w:val="lv-LV"/>
        </w:rPr>
        <w:t xml:space="preserve"> un atbalstāmais finansēšanas variants</w:t>
      </w:r>
      <w:bookmarkEnd w:id="125"/>
      <w:r w:rsidR="00F56DA4" w:rsidRPr="00B94590">
        <w:rPr>
          <w:lang w:val="lv-LV"/>
        </w:rPr>
        <w:t xml:space="preserve">, ietekme uz valsts un pašvaldību budžetiem </w:t>
      </w:r>
    </w:p>
    <w:p w:rsidR="00B627AD" w:rsidRPr="00B94590" w:rsidRDefault="008E0F67" w:rsidP="00B627AD">
      <w:pPr>
        <w:rPr>
          <w:lang w:eastAsia="en-US"/>
        </w:rPr>
      </w:pPr>
      <w:r w:rsidRPr="00B94590">
        <w:rPr>
          <w:lang w:eastAsia="en-US"/>
        </w:rPr>
        <w:t>Projekta izmaksas var sadalīt 3 projekta daļās, ko tālāk var detalizēt pa pozīcijām, šīs daļas ir:</w:t>
      </w:r>
    </w:p>
    <w:p w:rsidR="008E0F67" w:rsidRPr="00B94590" w:rsidRDefault="008E0F67" w:rsidP="00701E76">
      <w:pPr>
        <w:pStyle w:val="ListParagraph"/>
        <w:numPr>
          <w:ilvl w:val="0"/>
          <w:numId w:val="34"/>
        </w:numPr>
        <w:rPr>
          <w:rFonts w:ascii="Times New Roman" w:hAnsi="Times New Roman" w:cs="Times New Roman"/>
        </w:rPr>
      </w:pPr>
      <w:r w:rsidRPr="00B94590">
        <w:rPr>
          <w:rFonts w:ascii="Times New Roman" w:hAnsi="Times New Roman" w:cs="Times New Roman"/>
        </w:rPr>
        <w:t>Latvijas publiskā sektora grāmatvedības standartu, to pielietošanas rokasgr</w:t>
      </w:r>
      <w:r w:rsidR="00DF1195" w:rsidRPr="00B94590">
        <w:rPr>
          <w:rFonts w:ascii="Times New Roman" w:hAnsi="Times New Roman" w:cs="Times New Roman"/>
        </w:rPr>
        <w:t>āmatu un valsts iestāžu finanš</w:t>
      </w:r>
      <w:r w:rsidRPr="00B94590">
        <w:rPr>
          <w:rFonts w:ascii="Times New Roman" w:hAnsi="Times New Roman" w:cs="Times New Roman"/>
        </w:rPr>
        <w:t>u vadības procesu aprakstu izstrāde un ieviešana</w:t>
      </w:r>
      <w:r w:rsidR="00C522A4" w:rsidRPr="00B94590">
        <w:rPr>
          <w:rFonts w:ascii="Times New Roman" w:hAnsi="Times New Roman" w:cs="Times New Roman"/>
        </w:rPr>
        <w:t xml:space="preserve"> (ieviešanas laika periods 2012 – 2014 g. 1 ceturksnis)</w:t>
      </w:r>
      <w:r w:rsidRPr="00B94590">
        <w:rPr>
          <w:rFonts w:ascii="Times New Roman" w:hAnsi="Times New Roman" w:cs="Times New Roman"/>
        </w:rPr>
        <w:t>;</w:t>
      </w:r>
    </w:p>
    <w:p w:rsidR="008E0F67" w:rsidRPr="00B94590" w:rsidRDefault="00A44C91" w:rsidP="00701E76">
      <w:pPr>
        <w:pStyle w:val="ListParagraph"/>
        <w:numPr>
          <w:ilvl w:val="0"/>
          <w:numId w:val="34"/>
        </w:numPr>
        <w:rPr>
          <w:rFonts w:ascii="Times New Roman" w:hAnsi="Times New Roman" w:cs="Times New Roman"/>
        </w:rPr>
      </w:pPr>
      <w:r w:rsidRPr="00B94590">
        <w:rPr>
          <w:rFonts w:ascii="Times New Roman" w:hAnsi="Times New Roman" w:cs="Times New Roman"/>
        </w:rPr>
        <w:t>A</w:t>
      </w:r>
      <w:r w:rsidR="00742AEF" w:rsidRPr="00B94590">
        <w:rPr>
          <w:rFonts w:ascii="Times New Roman" w:hAnsi="Times New Roman" w:cs="Times New Roman"/>
        </w:rPr>
        <w:t>tlīdzības  uzskaites sistēmas izstrāde, pilnveidojot esošo Valsts kases informācijas sistēmu VBPBP</w:t>
      </w:r>
      <w:r w:rsidR="00C522A4" w:rsidRPr="00B94590">
        <w:rPr>
          <w:rFonts w:ascii="Times New Roman" w:hAnsi="Times New Roman" w:cs="Times New Roman"/>
        </w:rPr>
        <w:t xml:space="preserve"> (ieviešanas laika periods 2012 – 2013)</w:t>
      </w:r>
      <w:r w:rsidR="008E0F67" w:rsidRPr="00B94590">
        <w:rPr>
          <w:rFonts w:ascii="Times New Roman" w:hAnsi="Times New Roman" w:cs="Times New Roman"/>
        </w:rPr>
        <w:t>;</w:t>
      </w:r>
    </w:p>
    <w:p w:rsidR="00795B82" w:rsidRPr="00B94590" w:rsidRDefault="008E0F67" w:rsidP="00701E76">
      <w:pPr>
        <w:pStyle w:val="ListParagraph"/>
        <w:numPr>
          <w:ilvl w:val="0"/>
          <w:numId w:val="34"/>
        </w:numPr>
        <w:jc w:val="both"/>
      </w:pPr>
      <w:r w:rsidRPr="00B94590">
        <w:rPr>
          <w:rFonts w:ascii="Times New Roman" w:hAnsi="Times New Roman" w:cs="Times New Roman"/>
        </w:rPr>
        <w:t>Valsts finanšu datu analīzes rīka izstrāde, izmantojot tādu tehnoloģisko risinājumu, BI</w:t>
      </w:r>
      <w:r w:rsidR="00C522A4" w:rsidRPr="00B94590">
        <w:rPr>
          <w:rFonts w:ascii="Times New Roman" w:hAnsi="Times New Roman" w:cs="Times New Roman"/>
        </w:rPr>
        <w:t xml:space="preserve"> (ievešanas laika periods 2012- 2013).</w:t>
      </w:r>
    </w:p>
    <w:p w:rsidR="008E0F67" w:rsidRPr="00B94590" w:rsidRDefault="000D3087" w:rsidP="00795B82">
      <w:pPr>
        <w:jc w:val="both"/>
      </w:pPr>
      <w:r w:rsidRPr="00B94590">
        <w:t>Risinājuma finansēšanas alternatīvas būtu</w:t>
      </w:r>
      <w:r w:rsidR="00CC01E5" w:rsidRPr="00B94590">
        <w:t xml:space="preserve"> izstrādāt risinājumus attiec</w:t>
      </w:r>
      <w:r w:rsidR="00DF1195" w:rsidRPr="00B94590">
        <w:t xml:space="preserve">ībā uz </w:t>
      </w:r>
      <w:r w:rsidR="00352A67" w:rsidRPr="00B94590">
        <w:t>atlīdzības uzskaites sistēmas</w:t>
      </w:r>
      <w:r w:rsidR="00CC01E5" w:rsidRPr="00B94590">
        <w:t xml:space="preserve"> un valsts finanšu datu analīzes rīku</w:t>
      </w:r>
      <w:r w:rsidR="00CC01E5" w:rsidRPr="00B94590">
        <w:rPr>
          <w:lang w:eastAsia="en-US"/>
        </w:rPr>
        <w:t xml:space="preserve">, bez </w:t>
      </w:r>
      <w:r w:rsidR="00CC01E5" w:rsidRPr="00B94590">
        <w:t xml:space="preserve">grāmatvedības procesu standartizācijas un </w:t>
      </w:r>
      <w:r w:rsidR="00CC01E5" w:rsidRPr="00B94590">
        <w:rPr>
          <w:lang w:eastAsia="en-US"/>
        </w:rPr>
        <w:t>Latvijas publiskā sektora grāmatvedības standartu izstrādes un ieviešanas (t.i. tabulā Nr. 1 „Finanšu aprēķins” netiktu iekļautas (1) projekta daļas izmaksas). Tomēr, ja netiks risinātas pastāvošās problēmas un ieviests šajā koncepcijā aprakstītais sistēmas darbības modelis kā vienots risinājums situācijas uzlabošanai, var rasties tālākas negatīvas sekas attiecībā uz racionālu tehnoloģiju izmantošanu un finanšu un grāmatvedības procesu optimizāciju, tādēļ šāda</w:t>
      </w:r>
      <w:r w:rsidR="00936CE4" w:rsidRPr="00B94590">
        <w:rPr>
          <w:lang w:eastAsia="en-US"/>
        </w:rPr>
        <w:t xml:space="preserve"> alternatīva koncepcijas ietvaros netie</w:t>
      </w:r>
      <w:r w:rsidR="00DF1195" w:rsidRPr="00B94590">
        <w:rPr>
          <w:lang w:eastAsia="en-US"/>
        </w:rPr>
        <w:t>k atbalstīta un atbalstāmais fi</w:t>
      </w:r>
      <w:r w:rsidR="00936CE4" w:rsidRPr="00B94590">
        <w:rPr>
          <w:lang w:eastAsia="en-US"/>
        </w:rPr>
        <w:t>nansēšanas variants ir iekļ</w:t>
      </w:r>
      <w:r w:rsidR="00DF1195" w:rsidRPr="00B94590">
        <w:rPr>
          <w:lang w:eastAsia="en-US"/>
        </w:rPr>
        <w:t>a</w:t>
      </w:r>
      <w:r w:rsidR="00936CE4" w:rsidRPr="00B94590">
        <w:rPr>
          <w:lang w:eastAsia="en-US"/>
        </w:rPr>
        <w:t xml:space="preserve">uts 1. </w:t>
      </w:r>
      <w:r w:rsidR="00795B82" w:rsidRPr="00B94590">
        <w:rPr>
          <w:lang w:eastAsia="en-US"/>
        </w:rPr>
        <w:t>t</w:t>
      </w:r>
      <w:r w:rsidR="00936CE4" w:rsidRPr="00B94590">
        <w:rPr>
          <w:lang w:eastAsia="en-US"/>
        </w:rPr>
        <w:t>abulā „Finanšu aprēķins”.</w:t>
      </w:r>
    </w:p>
    <w:p w:rsidR="00CC01E5" w:rsidRPr="00B94590" w:rsidRDefault="00CC01E5" w:rsidP="00CC01E5">
      <w:pPr>
        <w:pStyle w:val="Caption"/>
        <w:jc w:val="right"/>
      </w:pPr>
      <w:r w:rsidRPr="00B94590">
        <w:t xml:space="preserve">Tabula </w:t>
      </w:r>
      <w:r w:rsidR="00AC6746" w:rsidRPr="00B94590">
        <w:fldChar w:fldCharType="begin"/>
      </w:r>
      <w:r w:rsidR="006F5BC8" w:rsidRPr="00B94590">
        <w:instrText xml:space="preserve"> SEQ Tabula \* ARABIC </w:instrText>
      </w:r>
      <w:r w:rsidR="00AC6746" w:rsidRPr="00B94590">
        <w:fldChar w:fldCharType="separate"/>
      </w:r>
      <w:r w:rsidR="00B34772">
        <w:rPr>
          <w:noProof/>
        </w:rPr>
        <w:t>1</w:t>
      </w:r>
      <w:r w:rsidR="00AC6746" w:rsidRPr="00B94590">
        <w:fldChar w:fldCharType="end"/>
      </w:r>
      <w:r w:rsidRPr="00B94590">
        <w:t>, Finanšu aprēķins</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firstRow="0" w:lastRow="0" w:firstColumn="0" w:lastColumn="0" w:noHBand="0" w:noVBand="0"/>
      </w:tblPr>
      <w:tblGrid>
        <w:gridCol w:w="8343"/>
      </w:tblGrid>
      <w:tr w:rsidR="00B94590" w:rsidRPr="00B94590" w:rsidTr="005A472E">
        <w:trPr>
          <w:trHeight w:val="60"/>
        </w:trPr>
        <w:tc>
          <w:tcPr>
            <w:tcW w:w="5000" w:type="pct"/>
            <w:tcBorders>
              <w:top w:val="single" w:sz="6" w:space="0" w:color="auto"/>
              <w:left w:val="single" w:sz="6" w:space="0" w:color="auto"/>
              <w:bottom w:val="single" w:sz="6" w:space="0" w:color="auto"/>
              <w:right w:val="single" w:sz="6" w:space="0" w:color="auto"/>
            </w:tcBorders>
          </w:tcPr>
          <w:p w:rsidR="00B627AD" w:rsidRPr="00B94590" w:rsidRDefault="00B627AD" w:rsidP="00B627AD">
            <w:pPr>
              <w:rPr>
                <w:b/>
              </w:rPr>
            </w:pPr>
            <w:r w:rsidRPr="00B94590">
              <w:rPr>
                <w:b/>
              </w:rPr>
              <w:t>1) Latvijas publiskā sektora grāmatvedības standartu, to pielietošanas rokasgr</w:t>
            </w:r>
            <w:r w:rsidR="0063461A" w:rsidRPr="00B94590">
              <w:rPr>
                <w:b/>
              </w:rPr>
              <w:t>āmatu un valsts iestāžu finan</w:t>
            </w:r>
            <w:r w:rsidR="000406CA" w:rsidRPr="00B94590">
              <w:rPr>
                <w:b/>
              </w:rPr>
              <w:t>š</w:t>
            </w:r>
            <w:r w:rsidRPr="00B94590">
              <w:rPr>
                <w:b/>
              </w:rPr>
              <w:t>u vadības procesu aprakstu izstrāde un ieviešana</w:t>
            </w:r>
          </w:p>
          <w:p w:rsidR="00B627AD" w:rsidRPr="00B94590" w:rsidRDefault="00B627AD" w:rsidP="00B627AD">
            <w:pPr>
              <w:rPr>
                <w:b/>
              </w:rPr>
            </w:pPr>
          </w:p>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B94590" w:rsidRPr="00B94590" w:rsidTr="00AC1164">
              <w:trPr>
                <w:trHeight w:val="342"/>
              </w:trPr>
              <w:tc>
                <w:tcPr>
                  <w:tcW w:w="7032" w:type="dxa"/>
                  <w:vAlign w:val="center"/>
                </w:tcPr>
                <w:p w:rsidR="00B627AD" w:rsidRPr="00B94590" w:rsidRDefault="00B627AD" w:rsidP="00AC1164">
                  <w:pPr>
                    <w:jc w:val="center"/>
                    <w:rPr>
                      <w:b/>
                    </w:rPr>
                  </w:pPr>
                  <w:r w:rsidRPr="00B94590">
                    <w:rPr>
                      <w:b/>
                    </w:rPr>
                    <w:t>Komponente</w:t>
                  </w:r>
                </w:p>
              </w:tc>
              <w:tc>
                <w:tcPr>
                  <w:tcW w:w="1271" w:type="dxa"/>
                  <w:vAlign w:val="center"/>
                </w:tcPr>
                <w:p w:rsidR="00B627AD" w:rsidRPr="00B94590" w:rsidRDefault="00B627AD" w:rsidP="00AC1164">
                  <w:pPr>
                    <w:rPr>
                      <w:b/>
                    </w:rPr>
                  </w:pPr>
                  <w:r w:rsidRPr="00B94590">
                    <w:rPr>
                      <w:b/>
                    </w:rPr>
                    <w:t xml:space="preserve">Summa </w:t>
                  </w:r>
                </w:p>
                <w:p w:rsidR="00B627AD" w:rsidRPr="00B94590" w:rsidRDefault="00B627AD" w:rsidP="00AC1164">
                  <w:pPr>
                    <w:jc w:val="center"/>
                    <w:rPr>
                      <w:b/>
                    </w:rPr>
                  </w:pPr>
                  <w:r w:rsidRPr="00B94590">
                    <w:rPr>
                      <w:b/>
                    </w:rPr>
                    <w:t>(tūkst. latu)</w:t>
                  </w:r>
                </w:p>
              </w:tc>
            </w:tr>
            <w:tr w:rsidR="00B94590" w:rsidRPr="00B94590" w:rsidTr="00AC1164">
              <w:trPr>
                <w:trHeight w:val="174"/>
              </w:trPr>
              <w:tc>
                <w:tcPr>
                  <w:tcW w:w="7032" w:type="dxa"/>
                </w:tcPr>
                <w:p w:rsidR="00B627AD" w:rsidRPr="00B94590" w:rsidRDefault="00B627AD" w:rsidP="00AC1164">
                  <w:r w:rsidRPr="00B94590">
                    <w:t>Standartu un kontu plāna izstrāde</w:t>
                  </w:r>
                </w:p>
              </w:tc>
              <w:tc>
                <w:tcPr>
                  <w:tcW w:w="1271" w:type="dxa"/>
                </w:tcPr>
                <w:p w:rsidR="00B627AD" w:rsidRPr="002F5C4D" w:rsidRDefault="00F20F4D" w:rsidP="00AC1164">
                  <w:r w:rsidRPr="002F5C4D">
                    <w:t>220,0</w:t>
                  </w:r>
                </w:p>
              </w:tc>
            </w:tr>
            <w:tr w:rsidR="00B94590" w:rsidRPr="00B94590" w:rsidTr="00AC1164">
              <w:trPr>
                <w:trHeight w:val="174"/>
              </w:trPr>
              <w:tc>
                <w:tcPr>
                  <w:tcW w:w="7032" w:type="dxa"/>
                </w:tcPr>
                <w:p w:rsidR="00B627AD" w:rsidRPr="00B94590" w:rsidRDefault="00B627AD" w:rsidP="00AC1164">
                  <w:r w:rsidRPr="00B94590">
                    <w:t>Standartu pielietošanas rokasgrāmatu un valsts budžeta iestāžu finanšu vadības procesu aprakstu izstrāde</w:t>
                  </w:r>
                </w:p>
              </w:tc>
              <w:tc>
                <w:tcPr>
                  <w:tcW w:w="1271" w:type="dxa"/>
                </w:tcPr>
                <w:p w:rsidR="00B627AD" w:rsidRPr="002F5C4D" w:rsidRDefault="00F20F4D" w:rsidP="00AC1164">
                  <w:r w:rsidRPr="002F5C4D">
                    <w:t>150,0</w:t>
                  </w:r>
                </w:p>
              </w:tc>
            </w:tr>
            <w:tr w:rsidR="00B94590" w:rsidRPr="00B94590" w:rsidTr="00AC1164">
              <w:trPr>
                <w:trHeight w:val="160"/>
              </w:trPr>
              <w:tc>
                <w:tcPr>
                  <w:tcW w:w="7032" w:type="dxa"/>
                </w:tcPr>
                <w:p w:rsidR="00B627AD" w:rsidRPr="00B94590" w:rsidRDefault="00104628" w:rsidP="00AC1164">
                  <w:r w:rsidRPr="00B94590">
                    <w:t>Standartu aprobācija un pilotprojekta ieviešana, pielāgojot un ieviešot vienotu tehnoloģisku risinājumu vienā ministrijas resorā</w:t>
                  </w:r>
                </w:p>
              </w:tc>
              <w:tc>
                <w:tcPr>
                  <w:tcW w:w="1271" w:type="dxa"/>
                </w:tcPr>
                <w:p w:rsidR="00B627AD" w:rsidRPr="002F5C4D" w:rsidRDefault="00F20F4D" w:rsidP="00AC1164">
                  <w:r w:rsidRPr="002F5C4D">
                    <w:t>200,0</w:t>
                  </w:r>
                </w:p>
              </w:tc>
            </w:tr>
            <w:tr w:rsidR="00B94590" w:rsidRPr="00B94590" w:rsidTr="00AC1164">
              <w:trPr>
                <w:trHeight w:val="169"/>
              </w:trPr>
              <w:tc>
                <w:tcPr>
                  <w:tcW w:w="7032" w:type="dxa"/>
                  <w:tcBorders>
                    <w:top w:val="single" w:sz="4" w:space="0" w:color="auto"/>
                    <w:left w:val="single" w:sz="4" w:space="0" w:color="auto"/>
                    <w:bottom w:val="single" w:sz="4" w:space="0" w:color="auto"/>
                    <w:right w:val="single" w:sz="4" w:space="0" w:color="auto"/>
                  </w:tcBorders>
                </w:tcPr>
                <w:p w:rsidR="00B627AD" w:rsidRPr="00B94590" w:rsidRDefault="00B627AD" w:rsidP="00AC1164">
                  <w:r w:rsidRPr="00B94590">
                    <w:t>Kopā</w:t>
                  </w:r>
                  <w:r w:rsidR="008F2EE7" w:rsidRPr="00B94590">
                    <w:t xml:space="preserve"> ( </w:t>
                  </w:r>
                  <w:r w:rsidR="000406CA" w:rsidRPr="00B94590">
                    <w:t>(</w:t>
                  </w:r>
                  <w:r w:rsidR="008F2EE7" w:rsidRPr="00B94590">
                    <w:t>1) projekta daļas izmaksas)</w:t>
                  </w:r>
                </w:p>
              </w:tc>
              <w:tc>
                <w:tcPr>
                  <w:tcW w:w="1271" w:type="dxa"/>
                  <w:tcBorders>
                    <w:top w:val="single" w:sz="4" w:space="0" w:color="auto"/>
                    <w:left w:val="single" w:sz="4" w:space="0" w:color="auto"/>
                    <w:bottom w:val="single" w:sz="4" w:space="0" w:color="auto"/>
                    <w:right w:val="single" w:sz="4" w:space="0" w:color="auto"/>
                  </w:tcBorders>
                </w:tcPr>
                <w:p w:rsidR="00B627AD" w:rsidRPr="00B94590" w:rsidRDefault="00F20F4D" w:rsidP="00AC1164">
                  <w:pPr>
                    <w:rPr>
                      <w:b/>
                    </w:rPr>
                  </w:pPr>
                  <w:r>
                    <w:rPr>
                      <w:b/>
                    </w:rPr>
                    <w:t>570,0</w:t>
                  </w:r>
                </w:p>
              </w:tc>
            </w:tr>
          </w:tbl>
          <w:p w:rsidR="00737E80" w:rsidRPr="00B94590" w:rsidRDefault="00737E80" w:rsidP="008005B6">
            <w:pPr>
              <w:pStyle w:val="BodyText"/>
              <w:spacing w:before="120"/>
              <w:rPr>
                <w:lang w:eastAsia="en-US"/>
              </w:rPr>
            </w:pPr>
          </w:p>
        </w:tc>
      </w:tr>
      <w:tr w:rsidR="00B94590" w:rsidRPr="00B94590" w:rsidTr="005A472E">
        <w:trPr>
          <w:trHeight w:val="60"/>
        </w:trPr>
        <w:tc>
          <w:tcPr>
            <w:tcW w:w="5000" w:type="pct"/>
            <w:tcBorders>
              <w:top w:val="single" w:sz="6" w:space="0" w:color="auto"/>
              <w:left w:val="single" w:sz="6" w:space="0" w:color="auto"/>
              <w:bottom w:val="single" w:sz="6" w:space="0" w:color="auto"/>
              <w:right w:val="single" w:sz="6" w:space="0" w:color="auto"/>
            </w:tcBorders>
          </w:tcPr>
          <w:p w:rsidR="008005B6" w:rsidRPr="00B94590" w:rsidRDefault="00B627AD" w:rsidP="00C07D72">
            <w:pPr>
              <w:rPr>
                <w:b/>
              </w:rPr>
            </w:pPr>
            <w:r w:rsidRPr="00B94590">
              <w:rPr>
                <w:b/>
              </w:rPr>
              <w:t xml:space="preserve">2) </w:t>
            </w:r>
            <w:r w:rsidR="00736255" w:rsidRPr="00B94590">
              <w:rPr>
                <w:b/>
              </w:rPr>
              <w:t xml:space="preserve">Atlīdzības uzskaites sistēmas </w:t>
            </w:r>
            <w:r w:rsidR="00C07D72">
              <w:rPr>
                <w:b/>
              </w:rPr>
              <w:t>uzlabošana</w:t>
            </w:r>
            <w:r w:rsidR="008005B6" w:rsidRPr="00B94590">
              <w:rPr>
                <w:b/>
              </w:rPr>
              <w:t>, pilnveidojot esošo Valsts kases informācijas sistēmu VBPBP</w:t>
            </w:r>
          </w:p>
        </w:tc>
      </w:tr>
      <w:tr w:rsidR="00B94590" w:rsidRPr="00B94590" w:rsidTr="005A472E">
        <w:trPr>
          <w:trHeight w:val="840"/>
        </w:trPr>
        <w:tc>
          <w:tcPr>
            <w:tcW w:w="5000" w:type="pct"/>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B94590" w:rsidRPr="00B94590" w:rsidTr="008005B6">
              <w:trPr>
                <w:trHeight w:val="342"/>
              </w:trPr>
              <w:tc>
                <w:tcPr>
                  <w:tcW w:w="7032" w:type="dxa"/>
                  <w:vAlign w:val="center"/>
                </w:tcPr>
                <w:p w:rsidR="008005B6" w:rsidRPr="00B94590" w:rsidRDefault="008005B6" w:rsidP="008005B6">
                  <w:pPr>
                    <w:jc w:val="center"/>
                    <w:rPr>
                      <w:b/>
                    </w:rPr>
                  </w:pPr>
                  <w:r w:rsidRPr="00B94590">
                    <w:rPr>
                      <w:b/>
                    </w:rPr>
                    <w:t>Komponente</w:t>
                  </w:r>
                </w:p>
              </w:tc>
              <w:tc>
                <w:tcPr>
                  <w:tcW w:w="1271" w:type="dxa"/>
                  <w:vAlign w:val="center"/>
                </w:tcPr>
                <w:p w:rsidR="008005B6" w:rsidRPr="00B94590" w:rsidRDefault="008005B6" w:rsidP="008005B6">
                  <w:pPr>
                    <w:rPr>
                      <w:b/>
                    </w:rPr>
                  </w:pPr>
                  <w:r w:rsidRPr="00B94590">
                    <w:rPr>
                      <w:b/>
                    </w:rPr>
                    <w:t xml:space="preserve">Summa </w:t>
                  </w:r>
                </w:p>
                <w:p w:rsidR="008005B6" w:rsidRPr="00B94590" w:rsidRDefault="008005B6" w:rsidP="008005B6">
                  <w:pPr>
                    <w:jc w:val="center"/>
                    <w:rPr>
                      <w:b/>
                    </w:rPr>
                  </w:pPr>
                  <w:r w:rsidRPr="00B94590">
                    <w:rPr>
                      <w:b/>
                    </w:rPr>
                    <w:t>(tūkst. latu)</w:t>
                  </w:r>
                </w:p>
              </w:tc>
            </w:tr>
            <w:tr w:rsidR="00B94590" w:rsidRPr="00B94590" w:rsidTr="008005B6">
              <w:trPr>
                <w:trHeight w:val="174"/>
              </w:trPr>
              <w:tc>
                <w:tcPr>
                  <w:tcW w:w="7032" w:type="dxa"/>
                </w:tcPr>
                <w:p w:rsidR="008005B6" w:rsidRPr="00B94590" w:rsidRDefault="008005B6" w:rsidP="008005B6">
                  <w:pPr>
                    <w:rPr>
                      <w:b/>
                    </w:rPr>
                  </w:pPr>
                  <w:r w:rsidRPr="00B94590">
                    <w:rPr>
                      <w:b/>
                    </w:rPr>
                    <w:t>1. Dokumentācijas izstrāde</w:t>
                  </w:r>
                </w:p>
              </w:tc>
              <w:tc>
                <w:tcPr>
                  <w:tcW w:w="1271" w:type="dxa"/>
                </w:tcPr>
                <w:p w:rsidR="008005B6" w:rsidRPr="00B94590" w:rsidRDefault="008005B6" w:rsidP="008005B6">
                  <w:pPr>
                    <w:rPr>
                      <w:b/>
                    </w:rPr>
                  </w:pPr>
                </w:p>
              </w:tc>
            </w:tr>
            <w:tr w:rsidR="00B94590" w:rsidRPr="00B94590" w:rsidTr="008005B6">
              <w:trPr>
                <w:trHeight w:val="174"/>
              </w:trPr>
              <w:tc>
                <w:tcPr>
                  <w:tcW w:w="7032" w:type="dxa"/>
                </w:tcPr>
                <w:p w:rsidR="008005B6" w:rsidRPr="00B94590" w:rsidRDefault="008005B6" w:rsidP="008005B6">
                  <w:r w:rsidRPr="00B94590">
                    <w:t>Detalizētas prasību specifikācijas un tehniskā projektējuma izstrāde</w:t>
                  </w:r>
                </w:p>
              </w:tc>
              <w:tc>
                <w:tcPr>
                  <w:tcW w:w="1271" w:type="dxa"/>
                </w:tcPr>
                <w:p w:rsidR="008005B6" w:rsidRPr="00B94590" w:rsidRDefault="00795B82" w:rsidP="008005B6">
                  <w:r w:rsidRPr="00B94590">
                    <w:t>5</w:t>
                  </w:r>
                  <w:r w:rsidR="00494ED7" w:rsidRPr="00B94590">
                    <w:t>0</w:t>
                  </w:r>
                  <w:r w:rsidR="008005B6" w:rsidRPr="00B94590">
                    <w:t>,0</w:t>
                  </w:r>
                </w:p>
              </w:tc>
            </w:tr>
            <w:tr w:rsidR="00B94590" w:rsidRPr="00B94590" w:rsidTr="008005B6">
              <w:trPr>
                <w:trHeight w:val="174"/>
              </w:trPr>
              <w:tc>
                <w:tcPr>
                  <w:tcW w:w="7032" w:type="dxa"/>
                </w:tcPr>
                <w:p w:rsidR="008005B6" w:rsidRPr="00B94590" w:rsidRDefault="008005B6" w:rsidP="008005B6">
                  <w:r w:rsidRPr="00B94590">
                    <w:t>Sistēmas rokasgrāmatu izstrāde (lietotāja rokasgrāmata, administrēšanas rokasgrāmata, klienta saskarnes realizācijas piemēru apraksts)</w:t>
                  </w:r>
                </w:p>
              </w:tc>
              <w:tc>
                <w:tcPr>
                  <w:tcW w:w="1271" w:type="dxa"/>
                </w:tcPr>
                <w:p w:rsidR="008005B6" w:rsidRPr="00B94590" w:rsidRDefault="00494ED7" w:rsidP="00A44C91">
                  <w:r w:rsidRPr="00B94590">
                    <w:t>1</w:t>
                  </w:r>
                  <w:r w:rsidR="00A44C91" w:rsidRPr="00B94590">
                    <w:t>4</w:t>
                  </w:r>
                  <w:r w:rsidR="008005B6" w:rsidRPr="00B94590">
                    <w:t>,0</w:t>
                  </w:r>
                </w:p>
              </w:tc>
            </w:tr>
            <w:tr w:rsidR="00B94590" w:rsidRPr="00B94590" w:rsidTr="008005B6">
              <w:trPr>
                <w:trHeight w:val="174"/>
              </w:trPr>
              <w:tc>
                <w:tcPr>
                  <w:tcW w:w="7032" w:type="dxa"/>
                </w:tcPr>
                <w:p w:rsidR="008005B6" w:rsidRPr="00B94590" w:rsidRDefault="008005B6" w:rsidP="008005B6">
                  <w:pPr>
                    <w:rPr>
                      <w:b/>
                    </w:rPr>
                  </w:pPr>
                  <w:r w:rsidRPr="00B94590">
                    <w:rPr>
                      <w:b/>
                    </w:rPr>
                    <w:t>2.Infrastruktūras iegādes izmaksas</w:t>
                  </w:r>
                </w:p>
              </w:tc>
              <w:tc>
                <w:tcPr>
                  <w:tcW w:w="1271" w:type="dxa"/>
                </w:tcPr>
                <w:p w:rsidR="008005B6" w:rsidRPr="00B94590" w:rsidRDefault="008005B6" w:rsidP="008005B6">
                  <w:pPr>
                    <w:rPr>
                      <w:b/>
                    </w:rPr>
                  </w:pPr>
                  <w:r w:rsidRPr="00B94590">
                    <w:rPr>
                      <w:b/>
                      <w:bCs/>
                    </w:rPr>
                    <w:t> </w:t>
                  </w:r>
                </w:p>
              </w:tc>
            </w:tr>
            <w:tr w:rsidR="00B94590" w:rsidRPr="00B94590" w:rsidTr="008005B6">
              <w:trPr>
                <w:trHeight w:val="70"/>
              </w:trPr>
              <w:tc>
                <w:tcPr>
                  <w:tcW w:w="7032" w:type="dxa"/>
                </w:tcPr>
                <w:p w:rsidR="008005B6" w:rsidRPr="00B94590" w:rsidRDefault="008005B6" w:rsidP="00EA21D6">
                  <w:r w:rsidRPr="00B94590">
                    <w:t>VBPBP sistēmas tehniskās infrastruktūras paplašināšana (</w:t>
                  </w:r>
                  <w:r w:rsidR="00EA21D6" w:rsidRPr="00B94590">
                    <w:t>trīs</w:t>
                  </w:r>
                  <w:r w:rsidRPr="00B94590">
                    <w:t xml:space="preserve"> serveri virtuālajai videi</w:t>
                  </w:r>
                  <w:r w:rsidR="00EA21D6" w:rsidRPr="00B94590">
                    <w:t xml:space="preserve"> – testa un produkcijas sistēmām</w:t>
                  </w:r>
                  <w:r w:rsidRPr="00B94590">
                    <w:t>).</w:t>
                  </w:r>
                </w:p>
              </w:tc>
              <w:tc>
                <w:tcPr>
                  <w:tcW w:w="1271" w:type="dxa"/>
                </w:tcPr>
                <w:p w:rsidR="008005B6" w:rsidRPr="00B94590" w:rsidRDefault="00904BD2" w:rsidP="008005B6">
                  <w:r w:rsidRPr="00B94590">
                    <w:t>1</w:t>
                  </w:r>
                  <w:r w:rsidR="00EA21D6" w:rsidRPr="00B94590">
                    <w:t>7</w:t>
                  </w:r>
                  <w:r w:rsidR="008005B6" w:rsidRPr="00B94590">
                    <w:t>5,0</w:t>
                  </w:r>
                </w:p>
              </w:tc>
            </w:tr>
            <w:tr w:rsidR="00B94590" w:rsidRPr="00B94590" w:rsidTr="008005B6">
              <w:trPr>
                <w:trHeight w:val="160"/>
              </w:trPr>
              <w:tc>
                <w:tcPr>
                  <w:tcW w:w="7032" w:type="dxa"/>
                </w:tcPr>
                <w:p w:rsidR="008005B6" w:rsidRPr="00B94590" w:rsidRDefault="008005B6" w:rsidP="008005B6">
                  <w:r w:rsidRPr="00B94590">
                    <w:t>Licences (Oracle datubāze, aplikāciju serveris un virtuālā vide, t.sk. 5 gadu atbalsta nodrošinājums no pirkšanas brīža)</w:t>
                  </w:r>
                </w:p>
              </w:tc>
              <w:tc>
                <w:tcPr>
                  <w:tcW w:w="1271" w:type="dxa"/>
                </w:tcPr>
                <w:p w:rsidR="008005B6" w:rsidRPr="00B94590" w:rsidRDefault="00494ED7" w:rsidP="008005B6">
                  <w:r w:rsidRPr="00B94590">
                    <w:t>53</w:t>
                  </w:r>
                  <w:r w:rsidR="008005B6" w:rsidRPr="00B94590">
                    <w:t>,0</w:t>
                  </w:r>
                </w:p>
              </w:tc>
            </w:tr>
            <w:tr w:rsidR="00B94590" w:rsidRPr="00B94590" w:rsidTr="008005B6">
              <w:trPr>
                <w:trHeight w:val="169"/>
              </w:trPr>
              <w:tc>
                <w:tcPr>
                  <w:tcW w:w="7032" w:type="dxa"/>
                </w:tcPr>
                <w:p w:rsidR="008005B6" w:rsidRPr="00B94590" w:rsidRDefault="008005B6" w:rsidP="008005B6">
                  <w:pPr>
                    <w:rPr>
                      <w:b/>
                    </w:rPr>
                  </w:pPr>
                  <w:r w:rsidRPr="00B94590">
                    <w:rPr>
                      <w:b/>
                    </w:rPr>
                    <w:t>3. Sistēmas izstrāde</w:t>
                  </w:r>
                </w:p>
              </w:tc>
              <w:tc>
                <w:tcPr>
                  <w:tcW w:w="1271" w:type="dxa"/>
                </w:tcPr>
                <w:p w:rsidR="008005B6" w:rsidRPr="00B94590" w:rsidRDefault="008005B6" w:rsidP="008005B6">
                  <w:pPr>
                    <w:rPr>
                      <w:b/>
                    </w:rPr>
                  </w:pPr>
                  <w:r w:rsidRPr="00B94590">
                    <w:rPr>
                      <w:b/>
                      <w:bCs/>
                    </w:rPr>
                    <w:t> </w:t>
                  </w:r>
                </w:p>
              </w:tc>
            </w:tr>
            <w:tr w:rsidR="00B94590" w:rsidRPr="00B94590" w:rsidTr="008005B6">
              <w:trPr>
                <w:trHeight w:val="169"/>
              </w:trPr>
              <w:tc>
                <w:tcPr>
                  <w:tcW w:w="7032" w:type="dxa"/>
                </w:tcPr>
                <w:p w:rsidR="008005B6" w:rsidRPr="00B94590" w:rsidRDefault="008005B6" w:rsidP="008005B6">
                  <w:r w:rsidRPr="00B94590">
                    <w:t xml:space="preserve">Sistēmas izstrāde, uzstādīšana un </w:t>
                  </w:r>
                  <w:r w:rsidRPr="002F5C4D">
                    <w:t>konfigurācija, t.sk. esošā sistēmas kodola programmatūras pārprogrammēšana</w:t>
                  </w:r>
                  <w:r w:rsidR="00290751" w:rsidRPr="002F5C4D">
                    <w:t xml:space="preserve"> (ietverot arī datu pārnesi no esošā PUD uz VBPBP)</w:t>
                  </w:r>
                  <w:r w:rsidRPr="002F5C4D">
                    <w:t>, nodrošinot universālāku un elastīgāku datu modeli, kas vienā struktūrā iekļautu gan iepriekšējo, gan jauno funkcionalitāti</w:t>
                  </w:r>
                  <w:r w:rsidR="00290751" w:rsidRPr="002F5C4D">
                    <w:t xml:space="preserve"> (tai skaitā papildus funkcionalitāte)</w:t>
                  </w:r>
                  <w:r w:rsidRPr="002F5C4D">
                    <w:t>.</w:t>
                  </w:r>
                </w:p>
              </w:tc>
              <w:tc>
                <w:tcPr>
                  <w:tcW w:w="1271" w:type="dxa"/>
                </w:tcPr>
                <w:p w:rsidR="008005B6" w:rsidRPr="002F5C4D" w:rsidRDefault="00F20F4D" w:rsidP="00A44C91">
                  <w:r w:rsidRPr="002F5C4D">
                    <w:t>224,28</w:t>
                  </w:r>
                </w:p>
              </w:tc>
            </w:tr>
            <w:tr w:rsidR="00B94590" w:rsidRPr="00B94590" w:rsidTr="008005B6">
              <w:trPr>
                <w:trHeight w:val="169"/>
              </w:trPr>
              <w:tc>
                <w:tcPr>
                  <w:tcW w:w="7032" w:type="dxa"/>
                  <w:tcBorders>
                    <w:top w:val="single" w:sz="4" w:space="0" w:color="auto"/>
                    <w:left w:val="single" w:sz="4" w:space="0" w:color="auto"/>
                    <w:bottom w:val="single" w:sz="4" w:space="0" w:color="auto"/>
                    <w:right w:val="single" w:sz="4" w:space="0" w:color="auto"/>
                  </w:tcBorders>
                </w:tcPr>
                <w:p w:rsidR="008005B6" w:rsidRPr="00B94590" w:rsidRDefault="008005B6" w:rsidP="008005B6">
                  <w:r w:rsidRPr="00B94590">
                    <w:t>Kopā</w:t>
                  </w:r>
                  <w:r w:rsidR="008F2EE7" w:rsidRPr="00B94590">
                    <w:t xml:space="preserve"> ( </w:t>
                  </w:r>
                  <w:r w:rsidR="000406CA" w:rsidRPr="00B94590">
                    <w:t>(</w:t>
                  </w:r>
                  <w:r w:rsidR="008F2EE7" w:rsidRPr="00B94590">
                    <w:t>2) projekta daļas izmaksas)</w:t>
                  </w:r>
                </w:p>
              </w:tc>
              <w:tc>
                <w:tcPr>
                  <w:tcW w:w="1271" w:type="dxa"/>
                  <w:tcBorders>
                    <w:top w:val="single" w:sz="4" w:space="0" w:color="auto"/>
                    <w:left w:val="single" w:sz="4" w:space="0" w:color="auto"/>
                    <w:bottom w:val="single" w:sz="4" w:space="0" w:color="auto"/>
                    <w:right w:val="single" w:sz="4" w:space="0" w:color="auto"/>
                  </w:tcBorders>
                </w:tcPr>
                <w:p w:rsidR="008005B6" w:rsidRPr="002F5C4D" w:rsidRDefault="00F20F4D" w:rsidP="000B25FC">
                  <w:pPr>
                    <w:rPr>
                      <w:b/>
                      <w:highlight w:val="green"/>
                    </w:rPr>
                  </w:pPr>
                  <w:r w:rsidRPr="002F5C4D">
                    <w:rPr>
                      <w:b/>
                    </w:rPr>
                    <w:t>516,28</w:t>
                  </w:r>
                </w:p>
              </w:tc>
            </w:tr>
          </w:tbl>
          <w:p w:rsidR="00737E80" w:rsidRPr="00B94590" w:rsidRDefault="00737E80" w:rsidP="008005B6">
            <w:pPr>
              <w:pStyle w:val="BodyText"/>
              <w:spacing w:before="120"/>
              <w:rPr>
                <w:b/>
              </w:rPr>
            </w:pPr>
          </w:p>
        </w:tc>
      </w:tr>
      <w:tr w:rsidR="00B94590" w:rsidRPr="00B94590" w:rsidTr="005A472E">
        <w:trPr>
          <w:trHeight w:val="60"/>
        </w:trPr>
        <w:tc>
          <w:tcPr>
            <w:tcW w:w="5000" w:type="pct"/>
            <w:tcBorders>
              <w:top w:val="single" w:sz="6" w:space="0" w:color="auto"/>
              <w:left w:val="single" w:sz="6" w:space="0" w:color="auto"/>
              <w:bottom w:val="single" w:sz="6" w:space="0" w:color="auto"/>
              <w:right w:val="single" w:sz="6" w:space="0" w:color="auto"/>
            </w:tcBorders>
          </w:tcPr>
          <w:p w:rsidR="00C07E23" w:rsidRPr="00B94590" w:rsidRDefault="00B627AD" w:rsidP="00795B82">
            <w:pPr>
              <w:rPr>
                <w:b/>
              </w:rPr>
            </w:pPr>
            <w:r w:rsidRPr="00B94590">
              <w:rPr>
                <w:b/>
              </w:rPr>
              <w:t xml:space="preserve">3) </w:t>
            </w:r>
            <w:r w:rsidR="004D0CE7" w:rsidRPr="00B94590">
              <w:rPr>
                <w:b/>
              </w:rPr>
              <w:t>Valsts finanšu datu analīzes rīka izstrāde, izmantoj</w:t>
            </w:r>
            <w:r w:rsidR="000406CA" w:rsidRPr="00B94590">
              <w:rPr>
                <w:b/>
              </w:rPr>
              <w:t>ot tehnoloģisko risinājumu</w:t>
            </w:r>
            <w:r w:rsidR="004D0CE7" w:rsidRPr="00B94590">
              <w:rPr>
                <w:b/>
              </w:rPr>
              <w:t xml:space="preserve"> BI </w:t>
            </w:r>
          </w:p>
        </w:tc>
      </w:tr>
      <w:tr w:rsidR="00B94590" w:rsidRPr="00B94590" w:rsidTr="005A472E">
        <w:trPr>
          <w:trHeight w:val="2664"/>
        </w:trPr>
        <w:tc>
          <w:tcPr>
            <w:tcW w:w="5000" w:type="pct"/>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2F5C4D" w:rsidRPr="002F5C4D" w:rsidTr="00180DB1">
              <w:trPr>
                <w:trHeight w:val="342"/>
              </w:trPr>
              <w:tc>
                <w:tcPr>
                  <w:tcW w:w="7032" w:type="dxa"/>
                  <w:vAlign w:val="center"/>
                </w:tcPr>
                <w:p w:rsidR="00C07E23" w:rsidRPr="002F5C4D" w:rsidRDefault="00C07E23" w:rsidP="00180DB1">
                  <w:pPr>
                    <w:jc w:val="center"/>
                    <w:rPr>
                      <w:b/>
                    </w:rPr>
                  </w:pPr>
                  <w:r w:rsidRPr="002F5C4D">
                    <w:rPr>
                      <w:b/>
                    </w:rPr>
                    <w:t>Komponente</w:t>
                  </w:r>
                </w:p>
              </w:tc>
              <w:tc>
                <w:tcPr>
                  <w:tcW w:w="1271" w:type="dxa"/>
                  <w:vAlign w:val="center"/>
                </w:tcPr>
                <w:p w:rsidR="00C07E23" w:rsidRPr="002F5C4D" w:rsidRDefault="00C07E23" w:rsidP="00180DB1">
                  <w:pPr>
                    <w:rPr>
                      <w:b/>
                    </w:rPr>
                  </w:pPr>
                  <w:r w:rsidRPr="002F5C4D">
                    <w:rPr>
                      <w:b/>
                    </w:rPr>
                    <w:t xml:space="preserve">Summa </w:t>
                  </w:r>
                </w:p>
                <w:p w:rsidR="00C07E23" w:rsidRPr="002F5C4D" w:rsidRDefault="00C07E23" w:rsidP="00180DB1">
                  <w:pPr>
                    <w:jc w:val="center"/>
                    <w:rPr>
                      <w:b/>
                    </w:rPr>
                  </w:pPr>
                  <w:r w:rsidRPr="002F5C4D">
                    <w:rPr>
                      <w:b/>
                    </w:rPr>
                    <w:t>(tūkst. latu)</w:t>
                  </w:r>
                </w:p>
              </w:tc>
            </w:tr>
            <w:tr w:rsidR="002F5C4D" w:rsidRPr="002F5C4D" w:rsidTr="00180DB1">
              <w:trPr>
                <w:trHeight w:val="174"/>
              </w:trPr>
              <w:tc>
                <w:tcPr>
                  <w:tcW w:w="7032" w:type="dxa"/>
                </w:tcPr>
                <w:p w:rsidR="00C07E23" w:rsidRPr="002F5C4D" w:rsidRDefault="00C07E23" w:rsidP="00180DB1">
                  <w:pPr>
                    <w:rPr>
                      <w:b/>
                    </w:rPr>
                  </w:pPr>
                  <w:r w:rsidRPr="002F5C4D">
                    <w:rPr>
                      <w:b/>
                    </w:rPr>
                    <w:t>1. Dokumentācijas izstrāde</w:t>
                  </w:r>
                </w:p>
              </w:tc>
              <w:tc>
                <w:tcPr>
                  <w:tcW w:w="1271" w:type="dxa"/>
                </w:tcPr>
                <w:p w:rsidR="00C07E23" w:rsidRPr="002F5C4D" w:rsidRDefault="00C07E23" w:rsidP="00180DB1">
                  <w:pPr>
                    <w:rPr>
                      <w:b/>
                    </w:rPr>
                  </w:pPr>
                </w:p>
              </w:tc>
            </w:tr>
            <w:tr w:rsidR="002F5C4D" w:rsidRPr="002F5C4D" w:rsidTr="00180DB1">
              <w:trPr>
                <w:trHeight w:val="174"/>
              </w:trPr>
              <w:tc>
                <w:tcPr>
                  <w:tcW w:w="7032" w:type="dxa"/>
                </w:tcPr>
                <w:p w:rsidR="00C07E23" w:rsidRPr="002F5C4D" w:rsidRDefault="00C07E23" w:rsidP="00180DB1">
                  <w:r w:rsidRPr="002F5C4D">
                    <w:t>Detalizētas prasību specifikācijas un tehniskā projektējuma izstrāde</w:t>
                  </w:r>
                </w:p>
              </w:tc>
              <w:tc>
                <w:tcPr>
                  <w:tcW w:w="1271" w:type="dxa"/>
                </w:tcPr>
                <w:p w:rsidR="00C07E23" w:rsidRPr="002F5C4D" w:rsidRDefault="004D0CE7" w:rsidP="00180DB1">
                  <w:r w:rsidRPr="002F5C4D">
                    <w:t>45</w:t>
                  </w:r>
                  <w:r w:rsidR="00C07E23" w:rsidRPr="002F5C4D">
                    <w:t>,0</w:t>
                  </w:r>
                </w:p>
              </w:tc>
            </w:tr>
            <w:tr w:rsidR="002F5C4D" w:rsidRPr="002F5C4D" w:rsidTr="00180DB1">
              <w:trPr>
                <w:trHeight w:val="174"/>
              </w:trPr>
              <w:tc>
                <w:tcPr>
                  <w:tcW w:w="7032" w:type="dxa"/>
                </w:tcPr>
                <w:p w:rsidR="00C07E23" w:rsidRPr="002F5C4D" w:rsidRDefault="00C07E23" w:rsidP="00180DB1">
                  <w:r w:rsidRPr="002F5C4D">
                    <w:t>Sistēmas rokasgrāmatu izstrāde (lietotāja rokasgrāmata, administrēšanas</w:t>
                  </w:r>
                  <w:r w:rsidR="00EA21D6" w:rsidRPr="002F5C4D">
                    <w:t xml:space="preserve">, </w:t>
                  </w:r>
                  <w:r w:rsidR="002D70BB" w:rsidRPr="002F5C4D">
                    <w:t>datu pārneses</w:t>
                  </w:r>
                  <w:r w:rsidR="00EA21D6" w:rsidRPr="002F5C4D">
                    <w:t>, konfigurācijas</w:t>
                  </w:r>
                  <w:r w:rsidRPr="002F5C4D">
                    <w:t xml:space="preserve"> rokasgrāmata, klienta saskarnes realizācijas piemēru apraksts)</w:t>
                  </w:r>
                </w:p>
              </w:tc>
              <w:tc>
                <w:tcPr>
                  <w:tcW w:w="1271" w:type="dxa"/>
                </w:tcPr>
                <w:p w:rsidR="00C07E23" w:rsidRPr="002F5C4D" w:rsidRDefault="00EA21D6" w:rsidP="00180DB1">
                  <w:r w:rsidRPr="002F5C4D">
                    <w:t>2</w:t>
                  </w:r>
                  <w:r w:rsidR="004D0CE7" w:rsidRPr="002F5C4D">
                    <w:t>5</w:t>
                  </w:r>
                  <w:r w:rsidR="00C07E23" w:rsidRPr="002F5C4D">
                    <w:t>,0</w:t>
                  </w:r>
                </w:p>
              </w:tc>
            </w:tr>
            <w:tr w:rsidR="002F5C4D" w:rsidRPr="002F5C4D" w:rsidTr="00180DB1">
              <w:trPr>
                <w:trHeight w:val="174"/>
              </w:trPr>
              <w:tc>
                <w:tcPr>
                  <w:tcW w:w="7032" w:type="dxa"/>
                </w:tcPr>
                <w:p w:rsidR="00C07E23" w:rsidRPr="002F5C4D" w:rsidRDefault="00C07E23" w:rsidP="00180DB1">
                  <w:pPr>
                    <w:rPr>
                      <w:b/>
                    </w:rPr>
                  </w:pPr>
                  <w:r w:rsidRPr="002F5C4D">
                    <w:rPr>
                      <w:b/>
                    </w:rPr>
                    <w:t>2.Infrastruktūras iegādes izmaksas</w:t>
                  </w:r>
                </w:p>
              </w:tc>
              <w:tc>
                <w:tcPr>
                  <w:tcW w:w="1271" w:type="dxa"/>
                </w:tcPr>
                <w:p w:rsidR="00C07E23" w:rsidRPr="002F5C4D" w:rsidRDefault="00C07E23" w:rsidP="00180DB1">
                  <w:pPr>
                    <w:rPr>
                      <w:b/>
                    </w:rPr>
                  </w:pPr>
                  <w:r w:rsidRPr="002F5C4D">
                    <w:rPr>
                      <w:b/>
                      <w:bCs/>
                    </w:rPr>
                    <w:t> </w:t>
                  </w:r>
                </w:p>
              </w:tc>
            </w:tr>
            <w:tr w:rsidR="002F5C4D" w:rsidRPr="002F5C4D" w:rsidTr="00180DB1">
              <w:trPr>
                <w:trHeight w:val="70"/>
              </w:trPr>
              <w:tc>
                <w:tcPr>
                  <w:tcW w:w="7032" w:type="dxa"/>
                </w:tcPr>
                <w:p w:rsidR="004D0CE7" w:rsidRPr="002F5C4D" w:rsidRDefault="003041D8" w:rsidP="004D0CE7">
                  <w:r w:rsidRPr="002F5C4D">
                    <w:t>VVBPIS</w:t>
                  </w:r>
                  <w:r w:rsidR="0063461A" w:rsidRPr="002F5C4D">
                    <w:t xml:space="preserve"> apakšs</w:t>
                  </w:r>
                  <w:r w:rsidR="004D0CE7" w:rsidRPr="002F5C4D">
                    <w:t>itēmas</w:t>
                  </w:r>
                  <w:r w:rsidR="00121AEE" w:rsidRPr="002F5C4D">
                    <w:t xml:space="preserve"> datu noliktavas</w:t>
                  </w:r>
                  <w:r w:rsidR="004D0CE7" w:rsidRPr="002F5C4D">
                    <w:t xml:space="preserve"> SAP BW sistēmas infrastruktūras paplašināšana (serveru klasteris</w:t>
                  </w:r>
                  <w:r w:rsidR="00180DB1" w:rsidRPr="002F5C4D">
                    <w:t xml:space="preserve"> produkcijas sistēmai, serveris te</w:t>
                  </w:r>
                  <w:r w:rsidR="0063461A" w:rsidRPr="002F5C4D">
                    <w:t>sta sistēmai, serveris izstrādes</w:t>
                  </w:r>
                  <w:r w:rsidR="00180DB1" w:rsidRPr="002F5C4D">
                    <w:t xml:space="preserve"> sistēmai</w:t>
                  </w:r>
                  <w:r w:rsidR="004D0CE7" w:rsidRPr="002F5C4D">
                    <w:t>)</w:t>
                  </w:r>
                </w:p>
              </w:tc>
              <w:tc>
                <w:tcPr>
                  <w:tcW w:w="1271" w:type="dxa"/>
                </w:tcPr>
                <w:p w:rsidR="004D0CE7" w:rsidRPr="002F5C4D" w:rsidRDefault="00F20F4D" w:rsidP="00121AEE">
                  <w:r w:rsidRPr="002F5C4D">
                    <w:t>148,0</w:t>
                  </w:r>
                </w:p>
              </w:tc>
            </w:tr>
            <w:tr w:rsidR="002F5C4D" w:rsidRPr="002F5C4D" w:rsidTr="00180DB1">
              <w:trPr>
                <w:trHeight w:val="160"/>
              </w:trPr>
              <w:tc>
                <w:tcPr>
                  <w:tcW w:w="7032" w:type="dxa"/>
                </w:tcPr>
                <w:p w:rsidR="004D0CE7" w:rsidRPr="002F5C4D" w:rsidRDefault="003041D8" w:rsidP="00121AEE">
                  <w:r w:rsidRPr="002F5C4D">
                    <w:t>VVBPIS</w:t>
                  </w:r>
                  <w:r w:rsidR="0063461A" w:rsidRPr="002F5C4D">
                    <w:t xml:space="preserve"> plāšanas apakš</w:t>
                  </w:r>
                  <w:r w:rsidR="00121AEE" w:rsidRPr="002F5C4D">
                    <w:t>sitēmas SAP SEM un SAP Portal infrastruktūras paplašināšana (serveru klasteris produkcijas sistēmai, serveris te</w:t>
                  </w:r>
                  <w:r w:rsidR="00DF1195" w:rsidRPr="002F5C4D">
                    <w:t>sta sistēmai, serveris izstrādes</w:t>
                  </w:r>
                  <w:r w:rsidR="00121AEE" w:rsidRPr="002F5C4D">
                    <w:t xml:space="preserve"> sistēmai)</w:t>
                  </w:r>
                </w:p>
              </w:tc>
              <w:tc>
                <w:tcPr>
                  <w:tcW w:w="1271" w:type="dxa"/>
                </w:tcPr>
                <w:p w:rsidR="004D0CE7" w:rsidRPr="002F5C4D" w:rsidRDefault="00F20F4D" w:rsidP="00F20F4D">
                  <w:r w:rsidRPr="002F5C4D">
                    <w:t>120,0</w:t>
                  </w:r>
                </w:p>
              </w:tc>
            </w:tr>
            <w:tr w:rsidR="002F5C4D" w:rsidRPr="002F5C4D" w:rsidTr="00180DB1">
              <w:trPr>
                <w:trHeight w:val="160"/>
              </w:trPr>
              <w:tc>
                <w:tcPr>
                  <w:tcW w:w="7032" w:type="dxa"/>
                </w:tcPr>
                <w:p w:rsidR="004D0CE7" w:rsidRPr="002F5C4D" w:rsidRDefault="004D0CE7" w:rsidP="004D0CE7">
                  <w:r w:rsidRPr="002F5C4D">
                    <w:t>Disku masīvs</w:t>
                  </w:r>
                </w:p>
              </w:tc>
              <w:tc>
                <w:tcPr>
                  <w:tcW w:w="1271" w:type="dxa"/>
                </w:tcPr>
                <w:p w:rsidR="004D0CE7" w:rsidRPr="002F5C4D" w:rsidRDefault="00904BD2" w:rsidP="00904BD2">
                  <w:r w:rsidRPr="002F5C4D">
                    <w:t>148</w:t>
                  </w:r>
                  <w:r w:rsidR="004D0CE7" w:rsidRPr="002F5C4D">
                    <w:t>,0</w:t>
                  </w:r>
                </w:p>
              </w:tc>
            </w:tr>
            <w:tr w:rsidR="002F5C4D" w:rsidRPr="002F5C4D" w:rsidTr="00180DB1">
              <w:trPr>
                <w:trHeight w:val="160"/>
              </w:trPr>
              <w:tc>
                <w:tcPr>
                  <w:tcW w:w="7032" w:type="dxa"/>
                </w:tcPr>
                <w:p w:rsidR="004D0CE7" w:rsidRPr="002F5C4D" w:rsidRDefault="00121AEE" w:rsidP="002F5C4D">
                  <w:r w:rsidRPr="002F5C4D">
                    <w:t xml:space="preserve">Papildus </w:t>
                  </w:r>
                  <w:r w:rsidR="00C07D72" w:rsidRPr="002F5C4D">
                    <w:t xml:space="preserve">5 </w:t>
                  </w:r>
                  <w:r w:rsidRPr="002F5C4D">
                    <w:t>SAP Business Objects licenču iegāde</w:t>
                  </w:r>
                  <w:r w:rsidR="004D0CE7" w:rsidRPr="002F5C4D">
                    <w:t xml:space="preserve"> (t.sk. 5 gadu atbalsta nodrošinājums no pirkšanas brīža)</w:t>
                  </w:r>
                </w:p>
              </w:tc>
              <w:tc>
                <w:tcPr>
                  <w:tcW w:w="1271" w:type="dxa"/>
                </w:tcPr>
                <w:p w:rsidR="004D0CE7" w:rsidRPr="002F5C4D" w:rsidRDefault="00C07D72" w:rsidP="00C07D72">
                  <w:r w:rsidRPr="002F5C4D">
                    <w:t>6,6</w:t>
                  </w:r>
                </w:p>
              </w:tc>
            </w:tr>
            <w:tr w:rsidR="002F5C4D" w:rsidRPr="002F5C4D" w:rsidTr="00180DB1">
              <w:trPr>
                <w:trHeight w:val="169"/>
              </w:trPr>
              <w:tc>
                <w:tcPr>
                  <w:tcW w:w="7032" w:type="dxa"/>
                </w:tcPr>
                <w:p w:rsidR="004D0CE7" w:rsidRPr="002F5C4D" w:rsidRDefault="004D0CE7" w:rsidP="004D0CE7">
                  <w:pPr>
                    <w:rPr>
                      <w:b/>
                    </w:rPr>
                  </w:pPr>
                  <w:r w:rsidRPr="002F5C4D">
                    <w:rPr>
                      <w:b/>
                    </w:rPr>
                    <w:t>3. Sistēmas izstrāde</w:t>
                  </w:r>
                </w:p>
              </w:tc>
              <w:tc>
                <w:tcPr>
                  <w:tcW w:w="1271" w:type="dxa"/>
                </w:tcPr>
                <w:p w:rsidR="004D0CE7" w:rsidRPr="002F5C4D" w:rsidRDefault="004D0CE7" w:rsidP="004D0CE7">
                  <w:pPr>
                    <w:rPr>
                      <w:b/>
                    </w:rPr>
                  </w:pPr>
                  <w:r w:rsidRPr="002F5C4D">
                    <w:rPr>
                      <w:b/>
                      <w:bCs/>
                    </w:rPr>
                    <w:t> </w:t>
                  </w:r>
                </w:p>
              </w:tc>
            </w:tr>
            <w:tr w:rsidR="002F5C4D" w:rsidRPr="002F5C4D" w:rsidTr="00180DB1">
              <w:trPr>
                <w:trHeight w:val="169"/>
              </w:trPr>
              <w:tc>
                <w:tcPr>
                  <w:tcW w:w="7032" w:type="dxa"/>
                </w:tcPr>
                <w:p w:rsidR="004D0CE7" w:rsidRPr="002F5C4D" w:rsidRDefault="004D0CE7" w:rsidP="005A5055">
                  <w:r w:rsidRPr="002F5C4D">
                    <w:t xml:space="preserve">Sistēmas izstrāde, uzstādīšana un konfigurācija, t.sk. </w:t>
                  </w:r>
                  <w:r w:rsidR="002D70BB" w:rsidRPr="002F5C4D">
                    <w:t>datu noliktavas datu struktūru izveide</w:t>
                  </w:r>
                  <w:r w:rsidR="00410172" w:rsidRPr="002F5C4D">
                    <w:t xml:space="preserve"> (tehnoloģiskā komponente </w:t>
                  </w:r>
                  <w:r w:rsidR="00410172" w:rsidRPr="002F5C4D">
                    <w:rPr>
                      <w:i/>
                    </w:rPr>
                    <w:t>SAP Business Warehouse</w:t>
                  </w:r>
                  <w:r w:rsidR="00410172" w:rsidRPr="002F5C4D">
                    <w:t>)</w:t>
                  </w:r>
                  <w:r w:rsidR="002D70BB" w:rsidRPr="002F5C4D">
                    <w:t>, datu pārneses konfigurēšana, atskaišu izstrāde</w:t>
                  </w:r>
                  <w:r w:rsidR="005A5055" w:rsidRPr="002F5C4D">
                    <w:t xml:space="preserve"> (tehnoloģiskā komponente </w:t>
                  </w:r>
                  <w:r w:rsidR="005A5055" w:rsidRPr="002F5C4D">
                    <w:rPr>
                      <w:i/>
                    </w:rPr>
                    <w:t>SAP Business Objects</w:t>
                  </w:r>
                  <w:r w:rsidR="005A5055" w:rsidRPr="002F5C4D">
                    <w:t>)</w:t>
                  </w:r>
                  <w:r w:rsidR="002D70BB" w:rsidRPr="002F5C4D">
                    <w:t>.</w:t>
                  </w:r>
                </w:p>
              </w:tc>
              <w:tc>
                <w:tcPr>
                  <w:tcW w:w="1271" w:type="dxa"/>
                </w:tcPr>
                <w:p w:rsidR="004D0CE7" w:rsidRPr="002F5C4D" w:rsidRDefault="00C07D72" w:rsidP="00C07D72">
                  <w:r w:rsidRPr="002F5C4D">
                    <w:t>418,4</w:t>
                  </w:r>
                </w:p>
              </w:tc>
            </w:tr>
            <w:tr w:rsidR="002F5C4D" w:rsidRPr="002F5C4D" w:rsidTr="00180DB1">
              <w:trPr>
                <w:trHeight w:val="169"/>
              </w:trPr>
              <w:tc>
                <w:tcPr>
                  <w:tcW w:w="7032" w:type="dxa"/>
                  <w:tcBorders>
                    <w:top w:val="single" w:sz="4" w:space="0" w:color="auto"/>
                    <w:left w:val="single" w:sz="4" w:space="0" w:color="auto"/>
                    <w:bottom w:val="single" w:sz="4" w:space="0" w:color="auto"/>
                    <w:right w:val="single" w:sz="4" w:space="0" w:color="auto"/>
                  </w:tcBorders>
                </w:tcPr>
                <w:p w:rsidR="004D0CE7" w:rsidRPr="002F5C4D" w:rsidRDefault="004D0CE7" w:rsidP="004D0CE7">
                  <w:r w:rsidRPr="002F5C4D">
                    <w:t>Kopā</w:t>
                  </w:r>
                  <w:r w:rsidR="008F2EE7" w:rsidRPr="002F5C4D">
                    <w:t xml:space="preserve"> ( </w:t>
                  </w:r>
                  <w:r w:rsidR="000406CA" w:rsidRPr="002F5C4D">
                    <w:t>(</w:t>
                  </w:r>
                  <w:r w:rsidR="008F2EE7" w:rsidRPr="002F5C4D">
                    <w:t>3) projekta daļas izmaksas)</w:t>
                  </w:r>
                </w:p>
              </w:tc>
              <w:tc>
                <w:tcPr>
                  <w:tcW w:w="1271" w:type="dxa"/>
                  <w:tcBorders>
                    <w:top w:val="single" w:sz="4" w:space="0" w:color="auto"/>
                    <w:left w:val="single" w:sz="4" w:space="0" w:color="auto"/>
                    <w:bottom w:val="single" w:sz="4" w:space="0" w:color="auto"/>
                    <w:right w:val="single" w:sz="4" w:space="0" w:color="auto"/>
                  </w:tcBorders>
                </w:tcPr>
                <w:p w:rsidR="004D0CE7" w:rsidRPr="002F5C4D" w:rsidRDefault="00F20F4D" w:rsidP="00494ED7">
                  <w:pPr>
                    <w:rPr>
                      <w:b/>
                    </w:rPr>
                  </w:pPr>
                  <w:r w:rsidRPr="002F5C4D">
                    <w:rPr>
                      <w:b/>
                    </w:rPr>
                    <w:t>911,0</w:t>
                  </w:r>
                </w:p>
              </w:tc>
            </w:tr>
          </w:tbl>
          <w:p w:rsidR="001A3080" w:rsidRPr="002F5C4D" w:rsidRDefault="001A3080" w:rsidP="00180DB1">
            <w:pPr>
              <w:pStyle w:val="BodyText"/>
              <w:spacing w:before="120"/>
              <w:rPr>
                <w:b/>
              </w:rPr>
            </w:pPr>
          </w:p>
        </w:tc>
      </w:tr>
      <w:tr w:rsidR="00B94590" w:rsidRPr="00B94590" w:rsidTr="005A472E">
        <w:trPr>
          <w:trHeight w:val="325"/>
        </w:trPr>
        <w:tc>
          <w:tcPr>
            <w:tcW w:w="5000" w:type="pct"/>
            <w:tcBorders>
              <w:top w:val="single" w:sz="6" w:space="0" w:color="auto"/>
              <w:left w:val="single" w:sz="6" w:space="0" w:color="auto"/>
              <w:bottom w:val="single" w:sz="6" w:space="0" w:color="auto"/>
              <w:right w:val="single" w:sz="6" w:space="0" w:color="auto"/>
            </w:tcBorders>
          </w:tcPr>
          <w:p w:rsidR="00AC1164" w:rsidRPr="002F5C4D" w:rsidRDefault="00AC1164" w:rsidP="00AC1164">
            <w:pPr>
              <w:rPr>
                <w:b/>
              </w:rPr>
            </w:pPr>
          </w:p>
        </w:tc>
      </w:tr>
      <w:tr w:rsidR="00AC1164" w:rsidRPr="00B94590" w:rsidTr="005A472E">
        <w:trPr>
          <w:trHeight w:val="387"/>
        </w:trPr>
        <w:tc>
          <w:tcPr>
            <w:tcW w:w="5000" w:type="pct"/>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2F5C4D" w:rsidRPr="002F5C4D" w:rsidTr="00CC01E5">
              <w:trPr>
                <w:trHeight w:val="169"/>
              </w:trPr>
              <w:tc>
                <w:tcPr>
                  <w:tcW w:w="7032" w:type="dxa"/>
                  <w:tcBorders>
                    <w:top w:val="single" w:sz="4" w:space="0" w:color="auto"/>
                    <w:left w:val="single" w:sz="4" w:space="0" w:color="auto"/>
                    <w:bottom w:val="single" w:sz="4" w:space="0" w:color="auto"/>
                    <w:right w:val="single" w:sz="4" w:space="0" w:color="auto"/>
                  </w:tcBorders>
                </w:tcPr>
                <w:p w:rsidR="008F2EE7" w:rsidRPr="002F5C4D" w:rsidRDefault="008F2EE7" w:rsidP="008F2EE7">
                  <w:pPr>
                    <w:rPr>
                      <w:b/>
                      <w:u w:val="single"/>
                    </w:rPr>
                  </w:pPr>
                  <w:r w:rsidRPr="002F5C4D">
                    <w:rPr>
                      <w:b/>
                      <w:u w:val="single"/>
                    </w:rPr>
                    <w:t>Kopā ( visas projekta izmaksas, tūkst. latu)</w:t>
                  </w:r>
                </w:p>
              </w:tc>
              <w:tc>
                <w:tcPr>
                  <w:tcW w:w="1271" w:type="dxa"/>
                  <w:tcBorders>
                    <w:top w:val="single" w:sz="4" w:space="0" w:color="auto"/>
                    <w:left w:val="single" w:sz="4" w:space="0" w:color="auto"/>
                    <w:bottom w:val="single" w:sz="4" w:space="0" w:color="auto"/>
                    <w:right w:val="single" w:sz="4" w:space="0" w:color="auto"/>
                  </w:tcBorders>
                </w:tcPr>
                <w:p w:rsidR="008F2EE7" w:rsidRPr="002F5C4D" w:rsidRDefault="00F20F4D" w:rsidP="008F2EE7">
                  <w:pPr>
                    <w:rPr>
                      <w:b/>
                      <w:u w:val="single"/>
                    </w:rPr>
                  </w:pPr>
                  <w:r w:rsidRPr="002F5C4D">
                    <w:rPr>
                      <w:b/>
                      <w:u w:val="single"/>
                    </w:rPr>
                    <w:t>1997,28</w:t>
                  </w:r>
                </w:p>
              </w:tc>
            </w:tr>
          </w:tbl>
          <w:p w:rsidR="00AC1164" w:rsidRPr="002F5C4D" w:rsidRDefault="00AC1164" w:rsidP="00AC1164">
            <w:pPr>
              <w:rPr>
                <w:b/>
              </w:rPr>
            </w:pPr>
          </w:p>
        </w:tc>
      </w:tr>
    </w:tbl>
    <w:p w:rsidR="005A472E" w:rsidRPr="00B94590" w:rsidRDefault="005A472E" w:rsidP="005A472E">
      <w:pPr>
        <w:pStyle w:val="Body0"/>
        <w:ind w:firstLine="720"/>
        <w:jc w:val="both"/>
        <w:rPr>
          <w:sz w:val="28"/>
          <w:szCs w:val="28"/>
        </w:rPr>
      </w:pPr>
      <w:bookmarkStart w:id="126" w:name="_Ref260207855"/>
      <w:bookmarkStart w:id="127" w:name="_Ref260207860"/>
      <w:bookmarkStart w:id="128" w:name="_Ref260207866"/>
      <w:bookmarkStart w:id="129" w:name="_Toc292619547"/>
      <w:bookmarkStart w:id="130" w:name="_Toc292619597"/>
      <w:bookmarkStart w:id="131" w:name="_Toc293616290"/>
      <w:bookmarkEnd w:id="65"/>
    </w:p>
    <w:p w:rsidR="005A472E" w:rsidRPr="002F5C4D" w:rsidRDefault="005A472E" w:rsidP="005A472E">
      <w:pPr>
        <w:pStyle w:val="Body0"/>
        <w:ind w:firstLine="720"/>
        <w:jc w:val="both"/>
      </w:pPr>
      <w:r w:rsidRPr="00B94590">
        <w:t xml:space="preserve">Kopējais, sākotnēji paredzētais, finansējums projekta ieviešanai tika plānots 2 869 200 LVL, veicot līdzekļu samazinājumu 2010.gadā jūlijā projektam paredzētais finansējuma plānotais apjoms tika samazināts par 10% - līdz 2 582 280 LVL, savukārt šai koncepcijā novērtētais un ieviešanai nepieciešamais finansējums ir </w:t>
      </w:r>
      <w:r w:rsidR="00F20F4D" w:rsidRPr="002F5C4D">
        <w:t>1 997 280</w:t>
      </w:r>
      <w:r w:rsidRPr="002F5C4D">
        <w:t xml:space="preserve"> LVL, kur 85% ir Eiropas reģionālās attīstības fonda līdzekļi un 15% valsts budžeta līdzfinansējums</w:t>
      </w:r>
      <w:r w:rsidR="006A2CAF" w:rsidRPr="002F5C4D">
        <w:t xml:space="preserve"> (Ministru kabineta 10.08.2010. noteikumi Nr. 766 1.pielikuma 13.punkts)</w:t>
      </w:r>
      <w:r w:rsidRPr="002F5C4D">
        <w:t xml:space="preserve">. </w:t>
      </w:r>
      <w:r w:rsidR="000B2DD0" w:rsidRPr="002F5C4D">
        <w:t xml:space="preserve">Projekta budžets veidots </w:t>
      </w:r>
      <w:r w:rsidR="00B74101" w:rsidRPr="002F5C4D">
        <w:t xml:space="preserve">sabalansējot savas vajadzības ar iespējām, attiecīgi </w:t>
      </w:r>
      <w:r w:rsidR="000B2DD0" w:rsidRPr="002F5C4D">
        <w:t xml:space="preserve">aptaujājot tirgus dalībniekus, t.sk. iespējamos potenciālos piegādātājus. </w:t>
      </w:r>
      <w:r w:rsidR="008A1A05" w:rsidRPr="002F5C4D">
        <w:t xml:space="preserve">Pašreiz aplēstās izmaksas tiks precizētas noslēdzoties iepirkumu procesiem projekta ietvaros. </w:t>
      </w:r>
    </w:p>
    <w:p w:rsidR="00662091" w:rsidRPr="002F5C4D" w:rsidRDefault="00736255" w:rsidP="005A472E">
      <w:pPr>
        <w:pStyle w:val="Body0"/>
        <w:ind w:firstLine="720"/>
        <w:jc w:val="both"/>
      </w:pPr>
      <w:r w:rsidRPr="002F5C4D">
        <w:t xml:space="preserve">Pēc projekta īstenošanas no 2015.gada </w:t>
      </w:r>
      <w:r w:rsidR="000B2DD0" w:rsidRPr="002F5C4D">
        <w:rPr>
          <w:i/>
        </w:rPr>
        <w:t>ietekme uz valsts un pašvaldību budžetiem</w:t>
      </w:r>
      <w:r w:rsidR="000B2DD0" w:rsidRPr="002F5C4D">
        <w:t xml:space="preserve"> </w:t>
      </w:r>
      <w:r w:rsidRPr="002F5C4D">
        <w:t xml:space="preserve">prognozētās standarta programmatūras un lietojuma </w:t>
      </w:r>
      <w:r w:rsidR="009D74AA" w:rsidRPr="002F5C4D">
        <w:t xml:space="preserve">kopējās </w:t>
      </w:r>
      <w:r w:rsidRPr="002F5C4D">
        <w:t xml:space="preserve">uzturēšanas izmaksas, balstoties uz vidējo praksi un izmaksām nozarē citos līdzīga apmēra projektos ir </w:t>
      </w:r>
      <w:r w:rsidR="00B74101" w:rsidRPr="002F5C4D">
        <w:t>153 540</w:t>
      </w:r>
      <w:r w:rsidR="00662091" w:rsidRPr="002F5C4D">
        <w:t xml:space="preserve"> LVL </w:t>
      </w:r>
      <w:r w:rsidR="009D74AA" w:rsidRPr="002F5C4D">
        <w:t xml:space="preserve">gadā </w:t>
      </w:r>
      <w:r w:rsidR="00662091" w:rsidRPr="002F5C4D">
        <w:t xml:space="preserve">(15% no standarta programmatūras iegādes un lietojuma iegādes izmaksām). </w:t>
      </w:r>
    </w:p>
    <w:p w:rsidR="00662091" w:rsidRPr="002F5C4D" w:rsidRDefault="00662091" w:rsidP="005A472E">
      <w:pPr>
        <w:pStyle w:val="Body0"/>
        <w:ind w:firstLine="720"/>
        <w:jc w:val="both"/>
      </w:pPr>
      <w:r w:rsidRPr="002F5C4D">
        <w:t xml:space="preserve">Esošo sistēmu uzturēšanas (pielāgošanas) izmaksas gadā, lai nodrošinātu  datu importu/eksportu uz VBPBP – </w:t>
      </w:r>
      <w:r w:rsidR="00B74101" w:rsidRPr="002F5C4D">
        <w:t>13 640</w:t>
      </w:r>
      <w:r w:rsidRPr="002F5C4D">
        <w:t xml:space="preserve"> LVL </w:t>
      </w:r>
      <w:r w:rsidR="009D74AA" w:rsidRPr="002F5C4D">
        <w:t xml:space="preserve"> gadā </w:t>
      </w:r>
      <w:r w:rsidRPr="002F5C4D">
        <w:t>(15% no veiktajām investīciju izmaksām sistēmas pielāgošanai), kas jau ir ietverts kopējās uzturēšanās izmaksās</w:t>
      </w:r>
      <w:r w:rsidR="009D74AA" w:rsidRPr="002F5C4D">
        <w:t>.</w:t>
      </w:r>
      <w:r w:rsidRPr="002F5C4D">
        <w:t xml:space="preserve">  </w:t>
      </w:r>
    </w:p>
    <w:p w:rsidR="004622F9" w:rsidRPr="002F5C4D" w:rsidRDefault="00750E01" w:rsidP="005A472E">
      <w:pPr>
        <w:pStyle w:val="Body0"/>
        <w:ind w:firstLine="720"/>
        <w:jc w:val="both"/>
      </w:pPr>
      <w:r w:rsidRPr="002F5C4D">
        <w:t>Plānotās ietaupītās izmaksas ir aprēķinātas, izmantojot Ministru kabineta komitejas 2011.gada 27.jūnija protokol</w:t>
      </w:r>
      <w:r w:rsidR="008A1A05" w:rsidRPr="002F5C4D">
        <w:t>u</w:t>
      </w:r>
      <w:r w:rsidRPr="002F5C4D">
        <w:t xml:space="preserve"> Nr. </w:t>
      </w:r>
      <w:r w:rsidR="008A1A05" w:rsidRPr="002F5C4D">
        <w:t>25, kur 1§ 1.punktā cita starpā noteikts, ka „Vienotā cilvēkresursu informācijas un vadības sistēma veidojama uz Finanšu ministrijas no Valsts civildienesta pārvaldes mantotās un pilnveidojamās Personāla uzskaites datorsistēmas un tajā tiek ietverta sistēmas funkcionalitāte, kas bija paredzēta Valsts kancelejas izstrādātajā koncepcijas projektā”, tādejādi paredzot</w:t>
      </w:r>
      <w:r w:rsidR="008A1A05" w:rsidRPr="00B94590">
        <w:t xml:space="preserve">, ka līdz šim Valsts kancelejas virzītā projekta „Vienotās cilvēkresursu informācijas un vadības sistēmas koncepcijas projekts” paredzētie līdzekļi </w:t>
      </w:r>
      <w:r w:rsidR="00030EEB" w:rsidRPr="004A7151">
        <w:t>2 763 541</w:t>
      </w:r>
      <w:r w:rsidR="008A1A05" w:rsidRPr="004A7151">
        <w:t xml:space="preserve"> </w:t>
      </w:r>
      <w:r w:rsidR="008A1A05" w:rsidRPr="00B94590">
        <w:t xml:space="preserve">LVL netiek </w:t>
      </w:r>
      <w:r w:rsidR="008A1A05" w:rsidRPr="002F5C4D">
        <w:t xml:space="preserve">tērēti.  </w:t>
      </w:r>
      <w:r w:rsidR="00016337" w:rsidRPr="002F5C4D">
        <w:t>Papildus jānorāda, ka 05.01.2012. ir veikti grozījumi Ministru kabineta 2008.gada 19.maija noteikumos Nr. 347 „Noteikumi par darbības programmas „Cilvēkresursi un nodarbinātība” papildinājuma aktivitāti „Publiskās pārvaldes cilvēkresursu plānošanas un vadības sistēmas attīstība”</w:t>
      </w:r>
      <w:r w:rsidR="000F2ED7" w:rsidRPr="002F5C4D">
        <w:t>”</w:t>
      </w:r>
      <w:r w:rsidR="00016337" w:rsidRPr="002F5C4D">
        <w:t xml:space="preserve">, precizējot paredzēto finansējuma apjomu kas tika apgūts šī projekta ietvaros, savukārt pārējais finansējums ir pārdalīts citām aktivitātēm.  Projekta ietvaros izstrādātie nodevumi tiks izmantoti lai nodrošinātu nepieciešamo pilnveidojumu veikšanu integrējot un pilnveidojot PUD un nodrošinot turpmāku funkcionalitāti VBPBP sistēmā. </w:t>
      </w:r>
      <w:r w:rsidR="000F2ED7" w:rsidRPr="002F5C4D">
        <w:t xml:space="preserve">Līdz ar to kopējā ekonomija sastāda 425 266 LVL valsts budžeta līdzekļu iepriekš plānoto līdzfinansējumu. Saskaņā ar šobrīd spēkā esošo Ministru kabineta 2008.gada 19.maija noteikumos Nr. 347 „Noteikumi par darbības programmas „Cilvēkresursi un nodarbinātība” papildinājuma aktivitāti „Publiskās pārvaldes cilvēkresursu plānošanas un vadības sistēmas attīstība”” redakciju Valsts kanceleja projekta īstenošanai izlietoja 71 564 LVL, no kuriem Eiropas Sociālā fonda finansējums bija 55 302 LVL un valsts budžeta finansējums 16 262 LVL. </w:t>
      </w:r>
      <w:r w:rsidR="009D74AA" w:rsidRPr="002F5C4D">
        <w:t xml:space="preserve">Vienlaicīgi jāmin fakts, ka Atlīdzības uzskaites sistēmas </w:t>
      </w:r>
      <w:r w:rsidR="00227D86" w:rsidRPr="002F5C4D">
        <w:t>uzlabošana</w:t>
      </w:r>
      <w:r w:rsidR="009D74AA" w:rsidRPr="002F5C4D">
        <w:t>, pilnveidojot Valsts kases  informācijas sistēmu VBPBP sākotnēji netika paredzēta kā projekta aktivitāte, bet izvērtējot projektā kopējo iekļaujamo aktivitāšu un pasākumu kopumu tika secināts, ka projektam atvēlētajā budžetā ir iespējams uzlabot pašreiz darbojošos un no Valsts civildienesta pārvaldes pārņemto PUD, saglabājot</w:t>
      </w:r>
      <w:r w:rsidR="00B60EEB" w:rsidRPr="002F5C4D">
        <w:t xml:space="preserve"> </w:t>
      </w:r>
      <w:r w:rsidR="00227D86" w:rsidRPr="002F5C4D">
        <w:t xml:space="preserve">esošos datus tā patreizējo funkcionalitāti </w:t>
      </w:r>
      <w:r w:rsidR="00B60EEB" w:rsidRPr="002F5C4D">
        <w:t>un pilnveidojot</w:t>
      </w:r>
      <w:r w:rsidR="00227D86" w:rsidRPr="002F5C4D">
        <w:t xml:space="preserve"> datu noliktavu</w:t>
      </w:r>
      <w:r w:rsidR="009D74AA" w:rsidRPr="002F5C4D">
        <w:t xml:space="preserve">, bet uzlabojot tā darbības vidi. </w:t>
      </w:r>
      <w:r w:rsidR="00916DF8" w:rsidRPr="002F5C4D">
        <w:t>Lai nodrošinātu Valsts kases VBPBP papildinājumus</w:t>
      </w:r>
      <w:r w:rsidR="00352A67" w:rsidRPr="002F5C4D">
        <w:t>, kas paredzēti šī projekta ietvaros,</w:t>
      </w:r>
      <w:r w:rsidR="00916DF8" w:rsidRPr="002F5C4D">
        <w:t xml:space="preserve"> netiks piesaistīti papildus </w:t>
      </w:r>
      <w:r w:rsidR="00352A67" w:rsidRPr="002F5C4D">
        <w:t xml:space="preserve">cilvēkresursi to ieviešanai un pēc projekta ieviešanas uzturēšanai. Sistēmu tehnisko atbalstu un uzturēšanu turpinās veikt VK Informātikas departamenta darbinieki, </w:t>
      </w:r>
      <w:r w:rsidR="00352A67" w:rsidRPr="00B94590">
        <w:t xml:space="preserve">savukārt ārējo lietotāju atbalstu un konsultācijas </w:t>
      </w:r>
      <w:r w:rsidR="009402A3" w:rsidRPr="00B94590">
        <w:t>veikt VK Klientu apkalpošanas un pakalpojumu attīstības departamentu darbinieki un FM Finanšu vadības un metodoloģijas departamenta darbinieki, atbilstoši kompetencei</w:t>
      </w:r>
      <w:r w:rsidR="009402A3" w:rsidRPr="002F5C4D">
        <w:t xml:space="preserve">. </w:t>
      </w:r>
      <w:r w:rsidR="00916DF8" w:rsidRPr="002F5C4D">
        <w:t xml:space="preserve"> </w:t>
      </w:r>
      <w:r w:rsidR="00B60EEB" w:rsidRPr="002F5C4D">
        <w:t>Atbilstoši kompetencei tiek paredzēts arī piesaistīt Valsts kancelejas darbiniekus, jomās kas skar cilvēkresursu jautājumus un ir tieša Valsts kancelejas kompetence.</w:t>
      </w:r>
    </w:p>
    <w:p w:rsidR="009D74AA" w:rsidRPr="002F5C4D" w:rsidRDefault="009D74AA" w:rsidP="005A472E">
      <w:pPr>
        <w:pStyle w:val="Body0"/>
        <w:ind w:firstLine="720"/>
        <w:jc w:val="both"/>
        <w:rPr>
          <w:highlight w:val="yellow"/>
        </w:rPr>
      </w:pPr>
      <w:r w:rsidRPr="002F5C4D">
        <w:t xml:space="preserve">Kopējie </w:t>
      </w:r>
      <w:r w:rsidRPr="002F5C4D">
        <w:rPr>
          <w:b/>
        </w:rPr>
        <w:t>paredzētie izdevumi sistēmas uzturēšanai</w:t>
      </w:r>
      <w:r w:rsidRPr="002F5C4D">
        <w:t xml:space="preserve"> pēc projekta izstrādes un ieviešanas būs </w:t>
      </w:r>
      <w:r w:rsidR="00B60EEB" w:rsidRPr="002F5C4D">
        <w:rPr>
          <w:b/>
        </w:rPr>
        <w:t>153 540</w:t>
      </w:r>
      <w:r w:rsidRPr="002F5C4D">
        <w:rPr>
          <w:b/>
        </w:rPr>
        <w:t xml:space="preserve"> LVL gadā</w:t>
      </w:r>
      <w:r w:rsidR="008062BB" w:rsidRPr="002F5C4D">
        <w:rPr>
          <w:b/>
        </w:rPr>
        <w:t xml:space="preserve"> (sākot ar 2015.gadu)</w:t>
      </w:r>
      <w:r w:rsidR="005D452F" w:rsidRPr="002F5C4D">
        <w:t>.</w:t>
      </w:r>
      <w:r w:rsidRPr="002F5C4D">
        <w:t xml:space="preserve"> </w:t>
      </w:r>
    </w:p>
    <w:p w:rsidR="005D452F" w:rsidRPr="00B94590" w:rsidRDefault="005D452F" w:rsidP="00030EEB">
      <w:pPr>
        <w:pStyle w:val="Body0"/>
        <w:ind w:firstLine="720"/>
        <w:jc w:val="both"/>
        <w:rPr>
          <w:lang w:eastAsia="en-US"/>
        </w:rPr>
      </w:pPr>
    </w:p>
    <w:p w:rsidR="00ED55CF" w:rsidRDefault="00ED55CF" w:rsidP="00A65510">
      <w:pPr>
        <w:pStyle w:val="Heading1"/>
        <w:jc w:val="both"/>
        <w:rPr>
          <w:lang w:val="lv-LV"/>
        </w:rPr>
      </w:pPr>
      <w:r w:rsidRPr="00B94590">
        <w:rPr>
          <w:lang w:val="lv-LV"/>
        </w:rPr>
        <w:t>Darbības scenāriji</w:t>
      </w:r>
      <w:bookmarkEnd w:id="126"/>
      <w:bookmarkEnd w:id="127"/>
      <w:bookmarkEnd w:id="128"/>
      <w:bookmarkEnd w:id="129"/>
      <w:bookmarkEnd w:id="130"/>
      <w:bookmarkEnd w:id="131"/>
    </w:p>
    <w:p w:rsidR="00B453F2" w:rsidRPr="00B94590" w:rsidRDefault="00B453F2" w:rsidP="00B453F2">
      <w:pPr>
        <w:jc w:val="both"/>
      </w:pPr>
    </w:p>
    <w:p w:rsidR="00B453F2" w:rsidRPr="00B94590" w:rsidRDefault="00A91D2A" w:rsidP="00B453F2">
      <w:pPr>
        <w:pStyle w:val="Heading2"/>
        <w:jc w:val="both"/>
        <w:rPr>
          <w:lang w:val="lv-LV"/>
        </w:rPr>
      </w:pPr>
      <w:bookmarkStart w:id="132" w:name="_Toc292619549"/>
      <w:bookmarkStart w:id="133" w:name="_Toc292619599"/>
      <w:bookmarkStart w:id="134" w:name="_Toc293616292"/>
      <w:r w:rsidRPr="00B94590">
        <w:rPr>
          <w:lang w:val="lv-LV"/>
        </w:rPr>
        <w:t>Valsts budžeta un finanšu grāmatvedības datu  analīzes rīk</w:t>
      </w:r>
      <w:bookmarkEnd w:id="132"/>
      <w:bookmarkEnd w:id="133"/>
      <w:r w:rsidRPr="00B94590">
        <w:rPr>
          <w:lang w:val="lv-LV"/>
        </w:rPr>
        <w:t>a izmantošanas scenārijs</w:t>
      </w:r>
      <w:bookmarkEnd w:id="134"/>
    </w:p>
    <w:bookmarkStart w:id="135" w:name="_Toc292619550"/>
    <w:bookmarkStart w:id="136" w:name="_Toc292619600"/>
    <w:bookmarkEnd w:id="135"/>
    <w:bookmarkEnd w:id="136"/>
    <w:p w:rsidR="00D45DDC" w:rsidRPr="00B94590" w:rsidRDefault="00D45DDC" w:rsidP="00D45DDC">
      <w:r w:rsidRPr="00B94590">
        <w:object w:dxaOrig="6438" w:dyaOrig="8820">
          <v:shape id="_x0000_i1029" type="#_x0000_t75" style="width:321.75pt;height:440.25pt" o:ole="">
            <v:imagedata r:id="rId22" o:title=""/>
          </v:shape>
          <o:OLEObject Type="Embed" ProgID="Visio.Drawing.11" ShapeID="_x0000_i1029" DrawAspect="Content" ObjectID="_1394520088" r:id="rId23"/>
        </w:object>
      </w:r>
    </w:p>
    <w:p w:rsidR="00D45DDC" w:rsidRPr="00B94590" w:rsidRDefault="00D45DDC" w:rsidP="00D45DDC">
      <w:pPr>
        <w:pStyle w:val="Caption"/>
        <w:rPr>
          <w:lang w:eastAsia="en-US"/>
        </w:rPr>
      </w:pPr>
      <w:bookmarkStart w:id="137" w:name="_Toc293590902"/>
      <w:bookmarkStart w:id="138" w:name="OLE_LINK1"/>
      <w:bookmarkStart w:id="139" w:name="OLE_LINK2"/>
      <w:r w:rsidRPr="00B94590">
        <w:t xml:space="preserve">Attēls Nr. </w:t>
      </w:r>
      <w:r w:rsidR="00916DF8" w:rsidRPr="00B94590">
        <w:t>7</w:t>
      </w:r>
      <w:r w:rsidR="003D725C" w:rsidRPr="00B94590">
        <w:t xml:space="preserve">  Datu analīzes scenārijs</w:t>
      </w:r>
      <w:bookmarkEnd w:id="137"/>
    </w:p>
    <w:bookmarkEnd w:id="138"/>
    <w:bookmarkEnd w:id="139"/>
    <w:p w:rsidR="00D70DCF" w:rsidRPr="00B94590" w:rsidRDefault="00D70DCF" w:rsidP="00175AF6">
      <w:pPr>
        <w:tabs>
          <w:tab w:val="left" w:pos="3045"/>
        </w:tabs>
        <w:spacing w:after="120"/>
        <w:jc w:val="both"/>
        <w:rPr>
          <w:lang w:eastAsia="en-US"/>
        </w:rPr>
      </w:pPr>
      <w:r w:rsidRPr="00B94590">
        <w:rPr>
          <w:lang w:eastAsia="en-US"/>
        </w:rPr>
        <w:t xml:space="preserve">1. </w:t>
      </w:r>
      <w:r w:rsidR="00BF098F" w:rsidRPr="00B94590">
        <w:rPr>
          <w:lang w:eastAsia="en-US"/>
        </w:rPr>
        <w:t>Finanšu grāmatvedības datu imports VBPBP sistēmā no iestāžu grāmatvedības sistēmām izmantojot XML datu apmaiņas formātu.</w:t>
      </w:r>
    </w:p>
    <w:p w:rsidR="00BF098F" w:rsidRPr="00B94590" w:rsidRDefault="00BF098F" w:rsidP="00175AF6">
      <w:pPr>
        <w:tabs>
          <w:tab w:val="left" w:pos="3045"/>
        </w:tabs>
        <w:spacing w:after="120"/>
        <w:jc w:val="both"/>
        <w:rPr>
          <w:lang w:eastAsia="en-US"/>
        </w:rPr>
      </w:pPr>
      <w:r w:rsidRPr="00B94590">
        <w:rPr>
          <w:lang w:eastAsia="en-US"/>
        </w:rPr>
        <w:t xml:space="preserve">2. </w:t>
      </w:r>
      <w:r w:rsidR="00C333F7" w:rsidRPr="00B94590">
        <w:rPr>
          <w:lang w:eastAsia="en-US"/>
        </w:rPr>
        <w:t>Gadījumos, kad iestādes grāmatvedības sistēma neatbalsta XML datu apmaiņas formātu, finanšu grāmatvedības datu manuāla ievadīšana VBPBP sistēmā.</w:t>
      </w:r>
    </w:p>
    <w:p w:rsidR="00C333F7" w:rsidRPr="00B94590" w:rsidRDefault="00C333F7" w:rsidP="00175AF6">
      <w:pPr>
        <w:tabs>
          <w:tab w:val="left" w:pos="3045"/>
        </w:tabs>
        <w:spacing w:after="120"/>
        <w:jc w:val="both"/>
        <w:rPr>
          <w:lang w:eastAsia="en-US"/>
        </w:rPr>
      </w:pPr>
      <w:r w:rsidRPr="00B94590">
        <w:rPr>
          <w:lang w:eastAsia="en-US"/>
        </w:rPr>
        <w:t xml:space="preserve">3. Finanšu grāmatvedības datu apstrāde, transformācija un pārnese </w:t>
      </w:r>
      <w:r w:rsidR="00293A4B" w:rsidRPr="00B94590">
        <w:rPr>
          <w:lang w:eastAsia="en-US"/>
        </w:rPr>
        <w:t xml:space="preserve">no VBPBP sistēmas </w:t>
      </w:r>
      <w:r w:rsidRPr="00B94590">
        <w:rPr>
          <w:lang w:eastAsia="en-US"/>
        </w:rPr>
        <w:t>uz SAP BW datu noliktavu.</w:t>
      </w:r>
    </w:p>
    <w:p w:rsidR="00293A4B" w:rsidRPr="00B94590" w:rsidRDefault="00293A4B" w:rsidP="00175AF6">
      <w:pPr>
        <w:tabs>
          <w:tab w:val="left" w:pos="3045"/>
        </w:tabs>
        <w:spacing w:after="120"/>
        <w:jc w:val="both"/>
        <w:rPr>
          <w:lang w:eastAsia="en-US"/>
        </w:rPr>
      </w:pPr>
      <w:r w:rsidRPr="00B94590">
        <w:rPr>
          <w:lang w:eastAsia="en-US"/>
        </w:rPr>
        <w:t xml:space="preserve">4. Budžeta izpildes datu apstrāde, transformācija un pārnese no </w:t>
      </w:r>
      <w:r w:rsidR="003041D8" w:rsidRPr="00B94590">
        <w:rPr>
          <w:lang w:eastAsia="en-US"/>
        </w:rPr>
        <w:t>VVBPIS</w:t>
      </w:r>
      <w:r w:rsidRPr="00B94590">
        <w:rPr>
          <w:lang w:eastAsia="en-US"/>
        </w:rPr>
        <w:t xml:space="preserve"> budžeta izpildes bloka uz SAP BW datu noliktavu.</w:t>
      </w:r>
    </w:p>
    <w:p w:rsidR="00293A4B" w:rsidRPr="00B94590" w:rsidRDefault="00293A4B" w:rsidP="00175AF6">
      <w:pPr>
        <w:tabs>
          <w:tab w:val="left" w:pos="3045"/>
        </w:tabs>
        <w:spacing w:after="120"/>
        <w:jc w:val="both"/>
        <w:rPr>
          <w:lang w:eastAsia="en-US"/>
        </w:rPr>
      </w:pPr>
      <w:r w:rsidRPr="00B94590">
        <w:rPr>
          <w:lang w:eastAsia="en-US"/>
        </w:rPr>
        <w:t xml:space="preserve">5. Budžeta plānošanas datu apstrāde, transformācija un pārnese no </w:t>
      </w:r>
      <w:r w:rsidR="003041D8" w:rsidRPr="00B94590">
        <w:rPr>
          <w:lang w:eastAsia="en-US"/>
        </w:rPr>
        <w:t>VVBPIS</w:t>
      </w:r>
      <w:r w:rsidRPr="00B94590">
        <w:rPr>
          <w:lang w:eastAsia="en-US"/>
        </w:rPr>
        <w:t xml:space="preserve"> budžeta plānošanas bloka uz SAP BW datu noliktavu.</w:t>
      </w:r>
    </w:p>
    <w:p w:rsidR="00175AF6" w:rsidRPr="00B94590" w:rsidRDefault="00175AF6" w:rsidP="00175AF6">
      <w:pPr>
        <w:tabs>
          <w:tab w:val="left" w:pos="3045"/>
        </w:tabs>
        <w:spacing w:after="120"/>
        <w:jc w:val="both"/>
        <w:rPr>
          <w:lang w:eastAsia="en-US"/>
        </w:rPr>
      </w:pPr>
      <w:r w:rsidRPr="00B94590">
        <w:rPr>
          <w:lang w:eastAsia="en-US"/>
        </w:rPr>
        <w:t>6. Atskaišu datu sagatavošana un piegād</w:t>
      </w:r>
      <w:r w:rsidR="00F10DF2" w:rsidRPr="00B94590">
        <w:rPr>
          <w:lang w:eastAsia="en-US"/>
        </w:rPr>
        <w:t>e</w:t>
      </w:r>
      <w:r w:rsidRPr="00B94590">
        <w:rPr>
          <w:lang w:eastAsia="en-US"/>
        </w:rPr>
        <w:t xml:space="preserve"> informācijas gala lietotājiem izmantojot dažādus piegādes kanālus (interneta pārlūkprogrammas, instalētas </w:t>
      </w:r>
      <w:r w:rsidRPr="00B94590">
        <w:rPr>
          <w:i/>
          <w:lang w:eastAsia="en-US"/>
        </w:rPr>
        <w:t>dekstop</w:t>
      </w:r>
      <w:r w:rsidRPr="00B94590">
        <w:rPr>
          <w:lang w:eastAsia="en-US"/>
        </w:rPr>
        <w:t xml:space="preserve"> lietojum</w:t>
      </w:r>
      <w:r w:rsidR="00E80039" w:rsidRPr="00B94590">
        <w:rPr>
          <w:lang w:eastAsia="en-US"/>
        </w:rPr>
        <w:t>a</w:t>
      </w:r>
      <w:r w:rsidRPr="00B94590">
        <w:rPr>
          <w:lang w:eastAsia="en-US"/>
        </w:rPr>
        <w:t xml:space="preserve"> programmas, e-pastus).</w:t>
      </w:r>
    </w:p>
    <w:p w:rsidR="00742AEF" w:rsidRPr="00B94590" w:rsidRDefault="00742AEF" w:rsidP="00742AEF">
      <w:pPr>
        <w:tabs>
          <w:tab w:val="left" w:pos="3045"/>
        </w:tabs>
        <w:jc w:val="both"/>
        <w:rPr>
          <w:lang w:eastAsia="en-US"/>
        </w:rPr>
      </w:pPr>
    </w:p>
    <w:p w:rsidR="001B0C4E" w:rsidRPr="00B94590" w:rsidRDefault="001B0C4E" w:rsidP="001B0C4E">
      <w:pPr>
        <w:tabs>
          <w:tab w:val="left" w:pos="3045"/>
        </w:tabs>
        <w:jc w:val="both"/>
        <w:rPr>
          <w:b/>
          <w:lang w:eastAsia="en-US"/>
        </w:rPr>
      </w:pPr>
      <w:r w:rsidRPr="00B94590">
        <w:rPr>
          <w:b/>
          <w:lang w:eastAsia="en-US"/>
        </w:rPr>
        <w:t>5.</w:t>
      </w:r>
      <w:r w:rsidR="008A65CF">
        <w:rPr>
          <w:b/>
          <w:lang w:eastAsia="en-US"/>
        </w:rPr>
        <w:t>2</w:t>
      </w:r>
      <w:r w:rsidRPr="00B94590">
        <w:rPr>
          <w:b/>
          <w:lang w:eastAsia="en-US"/>
        </w:rPr>
        <w:t xml:space="preserve">. </w:t>
      </w:r>
      <w:r w:rsidR="00217B0D" w:rsidRPr="00B94590">
        <w:rPr>
          <w:b/>
          <w:lang w:eastAsia="en-US"/>
        </w:rPr>
        <w:t>Atlīdzības uzskaites sistēmas d</w:t>
      </w:r>
      <w:r w:rsidRPr="00B94590">
        <w:rPr>
          <w:b/>
          <w:lang w:eastAsia="en-US"/>
        </w:rPr>
        <w:t xml:space="preserve">atu analīzes rīka izmantošanas scenārijs </w:t>
      </w:r>
    </w:p>
    <w:p w:rsidR="001B0C4E" w:rsidRPr="00B94590" w:rsidRDefault="001B0C4E" w:rsidP="001B0C4E">
      <w:pPr>
        <w:tabs>
          <w:tab w:val="left" w:pos="3045"/>
        </w:tabs>
        <w:jc w:val="both"/>
        <w:rPr>
          <w:lang w:eastAsia="en-US"/>
        </w:rPr>
      </w:pPr>
    </w:p>
    <w:p w:rsidR="00904BD2" w:rsidRPr="00B94590" w:rsidRDefault="00904BD2" w:rsidP="00904BD2">
      <w:r w:rsidRPr="00B94590">
        <w:rPr>
          <w:noProof/>
        </w:rPr>
        <mc:AlternateContent>
          <mc:Choice Requires="wps">
            <w:drawing>
              <wp:anchor distT="0" distB="0" distL="114300" distR="114300" simplePos="0" relativeHeight="251662336" behindDoc="0" locked="0" layoutInCell="1" allowOverlap="1" wp14:anchorId="21487A97" wp14:editId="7493C0EE">
                <wp:simplePos x="0" y="0"/>
                <wp:positionH relativeFrom="column">
                  <wp:posOffset>4330065</wp:posOffset>
                </wp:positionH>
                <wp:positionV relativeFrom="paragraph">
                  <wp:posOffset>161290</wp:posOffset>
                </wp:positionV>
                <wp:extent cx="1085850" cy="666750"/>
                <wp:effectExtent l="57150" t="209550" r="20955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6675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jc w:val="center"/>
                              <w:rPr>
                                <w:sz w:val="20"/>
                                <w:szCs w:val="20"/>
                              </w:rPr>
                            </w:pPr>
                            <w:r>
                              <w:rPr>
                                <w:sz w:val="20"/>
                                <w:szCs w:val="20"/>
                              </w:rPr>
                              <w:t>Analītiķi pēc vajadzības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340.95pt;margin-top:12.7pt;width:85.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">
                <o:extrusion v:ext="view" color="white" on="t"/>
                <v:textbox>
                  <w:txbxContent>
                    <w:p w:rsidR="006F6894" w:rsidRPr="006D3DDA" w:rsidRDefault="006F6894" w:rsidP="00904BD2">
                      <w:pPr>
                        <w:jc w:val="center"/>
                        <w:rPr>
                          <w:sz w:val="20"/>
                          <w:szCs w:val="20"/>
                        </w:rPr>
                      </w:pPr>
                      <w:r>
                        <w:rPr>
                          <w:sz w:val="20"/>
                          <w:szCs w:val="20"/>
                        </w:rPr>
                        <w:t>Analītiķi pēc vajadzības</w:t>
                      </w:r>
                    </w:p>
                  </w:txbxContent>
                </v:textbox>
              </v:shape>
            </w:pict>
          </mc:Fallback>
        </mc:AlternateContent>
      </w:r>
      <w:r w:rsidRPr="00B94590">
        <w:rPr>
          <w:noProof/>
        </w:rPr>
        <mc:AlternateContent>
          <mc:Choice Requires="wps">
            <w:drawing>
              <wp:anchor distT="0" distB="0" distL="114300" distR="114300" simplePos="0" relativeHeight="251661312" behindDoc="0" locked="0" layoutInCell="1" allowOverlap="1" wp14:anchorId="413C5EFA" wp14:editId="441475AF">
                <wp:simplePos x="0" y="0"/>
                <wp:positionH relativeFrom="column">
                  <wp:posOffset>2901315</wp:posOffset>
                </wp:positionH>
                <wp:positionV relativeFrom="paragraph">
                  <wp:posOffset>161290</wp:posOffset>
                </wp:positionV>
                <wp:extent cx="1114425" cy="666750"/>
                <wp:effectExtent l="57150" t="209550" r="200025" b="571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6675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rPr>
                                <w:sz w:val="20"/>
                                <w:szCs w:val="20"/>
                              </w:rPr>
                            </w:pPr>
                            <w:r>
                              <w:rPr>
                                <w:sz w:val="20"/>
                                <w:szCs w:val="20"/>
                              </w:rPr>
                              <w:t>FM Finanšu vadības un metodoloģijas departaments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228.45pt;margin-top:12.7pt;width:87.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">
                <o:extrusion v:ext="view" color="white" on="t"/>
                <v:textbox>
                  <w:txbxContent>
                    <w:p w:rsidR="006F6894" w:rsidRPr="006D3DDA" w:rsidRDefault="006F6894" w:rsidP="00904BD2">
                      <w:pPr>
                        <w:rPr>
                          <w:sz w:val="20"/>
                          <w:szCs w:val="20"/>
                        </w:rPr>
                      </w:pPr>
                      <w:r>
                        <w:rPr>
                          <w:sz w:val="20"/>
                          <w:szCs w:val="20"/>
                        </w:rPr>
                        <w:t>FM Finanšu vadības un metodoloģijas departaments</w:t>
                      </w:r>
                    </w:p>
                  </w:txbxContent>
                </v:textbox>
              </v:shape>
            </w:pict>
          </mc:Fallback>
        </mc:AlternateContent>
      </w:r>
      <w:r w:rsidRPr="00B94590">
        <w:rPr>
          <w:noProof/>
        </w:rPr>
        <mc:AlternateContent>
          <mc:Choice Requires="wps">
            <w:drawing>
              <wp:anchor distT="0" distB="0" distL="114300" distR="114300" simplePos="0" relativeHeight="251660288" behindDoc="0" locked="0" layoutInCell="1" allowOverlap="1" wp14:anchorId="1C3C3DE0" wp14:editId="4E1E85AD">
                <wp:simplePos x="0" y="0"/>
                <wp:positionH relativeFrom="column">
                  <wp:posOffset>1564005</wp:posOffset>
                </wp:positionH>
                <wp:positionV relativeFrom="paragraph">
                  <wp:posOffset>161925</wp:posOffset>
                </wp:positionV>
                <wp:extent cx="1104900" cy="466725"/>
                <wp:effectExtent l="38100" t="209550" r="209550" b="4762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66725"/>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jc w:val="center"/>
                              <w:rPr>
                                <w:sz w:val="20"/>
                                <w:szCs w:val="20"/>
                              </w:rPr>
                            </w:pPr>
                            <w:r w:rsidRPr="006D3DDA">
                              <w:rPr>
                                <w:sz w:val="20"/>
                                <w:szCs w:val="20"/>
                              </w:rPr>
                              <w:t>Ministrija par savu</w:t>
                            </w:r>
                            <w:r>
                              <w:t xml:space="preserve"> </w:t>
                            </w:r>
                            <w:r>
                              <w:rPr>
                                <w:sz w:val="20"/>
                                <w:szCs w:val="20"/>
                              </w:rPr>
                              <w:t>resoru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123.15pt;margin-top:12.75pt;width:87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">
                <o:extrusion v:ext="view" color="white" on="t"/>
                <v:textbox>
                  <w:txbxContent>
                    <w:p w:rsidR="006F6894" w:rsidRPr="006D3DDA" w:rsidRDefault="006F6894" w:rsidP="00904BD2">
                      <w:pPr>
                        <w:jc w:val="center"/>
                        <w:rPr>
                          <w:sz w:val="20"/>
                          <w:szCs w:val="20"/>
                        </w:rPr>
                      </w:pPr>
                      <w:r w:rsidRPr="006D3DDA">
                        <w:rPr>
                          <w:sz w:val="20"/>
                          <w:szCs w:val="20"/>
                        </w:rPr>
                        <w:t>Ministrija par savu</w:t>
                      </w:r>
                      <w:r>
                        <w:t xml:space="preserve"> </w:t>
                      </w:r>
                      <w:r>
                        <w:rPr>
                          <w:sz w:val="20"/>
                          <w:szCs w:val="20"/>
                        </w:rPr>
                        <w:t>resoru</w:t>
                      </w:r>
                    </w:p>
                  </w:txbxContent>
                </v:textbox>
              </v:shape>
            </w:pict>
          </mc:Fallback>
        </mc:AlternateContent>
      </w:r>
      <w:r w:rsidRPr="00B94590">
        <w:rPr>
          <w:noProof/>
        </w:rPr>
        <mc:AlternateContent>
          <mc:Choice Requires="wps">
            <w:drawing>
              <wp:anchor distT="0" distB="0" distL="114300" distR="114300" simplePos="0" relativeHeight="251659264" behindDoc="0" locked="0" layoutInCell="1" allowOverlap="1" wp14:anchorId="796A3B03" wp14:editId="7B66DC25">
                <wp:simplePos x="0" y="0"/>
                <wp:positionH relativeFrom="column">
                  <wp:posOffset>-36195</wp:posOffset>
                </wp:positionH>
                <wp:positionV relativeFrom="paragraph">
                  <wp:posOffset>161925</wp:posOffset>
                </wp:positionV>
                <wp:extent cx="1209675" cy="457200"/>
                <wp:effectExtent l="38100" t="209550" r="200025" b="571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5720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jc w:val="center"/>
                              <w:rPr>
                                <w:sz w:val="20"/>
                                <w:szCs w:val="20"/>
                              </w:rPr>
                            </w:pPr>
                            <w:r w:rsidRPr="006D3DDA">
                              <w:rPr>
                                <w:sz w:val="20"/>
                                <w:szCs w:val="20"/>
                              </w:rPr>
                              <w:t>Iestāde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2.85pt;margin-top:12.75pt;width:95.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">
                <o:extrusion v:ext="view" color="white" on="t"/>
                <v:textbox>
                  <w:txbxContent>
                    <w:p w:rsidR="006F6894" w:rsidRPr="006D3DDA" w:rsidRDefault="006F6894" w:rsidP="00904BD2">
                      <w:pPr>
                        <w:jc w:val="center"/>
                        <w:rPr>
                          <w:sz w:val="20"/>
                          <w:szCs w:val="20"/>
                        </w:rPr>
                      </w:pPr>
                      <w:r w:rsidRPr="006D3DDA">
                        <w:rPr>
                          <w:sz w:val="20"/>
                          <w:szCs w:val="20"/>
                        </w:rPr>
                        <w:t>Iestāde</w:t>
                      </w:r>
                    </w:p>
                  </w:txbxContent>
                </v:textbox>
              </v:shape>
            </w:pict>
          </mc:Fallback>
        </mc:AlternateContent>
      </w:r>
    </w:p>
    <w:p w:rsidR="00904BD2" w:rsidRPr="00B94590" w:rsidRDefault="00904BD2" w:rsidP="00904BD2"/>
    <w:p w:rsidR="00742AEF" w:rsidRPr="00B94590" w:rsidRDefault="00742AEF" w:rsidP="00742AEF">
      <w:pPr>
        <w:tabs>
          <w:tab w:val="left" w:pos="3045"/>
        </w:tabs>
        <w:jc w:val="both"/>
        <w:rPr>
          <w:lang w:eastAsia="en-US"/>
        </w:rPr>
      </w:pP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73600" behindDoc="0" locked="0" layoutInCell="1" allowOverlap="1" wp14:anchorId="5CF041AE" wp14:editId="08149F2F">
                <wp:simplePos x="0" y="0"/>
                <wp:positionH relativeFrom="column">
                  <wp:posOffset>2072640</wp:posOffset>
                </wp:positionH>
                <wp:positionV relativeFrom="paragraph">
                  <wp:posOffset>130810</wp:posOffset>
                </wp:positionV>
                <wp:extent cx="133350" cy="752475"/>
                <wp:effectExtent l="38100" t="38100" r="19050" b="28575"/>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63.2pt;margin-top:10.3pt;width:10.5pt;height:59.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">
                <v:stroke endarrow="block"/>
              </v:shape>
            </w:pict>
          </mc:Fallback>
        </mc:AlternateContent>
      </w:r>
      <w:r w:rsidRPr="00B94590">
        <w:rPr>
          <w:noProof/>
        </w:rPr>
        <mc:AlternateContent>
          <mc:Choice Requires="wps">
            <w:drawing>
              <wp:anchor distT="0" distB="0" distL="114300" distR="114300" simplePos="0" relativeHeight="251676672" behindDoc="0" locked="0" layoutInCell="1" allowOverlap="1" wp14:anchorId="12242F40" wp14:editId="11356F0A">
                <wp:simplePos x="0" y="0"/>
                <wp:positionH relativeFrom="column">
                  <wp:posOffset>434340</wp:posOffset>
                </wp:positionH>
                <wp:positionV relativeFrom="paragraph">
                  <wp:posOffset>102235</wp:posOffset>
                </wp:positionV>
                <wp:extent cx="809625" cy="657225"/>
                <wp:effectExtent l="38100" t="38100" r="28575" b="2857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4.2pt;margin-top:8.05pt;width:63.75pt;height:51.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">
                <v:stroke endarrow="block"/>
              </v:shape>
            </w:pict>
          </mc:Fallback>
        </mc:AlternateContent>
      </w: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74624" behindDoc="0" locked="0" layoutInCell="1" allowOverlap="1" wp14:anchorId="4F9BBF12" wp14:editId="24FDFFCA">
                <wp:simplePos x="0" y="0"/>
                <wp:positionH relativeFrom="column">
                  <wp:posOffset>3063240</wp:posOffset>
                </wp:positionH>
                <wp:positionV relativeFrom="paragraph">
                  <wp:posOffset>127000</wp:posOffset>
                </wp:positionV>
                <wp:extent cx="76200" cy="657225"/>
                <wp:effectExtent l="0" t="38100" r="57150" b="28575"/>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41.2pt;margin-top:10pt;width:6pt;height:51.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">
                <v:stroke endarrow="block"/>
              </v:shape>
            </w:pict>
          </mc:Fallback>
        </mc:AlternateContent>
      </w: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75648" behindDoc="0" locked="0" layoutInCell="1" allowOverlap="1" wp14:anchorId="1D624CE7" wp14:editId="5F2D01B3">
                <wp:simplePos x="0" y="0"/>
                <wp:positionH relativeFrom="column">
                  <wp:posOffset>3549015</wp:posOffset>
                </wp:positionH>
                <wp:positionV relativeFrom="paragraph">
                  <wp:posOffset>46990</wp:posOffset>
                </wp:positionV>
                <wp:extent cx="790575" cy="657225"/>
                <wp:effectExtent l="0" t="38100" r="47625" b="28575"/>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79.45pt;margin-top:3.7pt;width:62.25pt;height:51.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">
                <v:stroke endarrow="block"/>
              </v:shape>
            </w:pict>
          </mc:Fallback>
        </mc:AlternateContent>
      </w: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87936" behindDoc="0" locked="0" layoutInCell="1" allowOverlap="1" wp14:anchorId="1C30BB28" wp14:editId="1488B0F8">
                <wp:simplePos x="0" y="0"/>
                <wp:positionH relativeFrom="column">
                  <wp:posOffset>4025265</wp:posOffset>
                </wp:positionH>
                <wp:positionV relativeFrom="paragraph">
                  <wp:posOffset>109855</wp:posOffset>
                </wp:positionV>
                <wp:extent cx="1657350" cy="771525"/>
                <wp:effectExtent l="0" t="0" r="19050" b="28575"/>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71525"/>
                        </a:xfrm>
                        <a:prstGeom prst="wave">
                          <a:avLst>
                            <a:gd name="adj1" fmla="val 13005"/>
                            <a:gd name="adj2" fmla="val 0"/>
                          </a:avLst>
                        </a:prstGeom>
                        <a:solidFill>
                          <a:srgbClr val="FFFFFF"/>
                        </a:solidFill>
                        <a:ln w="9525">
                          <a:solidFill>
                            <a:srgbClr val="000000"/>
                          </a:solidFill>
                          <a:round/>
                          <a:headEnd type="none" w="med" len="med"/>
                          <a:tailEnd type="none" w="med" len="med"/>
                        </a:ln>
                      </wps:spPr>
                      <wps:txbx>
                        <w:txbxContent>
                          <w:p w:rsidR="006F6894" w:rsidRPr="00D64CDB" w:rsidRDefault="006F6894" w:rsidP="00904BD2">
                            <w:pPr>
                              <w:rPr>
                                <w:i/>
                                <w:sz w:val="18"/>
                                <w:szCs w:val="18"/>
                              </w:rPr>
                            </w:pPr>
                            <w:r w:rsidRPr="00D64CDB">
                              <w:rPr>
                                <w:i/>
                                <w:sz w:val="18"/>
                                <w:szCs w:val="18"/>
                              </w:rPr>
                              <w:t>Strukturētas informācijas piegāde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4" o:spid="_x0000_s1045" type="#_x0000_t64" style="position:absolute;left:0;text-align:left;margin-left:316.95pt;margin-top:8.65pt;width:130.5pt;height:6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">
                <v:textbox>
                  <w:txbxContent>
                    <w:p w:rsidR="006F6894" w:rsidRPr="00D64CDB" w:rsidRDefault="006F6894" w:rsidP="00904BD2">
                      <w:pPr>
                        <w:rPr>
                          <w:i/>
                          <w:sz w:val="18"/>
                          <w:szCs w:val="18"/>
                        </w:rPr>
                      </w:pPr>
                      <w:r w:rsidRPr="00D64CDB">
                        <w:rPr>
                          <w:i/>
                          <w:sz w:val="18"/>
                          <w:szCs w:val="18"/>
                        </w:rPr>
                        <w:t>Strukturētas informācijas piegāde</w:t>
                      </w:r>
                    </w:p>
                  </w:txbxContent>
                </v:textbox>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63360" behindDoc="0" locked="0" layoutInCell="1" allowOverlap="1" wp14:anchorId="79DFE130" wp14:editId="1CCEE99F">
                <wp:simplePos x="0" y="0"/>
                <wp:positionH relativeFrom="column">
                  <wp:posOffset>1082040</wp:posOffset>
                </wp:positionH>
                <wp:positionV relativeFrom="paragraph">
                  <wp:posOffset>31750</wp:posOffset>
                </wp:positionV>
                <wp:extent cx="2238375" cy="733425"/>
                <wp:effectExtent l="57150" t="209550" r="200025" b="4762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733425"/>
                        </a:xfrm>
                        <a:prstGeom prst="roundRect">
                          <a:avLst>
                            <a:gd name="adj" fmla="val 16667"/>
                          </a:avLst>
                        </a:prstGeom>
                        <a:solidFill>
                          <a:srgbClr val="FFFFFF"/>
                        </a:solidFill>
                        <a:ln w="9525">
                          <a:round/>
                          <a:headEnd type="none" w="med" len="med"/>
                          <a:tailEnd type="none" w="med" len="me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Default="006F6894" w:rsidP="00904BD2">
                            <w:pPr>
                              <w:jc w:val="center"/>
                            </w:pPr>
                            <w:r>
                              <w:t>Business Objects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46" style="position:absolute;left:0;text-align:left;margin-left:85.2pt;margin-top:2.5pt;width:176.2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">
                <o:extrusion v:ext="view" color="white" on="t"/>
                <v:textbox>
                  <w:txbxContent>
                    <w:p w:rsidR="006F6894" w:rsidRDefault="006F6894" w:rsidP="00904BD2">
                      <w:pPr>
                        <w:jc w:val="center"/>
                      </w:pPr>
                      <w:proofErr w:type="spellStart"/>
                      <w:r>
                        <w:t>Business</w:t>
                      </w:r>
                      <w:proofErr w:type="spellEnd"/>
                      <w:r>
                        <w:t xml:space="preserve"> </w:t>
                      </w:r>
                      <w:proofErr w:type="spellStart"/>
                      <w:r>
                        <w:t>Objects</w:t>
                      </w:r>
                      <w:proofErr w:type="spellEnd"/>
                    </w:p>
                  </w:txbxContent>
                </v:textbox>
              </v:roundrect>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64384" behindDoc="0" locked="0" layoutInCell="1" allowOverlap="1" wp14:anchorId="183D151D" wp14:editId="7A5FB6E6">
                <wp:simplePos x="0" y="0"/>
                <wp:positionH relativeFrom="column">
                  <wp:posOffset>1078230</wp:posOffset>
                </wp:positionH>
                <wp:positionV relativeFrom="paragraph">
                  <wp:posOffset>160655</wp:posOffset>
                </wp:positionV>
                <wp:extent cx="2838450" cy="542925"/>
                <wp:effectExtent l="38100" t="38100" r="38100" b="16192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542925"/>
                        </a:xfrm>
                        <a:prstGeom prst="ellipse">
                          <a:avLst/>
                        </a:prstGeom>
                        <a:solidFill>
                          <a:srgbClr val="FFFFFF"/>
                        </a:solidFill>
                        <a:ln w="9525">
                          <a:round/>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Default="006F6894" w:rsidP="00904BD2">
                            <w:pPr>
                              <w:jc w:val="center"/>
                            </w:pPr>
                            <w:r>
                              <w:t>SAP BW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47" style="position:absolute;left:0;text-align:left;margin-left:84.9pt;margin-top:12.65pt;width:223.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">
                <o:extrusion v:ext="view" backdepth="1in" color="white" on="t" viewpoint="0,34.72222mm" viewpointorigin="0,.5" skewangle="90" lightposition="-50000" lightposition2="50000" type="perspective"/>
                <v:textbox>
                  <w:txbxContent>
                    <w:p w:rsidR="006F6894" w:rsidRDefault="006F6894" w:rsidP="00904BD2">
                      <w:pPr>
                        <w:jc w:val="center"/>
                      </w:pPr>
                      <w:r>
                        <w:t>SAP BW</w:t>
                      </w:r>
                    </w:p>
                  </w:txbxContent>
                </v:textbox>
              </v:oval>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D02AD2" w:rsidP="00742AEF">
      <w:pPr>
        <w:tabs>
          <w:tab w:val="left" w:pos="3045"/>
        </w:tabs>
        <w:jc w:val="both"/>
        <w:rPr>
          <w:lang w:eastAsia="en-US"/>
        </w:rPr>
      </w:pPr>
      <w:r w:rsidRPr="00B94590">
        <w:rPr>
          <w:noProof/>
        </w:rPr>
        <mc:AlternateContent>
          <mc:Choice Requires="wps">
            <w:drawing>
              <wp:anchor distT="0" distB="0" distL="114300" distR="114300" simplePos="0" relativeHeight="251686912" behindDoc="0" locked="0" layoutInCell="1" allowOverlap="1" wp14:anchorId="274C18EF" wp14:editId="2D655FBE">
                <wp:simplePos x="0" y="0"/>
                <wp:positionH relativeFrom="column">
                  <wp:posOffset>3596640</wp:posOffset>
                </wp:positionH>
                <wp:positionV relativeFrom="paragraph">
                  <wp:posOffset>97155</wp:posOffset>
                </wp:positionV>
                <wp:extent cx="1939925" cy="514350"/>
                <wp:effectExtent l="0" t="0" r="22225" b="1905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514350"/>
                        </a:xfrm>
                        <a:prstGeom prst="wave">
                          <a:avLst>
                            <a:gd name="adj1" fmla="val 13005"/>
                            <a:gd name="adj2" fmla="val 0"/>
                          </a:avLst>
                        </a:prstGeom>
                        <a:solidFill>
                          <a:srgbClr val="FFFFFF"/>
                        </a:solidFill>
                        <a:ln w="9525">
                          <a:solidFill>
                            <a:srgbClr val="000000"/>
                          </a:solidFill>
                          <a:round/>
                          <a:headEnd/>
                          <a:tailEnd/>
                        </a:ln>
                      </wps:spPr>
                      <wps:txbx>
                        <w:txbxContent>
                          <w:p w:rsidR="006F6894" w:rsidRPr="00D64CDB" w:rsidRDefault="006F6894" w:rsidP="00904BD2">
                            <w:pPr>
                              <w:rPr>
                                <w:i/>
                                <w:sz w:val="18"/>
                                <w:szCs w:val="18"/>
                              </w:rPr>
                            </w:pPr>
                            <w:r w:rsidRPr="00D64CDB">
                              <w:rPr>
                                <w:i/>
                                <w:sz w:val="18"/>
                                <w:szCs w:val="18"/>
                              </w:rPr>
                              <w:t xml:space="preserve">Datu pārnese uz datu noliktavu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8" type="#_x0000_t64" style="position:absolute;left:0;text-align:left;margin-left:283.2pt;margin-top:7.65pt;width:152.7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">
                <v:textbox>
                  <w:txbxContent>
                    <w:p w:rsidR="006F6894" w:rsidRPr="00D64CDB" w:rsidRDefault="006F6894" w:rsidP="00904BD2">
                      <w:pPr>
                        <w:rPr>
                          <w:i/>
                          <w:sz w:val="18"/>
                          <w:szCs w:val="18"/>
                        </w:rPr>
                      </w:pPr>
                      <w:r w:rsidRPr="00D64CDB">
                        <w:rPr>
                          <w:i/>
                          <w:sz w:val="18"/>
                          <w:szCs w:val="18"/>
                        </w:rPr>
                        <w:t xml:space="preserve">Datu pārnese uz datu noliktavu </w:t>
                      </w:r>
                    </w:p>
                  </w:txbxContent>
                </v:textbox>
              </v:shape>
            </w:pict>
          </mc:Fallback>
        </mc:AlternateContent>
      </w:r>
      <w:r w:rsidR="003828B8" w:rsidRPr="00B94590">
        <w:rPr>
          <w:noProof/>
        </w:rPr>
        <mc:AlternateContent>
          <mc:Choice Requires="wps">
            <w:drawing>
              <wp:anchor distT="0" distB="0" distL="114300" distR="114300" simplePos="0" relativeHeight="251677696" behindDoc="0" locked="0" layoutInCell="1" allowOverlap="1" wp14:anchorId="7662649D" wp14:editId="37BAC103">
                <wp:simplePos x="0" y="0"/>
                <wp:positionH relativeFrom="column">
                  <wp:posOffset>2504440</wp:posOffset>
                </wp:positionH>
                <wp:positionV relativeFrom="paragraph">
                  <wp:posOffset>97155</wp:posOffset>
                </wp:positionV>
                <wp:extent cx="0" cy="466725"/>
                <wp:effectExtent l="76200" t="38100" r="57150" b="952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7.2pt;margin-top:7.65pt;width:0;height:36.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3oNwIAAGc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">
                <v:stroke endarrow="block"/>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3828B8" w:rsidP="00742AEF">
      <w:pPr>
        <w:tabs>
          <w:tab w:val="left" w:pos="3045"/>
        </w:tabs>
        <w:jc w:val="both"/>
        <w:rPr>
          <w:lang w:eastAsia="en-US"/>
        </w:rPr>
      </w:pPr>
      <w:r w:rsidRPr="00B94590">
        <w:rPr>
          <w:noProof/>
        </w:rPr>
        <mc:AlternateContent>
          <mc:Choice Requires="wps">
            <w:drawing>
              <wp:anchor distT="0" distB="0" distL="114300" distR="114300" simplePos="0" relativeHeight="251665408" behindDoc="0" locked="0" layoutInCell="1" allowOverlap="1" wp14:anchorId="55153159" wp14:editId="2913075D">
                <wp:simplePos x="0" y="0"/>
                <wp:positionH relativeFrom="column">
                  <wp:posOffset>720090</wp:posOffset>
                </wp:positionH>
                <wp:positionV relativeFrom="paragraph">
                  <wp:posOffset>142875</wp:posOffset>
                </wp:positionV>
                <wp:extent cx="2876550" cy="552450"/>
                <wp:effectExtent l="38100" t="152400" r="38100" b="3810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52450"/>
                        </a:xfrm>
                        <a:prstGeom prst="rect">
                          <a:avLst/>
                        </a:prstGeom>
                        <a:solidFill>
                          <a:schemeClr val="accent1">
                            <a:lumMod val="100000"/>
                            <a:lumOff val="0"/>
                          </a:schemeClr>
                        </a:solidFill>
                        <a:ln w="38100">
                          <a:miter lim="800000"/>
                          <a:headEnd/>
                          <a:tailEnd/>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6F6894" w:rsidRDefault="006F6894" w:rsidP="00904BD2">
                            <w:pPr>
                              <w:jc w:val="center"/>
                            </w:pPr>
                            <w:r>
                              <w:t>VBPBP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left:0;text-align:left;margin-left:56.7pt;margin-top:11.25pt;width:226.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" fillcolor="#4f81bd [3204]">
                <v:shadow color="#243f60 [1604]" opacity=".5" offset="1pt"/>
                <o:extrusion v:ext="view" backdepth="1in" color="#4f81bd [3204]" on="t" viewpoint="0" viewpointorigin="0" skewangle="-90" type="perspective"/>
                <v:textbox>
                  <w:txbxContent>
                    <w:p w:rsidR="006F6894" w:rsidRDefault="006F6894" w:rsidP="00904BD2">
                      <w:pPr>
                        <w:jc w:val="center"/>
                      </w:pPr>
                      <w:r>
                        <w:t>VBPBP</w:t>
                      </w:r>
                    </w:p>
                  </w:txbxContent>
                </v:textbox>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A1550" w:rsidP="00742AEF">
      <w:pPr>
        <w:tabs>
          <w:tab w:val="left" w:pos="3045"/>
        </w:tabs>
        <w:jc w:val="both"/>
        <w:rPr>
          <w:lang w:eastAsia="en-US"/>
        </w:rPr>
      </w:pPr>
      <w:r w:rsidRPr="00B94590">
        <w:rPr>
          <w:noProof/>
        </w:rPr>
        <mc:AlternateContent>
          <mc:Choice Requires="wps">
            <w:drawing>
              <wp:anchor distT="0" distB="0" distL="114300" distR="114300" simplePos="0" relativeHeight="251682816" behindDoc="0" locked="0" layoutInCell="1" allowOverlap="1" wp14:anchorId="0C183218" wp14:editId="1746766C">
                <wp:simplePos x="0" y="0"/>
                <wp:positionH relativeFrom="column">
                  <wp:posOffset>2021205</wp:posOffset>
                </wp:positionH>
                <wp:positionV relativeFrom="paragraph">
                  <wp:posOffset>172085</wp:posOffset>
                </wp:positionV>
                <wp:extent cx="276225" cy="494030"/>
                <wp:effectExtent l="0" t="38100" r="47625" b="20320"/>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59.15pt;margin-top:13.55pt;width:21.75pt;height:38.9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">
                <v:stroke endarrow="block"/>
              </v:shape>
            </w:pict>
          </mc:Fallback>
        </mc:AlternateContent>
      </w:r>
      <w:r w:rsidRPr="00B94590">
        <w:rPr>
          <w:noProof/>
        </w:rPr>
        <mc:AlternateContent>
          <mc:Choice Requires="wps">
            <w:drawing>
              <wp:anchor distT="0" distB="0" distL="114300" distR="114300" simplePos="0" relativeHeight="251681792" behindDoc="0" locked="0" layoutInCell="1" allowOverlap="1" wp14:anchorId="158B81CE" wp14:editId="23FF8B30">
                <wp:simplePos x="0" y="0"/>
                <wp:positionH relativeFrom="column">
                  <wp:posOffset>944880</wp:posOffset>
                </wp:positionH>
                <wp:positionV relativeFrom="paragraph">
                  <wp:posOffset>170180</wp:posOffset>
                </wp:positionV>
                <wp:extent cx="295275" cy="494665"/>
                <wp:effectExtent l="0" t="38100" r="47625" b="1968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4.4pt;margin-top:13.4pt;width:23.25pt;height:38.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1cPgIAAG0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">
                <v:stroke endarrow="block"/>
              </v:shape>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83840" behindDoc="0" locked="0" layoutInCell="1" allowOverlap="1" wp14:anchorId="62F57397" wp14:editId="7D605446">
                <wp:simplePos x="0" y="0"/>
                <wp:positionH relativeFrom="column">
                  <wp:posOffset>2872740</wp:posOffset>
                </wp:positionH>
                <wp:positionV relativeFrom="paragraph">
                  <wp:posOffset>22860</wp:posOffset>
                </wp:positionV>
                <wp:extent cx="66675" cy="533400"/>
                <wp:effectExtent l="38100" t="38100" r="28575" b="1905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26.2pt;margin-top:1.8pt;width:5.25pt;height:42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">
                <v:stroke endarrow="block"/>
              </v:shape>
            </w:pict>
          </mc:Fallback>
        </mc:AlternateContent>
      </w:r>
      <w:r w:rsidR="00904BD2" w:rsidRPr="00B94590">
        <w:rPr>
          <w:noProof/>
        </w:rPr>
        <mc:AlternateContent>
          <mc:Choice Requires="wps">
            <w:drawing>
              <wp:anchor distT="0" distB="0" distL="114300" distR="114300" simplePos="0" relativeHeight="251684864" behindDoc="0" locked="0" layoutInCell="1" allowOverlap="1" wp14:anchorId="28ED20AB" wp14:editId="2C0B062E">
                <wp:simplePos x="0" y="0"/>
                <wp:positionH relativeFrom="column">
                  <wp:posOffset>3592830</wp:posOffset>
                </wp:positionH>
                <wp:positionV relativeFrom="paragraph">
                  <wp:posOffset>147321</wp:posOffset>
                </wp:positionV>
                <wp:extent cx="638175" cy="1362074"/>
                <wp:effectExtent l="38100" t="38100" r="28575" b="29210"/>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13620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82.9pt;margin-top:11.6pt;width:50.25pt;height:107.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">
                <v:stroke endarrow="block"/>
              </v:shape>
            </w:pict>
          </mc:Fallback>
        </mc:AlternateContent>
      </w:r>
    </w:p>
    <w:p w:rsidR="00742AEF" w:rsidRPr="00B94590" w:rsidRDefault="00D02AD2" w:rsidP="00742AEF">
      <w:pPr>
        <w:tabs>
          <w:tab w:val="left" w:pos="3045"/>
        </w:tabs>
        <w:jc w:val="both"/>
        <w:rPr>
          <w:lang w:eastAsia="en-US"/>
        </w:rPr>
      </w:pPr>
      <w:r w:rsidRPr="00B94590">
        <w:rPr>
          <w:noProof/>
        </w:rPr>
        <mc:AlternateContent>
          <mc:Choice Requires="wps">
            <w:drawing>
              <wp:anchor distT="0" distB="0" distL="114300" distR="114300" simplePos="0" relativeHeight="251685888" behindDoc="0" locked="0" layoutInCell="1" allowOverlap="1" wp14:anchorId="3C72A672" wp14:editId="1568487F">
                <wp:simplePos x="0" y="0"/>
                <wp:positionH relativeFrom="column">
                  <wp:posOffset>3916680</wp:posOffset>
                </wp:positionH>
                <wp:positionV relativeFrom="paragraph">
                  <wp:posOffset>47625</wp:posOffset>
                </wp:positionV>
                <wp:extent cx="1409700" cy="638175"/>
                <wp:effectExtent l="0" t="0" r="19050" b="28575"/>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38175"/>
                        </a:xfrm>
                        <a:prstGeom prst="wave">
                          <a:avLst>
                            <a:gd name="adj1" fmla="val 13005"/>
                            <a:gd name="adj2" fmla="val 0"/>
                          </a:avLst>
                        </a:prstGeom>
                        <a:solidFill>
                          <a:srgbClr val="FFFFFF"/>
                        </a:solidFill>
                        <a:ln w="9525">
                          <a:solidFill>
                            <a:srgbClr val="000000"/>
                          </a:solidFill>
                          <a:round/>
                          <a:headEnd/>
                          <a:tailEnd/>
                        </a:ln>
                      </wps:spPr>
                      <wps:txbx>
                        <w:txbxContent>
                          <w:p w:rsidR="006F6894" w:rsidRPr="00D64CDB" w:rsidRDefault="006F6894" w:rsidP="00904BD2">
                            <w:pPr>
                              <w:rPr>
                                <w:i/>
                                <w:sz w:val="18"/>
                                <w:szCs w:val="18"/>
                              </w:rPr>
                            </w:pPr>
                            <w:r w:rsidRPr="00D64CDB">
                              <w:rPr>
                                <w:i/>
                                <w:sz w:val="18"/>
                                <w:szCs w:val="18"/>
                              </w:rPr>
                              <w:t xml:space="preserve">Manuāla datu ievade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0" type="#_x0000_t64" style="position:absolute;left:0;text-align:left;margin-left:308.4pt;margin-top:3.75pt;width:111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">
                <v:textbox>
                  <w:txbxContent>
                    <w:p w:rsidR="006F6894" w:rsidRPr="00D64CDB" w:rsidRDefault="006F6894" w:rsidP="00904BD2">
                      <w:pPr>
                        <w:rPr>
                          <w:i/>
                          <w:sz w:val="18"/>
                          <w:szCs w:val="18"/>
                        </w:rPr>
                      </w:pPr>
                      <w:r w:rsidRPr="00D64CDB">
                        <w:rPr>
                          <w:i/>
                          <w:sz w:val="18"/>
                          <w:szCs w:val="18"/>
                        </w:rPr>
                        <w:t xml:space="preserve">Manuāla datu ievade </w:t>
                      </w:r>
                    </w:p>
                  </w:txbxContent>
                </v:textbox>
              </v:shape>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68480" behindDoc="0" locked="0" layoutInCell="1" allowOverlap="1" wp14:anchorId="4112519A" wp14:editId="76D16772">
                <wp:simplePos x="0" y="0"/>
                <wp:positionH relativeFrom="column">
                  <wp:posOffset>2606040</wp:posOffset>
                </wp:positionH>
                <wp:positionV relativeFrom="paragraph">
                  <wp:posOffset>167005</wp:posOffset>
                </wp:positionV>
                <wp:extent cx="714375" cy="666750"/>
                <wp:effectExtent l="0" t="0" r="28575" b="1905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66750"/>
                        </a:xfrm>
                        <a:prstGeom prst="wave">
                          <a:avLst>
                            <a:gd name="adj1" fmla="val 13005"/>
                            <a:gd name="adj2" fmla="val 0"/>
                          </a:avLst>
                        </a:prstGeom>
                        <a:solidFill>
                          <a:srgbClr val="FFFFFF"/>
                        </a:solidFill>
                        <a:ln w="9525">
                          <a:solidFill>
                            <a:srgbClr val="000000"/>
                          </a:solidFill>
                          <a:round/>
                          <a:headEnd/>
                          <a:tailEnd/>
                        </a:ln>
                      </wps:spPr>
                      <wps:txbx>
                        <w:txbxContent>
                          <w:p w:rsidR="006F6894" w:rsidRPr="004045AF" w:rsidRDefault="006F6894" w:rsidP="00904BD2">
                            <w:pPr>
                              <w:rPr>
                                <w:i/>
                              </w:rPr>
                            </w:pPr>
                            <w:r w:rsidRPr="004045AF">
                              <w:rPr>
                                <w:i/>
                              </w:rPr>
                              <w:t>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51" type="#_x0000_t64" style="position:absolute;left:0;text-align:left;margin-left:205.2pt;margin-top:13.15pt;width:56.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">
                <v:textbox>
                  <w:txbxContent>
                    <w:p w:rsidR="006F6894" w:rsidRPr="004045AF" w:rsidRDefault="006F6894" w:rsidP="00904BD2">
                      <w:pPr>
                        <w:rPr>
                          <w:i/>
                        </w:rPr>
                      </w:pPr>
                      <w:r w:rsidRPr="004045AF">
                        <w:rPr>
                          <w:i/>
                        </w:rPr>
                        <w:t>XML</w:t>
                      </w:r>
                    </w:p>
                  </w:txbxContent>
                </v:textbox>
              </v:shape>
            </w:pict>
          </mc:Fallback>
        </mc:AlternateContent>
      </w:r>
      <w:r w:rsidR="007A1550" w:rsidRPr="00B94590">
        <w:rPr>
          <w:noProof/>
        </w:rPr>
        <mc:AlternateContent>
          <mc:Choice Requires="wps">
            <w:drawing>
              <wp:anchor distT="0" distB="0" distL="114300" distR="114300" simplePos="0" relativeHeight="251666432" behindDoc="0" locked="0" layoutInCell="1" allowOverlap="1" wp14:anchorId="40DAE30C" wp14:editId="2845187B">
                <wp:simplePos x="0" y="0"/>
                <wp:positionH relativeFrom="column">
                  <wp:posOffset>415290</wp:posOffset>
                </wp:positionH>
                <wp:positionV relativeFrom="paragraph">
                  <wp:posOffset>24765</wp:posOffset>
                </wp:positionV>
                <wp:extent cx="781050" cy="666750"/>
                <wp:effectExtent l="0" t="0" r="19050" b="1905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66750"/>
                        </a:xfrm>
                        <a:prstGeom prst="wave">
                          <a:avLst>
                            <a:gd name="adj1" fmla="val 13005"/>
                            <a:gd name="adj2" fmla="val 0"/>
                          </a:avLst>
                        </a:prstGeom>
                        <a:solidFill>
                          <a:srgbClr val="FFFFFF"/>
                        </a:solidFill>
                        <a:ln w="9525">
                          <a:solidFill>
                            <a:srgbClr val="000000"/>
                          </a:solidFill>
                          <a:round/>
                          <a:headEnd/>
                          <a:tailEnd/>
                        </a:ln>
                      </wps:spPr>
                      <wps:txbx>
                        <w:txbxContent>
                          <w:p w:rsidR="006F6894" w:rsidRPr="004045AF" w:rsidRDefault="006F6894" w:rsidP="00904BD2">
                            <w:pPr>
                              <w:rPr>
                                <w:i/>
                              </w:rPr>
                            </w:pPr>
                            <w:r w:rsidRPr="004045AF">
                              <w:rPr>
                                <w:i/>
                              </w:rPr>
                              <w:t>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52" type="#_x0000_t64" style="position:absolute;left:0;text-align:left;margin-left:32.7pt;margin-top:1.95pt;width:61.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">
                <v:textbox>
                  <w:txbxContent>
                    <w:p w:rsidR="006F6894" w:rsidRPr="004045AF" w:rsidRDefault="006F6894" w:rsidP="00904BD2">
                      <w:pPr>
                        <w:rPr>
                          <w:i/>
                        </w:rPr>
                      </w:pPr>
                      <w:r w:rsidRPr="004045AF">
                        <w:rPr>
                          <w:i/>
                        </w:rPr>
                        <w:t>XML</w:t>
                      </w:r>
                    </w:p>
                  </w:txbxContent>
                </v:textbox>
              </v:shape>
            </w:pict>
          </mc:Fallback>
        </mc:AlternateContent>
      </w:r>
      <w:r w:rsidR="007A1550" w:rsidRPr="00B94590">
        <w:rPr>
          <w:noProof/>
        </w:rPr>
        <mc:AlternateContent>
          <mc:Choice Requires="wps">
            <w:drawing>
              <wp:anchor distT="0" distB="0" distL="114300" distR="114300" simplePos="0" relativeHeight="251667456" behindDoc="0" locked="0" layoutInCell="1" allowOverlap="1" wp14:anchorId="35D169D5" wp14:editId="3DD5CDE5">
                <wp:simplePos x="0" y="0"/>
                <wp:positionH relativeFrom="column">
                  <wp:posOffset>1567815</wp:posOffset>
                </wp:positionH>
                <wp:positionV relativeFrom="paragraph">
                  <wp:posOffset>91440</wp:posOffset>
                </wp:positionV>
                <wp:extent cx="762000" cy="666750"/>
                <wp:effectExtent l="0" t="0" r="19050" b="1905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6750"/>
                        </a:xfrm>
                        <a:prstGeom prst="wave">
                          <a:avLst>
                            <a:gd name="adj1" fmla="val 13005"/>
                            <a:gd name="adj2" fmla="val 0"/>
                          </a:avLst>
                        </a:prstGeom>
                        <a:solidFill>
                          <a:srgbClr val="FFFFFF"/>
                        </a:solidFill>
                        <a:ln w="9525">
                          <a:solidFill>
                            <a:srgbClr val="000000"/>
                          </a:solidFill>
                          <a:round/>
                          <a:headEnd/>
                          <a:tailEnd/>
                        </a:ln>
                      </wps:spPr>
                      <wps:txbx>
                        <w:txbxContent>
                          <w:p w:rsidR="006F6894" w:rsidRPr="004045AF" w:rsidRDefault="006F6894" w:rsidP="00904BD2">
                            <w:pPr>
                              <w:rPr>
                                <w:i/>
                              </w:rPr>
                            </w:pPr>
                            <w:r w:rsidRPr="004045AF">
                              <w:rPr>
                                <w:i/>
                              </w:rPr>
                              <w:t>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53" type="#_x0000_t64" style="position:absolute;left:0;text-align:left;margin-left:123.45pt;margin-top:7.2pt;width:60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">
                <v:textbox>
                  <w:txbxContent>
                    <w:p w:rsidR="006F6894" w:rsidRPr="004045AF" w:rsidRDefault="006F6894" w:rsidP="00904BD2">
                      <w:pPr>
                        <w:rPr>
                          <w:i/>
                        </w:rPr>
                      </w:pPr>
                      <w:r w:rsidRPr="004045AF">
                        <w:rPr>
                          <w:i/>
                        </w:rPr>
                        <w:t>XML</w:t>
                      </w:r>
                    </w:p>
                  </w:txbxContent>
                </v:textbox>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78720" behindDoc="0" locked="0" layoutInCell="1" allowOverlap="1" wp14:anchorId="3778204A" wp14:editId="167B8D34">
                <wp:simplePos x="0" y="0"/>
                <wp:positionH relativeFrom="column">
                  <wp:posOffset>459105</wp:posOffset>
                </wp:positionH>
                <wp:positionV relativeFrom="paragraph">
                  <wp:posOffset>52070</wp:posOffset>
                </wp:positionV>
                <wp:extent cx="266700" cy="399415"/>
                <wp:effectExtent l="0" t="0" r="19050" b="19685"/>
                <wp:wrapNone/>
                <wp:docPr id="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399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6.15pt;margin-top:4.1pt;width:21pt;height:31.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"/>
            </w:pict>
          </mc:Fallback>
        </mc:AlternateContent>
      </w:r>
      <w:r w:rsidR="007A1550" w:rsidRPr="00B94590">
        <w:rPr>
          <w:noProof/>
        </w:rPr>
        <mc:AlternateContent>
          <mc:Choice Requires="wps">
            <w:drawing>
              <wp:anchor distT="0" distB="0" distL="114300" distR="114300" simplePos="0" relativeHeight="251679744" behindDoc="0" locked="0" layoutInCell="1" allowOverlap="1" wp14:anchorId="0ECB5245" wp14:editId="291FDDAF">
                <wp:simplePos x="0" y="0"/>
                <wp:positionH relativeFrom="column">
                  <wp:posOffset>1567815</wp:posOffset>
                </wp:positionH>
                <wp:positionV relativeFrom="paragraph">
                  <wp:posOffset>107950</wp:posOffset>
                </wp:positionV>
                <wp:extent cx="247650" cy="428625"/>
                <wp:effectExtent l="0" t="0" r="19050" b="2857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23.45pt;margin-top:8.5pt;width:19.5pt;height:33.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"/>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80768" behindDoc="0" locked="0" layoutInCell="1" allowOverlap="1" wp14:anchorId="46C8330D" wp14:editId="095B6459">
                <wp:simplePos x="0" y="0"/>
                <wp:positionH relativeFrom="column">
                  <wp:posOffset>3072765</wp:posOffset>
                </wp:positionH>
                <wp:positionV relativeFrom="paragraph">
                  <wp:posOffset>133350</wp:posOffset>
                </wp:positionV>
                <wp:extent cx="47625" cy="295275"/>
                <wp:effectExtent l="0" t="0" r="28575" b="28575"/>
                <wp:wrapNone/>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41.95pt;margin-top:10.5pt;width:3.75pt;height:23.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"/>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69504" behindDoc="0" locked="0" layoutInCell="1" allowOverlap="1" wp14:anchorId="4DA09C5C" wp14:editId="259B53E9">
                <wp:simplePos x="0" y="0"/>
                <wp:positionH relativeFrom="column">
                  <wp:posOffset>24765</wp:posOffset>
                </wp:positionH>
                <wp:positionV relativeFrom="paragraph">
                  <wp:posOffset>129540</wp:posOffset>
                </wp:positionV>
                <wp:extent cx="952500" cy="476250"/>
                <wp:effectExtent l="38100" t="152400" r="171450" b="38100"/>
                <wp:wrapNone/>
                <wp:docPr id="2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ellipse">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rPr>
                                <w:sz w:val="20"/>
                                <w:szCs w:val="20"/>
                              </w:rPr>
                            </w:pPr>
                            <w:r>
                              <w:rPr>
                                <w:sz w:val="20"/>
                                <w:szCs w:val="20"/>
                              </w:rPr>
                              <w:t xml:space="preserve">Iestāde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54" style="position:absolute;left:0;text-align:left;margin-left:1.95pt;margin-top:10.2pt;width: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">
                <o:extrusion v:ext="view" backdepth="1in" color="white" on="t" type="perspective"/>
                <v:textbox>
                  <w:txbxContent>
                    <w:p w:rsidR="006F6894" w:rsidRPr="006D3DDA" w:rsidRDefault="006F6894" w:rsidP="00904BD2">
                      <w:pPr>
                        <w:rPr>
                          <w:sz w:val="20"/>
                          <w:szCs w:val="20"/>
                        </w:rPr>
                      </w:pPr>
                      <w:r>
                        <w:rPr>
                          <w:sz w:val="20"/>
                          <w:szCs w:val="20"/>
                        </w:rPr>
                        <w:t xml:space="preserve">Iestāde 1 </w:t>
                      </w:r>
                    </w:p>
                  </w:txbxContent>
                </v:textbox>
              </v:oval>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72576" behindDoc="0" locked="0" layoutInCell="1" allowOverlap="1" wp14:anchorId="27A7BE3C" wp14:editId="6939BF5D">
                <wp:simplePos x="0" y="0"/>
                <wp:positionH relativeFrom="column">
                  <wp:posOffset>4234815</wp:posOffset>
                </wp:positionH>
                <wp:positionV relativeFrom="paragraph">
                  <wp:posOffset>1270</wp:posOffset>
                </wp:positionV>
                <wp:extent cx="1282700" cy="552450"/>
                <wp:effectExtent l="38100" t="152400" r="165100" b="3810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552450"/>
                        </a:xfrm>
                        <a:prstGeom prst="roundRect">
                          <a:avLst>
                            <a:gd name="adj" fmla="val 16667"/>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rPr>
                                <w:sz w:val="20"/>
                                <w:szCs w:val="20"/>
                              </w:rPr>
                            </w:pPr>
                            <w:r>
                              <w:rPr>
                                <w:sz w:val="20"/>
                                <w:szCs w:val="20"/>
                              </w:rPr>
                              <w:t xml:space="preserve">Iestādes lietotājs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55" style="position:absolute;left:0;text-align:left;margin-left:333.45pt;margin-top:.1pt;width:101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">
                <o:extrusion v:ext="view" backdepth="1in" color="white" on="t" type="perspective"/>
                <v:textbox>
                  <w:txbxContent>
                    <w:p w:rsidR="006F6894" w:rsidRPr="006D3DDA" w:rsidRDefault="006F6894" w:rsidP="00904BD2">
                      <w:pPr>
                        <w:rPr>
                          <w:sz w:val="20"/>
                          <w:szCs w:val="20"/>
                        </w:rPr>
                      </w:pPr>
                      <w:r>
                        <w:rPr>
                          <w:sz w:val="20"/>
                          <w:szCs w:val="20"/>
                        </w:rPr>
                        <w:t xml:space="preserve">Iestādes lietotājs </w:t>
                      </w:r>
                    </w:p>
                  </w:txbxContent>
                </v:textbox>
              </v:roundrect>
            </w:pict>
          </mc:Fallback>
        </mc:AlternateContent>
      </w:r>
      <w:r w:rsidRPr="00B94590">
        <w:rPr>
          <w:noProof/>
        </w:rPr>
        <mc:AlternateContent>
          <mc:Choice Requires="wps">
            <w:drawing>
              <wp:anchor distT="0" distB="0" distL="114300" distR="114300" simplePos="0" relativeHeight="251671552" behindDoc="0" locked="0" layoutInCell="1" allowOverlap="1" wp14:anchorId="28CAF4B3" wp14:editId="0D1A42B5">
                <wp:simplePos x="0" y="0"/>
                <wp:positionH relativeFrom="column">
                  <wp:posOffset>2872740</wp:posOffset>
                </wp:positionH>
                <wp:positionV relativeFrom="paragraph">
                  <wp:posOffset>116205</wp:posOffset>
                </wp:positionV>
                <wp:extent cx="1047750" cy="476250"/>
                <wp:effectExtent l="19050" t="152400" r="171450" b="38100"/>
                <wp:wrapNone/>
                <wp:docPr id="2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250"/>
                        </a:xfrm>
                        <a:prstGeom prst="ellipse">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rPr>
                                <w:sz w:val="20"/>
                                <w:szCs w:val="20"/>
                              </w:rPr>
                            </w:pPr>
                            <w:r>
                              <w:rPr>
                                <w:sz w:val="20"/>
                                <w:szCs w:val="20"/>
                              </w:rPr>
                              <w:t>Iestāde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56" style="position:absolute;left:0;text-align:left;margin-left:226.2pt;margin-top:9.15pt;width:8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">
                <o:extrusion v:ext="view" backdepth="1in" color="white" on="t" type="perspective"/>
                <v:textbox>
                  <w:txbxContent>
                    <w:p w:rsidR="006F6894" w:rsidRPr="006D3DDA" w:rsidRDefault="006F6894" w:rsidP="00904BD2">
                      <w:pPr>
                        <w:rPr>
                          <w:sz w:val="20"/>
                          <w:szCs w:val="20"/>
                        </w:rPr>
                      </w:pPr>
                      <w:r>
                        <w:rPr>
                          <w:sz w:val="20"/>
                          <w:szCs w:val="20"/>
                        </w:rPr>
                        <w:t>Iestāde N</w:t>
                      </w:r>
                    </w:p>
                  </w:txbxContent>
                </v:textbox>
              </v:oval>
            </w:pict>
          </mc:Fallback>
        </mc:AlternateContent>
      </w:r>
      <w:r w:rsidRPr="00B94590">
        <w:rPr>
          <w:noProof/>
        </w:rPr>
        <mc:AlternateContent>
          <mc:Choice Requires="wps">
            <w:drawing>
              <wp:anchor distT="0" distB="0" distL="114300" distR="114300" simplePos="0" relativeHeight="251670528" behindDoc="0" locked="0" layoutInCell="1" allowOverlap="1" wp14:anchorId="5F5AA533" wp14:editId="33807536">
                <wp:simplePos x="0" y="0"/>
                <wp:positionH relativeFrom="column">
                  <wp:posOffset>1453515</wp:posOffset>
                </wp:positionH>
                <wp:positionV relativeFrom="paragraph">
                  <wp:posOffset>106045</wp:posOffset>
                </wp:positionV>
                <wp:extent cx="1047750" cy="476250"/>
                <wp:effectExtent l="19050" t="152400" r="171450" b="38100"/>
                <wp:wrapNone/>
                <wp:docPr id="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250"/>
                        </a:xfrm>
                        <a:prstGeom prst="ellipse">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6894" w:rsidRPr="006D3DDA" w:rsidRDefault="006F6894" w:rsidP="00904BD2">
                            <w:pPr>
                              <w:rPr>
                                <w:sz w:val="20"/>
                                <w:szCs w:val="20"/>
                              </w:rPr>
                            </w:pPr>
                            <w:r>
                              <w:rPr>
                                <w:sz w:val="20"/>
                                <w:szCs w:val="20"/>
                              </w:rPr>
                              <w:t xml:space="preserve">Iestāde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57" style="position:absolute;left:0;text-align:left;margin-left:114.45pt;margin-top:8.35pt;width: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">
                <o:extrusion v:ext="view" backdepth="1in" color="white" on="t" type="perspective"/>
                <v:textbox>
                  <w:txbxContent>
                    <w:p w:rsidR="006F6894" w:rsidRPr="006D3DDA" w:rsidRDefault="006F6894" w:rsidP="00904BD2">
                      <w:pPr>
                        <w:rPr>
                          <w:sz w:val="20"/>
                          <w:szCs w:val="20"/>
                        </w:rPr>
                      </w:pPr>
                      <w:r>
                        <w:rPr>
                          <w:sz w:val="20"/>
                          <w:szCs w:val="20"/>
                        </w:rPr>
                        <w:t xml:space="preserve">Iestāde 2 </w:t>
                      </w:r>
                    </w:p>
                  </w:txbxContent>
                </v:textbox>
              </v:oval>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42AEF" w:rsidP="00175AF6">
      <w:pPr>
        <w:tabs>
          <w:tab w:val="left" w:pos="3045"/>
        </w:tabs>
        <w:spacing w:after="120"/>
        <w:jc w:val="both"/>
        <w:rPr>
          <w:lang w:eastAsia="en-US"/>
        </w:rPr>
      </w:pPr>
    </w:p>
    <w:p w:rsidR="006D17CF" w:rsidRPr="00B94590" w:rsidRDefault="00D02AD2" w:rsidP="00D02AD2">
      <w:pPr>
        <w:jc w:val="center"/>
        <w:rPr>
          <w:b/>
          <w:sz w:val="20"/>
          <w:szCs w:val="20"/>
        </w:rPr>
      </w:pPr>
      <w:r w:rsidRPr="00B94590">
        <w:rPr>
          <w:b/>
          <w:sz w:val="20"/>
          <w:szCs w:val="20"/>
        </w:rPr>
        <w:t>Attēls Nr.</w:t>
      </w:r>
      <w:r w:rsidR="00916DF8" w:rsidRPr="00B94590">
        <w:rPr>
          <w:b/>
          <w:sz w:val="20"/>
          <w:szCs w:val="20"/>
        </w:rPr>
        <w:t>8</w:t>
      </w:r>
      <w:r w:rsidRPr="00B94590">
        <w:rPr>
          <w:b/>
          <w:sz w:val="20"/>
          <w:szCs w:val="20"/>
        </w:rPr>
        <w:t xml:space="preserve"> Atlīdzības </w:t>
      </w:r>
      <w:r w:rsidR="00916DF8" w:rsidRPr="00B94590">
        <w:rPr>
          <w:b/>
          <w:sz w:val="20"/>
          <w:szCs w:val="20"/>
        </w:rPr>
        <w:t xml:space="preserve">uzskaites sistēmas </w:t>
      </w:r>
      <w:r w:rsidRPr="00B94590">
        <w:rPr>
          <w:b/>
          <w:sz w:val="20"/>
          <w:szCs w:val="20"/>
        </w:rPr>
        <w:t>datu analīzes rīka izmantošanas scenārijs</w:t>
      </w:r>
    </w:p>
    <w:p w:rsidR="00D02AD2" w:rsidRPr="00B94590" w:rsidRDefault="00D02AD2" w:rsidP="00D02AD2">
      <w:pPr>
        <w:jc w:val="center"/>
        <w:rPr>
          <w:b/>
          <w:sz w:val="20"/>
          <w:szCs w:val="20"/>
        </w:rPr>
      </w:pPr>
    </w:p>
    <w:p w:rsidR="00742AEF" w:rsidRPr="00B94590" w:rsidRDefault="00742AEF" w:rsidP="00742AEF">
      <w:r w:rsidRPr="00B94590">
        <w:t>1. Atlīdzības datu imports VBPBP sistēmā no iestāžu personāla un grāmatvedības uzskaites sistēmām izmantojot XML datu apmaiņas formātu.</w:t>
      </w:r>
    </w:p>
    <w:p w:rsidR="00742AEF" w:rsidRDefault="00742AEF" w:rsidP="00742AEF">
      <w:r w:rsidRPr="00B94590">
        <w:t>2. Gadījumos, kad iestādei nav personāla uzskaites sistēma (vai līdz šim iestāde izmantoja PUD) un/vai grāmatvedības sistēma neatbalsta  XML datu apmaiņas formātu, atlīdzības datu manuāla ievadīšana VBPBP izmantojot tiešsaistes (Web) datu ievades formas.</w:t>
      </w:r>
    </w:p>
    <w:p w:rsidR="000B25FC" w:rsidRPr="00B94590" w:rsidRDefault="000B25FC" w:rsidP="00742AEF"/>
    <w:p w:rsidR="00742AEF" w:rsidRDefault="00742AEF" w:rsidP="00742AEF">
      <w:r w:rsidRPr="00B94590">
        <w:t>3.Atlīdzības datu (apstrāde, transformācija) pārnese no VBPBP sistēmas uz SAP BW datu noliktavu.</w:t>
      </w:r>
    </w:p>
    <w:p w:rsidR="000B25FC" w:rsidRPr="00B94590" w:rsidRDefault="000B25FC" w:rsidP="00742AEF"/>
    <w:p w:rsidR="00742AEF" w:rsidRPr="00B94590" w:rsidRDefault="00742AEF" w:rsidP="00742AEF">
      <w:r w:rsidRPr="00B94590">
        <w:t xml:space="preserve">4.Atskaišu datu sagatavošana un piegāde informācijas gala lietotājiem izmantojot dažādus piegādes kanālus (interneta pārlūkprogrammas, instalētas </w:t>
      </w:r>
      <w:r w:rsidRPr="00B94590">
        <w:rPr>
          <w:i/>
        </w:rPr>
        <w:t>de</w:t>
      </w:r>
      <w:r w:rsidR="00B7794C" w:rsidRPr="00B94590">
        <w:rPr>
          <w:i/>
        </w:rPr>
        <w:t>sktop pie</w:t>
      </w:r>
      <w:r w:rsidRPr="00B94590">
        <w:rPr>
          <w:i/>
        </w:rPr>
        <w:t>lietojums programmas</w:t>
      </w:r>
      <w:r w:rsidRPr="00B94590">
        <w:t>, e-pastus, vēstules)</w:t>
      </w:r>
    </w:p>
    <w:p w:rsidR="00742AEF" w:rsidRPr="00B94590" w:rsidRDefault="00742AEF" w:rsidP="00175AF6">
      <w:pPr>
        <w:tabs>
          <w:tab w:val="left" w:pos="3045"/>
        </w:tabs>
        <w:spacing w:after="120"/>
        <w:jc w:val="both"/>
        <w:rPr>
          <w:lang w:eastAsia="en-US"/>
        </w:rPr>
      </w:pPr>
    </w:p>
    <w:p w:rsidR="00ED55CF" w:rsidRPr="00B94590" w:rsidRDefault="00ED55CF" w:rsidP="00A65510">
      <w:pPr>
        <w:pStyle w:val="Heading1"/>
        <w:jc w:val="both"/>
        <w:rPr>
          <w:lang w:val="lv-LV"/>
        </w:rPr>
      </w:pPr>
      <w:bookmarkStart w:id="140" w:name="_Ref260207945"/>
      <w:bookmarkStart w:id="141" w:name="_Toc292619551"/>
      <w:bookmarkStart w:id="142" w:name="_Toc292619601"/>
      <w:bookmarkStart w:id="143" w:name="_Toc293616293"/>
      <w:bookmarkStart w:id="144" w:name="_Ref50345288"/>
      <w:bookmarkStart w:id="145" w:name="_Ref50948867"/>
      <w:bookmarkStart w:id="146" w:name="_Toc51677558"/>
      <w:bookmarkStart w:id="147" w:name="_Ref56517951"/>
      <w:r w:rsidRPr="00B94590">
        <w:rPr>
          <w:lang w:val="lv-LV"/>
        </w:rPr>
        <w:t>Ietekmes (</w:t>
      </w:r>
      <w:r w:rsidRPr="00B94590">
        <w:rPr>
          <w:i/>
          <w:lang w:val="lv-LV"/>
        </w:rPr>
        <w:t>impact</w:t>
      </w:r>
      <w:r w:rsidRPr="00B94590">
        <w:rPr>
          <w:lang w:val="lv-LV"/>
        </w:rPr>
        <w:t>) kopsavilkums</w:t>
      </w:r>
      <w:bookmarkEnd w:id="140"/>
      <w:bookmarkEnd w:id="141"/>
      <w:bookmarkEnd w:id="142"/>
      <w:bookmarkEnd w:id="143"/>
    </w:p>
    <w:p w:rsidR="00ED55CF" w:rsidRPr="00B94590" w:rsidRDefault="00ED55CF" w:rsidP="00A65510">
      <w:pPr>
        <w:jc w:val="both"/>
        <w:rPr>
          <w:lang w:eastAsia="en-US"/>
        </w:rPr>
      </w:pPr>
    </w:p>
    <w:p w:rsidR="00ED55CF" w:rsidRPr="00B94590" w:rsidRDefault="00ED55CF" w:rsidP="00A65510">
      <w:pPr>
        <w:pStyle w:val="Heading2"/>
        <w:jc w:val="both"/>
        <w:rPr>
          <w:lang w:val="lv-LV"/>
        </w:rPr>
      </w:pPr>
      <w:bookmarkStart w:id="148" w:name="_Toc292619552"/>
      <w:bookmarkStart w:id="149" w:name="_Toc292619602"/>
      <w:bookmarkStart w:id="150" w:name="_Toc293616294"/>
      <w:r w:rsidRPr="00B94590">
        <w:rPr>
          <w:lang w:val="lv-LV"/>
        </w:rPr>
        <w:t>Darbības (</w:t>
      </w:r>
      <w:r w:rsidRPr="00B94590">
        <w:rPr>
          <w:i/>
          <w:lang w:val="lv-LV"/>
        </w:rPr>
        <w:t>operational</w:t>
      </w:r>
      <w:r w:rsidRPr="00B94590">
        <w:rPr>
          <w:lang w:val="lv-LV"/>
        </w:rPr>
        <w:t>) ietekmes</w:t>
      </w:r>
      <w:bookmarkEnd w:id="148"/>
      <w:bookmarkEnd w:id="149"/>
      <w:bookmarkEnd w:id="150"/>
    </w:p>
    <w:p w:rsidR="004622F9" w:rsidRPr="00B94590" w:rsidRDefault="004622F9" w:rsidP="004622F9">
      <w:pPr>
        <w:spacing w:after="120"/>
        <w:jc w:val="both"/>
        <w:rPr>
          <w:lang w:eastAsia="en-US"/>
        </w:rPr>
      </w:pPr>
      <w:r w:rsidRPr="00B94590">
        <w:rPr>
          <w:lang w:eastAsia="en-US"/>
        </w:rPr>
        <w:t>Grāmatvedības procesu standartizācija publiskā sektora iestādēs un Latvijas publiskā sektora grāmatvedības standartu izstrāde ļautu optimizēt iestādēs notiekošos finanšu vadības un administratīvos (t.sk. grāmatvedības uzskaites) procesus, tādējādi radot priekšnoteikumus finanšu, informācijas tehnoloģiju un personāla resursu efektīvākai izmantošanai. Valsts budžeta ekonomija veidosies, jo būs pieejama skaidra un precīza vadības informācija, uz kuras pamata pieņemtie lēmumi var nest būtiskus ekonomisku ieguvumus.</w:t>
      </w:r>
    </w:p>
    <w:p w:rsidR="00B7794C" w:rsidRPr="00B94590" w:rsidRDefault="00B7794C" w:rsidP="00B7794C">
      <w:pPr>
        <w:pStyle w:val="Body0"/>
        <w:jc w:val="both"/>
        <w:rPr>
          <w:lang w:eastAsia="en-US"/>
        </w:rPr>
      </w:pPr>
      <w:r w:rsidRPr="00B94590">
        <w:rPr>
          <w:lang w:eastAsia="en-US"/>
        </w:rPr>
        <w:t>Iekļaujot atlīdzības uzskaites sistēmas darbību VBPBP sistēmā, tiks nodrošināts datu par personālu un atlīdzību automātisks eksports no iestāžu personāla un grāmatvedības sistēmām XML formātā vai no tiešsaistē aizpildāmām datu ievades formām vienotā datu noliktavā. Datu analīzei tiks izmatots Valsts finanšu datu analīzes rīks.</w:t>
      </w:r>
    </w:p>
    <w:p w:rsidR="001410FB" w:rsidRPr="00B94590" w:rsidRDefault="00DF13FF" w:rsidP="00A65510">
      <w:pPr>
        <w:pStyle w:val="Body0"/>
        <w:jc w:val="both"/>
        <w:rPr>
          <w:lang w:eastAsia="en-US"/>
        </w:rPr>
      </w:pPr>
      <w:r w:rsidRPr="00B94590">
        <w:rPr>
          <w:lang w:eastAsia="en-US"/>
        </w:rPr>
        <w:t>Valsts finanšu datu analīzes rīka ieviešana nodrošinātu analītiskas valsts finanšu informācijas tiešsaistes piegādāšanu F</w:t>
      </w:r>
      <w:r w:rsidR="00BF0145" w:rsidRPr="00B94590">
        <w:rPr>
          <w:lang w:eastAsia="en-US"/>
        </w:rPr>
        <w:t>M</w:t>
      </w:r>
      <w:r w:rsidRPr="00B94590">
        <w:rPr>
          <w:lang w:eastAsia="en-US"/>
        </w:rPr>
        <w:t xml:space="preserve"> un V</w:t>
      </w:r>
      <w:r w:rsidR="00BF0145" w:rsidRPr="00B94590">
        <w:rPr>
          <w:lang w:eastAsia="en-US"/>
        </w:rPr>
        <w:t>K</w:t>
      </w:r>
      <w:r w:rsidRPr="00B94590">
        <w:rPr>
          <w:lang w:eastAsia="en-US"/>
        </w:rPr>
        <w:t xml:space="preserve"> darbiniekiem par valsts kopējo finanšu situāciju</w:t>
      </w:r>
      <w:r w:rsidR="001B0C4E" w:rsidRPr="00B94590">
        <w:rPr>
          <w:lang w:eastAsia="en-US"/>
        </w:rPr>
        <w:t>,</w:t>
      </w:r>
      <w:r w:rsidRPr="00B94590">
        <w:rPr>
          <w:lang w:eastAsia="en-US"/>
        </w:rPr>
        <w:t xml:space="preserve"> kā arī tiešsaistes informāciju par konkrētās nozares finanšu situāciju attiecīgās nozares ministriju darbiniekiem.</w:t>
      </w:r>
    </w:p>
    <w:p w:rsidR="00D668B3" w:rsidRPr="00B94590" w:rsidRDefault="00D668B3" w:rsidP="00A65510">
      <w:pPr>
        <w:pStyle w:val="Body0"/>
        <w:jc w:val="both"/>
        <w:rPr>
          <w:lang w:eastAsia="en-US"/>
        </w:rPr>
      </w:pPr>
      <w:r w:rsidRPr="00B94590">
        <w:t xml:space="preserve">Sistēmu funkcionalitāte, kas tiks būvēta koncepcijas ietvaros, tiks izstrādāta paredzot parametrizējamu un konfigurējamu pamatvalūtas nomaiņu uz EUR bez papildus programmēšanas darbiem. </w:t>
      </w:r>
    </w:p>
    <w:p w:rsidR="00ED55CF" w:rsidRPr="00B94590" w:rsidRDefault="00ED55CF" w:rsidP="00A65510">
      <w:pPr>
        <w:pStyle w:val="Heading2"/>
        <w:jc w:val="both"/>
        <w:rPr>
          <w:lang w:val="lv-LV"/>
        </w:rPr>
      </w:pPr>
      <w:bookmarkStart w:id="151" w:name="_Toc292619553"/>
      <w:bookmarkStart w:id="152" w:name="_Toc292619603"/>
      <w:bookmarkStart w:id="153" w:name="_Toc293616295"/>
      <w:r w:rsidRPr="00B94590">
        <w:rPr>
          <w:lang w:val="lv-LV"/>
        </w:rPr>
        <w:t>Organizatoriskās ietekmes</w:t>
      </w:r>
      <w:bookmarkEnd w:id="151"/>
      <w:bookmarkEnd w:id="152"/>
      <w:bookmarkEnd w:id="153"/>
    </w:p>
    <w:p w:rsidR="004622F9" w:rsidRPr="00B94590" w:rsidRDefault="004622F9" w:rsidP="004622F9">
      <w:pPr>
        <w:pStyle w:val="Body0"/>
        <w:jc w:val="both"/>
        <w:rPr>
          <w:highlight w:val="yellow"/>
        </w:rPr>
      </w:pPr>
      <w:r w:rsidRPr="00B94590">
        <w:rPr>
          <w:lang w:eastAsia="en-US"/>
        </w:rPr>
        <w:t>Grāmatvedības procesu standartizācija publiskā sektora iestādēs ietekmēs visus publiskā sektora iestāžu grāmatvedības darbiniekus, kā arī iestāžu vadību, jo ieviešot Latvijas publiskā sektora grāmatvedības standartus, tie mainīs un vienādos esošos uzskaites procesus publiskajā sektorā.</w:t>
      </w:r>
    </w:p>
    <w:p w:rsidR="003672F4" w:rsidRPr="00B94590" w:rsidRDefault="003672F4" w:rsidP="00A44C91">
      <w:pPr>
        <w:pStyle w:val="Body0"/>
        <w:jc w:val="both"/>
      </w:pPr>
      <w:r w:rsidRPr="00B94590">
        <w:rPr>
          <w:lang w:eastAsia="en-US"/>
        </w:rPr>
        <w:t xml:space="preserve">Valsts finanšu datu analīzes rīka ieviešana </w:t>
      </w:r>
      <w:r w:rsidRPr="00B94590">
        <w:t>radīs organizatorisko ietekmi uz šādām lietotāju grupām:</w:t>
      </w:r>
    </w:p>
    <w:p w:rsidR="003672F4" w:rsidRPr="00B94590" w:rsidRDefault="003672F4" w:rsidP="00701E76">
      <w:pPr>
        <w:pStyle w:val="Body0"/>
        <w:numPr>
          <w:ilvl w:val="0"/>
          <w:numId w:val="27"/>
        </w:numPr>
        <w:jc w:val="both"/>
      </w:pPr>
      <w:r w:rsidRPr="00B94590">
        <w:t>F</w:t>
      </w:r>
      <w:r w:rsidR="00BF0145" w:rsidRPr="00B94590">
        <w:t>M</w:t>
      </w:r>
      <w:r w:rsidRPr="00B94590">
        <w:t xml:space="preserve"> darbinieki un vadība – </w:t>
      </w:r>
      <w:r w:rsidR="00B7794C" w:rsidRPr="00B94590">
        <w:rPr>
          <w:lang w:eastAsia="en-US"/>
        </w:rPr>
        <w:t>ikdienas darbā tiks izmantota operatīvāka un precīzāka analītiskā informācija gan par valsts budžeta izpildi, gan kopējā valsts finanšu grāmatvedības informācija, gan par vienotās atlīdzības sistēmas ieviešanu un pilnveidošanas iespējām</w:t>
      </w:r>
      <w:r w:rsidR="00C9559D" w:rsidRPr="00B94590">
        <w:rPr>
          <w:lang w:eastAsia="en-US"/>
        </w:rPr>
        <w:t>;</w:t>
      </w:r>
    </w:p>
    <w:p w:rsidR="00C9559D" w:rsidRPr="00B94590" w:rsidRDefault="00C9559D" w:rsidP="00701E76">
      <w:pPr>
        <w:pStyle w:val="Body0"/>
        <w:numPr>
          <w:ilvl w:val="0"/>
          <w:numId w:val="27"/>
        </w:numPr>
        <w:jc w:val="both"/>
      </w:pPr>
      <w:r w:rsidRPr="00B94590">
        <w:t>V</w:t>
      </w:r>
      <w:r w:rsidR="00BF0145" w:rsidRPr="00B94590">
        <w:t>K</w:t>
      </w:r>
      <w:r w:rsidRPr="00B94590">
        <w:t xml:space="preserve"> </w:t>
      </w:r>
      <w:r w:rsidR="00BF0145" w:rsidRPr="00B94590">
        <w:t>P</w:t>
      </w:r>
      <w:r w:rsidRPr="00B94590">
        <w:t xml:space="preserve">ārskatu departamenta un </w:t>
      </w:r>
      <w:r w:rsidR="00BF0145" w:rsidRPr="00B94590">
        <w:t>B</w:t>
      </w:r>
      <w:r w:rsidRPr="00B94590">
        <w:t xml:space="preserve">udžeta izpildes uzraudzības departamenta darbinieki – </w:t>
      </w:r>
      <w:r w:rsidRPr="00B94590">
        <w:rPr>
          <w:lang w:eastAsia="en-US"/>
        </w:rPr>
        <w:t>ikdienas darbā tiks izmantota operatīv</w:t>
      </w:r>
      <w:r w:rsidR="0073646E" w:rsidRPr="00B94590">
        <w:rPr>
          <w:lang w:eastAsia="en-US"/>
        </w:rPr>
        <w:t>āka un precī</w:t>
      </w:r>
      <w:r w:rsidRPr="00B94590">
        <w:rPr>
          <w:lang w:eastAsia="en-US"/>
        </w:rPr>
        <w:t>zāka analītiskā informācija gan par valsts budžeta izpildi, gan kopējā valsts finanšu grāmatvedības informācija;</w:t>
      </w:r>
    </w:p>
    <w:p w:rsidR="003672F4" w:rsidRPr="00B94590" w:rsidRDefault="003672F4" w:rsidP="00701E76">
      <w:pPr>
        <w:pStyle w:val="Body0"/>
        <w:numPr>
          <w:ilvl w:val="0"/>
          <w:numId w:val="27"/>
        </w:numPr>
        <w:jc w:val="both"/>
      </w:pPr>
      <w:r w:rsidRPr="00E8564F">
        <w:t>Nozaru ministriju grāmatvedības</w:t>
      </w:r>
      <w:r w:rsidR="00BF0145" w:rsidRPr="00E8564F">
        <w:t xml:space="preserve"> un finanšu plānošanas</w:t>
      </w:r>
      <w:r w:rsidRPr="00E8564F">
        <w:t xml:space="preserve"> darbinieki – </w:t>
      </w:r>
      <w:r w:rsidR="0073646E" w:rsidRPr="00E8564F">
        <w:t>budžeta plānošanā ministrijas līmenī tik</w:t>
      </w:r>
      <w:r w:rsidR="0054283C" w:rsidRPr="00E8564F">
        <w:t>s izmantota operatīvāka informā</w:t>
      </w:r>
      <w:r w:rsidR="0073646E" w:rsidRPr="00E8564F">
        <w:t>c</w:t>
      </w:r>
      <w:r w:rsidR="0054283C" w:rsidRPr="00E8564F">
        <w:t>i</w:t>
      </w:r>
      <w:r w:rsidR="0073646E" w:rsidRPr="00E8564F">
        <w:t>ja par valsts budžeta izpildi</w:t>
      </w:r>
      <w:r w:rsidRPr="00B94590">
        <w:t>;</w:t>
      </w:r>
    </w:p>
    <w:p w:rsidR="00ED55CF" w:rsidRPr="00B94590" w:rsidRDefault="00ED55CF" w:rsidP="00A65510">
      <w:pPr>
        <w:pStyle w:val="Heading2"/>
        <w:jc w:val="both"/>
        <w:rPr>
          <w:lang w:val="lv-LV"/>
        </w:rPr>
      </w:pPr>
      <w:bookmarkStart w:id="154" w:name="_Toc292619554"/>
      <w:bookmarkStart w:id="155" w:name="_Toc292619604"/>
      <w:bookmarkStart w:id="156" w:name="_Toc293616296"/>
      <w:r w:rsidRPr="00B94590">
        <w:rPr>
          <w:lang w:val="lv-LV"/>
        </w:rPr>
        <w:t>Ietekmes izstrādāšanas laikā</w:t>
      </w:r>
      <w:bookmarkEnd w:id="154"/>
      <w:bookmarkEnd w:id="155"/>
      <w:bookmarkEnd w:id="156"/>
    </w:p>
    <w:bookmarkEnd w:id="144"/>
    <w:bookmarkEnd w:id="145"/>
    <w:bookmarkEnd w:id="146"/>
    <w:bookmarkEnd w:id="147"/>
    <w:p w:rsidR="000B6633" w:rsidRPr="00B94590" w:rsidRDefault="000B6633" w:rsidP="000B6633">
      <w:pPr>
        <w:pStyle w:val="Body0"/>
        <w:jc w:val="both"/>
        <w:rPr>
          <w:lang w:eastAsia="en-US"/>
        </w:rPr>
      </w:pPr>
      <w:r w:rsidRPr="00B94590">
        <w:rPr>
          <w:lang w:eastAsia="en-US"/>
        </w:rPr>
        <w:t xml:space="preserve">Latvijas publiskā sektora grāmatvedības standartu izstrādes laikā publiskā sektora grāmatvedības darbinieku darbs netiks būtiski ietekmēts, izņemot pilotprojekta ieviešanā iesaistīto ministriju, šajā laikā tiks būtiski ietekmēts VK Pārskatu departamenta darbs, kas aktīvi iesaistīsies šo standartu izstrādē un saskaņošanā. Standartu izstrādes procesā notiks konsultācijas ar nozaru ministriju grāmatvedības darbiniekiem. </w:t>
      </w:r>
    </w:p>
    <w:p w:rsidR="00B608CB" w:rsidRPr="002F5C4D" w:rsidRDefault="00A44C91" w:rsidP="00B608CB">
      <w:pPr>
        <w:pStyle w:val="Body0"/>
        <w:jc w:val="both"/>
      </w:pPr>
      <w:r w:rsidRPr="00B94590">
        <w:t>A</w:t>
      </w:r>
      <w:r w:rsidR="00B7794C" w:rsidRPr="00B94590">
        <w:t xml:space="preserve">tlīdzības uzskaites sistēmas </w:t>
      </w:r>
      <w:r w:rsidR="00C07D72" w:rsidRPr="002F5C4D">
        <w:t xml:space="preserve">uzlabošanas </w:t>
      </w:r>
      <w:r w:rsidR="00B7794C" w:rsidRPr="002F5C4D">
        <w:t xml:space="preserve">izstrāde </w:t>
      </w:r>
      <w:r w:rsidR="00B608CB" w:rsidRPr="002F5C4D">
        <w:t>ietekmēs V</w:t>
      </w:r>
      <w:r w:rsidR="00BF0145" w:rsidRPr="002F5C4D">
        <w:t>K</w:t>
      </w:r>
      <w:r w:rsidR="00B608CB" w:rsidRPr="002F5C4D">
        <w:t xml:space="preserve"> Informātikas departamenta, Pārskatu departamenta un F</w:t>
      </w:r>
      <w:r w:rsidR="00BF0145" w:rsidRPr="002F5C4D">
        <w:t>M</w:t>
      </w:r>
      <w:r w:rsidR="00B608CB" w:rsidRPr="002F5C4D">
        <w:t xml:space="preserve"> </w:t>
      </w:r>
      <w:r w:rsidR="00BF0145" w:rsidRPr="002F5C4D">
        <w:t xml:space="preserve">Finanšu vadības un metodoloģijas departamenta </w:t>
      </w:r>
      <w:r w:rsidR="00B608CB" w:rsidRPr="002F5C4D">
        <w:t>darbinieku darbu, jo tiem būs aktīvi jāiesaistās izstrādes projektā, gan prasību specifikācijas izstrādē un saskaņošanā, gan piegādātās programmatūras testēšanā un akceptēšanā.</w:t>
      </w:r>
      <w:r w:rsidR="00227D86" w:rsidRPr="002F5C4D">
        <w:t xml:space="preserve"> Atsevišķos jautājumus var tikt iesaistīti arī Valsts kancelejas kompetentie darbinieki. </w:t>
      </w:r>
    </w:p>
    <w:p w:rsidR="00536839" w:rsidRPr="00B94590" w:rsidRDefault="00536839" w:rsidP="00B608CB">
      <w:pPr>
        <w:pStyle w:val="Body0"/>
        <w:jc w:val="both"/>
        <w:rPr>
          <w:lang w:eastAsia="en-US"/>
        </w:rPr>
      </w:pPr>
      <w:r w:rsidRPr="00B94590">
        <w:rPr>
          <w:lang w:eastAsia="en-US"/>
        </w:rPr>
        <w:t>Valsts finanšu datu analīzes rīka izstrādes laikā netik</w:t>
      </w:r>
      <w:r w:rsidR="000A53BB" w:rsidRPr="00B94590">
        <w:rPr>
          <w:lang w:eastAsia="en-US"/>
        </w:rPr>
        <w:t>s</w:t>
      </w:r>
      <w:r w:rsidRPr="00B94590">
        <w:rPr>
          <w:lang w:eastAsia="en-US"/>
        </w:rPr>
        <w:t xml:space="preserve"> ietekmēti esoši</w:t>
      </w:r>
      <w:r w:rsidR="000A53BB" w:rsidRPr="00B94590">
        <w:rPr>
          <w:lang w:eastAsia="en-US"/>
        </w:rPr>
        <w:t>e</w:t>
      </w:r>
      <w:r w:rsidRPr="00B94590">
        <w:rPr>
          <w:lang w:eastAsia="en-US"/>
        </w:rPr>
        <w:t xml:space="preserve"> V</w:t>
      </w:r>
      <w:r w:rsidR="00BF0145" w:rsidRPr="00B94590">
        <w:rPr>
          <w:lang w:eastAsia="en-US"/>
        </w:rPr>
        <w:t>K</w:t>
      </w:r>
      <w:r w:rsidRPr="00B94590">
        <w:rPr>
          <w:lang w:eastAsia="en-US"/>
        </w:rPr>
        <w:t xml:space="preserve"> datu noliktavas SAP BW lietotāj</w:t>
      </w:r>
      <w:r w:rsidR="0054283C" w:rsidRPr="00B94590">
        <w:rPr>
          <w:lang w:eastAsia="en-US"/>
        </w:rPr>
        <w:t>i</w:t>
      </w:r>
      <w:r w:rsidRPr="00B94590">
        <w:rPr>
          <w:lang w:eastAsia="en-US"/>
        </w:rPr>
        <w:t xml:space="preserve"> (</w:t>
      </w:r>
      <w:r w:rsidR="00BF0145" w:rsidRPr="00B94590">
        <w:rPr>
          <w:lang w:eastAsia="en-US"/>
        </w:rPr>
        <w:t>P</w:t>
      </w:r>
      <w:r w:rsidRPr="00B94590">
        <w:rPr>
          <w:lang w:eastAsia="en-US"/>
        </w:rPr>
        <w:t xml:space="preserve">ārskatu departaments un </w:t>
      </w:r>
      <w:r w:rsidR="00BF0145" w:rsidRPr="00B94590">
        <w:rPr>
          <w:lang w:eastAsia="en-US"/>
        </w:rPr>
        <w:t>B</w:t>
      </w:r>
      <w:r w:rsidRPr="00B94590">
        <w:rPr>
          <w:lang w:eastAsia="en-US"/>
        </w:rPr>
        <w:t>udžeta izpildes</w:t>
      </w:r>
      <w:r w:rsidR="002779FF" w:rsidRPr="00B94590">
        <w:rPr>
          <w:lang w:eastAsia="en-US"/>
        </w:rPr>
        <w:t xml:space="preserve"> un uzraudzības</w:t>
      </w:r>
      <w:r w:rsidRPr="00B94590">
        <w:rPr>
          <w:lang w:eastAsia="en-US"/>
        </w:rPr>
        <w:t xml:space="preserve"> departaments) un šo datu gala saņēmēji,</w:t>
      </w:r>
      <w:r w:rsidR="0054283C" w:rsidRPr="00B94590">
        <w:rPr>
          <w:lang w:eastAsia="en-US"/>
        </w:rPr>
        <w:t xml:space="preserve"> kam atskaites sagatavo šie</w:t>
      </w:r>
      <w:r w:rsidRPr="00B94590">
        <w:rPr>
          <w:lang w:eastAsia="en-US"/>
        </w:rPr>
        <w:t xml:space="preserve"> departamenti – F</w:t>
      </w:r>
      <w:r w:rsidR="00BF0145" w:rsidRPr="00B94590">
        <w:rPr>
          <w:lang w:eastAsia="en-US"/>
        </w:rPr>
        <w:t>M</w:t>
      </w:r>
      <w:r w:rsidRPr="00B94590">
        <w:rPr>
          <w:lang w:eastAsia="en-US"/>
        </w:rPr>
        <w:t xml:space="preserve"> un nozaru ministrijas.</w:t>
      </w:r>
    </w:p>
    <w:p w:rsidR="00536839" w:rsidRPr="00B94590" w:rsidRDefault="00536839" w:rsidP="00B608CB">
      <w:pPr>
        <w:pStyle w:val="Body0"/>
        <w:jc w:val="both"/>
      </w:pPr>
      <w:r w:rsidRPr="00B94590">
        <w:rPr>
          <w:lang w:eastAsia="en-US"/>
        </w:rPr>
        <w:t>Valsts finanšu datu analīzes rīka</w:t>
      </w:r>
      <w:r w:rsidRPr="00B94590">
        <w:t xml:space="preserve"> izstrāde ietekmēs V</w:t>
      </w:r>
      <w:r w:rsidR="00BF0145" w:rsidRPr="00B94590">
        <w:t>K</w:t>
      </w:r>
      <w:r w:rsidRPr="00B94590">
        <w:t xml:space="preserve"> Informātikas departamenta, Pārskatu departamenta</w:t>
      </w:r>
      <w:r w:rsidR="002779FF" w:rsidRPr="00B94590">
        <w:t xml:space="preserve">, Budžeta izpildes un uzraudzības departamenta </w:t>
      </w:r>
      <w:r w:rsidRPr="00B94590">
        <w:t>un F</w:t>
      </w:r>
      <w:r w:rsidR="00BF0145" w:rsidRPr="00B94590">
        <w:t>M</w:t>
      </w:r>
      <w:r w:rsidRPr="00B94590">
        <w:t xml:space="preserve"> </w:t>
      </w:r>
      <w:r w:rsidR="00BF0145" w:rsidRPr="00B94590">
        <w:t>B</w:t>
      </w:r>
      <w:r w:rsidRPr="00B94590">
        <w:t xml:space="preserve">udžeta departamenta </w:t>
      </w:r>
      <w:r w:rsidR="00BF0145" w:rsidRPr="00B94590">
        <w:t xml:space="preserve">un Finanšu vadības un metodoloģijas departamenta </w:t>
      </w:r>
      <w:r w:rsidRPr="00B94590">
        <w:t>darbinieku darbu, jo tiem būs aktīvi jāiesaistās izstrādes projektā, gan prasību specifikācijas izstrādē un saskaņošanā, gan piegādātās programmatūras testēšanā un akceptēšanā</w:t>
      </w:r>
      <w:r w:rsidR="00BF0145" w:rsidRPr="00B94590">
        <w:t>, atbilstoši kompetencei</w:t>
      </w:r>
      <w:r w:rsidRPr="00B94590">
        <w:t>.</w:t>
      </w:r>
    </w:p>
    <w:p w:rsidR="00E80023" w:rsidRPr="00B94590" w:rsidRDefault="00E80023" w:rsidP="00536839">
      <w:pPr>
        <w:pStyle w:val="Body0"/>
        <w:jc w:val="both"/>
        <w:rPr>
          <w:lang w:eastAsia="en-US"/>
        </w:rPr>
      </w:pPr>
      <w:r w:rsidRPr="00B94590">
        <w:rPr>
          <w:lang w:eastAsia="en-US"/>
        </w:rPr>
        <w:t>Projekta izstrādes un ieviešanas gaitā būs nepieciešams veikt izmaiņas spēkā esošajos tiesību aktos, kā arī būs nepieciešams izvērtēt iespējas par jaunu tiesību aktu izstrādi. Šobrīd ir iespējams identificēt, ka būs nepieciešami grozījumi šādos tiesību aktos:</w:t>
      </w:r>
    </w:p>
    <w:p w:rsidR="006A2CAF" w:rsidRDefault="00E80023" w:rsidP="006A2CAF">
      <w:pPr>
        <w:pStyle w:val="Body0"/>
        <w:numPr>
          <w:ilvl w:val="0"/>
          <w:numId w:val="40"/>
        </w:numPr>
        <w:jc w:val="both"/>
      </w:pPr>
      <w:r w:rsidRPr="00B94590">
        <w:t xml:space="preserve">Ministru kabineta 2010.gada 21.jūnija  noteikumos Nr. </w:t>
      </w:r>
      <w:r w:rsidR="009B23DB" w:rsidRPr="00B94590">
        <w:t xml:space="preserve">541, skaidri un detalizēti definējot </w:t>
      </w:r>
      <w:r w:rsidR="00D72927">
        <w:t xml:space="preserve">kāda informācija un </w:t>
      </w:r>
      <w:r w:rsidR="009B23DB" w:rsidRPr="00B94590">
        <w:t xml:space="preserve">kā </w:t>
      </w:r>
      <w:r w:rsidR="00D72927">
        <w:t xml:space="preserve">tā </w:t>
      </w:r>
      <w:r w:rsidR="009B23DB" w:rsidRPr="00B94590">
        <w:t>tiek sniegta uz Valsts kases informāciju sistēmu VBPBP;</w:t>
      </w:r>
      <w:r w:rsidR="006A2CAF" w:rsidRPr="006A2CAF">
        <w:t xml:space="preserve"> </w:t>
      </w:r>
    </w:p>
    <w:p w:rsidR="00E80023" w:rsidRPr="00B94590" w:rsidRDefault="006A2CAF" w:rsidP="00E80023">
      <w:pPr>
        <w:pStyle w:val="Body0"/>
        <w:numPr>
          <w:ilvl w:val="0"/>
          <w:numId w:val="40"/>
        </w:numPr>
        <w:jc w:val="both"/>
      </w:pPr>
      <w:r w:rsidRPr="004A7151">
        <w:t xml:space="preserve">Ministru kabineta 2010.gada </w:t>
      </w:r>
      <w:r w:rsidR="00E8564F">
        <w:t>10</w:t>
      </w:r>
      <w:r>
        <w:t xml:space="preserve">.augusta noteikumi Nr.766 „Noteikumi </w:t>
      </w:r>
      <w:r w:rsidRPr="004A7151">
        <w:t xml:space="preserve"> </w:t>
      </w:r>
      <w:r>
        <w:t>par darbības programmu „Infrastruktūra un pakalpojumi” papildinājuma 3.2.2.1.1. apakšaktivitātes „Informācijas sistēmu un elektronisko pakalpojumu attīstība” projektu iesniegumu atlases otru kārtu”</w:t>
      </w:r>
    </w:p>
    <w:p w:rsidR="009B3AD1" w:rsidRPr="00B94590" w:rsidRDefault="009B3AD1" w:rsidP="00E80023">
      <w:pPr>
        <w:pStyle w:val="Body0"/>
        <w:numPr>
          <w:ilvl w:val="0"/>
          <w:numId w:val="40"/>
        </w:numPr>
        <w:jc w:val="both"/>
      </w:pPr>
      <w:r w:rsidRPr="00B94590">
        <w:t>Ministru kabineta 2010.gada 17.augusta noteikumi Nr. 777 „Gada pārskata sagatavošanas kārtība”, saistībā ar publisko grāmatvedības standartu piemērošanu;</w:t>
      </w:r>
    </w:p>
    <w:p w:rsidR="009B3AD1" w:rsidRPr="00B94590" w:rsidRDefault="009B3AD1" w:rsidP="009B3AD1">
      <w:pPr>
        <w:pStyle w:val="Body0"/>
        <w:numPr>
          <w:ilvl w:val="0"/>
          <w:numId w:val="40"/>
        </w:numPr>
        <w:jc w:val="both"/>
      </w:pPr>
      <w:r w:rsidRPr="00B94590">
        <w:t xml:space="preserve"> </w:t>
      </w:r>
      <w:r w:rsidR="009B23DB" w:rsidRPr="00B94590">
        <w:t xml:space="preserve">Ministru </w:t>
      </w:r>
      <w:r w:rsidR="00000748" w:rsidRPr="00B94590">
        <w:t xml:space="preserve">kabineta 2009.gada 15.decembra noteikumi Nr. 1486 </w:t>
      </w:r>
      <w:r w:rsidR="00DA7C61" w:rsidRPr="00B94590">
        <w:t>„Kārtība kādā budžeta iestādes kārto grāmatvedības uzskaiti”, saistībā ar publisko grāmatvedības standartu piemērošanu</w:t>
      </w:r>
      <w:r w:rsidRPr="00B94590">
        <w:t>.</w:t>
      </w:r>
    </w:p>
    <w:p w:rsidR="009B3AD1" w:rsidRPr="00B94590" w:rsidRDefault="009B3AD1" w:rsidP="009B3AD1">
      <w:pPr>
        <w:pStyle w:val="Body0"/>
        <w:jc w:val="both"/>
      </w:pPr>
      <w:r w:rsidRPr="00B94590">
        <w:t>Papildus nepieciešams izstrādāt vai papildināt jau spēkā esošo normatīvo aktu bāzi (Ministru kabineta noteikumi) un lietošanas rokasgrāmatas:</w:t>
      </w:r>
    </w:p>
    <w:p w:rsidR="009B3AD1" w:rsidRPr="00B94590" w:rsidRDefault="009B3AD1" w:rsidP="009B3AD1">
      <w:pPr>
        <w:pStyle w:val="Body0"/>
        <w:numPr>
          <w:ilvl w:val="0"/>
          <w:numId w:val="41"/>
        </w:numPr>
        <w:jc w:val="both"/>
      </w:pPr>
      <w:r w:rsidRPr="00B94590">
        <w:t>Latvijas publiskā sektora grāmatvedības standartu apstiprināšana – Ministru kabineta noteikumi;</w:t>
      </w:r>
    </w:p>
    <w:p w:rsidR="009B3AD1" w:rsidRPr="00B94590" w:rsidRDefault="009B3AD1" w:rsidP="009B3AD1">
      <w:pPr>
        <w:pStyle w:val="Body0"/>
        <w:numPr>
          <w:ilvl w:val="0"/>
          <w:numId w:val="41"/>
        </w:numPr>
        <w:jc w:val="both"/>
      </w:pPr>
      <w:r w:rsidRPr="00B94590">
        <w:t>Latvijas publiskā sektora grāmatvedības standartu pielietošanas rokasgrāmata</w:t>
      </w:r>
      <w:r w:rsidR="00916DF8" w:rsidRPr="00B94590">
        <w:t xml:space="preserve">s, kas būs nepieciešamas katram standartam, kā arī atsevišķiem specifiskiem jautājumiem: </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t>Militārām vajadzībām izmantojamo pamatlīdzekļu un krājumu uzskaite;</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t>Lauksaimniecības ražošanas un krājumu uzskaite;</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t>Kultūrvēsturisko pieminekļu un bibliotēku fondu uzskaite;</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t>Ārvalstu finanšu palīdzības līdzfinansēto projektu uzskaite;</w:t>
      </w:r>
    </w:p>
    <w:p w:rsidR="00916DF8" w:rsidRPr="00B94590" w:rsidRDefault="00916DF8" w:rsidP="00916DF8">
      <w:pPr>
        <w:pStyle w:val="ListParagraph"/>
        <w:numPr>
          <w:ilvl w:val="1"/>
          <w:numId w:val="41"/>
        </w:numPr>
        <w:spacing w:after="120"/>
        <w:ind w:right="91"/>
        <w:contextualSpacing w:val="0"/>
        <w:jc w:val="both"/>
        <w:rPr>
          <w:rFonts w:ascii="Times New Roman" w:hAnsi="Times New Roman" w:cs="Times New Roman"/>
          <w:sz w:val="24"/>
          <w:szCs w:val="24"/>
        </w:rPr>
      </w:pPr>
      <w:r w:rsidRPr="00B94590">
        <w:rPr>
          <w:rFonts w:ascii="Times New Roman" w:hAnsi="Times New Roman" w:cs="Times New Roman"/>
          <w:sz w:val="24"/>
          <w:szCs w:val="24"/>
        </w:rPr>
        <w:t>Citiem jautājumiem, kuri esošajā brīdī var nebūt identificēti, bet kuru nepieciešamība var parādīties standartu izstrādes un pielāgošanas gaitā.</w:t>
      </w:r>
    </w:p>
    <w:p w:rsidR="00ED55CF" w:rsidRPr="00B94590" w:rsidRDefault="00ED55CF" w:rsidP="00A65510">
      <w:pPr>
        <w:pStyle w:val="Heading2"/>
        <w:jc w:val="both"/>
        <w:rPr>
          <w:lang w:val="lv-LV"/>
        </w:rPr>
      </w:pPr>
      <w:bookmarkStart w:id="157" w:name="_Toc50892553"/>
      <w:bookmarkStart w:id="158" w:name="_Toc292619555"/>
      <w:bookmarkStart w:id="159" w:name="_Toc293616297"/>
      <w:r w:rsidRPr="00B94590">
        <w:rPr>
          <w:lang w:val="lv-LV"/>
        </w:rPr>
        <w:t>Priekšrocību kopsavilkums</w:t>
      </w:r>
      <w:bookmarkEnd w:id="157"/>
      <w:bookmarkEnd w:id="158"/>
      <w:bookmarkEnd w:id="159"/>
    </w:p>
    <w:p w:rsidR="000B6633" w:rsidRPr="00B94590" w:rsidRDefault="000B6633" w:rsidP="000B6633">
      <w:pPr>
        <w:pStyle w:val="Body0"/>
        <w:jc w:val="both"/>
        <w:rPr>
          <w:lang w:eastAsia="en-US"/>
        </w:rPr>
      </w:pPr>
      <w:r w:rsidRPr="00B94590">
        <w:rPr>
          <w:lang w:eastAsia="en-US"/>
        </w:rPr>
        <w:t>Latvijas publiskā sektora grāmatvedības standartu izstrādei un procesu standartizācijai ir šādas priekšrocības:</w:t>
      </w:r>
    </w:p>
    <w:p w:rsidR="000B6633" w:rsidRPr="00B94590" w:rsidRDefault="000B6633" w:rsidP="000B6633">
      <w:pPr>
        <w:pStyle w:val="Body0"/>
        <w:numPr>
          <w:ilvl w:val="0"/>
          <w:numId w:val="30"/>
        </w:numPr>
        <w:jc w:val="both"/>
      </w:pPr>
      <w:r w:rsidRPr="00B94590">
        <w:rPr>
          <w:b/>
          <w:lang w:eastAsia="en-US"/>
        </w:rPr>
        <w:t xml:space="preserve">Iespēja optimizēt iestādēs notiekošos finanšu vadības un administratīvos procesus </w:t>
      </w:r>
      <w:r w:rsidRPr="00B94590">
        <w:rPr>
          <w:lang w:eastAsia="en-US"/>
        </w:rPr>
        <w:t>(t.sk. grāmatvedības uzskaites)</w:t>
      </w:r>
      <w:r w:rsidRPr="00B94590">
        <w:rPr>
          <w:b/>
          <w:lang w:eastAsia="en-US"/>
        </w:rPr>
        <w:t>.</w:t>
      </w:r>
      <w:r w:rsidRPr="00B94590">
        <w:rPr>
          <w:lang w:eastAsia="en-US"/>
        </w:rPr>
        <w:t xml:space="preserve"> Grāmatvedības procesu standartizācija publiskā sektora iestādēs un Latvijas publiskā sektora grāmatvedības standartu izstrāde ļautu optimizēt iestādēs notiekošos finanšu vadības un administratīvos procesus, tādējādi radot priekšnoteikumus finanšu, informācijas tehnoloģiju un personāla resursu efektīvākai izmantošanai.</w:t>
      </w:r>
    </w:p>
    <w:p w:rsidR="000B6633" w:rsidRPr="00B94590" w:rsidRDefault="000B6633" w:rsidP="000B6633">
      <w:pPr>
        <w:pStyle w:val="Body0"/>
        <w:numPr>
          <w:ilvl w:val="0"/>
          <w:numId w:val="30"/>
        </w:numPr>
        <w:jc w:val="both"/>
      </w:pPr>
      <w:r w:rsidRPr="00B94590">
        <w:rPr>
          <w:b/>
          <w:lang w:eastAsia="en-US"/>
        </w:rPr>
        <w:t>Iespēja analizēt un veikt salīdzināšanu starp dažādām publiskā sektora iestādēm</w:t>
      </w:r>
      <w:r w:rsidRPr="00B94590">
        <w:rPr>
          <w:lang w:eastAsia="en-US"/>
        </w:rPr>
        <w:t>. Publiskā sektora iestāžu grāmatvedības procesu standartizācija nodrošinātu, ka par valsti kopumā analizējamie finanšu grāmatvedības dati ir salīdzināmi un izmantojami analīzei.</w:t>
      </w:r>
    </w:p>
    <w:p w:rsidR="00BA3725" w:rsidRPr="00B94590" w:rsidRDefault="00BA3725" w:rsidP="00BA3725">
      <w:pPr>
        <w:pStyle w:val="Body0"/>
        <w:ind w:left="480"/>
        <w:jc w:val="both"/>
      </w:pPr>
      <w:r w:rsidRPr="00B94590">
        <w:t>Piedāvātajam atlīdzības uzskaites sistēmas risinājumam ir šādas priekšrocības:</w:t>
      </w:r>
    </w:p>
    <w:p w:rsidR="00BA3725" w:rsidRPr="00B94590" w:rsidRDefault="00BA3725" w:rsidP="00701E76">
      <w:pPr>
        <w:pStyle w:val="Body0"/>
        <w:numPr>
          <w:ilvl w:val="0"/>
          <w:numId w:val="36"/>
        </w:numPr>
        <w:jc w:val="both"/>
      </w:pPr>
      <w:r w:rsidRPr="00B94590">
        <w:rPr>
          <w:b/>
        </w:rPr>
        <w:t xml:space="preserve">Augsta datu apkopošanas operativitāte. </w:t>
      </w:r>
      <w:r w:rsidRPr="00B94590">
        <w:t>Paredzētās izmaiņas nosaka, ka dati tiks apkopoti automātiski vienotā datu formātā vienotā datu noliktavā un lietotājiem būs pieejama informācija uzreiz pēc tam, kad tiks veikta datu pārnese no datu avotu sistēmām;</w:t>
      </w:r>
    </w:p>
    <w:p w:rsidR="00BA3725" w:rsidRPr="00B94590" w:rsidRDefault="00BA3725" w:rsidP="00701E76">
      <w:pPr>
        <w:pStyle w:val="Body0"/>
        <w:numPr>
          <w:ilvl w:val="0"/>
          <w:numId w:val="36"/>
        </w:numPr>
        <w:jc w:val="both"/>
      </w:pPr>
      <w:r w:rsidRPr="00B94590">
        <w:rPr>
          <w:b/>
        </w:rPr>
        <w:t>Iespēja operatīvāk un efektīvāk analizēt un veikt salīdzināšanu starp dažādām sabiedriskā sektora iestādēm</w:t>
      </w:r>
      <w:r w:rsidRPr="00B94590">
        <w:t>. Sabiedriskā sektora darbinieku atlīdzības sistēmas elementus iespējams salīdzināt pa valsti kopumā, analizējot konkrētos datus, kā arī veikt salīdzināšanu nozares ietvaros</w:t>
      </w:r>
      <w:r w:rsidR="00E8564F">
        <w:rPr>
          <w:color w:val="FF0000"/>
        </w:rPr>
        <w:t xml:space="preserve"> </w:t>
      </w:r>
      <w:r w:rsidR="00E8564F" w:rsidRPr="002F5C4D">
        <w:t>starp dažādām iestād</w:t>
      </w:r>
      <w:r w:rsidR="00C07D72" w:rsidRPr="002F5C4D">
        <w:t>ē</w:t>
      </w:r>
      <w:r w:rsidR="00E8564F" w:rsidRPr="002F5C4D">
        <w:t>m</w:t>
      </w:r>
      <w:r w:rsidRPr="002F5C4D">
        <w:t xml:space="preserve"> </w:t>
      </w:r>
      <w:r w:rsidRPr="00B94590">
        <w:t>vai starp nozarēm;</w:t>
      </w:r>
    </w:p>
    <w:p w:rsidR="00BA3725" w:rsidRPr="00B94590" w:rsidRDefault="00BA3725" w:rsidP="00701E76">
      <w:pPr>
        <w:pStyle w:val="Body0"/>
        <w:numPr>
          <w:ilvl w:val="0"/>
          <w:numId w:val="36"/>
        </w:numPr>
        <w:jc w:val="both"/>
      </w:pPr>
      <w:r w:rsidRPr="00B94590">
        <w:rPr>
          <w:b/>
        </w:rPr>
        <w:t>Pārskatu publicēšana</w:t>
      </w:r>
      <w:r w:rsidRPr="00B94590">
        <w:t xml:space="preserve">. Automātiski tiks ģenerētas atskaites iepriekš izveidotās atskaišu formās un tiks nodrošināta iespēja no apkopotajiem datiem pēc vajadzības ģenerēt jebkādu atskaiti. </w:t>
      </w:r>
    </w:p>
    <w:p w:rsidR="00BA3725" w:rsidRPr="00B94590" w:rsidRDefault="00BA3725" w:rsidP="00701E76">
      <w:pPr>
        <w:pStyle w:val="Body0"/>
        <w:numPr>
          <w:ilvl w:val="0"/>
          <w:numId w:val="36"/>
        </w:numPr>
        <w:jc w:val="both"/>
      </w:pPr>
      <w:r w:rsidRPr="00B94590">
        <w:rPr>
          <w:b/>
        </w:rPr>
        <w:t xml:space="preserve">Interaktīvas atskaites. </w:t>
      </w:r>
      <w:r w:rsidRPr="00B94590">
        <w:t xml:space="preserve">Iespējas būvēt atskaites tā, lai no jebkura atskaitē ietvertā skaitļa varētu iedziļināties tā detaļās, dinamiski pāriet no vienas analīzes dimensijas uz citu. </w:t>
      </w:r>
    </w:p>
    <w:p w:rsidR="00D275BF" w:rsidRPr="00B94590" w:rsidRDefault="00F26D04" w:rsidP="00D275BF">
      <w:pPr>
        <w:pStyle w:val="Body0"/>
        <w:ind w:left="480"/>
        <w:jc w:val="both"/>
      </w:pPr>
      <w:r w:rsidRPr="00B94590">
        <w:t xml:space="preserve">Piedāvātajam </w:t>
      </w:r>
      <w:r w:rsidRPr="00B94590">
        <w:rPr>
          <w:lang w:eastAsia="en-US"/>
        </w:rPr>
        <w:t>Valsts finanšu datu analīzes rīka</w:t>
      </w:r>
      <w:r w:rsidRPr="00B94590">
        <w:t xml:space="preserve"> risinājumam ir šādas priekšrocības:</w:t>
      </w:r>
    </w:p>
    <w:p w:rsidR="00AE0FB9" w:rsidRPr="00B94590" w:rsidRDefault="00AE0FB9" w:rsidP="00701E76">
      <w:pPr>
        <w:pStyle w:val="Body0"/>
        <w:numPr>
          <w:ilvl w:val="0"/>
          <w:numId w:val="29"/>
        </w:numPr>
        <w:jc w:val="both"/>
        <w:rPr>
          <w:bCs/>
        </w:rPr>
      </w:pPr>
      <w:r w:rsidRPr="00B94590">
        <w:rPr>
          <w:b/>
          <w:bCs/>
        </w:rPr>
        <w:t xml:space="preserve">Augsta datu saņemšanas operativitāte. </w:t>
      </w:r>
      <w:r w:rsidRPr="00B94590">
        <w:rPr>
          <w:bCs/>
        </w:rPr>
        <w:t>Rīka lietotājiem būs pieejama informācija par valsts budžeta izpildi un valsts finanšu grāmatvedības informāciju  uzreiz pēc tam, kad tiks veiktas datu pārneses no datu avotu sistēmām.</w:t>
      </w:r>
    </w:p>
    <w:p w:rsidR="00151C23" w:rsidRPr="00B94590" w:rsidRDefault="00151C23" w:rsidP="00701E76">
      <w:pPr>
        <w:pStyle w:val="ListParagraph"/>
        <w:numPr>
          <w:ilvl w:val="0"/>
          <w:numId w:val="29"/>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Interaktīvas atskaites</w:t>
      </w:r>
      <w:r w:rsidRPr="00B94590">
        <w:rPr>
          <w:rFonts w:ascii="Times New Roman" w:hAnsi="Times New Roman" w:cs="Times New Roman"/>
          <w:sz w:val="24"/>
          <w:szCs w:val="24"/>
        </w:rPr>
        <w:t xml:space="preserve"> – iespēja atskaites būvēt tā, ka no jebkura skaitļa iespējams iedziļināties tā detaļās, dinamiski pāriet no vienas analīzes dimensijas uz citu.</w:t>
      </w:r>
    </w:p>
    <w:p w:rsidR="00151C23" w:rsidRPr="00B94590" w:rsidRDefault="00151C23" w:rsidP="00701E76">
      <w:pPr>
        <w:pStyle w:val="ListParagraph"/>
        <w:numPr>
          <w:ilvl w:val="0"/>
          <w:numId w:val="29"/>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Pārskatu publicēšana</w:t>
      </w:r>
      <w:r w:rsidRPr="00B94590">
        <w:rPr>
          <w:rFonts w:ascii="Times New Roman" w:hAnsi="Times New Roman" w:cs="Times New Roman"/>
          <w:sz w:val="24"/>
          <w:szCs w:val="24"/>
        </w:rPr>
        <w:t xml:space="preserve"> - jebkuras atskaites var tikt automātiski ģenerētas un pielāgotas individuāli saņēmējam.</w:t>
      </w:r>
    </w:p>
    <w:p w:rsidR="00ED55CF" w:rsidRPr="00B94590" w:rsidRDefault="00ED55CF" w:rsidP="00A65510">
      <w:pPr>
        <w:pStyle w:val="Heading2"/>
        <w:jc w:val="both"/>
        <w:rPr>
          <w:lang w:val="lv-LV"/>
        </w:rPr>
      </w:pPr>
      <w:bookmarkStart w:id="160" w:name="_Toc50892554"/>
      <w:bookmarkStart w:id="161" w:name="_Toc293616298"/>
      <w:r w:rsidRPr="00B94590">
        <w:rPr>
          <w:lang w:val="lv-LV"/>
        </w:rPr>
        <w:t>Trūkumu un ierobežojumu kopsavilkums</w:t>
      </w:r>
      <w:bookmarkEnd w:id="160"/>
      <w:bookmarkEnd w:id="161"/>
    </w:p>
    <w:p w:rsidR="0055292F" w:rsidRPr="00B94590" w:rsidRDefault="0055292F" w:rsidP="0055292F">
      <w:pPr>
        <w:pStyle w:val="body"/>
        <w:jc w:val="both"/>
      </w:pPr>
      <w:r w:rsidRPr="00B94590">
        <w:t xml:space="preserve">Piedāvātajam </w:t>
      </w:r>
      <w:r w:rsidR="00A44C91" w:rsidRPr="00B94590">
        <w:t xml:space="preserve">atlīdzības uzskaites sistēmas </w:t>
      </w:r>
      <w:r w:rsidRPr="00B94590">
        <w:t xml:space="preserve">un </w:t>
      </w:r>
      <w:r w:rsidRPr="00B94590">
        <w:rPr>
          <w:lang w:eastAsia="en-US"/>
        </w:rPr>
        <w:t>Valsts finanšu datu analīzes rīka</w:t>
      </w:r>
      <w:r w:rsidRPr="00B94590">
        <w:t xml:space="preserve"> attīstības risinājumam ir šādi galvenie trūkumi:</w:t>
      </w:r>
    </w:p>
    <w:p w:rsidR="0055292F" w:rsidRPr="00B94590" w:rsidRDefault="0055292F" w:rsidP="0055292F">
      <w:pPr>
        <w:pStyle w:val="body"/>
        <w:jc w:val="both"/>
      </w:pPr>
      <w:r w:rsidRPr="00B94590">
        <w:rPr>
          <w:b/>
          <w:bCs/>
        </w:rPr>
        <w:t xml:space="preserve">Atkarība no interneta pieslēguma. </w:t>
      </w:r>
      <w:r w:rsidRPr="00B94590">
        <w:t>Lietotāji pilnībā ir atkarīgi no datu pārraides tīkla, jo bez interneta pieslēguma lietotāji faktiski sistēmu izmantot nespēj, tomēr, ņemot vērā elektronisko pakalpojumu attīstību Latvijā, paredzams, ka lielākai daļai publiskā sektora iestāžu būs nepārtraukts interneta pieslēgums.</w:t>
      </w:r>
    </w:p>
    <w:p w:rsidR="00ED55CF" w:rsidRPr="00B94590" w:rsidRDefault="00103573" w:rsidP="008E7070">
      <w:pPr>
        <w:pStyle w:val="body"/>
      </w:pPr>
      <w:r w:rsidRPr="00B94590">
        <w:rPr>
          <w:b/>
          <w:bCs/>
        </w:rPr>
        <w:t xml:space="preserve">Atkarība no interneta pieslēguma kvalitātes. </w:t>
      </w:r>
      <w:r w:rsidRPr="00B94590">
        <w:t xml:space="preserve">Lietotāji ir atkarīgi ne tikai no interneta pieslēguma esamības, bet arī no tā kvalitātes - interneta pieslēguma tipa (iezvanpieeja vai tiešsaiste) un pieslēguma ātruma, kas faktiski var būtiski mainīties atkarībā no tīkla kopējās noslodzes. </w:t>
      </w:r>
    </w:p>
    <w:p w:rsidR="00F56DA4" w:rsidRPr="00B94590" w:rsidRDefault="00BD11F2" w:rsidP="00E80023">
      <w:pPr>
        <w:pStyle w:val="Heading2"/>
        <w:jc w:val="both"/>
        <w:rPr>
          <w:lang w:val="lv-LV"/>
        </w:rPr>
      </w:pPr>
      <w:bookmarkStart w:id="162" w:name="_Toc293616299"/>
      <w:r w:rsidRPr="00B94590">
        <w:rPr>
          <w:lang w:val="lv-LV"/>
        </w:rPr>
        <w:t xml:space="preserve">Novērtētie risinājuma varianti </w:t>
      </w:r>
      <w:r w:rsidR="00ED55CF" w:rsidRPr="00B94590">
        <w:rPr>
          <w:lang w:val="lv-LV"/>
        </w:rPr>
        <w:t>un atšķirības starp t</w:t>
      </w:r>
      <w:r w:rsidRPr="00B94590">
        <w:rPr>
          <w:lang w:val="lv-LV"/>
        </w:rPr>
        <w:t>ie</w:t>
      </w:r>
      <w:r w:rsidR="00ED55CF" w:rsidRPr="00B94590">
        <w:rPr>
          <w:lang w:val="lv-LV"/>
        </w:rPr>
        <w:t>m (</w:t>
      </w:r>
      <w:r w:rsidR="00ED55CF" w:rsidRPr="00B94590">
        <w:rPr>
          <w:i/>
          <w:lang w:val="lv-LV"/>
        </w:rPr>
        <w:t>trade-offs considered</w:t>
      </w:r>
      <w:r w:rsidR="00ED55CF" w:rsidRPr="00B94590">
        <w:rPr>
          <w:lang w:val="lv-LV"/>
        </w:rPr>
        <w:t>)</w:t>
      </w:r>
      <w:bookmarkEnd w:id="162"/>
    </w:p>
    <w:p w:rsidR="00F56DA4" w:rsidRPr="00B94590" w:rsidRDefault="00F56DA4" w:rsidP="00F56DA4">
      <w:pPr>
        <w:rPr>
          <w:lang w:eastAsia="en-US"/>
        </w:rPr>
      </w:pPr>
    </w:p>
    <w:p w:rsidR="00807768" w:rsidRPr="00B94590" w:rsidRDefault="008F6A02" w:rsidP="00807768">
      <w:pPr>
        <w:jc w:val="both"/>
        <w:rPr>
          <w:lang w:eastAsia="en-US"/>
        </w:rPr>
      </w:pPr>
      <w:r w:rsidRPr="00B94590">
        <w:rPr>
          <w:lang w:eastAsia="en-US"/>
        </w:rPr>
        <w:t>Lai risinātu šai koncepcijā izvirzītās problēmas ir iespējami sekojoši risinājuma varianti</w:t>
      </w:r>
      <w:r w:rsidR="00807768" w:rsidRPr="00B94590">
        <w:rPr>
          <w:lang w:eastAsia="en-US"/>
        </w:rPr>
        <w:t>:</w:t>
      </w:r>
    </w:p>
    <w:p w:rsidR="00807768" w:rsidRPr="00D72927" w:rsidRDefault="00807768" w:rsidP="00505C90">
      <w:pPr>
        <w:numPr>
          <w:ilvl w:val="0"/>
          <w:numId w:val="38"/>
        </w:numPr>
        <w:jc w:val="both"/>
        <w:rPr>
          <w:b/>
          <w:lang w:eastAsia="en-US"/>
        </w:rPr>
      </w:pPr>
      <w:r w:rsidRPr="00D72927">
        <w:rPr>
          <w:b/>
          <w:lang w:eastAsia="en-US"/>
        </w:rPr>
        <w:t>Nemainīt esošos informācijas sistēmu risinājumus, kas nodrošin</w:t>
      </w:r>
      <w:r w:rsidR="00FE0D64" w:rsidRPr="00D72927">
        <w:rPr>
          <w:b/>
          <w:lang w:eastAsia="en-US"/>
        </w:rPr>
        <w:t>a</w:t>
      </w:r>
      <w:r w:rsidRPr="00D72927">
        <w:rPr>
          <w:b/>
          <w:lang w:eastAsia="en-US"/>
        </w:rPr>
        <w:t xml:space="preserve"> valsts iestāžu finanšu un vadības grāmatvedības sistēmu;</w:t>
      </w:r>
    </w:p>
    <w:p w:rsidR="008C78D2" w:rsidRPr="00B94590" w:rsidRDefault="008C78D2" w:rsidP="008C78D2">
      <w:pPr>
        <w:jc w:val="both"/>
        <w:rPr>
          <w:lang w:eastAsia="en-US"/>
        </w:rPr>
      </w:pPr>
      <w:r w:rsidRPr="00B94590">
        <w:rPr>
          <w:lang w:eastAsia="en-US"/>
        </w:rPr>
        <w:t xml:space="preserve">Šajā risinājuma variantā netiek veikti nekādi uzlabojumi un pilnveidojumi. </w:t>
      </w:r>
    </w:p>
    <w:p w:rsidR="00807768" w:rsidRPr="00D72927" w:rsidRDefault="00707971" w:rsidP="00505C90">
      <w:pPr>
        <w:numPr>
          <w:ilvl w:val="0"/>
          <w:numId w:val="38"/>
        </w:numPr>
        <w:jc w:val="both"/>
        <w:rPr>
          <w:b/>
          <w:lang w:eastAsia="en-US"/>
        </w:rPr>
      </w:pPr>
      <w:r w:rsidRPr="00D72927">
        <w:rPr>
          <w:b/>
        </w:rPr>
        <w:t>Izstrādāt risinājumus</w:t>
      </w:r>
      <w:r w:rsidR="00FE0D64" w:rsidRPr="00D72927">
        <w:rPr>
          <w:b/>
        </w:rPr>
        <w:t xml:space="preserve">, kas paredzēti šai koncepcijā, </w:t>
      </w:r>
      <w:r w:rsidRPr="00D72927">
        <w:rPr>
          <w:b/>
        </w:rPr>
        <w:t>attiec</w:t>
      </w:r>
      <w:r w:rsidR="00F10DF2" w:rsidRPr="00D72927">
        <w:rPr>
          <w:b/>
        </w:rPr>
        <w:t xml:space="preserve">ībā uz </w:t>
      </w:r>
      <w:r w:rsidR="008062BB" w:rsidRPr="00D72927">
        <w:rPr>
          <w:b/>
        </w:rPr>
        <w:t>atlīdzības uzskaites sistēmu</w:t>
      </w:r>
      <w:r w:rsidRPr="00D72927">
        <w:rPr>
          <w:b/>
        </w:rPr>
        <w:t xml:space="preserve"> un valsts finanšu datu analīzes rīku</w:t>
      </w:r>
      <w:r w:rsidRPr="00D72927">
        <w:rPr>
          <w:b/>
          <w:lang w:eastAsia="en-US"/>
        </w:rPr>
        <w:t xml:space="preserve">, bez </w:t>
      </w:r>
      <w:r w:rsidR="00D41367" w:rsidRPr="00D72927">
        <w:rPr>
          <w:b/>
        </w:rPr>
        <w:t xml:space="preserve">grāmatvedības procesu standartizācijas un </w:t>
      </w:r>
      <w:r w:rsidR="00D41367" w:rsidRPr="00D72927">
        <w:rPr>
          <w:b/>
          <w:lang w:eastAsia="en-US"/>
        </w:rPr>
        <w:t>Latvijas publiskā sektora grāmatvedības standartu izstrādes un ieviešanas;</w:t>
      </w:r>
    </w:p>
    <w:p w:rsidR="008C78D2" w:rsidRPr="00B94590" w:rsidRDefault="008C78D2" w:rsidP="008C78D2">
      <w:pPr>
        <w:jc w:val="both"/>
        <w:rPr>
          <w:lang w:eastAsia="en-US"/>
        </w:rPr>
      </w:pPr>
      <w:r w:rsidRPr="00B94590">
        <w:rPr>
          <w:lang w:eastAsia="en-US"/>
        </w:rPr>
        <w:t xml:space="preserve">Neveicot grāmatvedības procesu standartizāciju  un neizstrādājot attiecīgi grāmatvedības standartus publiskajam sektoram, kā arī nenodrošinot to sekojošu ieviešanu grāmatvedības uzskaite nenotiks pēc vienveidīgiem principiem un tajā fiksētie dati nebūs savstarpēji vienādi salīdzināmi. Latvijas publiskā sektora grāmatvedības standartu izstrāde un ieviešana ļaus arī optimizēt grāmatvedības uzskaites darbu, kad visām institūcijām tiks piemērots vienots kontu plāns, bet arī iespēju veikt savai nozarei specifisku darījumu atspoguļošanu pēc vienādiem principiem. </w:t>
      </w:r>
      <w:r w:rsidR="00C522A4" w:rsidRPr="00B94590">
        <w:rPr>
          <w:lang w:eastAsia="en-US"/>
        </w:rPr>
        <w:t>Nerisinot šobrīd pastāvošās problēmas, kā arī ieviešot tikai šo piedāvāto risinājuma veidu radīsies turpmākas negatīvas sekas attiecībā uz racionālu tehnoloģiju izmantošanu un finanšu un grāmatvedības procesu optimizāciju.</w:t>
      </w:r>
    </w:p>
    <w:p w:rsidR="00FE0D64" w:rsidRPr="00D72927" w:rsidRDefault="00FE0D64" w:rsidP="00505C90">
      <w:pPr>
        <w:numPr>
          <w:ilvl w:val="0"/>
          <w:numId w:val="38"/>
        </w:numPr>
        <w:jc w:val="both"/>
        <w:rPr>
          <w:b/>
          <w:lang w:eastAsia="en-US"/>
        </w:rPr>
      </w:pPr>
      <w:r w:rsidRPr="00D72927">
        <w:rPr>
          <w:b/>
          <w:lang w:eastAsia="en-US"/>
        </w:rPr>
        <w:t xml:space="preserve">Izstrādāt un ieviest visus </w:t>
      </w:r>
      <w:r w:rsidR="00395976" w:rsidRPr="00D72927">
        <w:rPr>
          <w:b/>
          <w:lang w:eastAsia="en-US"/>
        </w:rPr>
        <w:t xml:space="preserve">tehnoloģiskos </w:t>
      </w:r>
      <w:r w:rsidRPr="00D72927">
        <w:rPr>
          <w:b/>
          <w:lang w:eastAsia="en-US"/>
        </w:rPr>
        <w:t xml:space="preserve">risinājumus, kas minēti šai koncepcijā. </w:t>
      </w:r>
    </w:p>
    <w:p w:rsidR="008C78D2" w:rsidRPr="00B94590" w:rsidRDefault="008C78D2" w:rsidP="008C78D2">
      <w:pPr>
        <w:jc w:val="both"/>
        <w:rPr>
          <w:lang w:eastAsia="en-US"/>
        </w:rPr>
      </w:pPr>
      <w:r w:rsidRPr="00B94590">
        <w:rPr>
          <w:lang w:eastAsia="en-US"/>
        </w:rPr>
        <w:t xml:space="preserve">Pilna, koncepcijā paredzētā,  tehnoloģiskā risinājuma ieviešana nodrošinās iespēju veikt vienotu un standartizētu grāmatvedības uzskaiti, operatīvu un plānveida budžeta analīzi, kas kalpos par pamatu uz pierādījumiem balstītu lēmumu pieņemšanai nākotnē. </w:t>
      </w:r>
    </w:p>
    <w:p w:rsidR="00FE0D64" w:rsidRPr="00B94590" w:rsidRDefault="00FE0D64" w:rsidP="00FE0D64">
      <w:pPr>
        <w:ind w:left="720"/>
        <w:jc w:val="both"/>
        <w:rPr>
          <w:lang w:eastAsia="en-US"/>
        </w:rPr>
      </w:pPr>
    </w:p>
    <w:p w:rsidR="00807768" w:rsidRPr="00B94590" w:rsidRDefault="00807768" w:rsidP="00807768">
      <w:pPr>
        <w:jc w:val="both"/>
        <w:rPr>
          <w:lang w:eastAsia="en-US"/>
        </w:rPr>
      </w:pPr>
      <w:r w:rsidRPr="00B94590">
        <w:rPr>
          <w:lang w:eastAsia="en-US"/>
        </w:rPr>
        <w:t>Ja netiks risinātas pastāvošās problēmas un ieviests šajā koncepcijā aprakstītais sistēmas darbības modelis kā vienots risinājums situācijas uzlabošanai, var rasties tālākas negatīvas sekas attiecībā uz</w:t>
      </w:r>
      <w:r w:rsidR="005328F7" w:rsidRPr="00B94590">
        <w:rPr>
          <w:lang w:eastAsia="en-US"/>
        </w:rPr>
        <w:t xml:space="preserve"> racionālu tehnoloģiju izmantošanu un finanšu un grāmatvedības procesu optimizāciju</w:t>
      </w:r>
      <w:r w:rsidR="001B597B" w:rsidRPr="00B94590">
        <w:rPr>
          <w:lang w:eastAsia="en-US"/>
        </w:rPr>
        <w:t>:</w:t>
      </w:r>
    </w:p>
    <w:p w:rsidR="00697490" w:rsidRPr="00B94590" w:rsidRDefault="00697490" w:rsidP="00697490">
      <w:pPr>
        <w:numPr>
          <w:ilvl w:val="0"/>
          <w:numId w:val="32"/>
        </w:numPr>
        <w:jc w:val="both"/>
        <w:rPr>
          <w:lang w:eastAsia="en-US"/>
        </w:rPr>
      </w:pPr>
      <w:r w:rsidRPr="00B94590">
        <w:rPr>
          <w:lang w:eastAsia="en-US"/>
        </w:rPr>
        <w:t>Valsts budžeta iestāžu pārskatu datu kvalitāte informācijas apkopošanas un konsolidācijas procedūras saglabāsies esošajā līmenī, kas ne vienmēr ir pietiekama budžeta plānošanas un kontroles efektīvai veikšanai;</w:t>
      </w:r>
    </w:p>
    <w:p w:rsidR="00A35295" w:rsidRPr="00B94590" w:rsidRDefault="00A35295" w:rsidP="00701E76">
      <w:pPr>
        <w:numPr>
          <w:ilvl w:val="0"/>
          <w:numId w:val="32"/>
        </w:numPr>
        <w:jc w:val="both"/>
        <w:rPr>
          <w:lang w:eastAsia="en-US"/>
        </w:rPr>
      </w:pPr>
      <w:r w:rsidRPr="00B94590">
        <w:rPr>
          <w:lang w:eastAsia="en-US"/>
        </w:rPr>
        <w:t>Pastāvēs tikai ierobežotas valsts finanšu datu analīzes iespējas, lai pilnvērtīgi sagatavotu lēmumiem nepieciešamo informāciju gadskārtējam valsts budžeta likumam un vidēja termiņa budžeta ietvara likumam</w:t>
      </w:r>
      <w:r w:rsidR="00697490" w:rsidRPr="00B94590">
        <w:rPr>
          <w:lang w:eastAsia="en-US"/>
        </w:rPr>
        <w:t>.</w:t>
      </w:r>
    </w:p>
    <w:p w:rsidR="00ED55CF" w:rsidRPr="00B94590" w:rsidRDefault="00ED55CF" w:rsidP="00A65510">
      <w:pPr>
        <w:jc w:val="both"/>
        <w:rPr>
          <w:lang w:eastAsia="en-US"/>
        </w:rPr>
      </w:pPr>
    </w:p>
    <w:p w:rsidR="00ED55CF" w:rsidRPr="00B94590" w:rsidRDefault="00ED55CF" w:rsidP="00A6551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778"/>
        <w:gridCol w:w="2875"/>
      </w:tblGrid>
      <w:tr w:rsidR="00FB5EAE" w:rsidRPr="00B94590" w:rsidTr="00FB5EAE">
        <w:tc>
          <w:tcPr>
            <w:tcW w:w="3095" w:type="dxa"/>
          </w:tcPr>
          <w:p w:rsidR="002F5C4D" w:rsidRDefault="002F5C4D" w:rsidP="00F5363D">
            <w:pPr>
              <w:pStyle w:val="Body0"/>
              <w:jc w:val="both"/>
              <w:rPr>
                <w:sz w:val="28"/>
                <w:szCs w:val="28"/>
              </w:rPr>
            </w:pPr>
          </w:p>
          <w:p w:rsidR="00FB5EAE" w:rsidRPr="00B94590" w:rsidRDefault="00FB5EAE" w:rsidP="00F5363D">
            <w:pPr>
              <w:pStyle w:val="Body0"/>
              <w:jc w:val="both"/>
              <w:rPr>
                <w:sz w:val="28"/>
                <w:szCs w:val="28"/>
              </w:rPr>
            </w:pPr>
            <w:r w:rsidRPr="00B94590">
              <w:rPr>
                <w:sz w:val="28"/>
                <w:szCs w:val="28"/>
              </w:rPr>
              <w:t>Finanšu ministrs</w:t>
            </w:r>
          </w:p>
        </w:tc>
        <w:tc>
          <w:tcPr>
            <w:tcW w:w="3096" w:type="dxa"/>
          </w:tcPr>
          <w:p w:rsidR="00FB5EAE" w:rsidRPr="00B94590" w:rsidRDefault="00FB5EAE" w:rsidP="00F5363D">
            <w:pPr>
              <w:pStyle w:val="Body0"/>
              <w:jc w:val="both"/>
              <w:rPr>
                <w:sz w:val="28"/>
                <w:szCs w:val="28"/>
              </w:rPr>
            </w:pPr>
          </w:p>
        </w:tc>
        <w:tc>
          <w:tcPr>
            <w:tcW w:w="3096" w:type="dxa"/>
          </w:tcPr>
          <w:p w:rsidR="00FB5EAE" w:rsidRPr="00B94590" w:rsidRDefault="00FB5EAE" w:rsidP="00F5363D">
            <w:pPr>
              <w:pStyle w:val="Body0"/>
              <w:jc w:val="right"/>
              <w:rPr>
                <w:sz w:val="28"/>
                <w:szCs w:val="28"/>
              </w:rPr>
            </w:pPr>
            <w:r w:rsidRPr="00B94590">
              <w:rPr>
                <w:sz w:val="28"/>
                <w:szCs w:val="28"/>
              </w:rPr>
              <w:t>A.Vilks</w:t>
            </w:r>
          </w:p>
        </w:tc>
      </w:tr>
    </w:tbl>
    <w:p w:rsidR="00FB5EAE" w:rsidRPr="00B94590" w:rsidRDefault="00FB5EAE" w:rsidP="00FB5EAE">
      <w:pPr>
        <w:pStyle w:val="Body0"/>
        <w:jc w:val="both"/>
        <w:rPr>
          <w:sz w:val="28"/>
          <w:szCs w:val="28"/>
        </w:rPr>
      </w:pPr>
    </w:p>
    <w:p w:rsidR="00ED55CF" w:rsidRPr="00B94590" w:rsidRDefault="00ED55CF" w:rsidP="00A65510">
      <w:pPr>
        <w:tabs>
          <w:tab w:val="left" w:pos="851"/>
          <w:tab w:val="left" w:pos="2410"/>
          <w:tab w:val="left" w:pos="3119"/>
        </w:tabs>
        <w:jc w:val="both"/>
      </w:pPr>
    </w:p>
    <w:p w:rsidR="008E1F2A" w:rsidRPr="00B94590" w:rsidRDefault="008E1F2A" w:rsidP="00A65510">
      <w:pPr>
        <w:tabs>
          <w:tab w:val="left" w:pos="851"/>
          <w:tab w:val="left" w:pos="2410"/>
          <w:tab w:val="left" w:pos="3119"/>
        </w:tabs>
        <w:jc w:val="both"/>
      </w:pPr>
    </w:p>
    <w:p w:rsidR="008E1F2A" w:rsidRPr="00B94590" w:rsidRDefault="008E1F2A" w:rsidP="00A65510">
      <w:pPr>
        <w:tabs>
          <w:tab w:val="left" w:pos="851"/>
          <w:tab w:val="left" w:pos="2410"/>
          <w:tab w:val="left" w:pos="3119"/>
        </w:tabs>
        <w:jc w:val="both"/>
      </w:pPr>
    </w:p>
    <w:p w:rsidR="008E1F2A" w:rsidRPr="00B94590" w:rsidRDefault="002F5C4D" w:rsidP="008E1F2A">
      <w:pPr>
        <w:jc w:val="both"/>
        <w:rPr>
          <w:sz w:val="20"/>
          <w:szCs w:val="20"/>
        </w:rPr>
      </w:pPr>
      <w:r>
        <w:rPr>
          <w:sz w:val="20"/>
          <w:szCs w:val="20"/>
        </w:rPr>
        <w:t>27</w:t>
      </w:r>
      <w:r w:rsidR="00E8564F">
        <w:rPr>
          <w:sz w:val="20"/>
          <w:szCs w:val="20"/>
        </w:rPr>
        <w:t>.03</w:t>
      </w:r>
      <w:r w:rsidR="006A2CAF">
        <w:rPr>
          <w:sz w:val="20"/>
          <w:szCs w:val="20"/>
        </w:rPr>
        <w:t>.2012.</w:t>
      </w:r>
      <w:r w:rsidR="008E1F2A" w:rsidRPr="00B94590">
        <w:rPr>
          <w:sz w:val="20"/>
          <w:szCs w:val="20"/>
        </w:rPr>
        <w:t xml:space="preserve"> </w:t>
      </w:r>
      <w:r w:rsidR="000B25FC">
        <w:rPr>
          <w:sz w:val="20"/>
          <w:szCs w:val="20"/>
        </w:rPr>
        <w:t>15:52</w:t>
      </w:r>
    </w:p>
    <w:p w:rsidR="008E1F2A" w:rsidRPr="00B94590" w:rsidRDefault="008E1F2A" w:rsidP="008E1F2A">
      <w:pPr>
        <w:jc w:val="both"/>
        <w:rPr>
          <w:sz w:val="20"/>
          <w:szCs w:val="20"/>
        </w:rPr>
      </w:pPr>
      <w:r w:rsidRPr="00B94590">
        <w:rPr>
          <w:sz w:val="20"/>
          <w:szCs w:val="20"/>
        </w:rPr>
        <w:fldChar w:fldCharType="begin"/>
      </w:r>
      <w:r w:rsidRPr="00B94590">
        <w:rPr>
          <w:sz w:val="20"/>
          <w:szCs w:val="20"/>
        </w:rPr>
        <w:instrText xml:space="preserve"> NUMWORDS  \* MERGEFORMAT </w:instrText>
      </w:r>
      <w:r w:rsidRPr="00B94590">
        <w:rPr>
          <w:sz w:val="20"/>
          <w:szCs w:val="20"/>
        </w:rPr>
        <w:fldChar w:fldCharType="separate"/>
      </w:r>
      <w:r w:rsidR="00B34772">
        <w:rPr>
          <w:noProof/>
          <w:sz w:val="20"/>
          <w:szCs w:val="20"/>
        </w:rPr>
        <w:t>15549</w:t>
      </w:r>
      <w:r w:rsidRPr="00B94590">
        <w:rPr>
          <w:sz w:val="20"/>
          <w:szCs w:val="20"/>
        </w:rPr>
        <w:fldChar w:fldCharType="end"/>
      </w:r>
    </w:p>
    <w:p w:rsidR="008E1F2A" w:rsidRPr="00B94590" w:rsidRDefault="008E1F2A" w:rsidP="008E1F2A">
      <w:pPr>
        <w:jc w:val="both"/>
        <w:rPr>
          <w:sz w:val="20"/>
          <w:szCs w:val="20"/>
        </w:rPr>
      </w:pPr>
      <w:r w:rsidRPr="00B94590">
        <w:rPr>
          <w:sz w:val="20"/>
          <w:szCs w:val="20"/>
        </w:rPr>
        <w:t>Finanšu ministrija</w:t>
      </w:r>
    </w:p>
    <w:p w:rsidR="008E1F2A" w:rsidRPr="00B94590" w:rsidRDefault="008E1F2A" w:rsidP="008E1F2A">
      <w:pPr>
        <w:jc w:val="both"/>
        <w:rPr>
          <w:sz w:val="20"/>
          <w:szCs w:val="20"/>
        </w:rPr>
      </w:pPr>
      <w:r w:rsidRPr="00B94590">
        <w:rPr>
          <w:sz w:val="20"/>
          <w:szCs w:val="20"/>
        </w:rPr>
        <w:t>Finanšu vadības un metodoloģijas departaments</w:t>
      </w:r>
    </w:p>
    <w:p w:rsidR="008E1F2A" w:rsidRPr="00B94590" w:rsidRDefault="008E1F2A" w:rsidP="008E1F2A">
      <w:pPr>
        <w:jc w:val="both"/>
        <w:rPr>
          <w:sz w:val="20"/>
          <w:szCs w:val="20"/>
        </w:rPr>
      </w:pPr>
      <w:r w:rsidRPr="00B94590">
        <w:rPr>
          <w:sz w:val="20"/>
          <w:szCs w:val="20"/>
        </w:rPr>
        <w:t xml:space="preserve">Direktora vietniece </w:t>
      </w:r>
    </w:p>
    <w:p w:rsidR="008E1F2A" w:rsidRPr="00B94590" w:rsidRDefault="008E1F2A" w:rsidP="008E1F2A">
      <w:pPr>
        <w:jc w:val="both"/>
        <w:rPr>
          <w:sz w:val="20"/>
        </w:rPr>
      </w:pPr>
      <w:bookmarkStart w:id="163" w:name="OLE_LINK7"/>
      <w:bookmarkStart w:id="164" w:name="OLE_LINK8"/>
      <w:r w:rsidRPr="00B94590">
        <w:rPr>
          <w:sz w:val="20"/>
          <w:szCs w:val="20"/>
        </w:rPr>
        <w:t>L.Ruškule,</w:t>
      </w:r>
      <w:r w:rsidR="003B0CF6" w:rsidRPr="00B94590">
        <w:rPr>
          <w:sz w:val="20"/>
          <w:szCs w:val="20"/>
        </w:rPr>
        <w:t xml:space="preserve"> </w:t>
      </w:r>
      <w:r w:rsidRPr="00B94590">
        <w:rPr>
          <w:sz w:val="20"/>
        </w:rPr>
        <w:t>67083914</w:t>
      </w:r>
    </w:p>
    <w:p w:rsidR="00ED55CF" w:rsidRPr="00B94590" w:rsidRDefault="00A44C91" w:rsidP="00A65510">
      <w:pPr>
        <w:jc w:val="both"/>
      </w:pPr>
      <w:r w:rsidRPr="00B94590">
        <w:rPr>
          <w:sz w:val="20"/>
          <w:szCs w:val="20"/>
          <w:u w:val="single"/>
        </w:rPr>
        <w:t>l</w:t>
      </w:r>
      <w:r w:rsidR="008E1F2A" w:rsidRPr="00B94590">
        <w:rPr>
          <w:sz w:val="20"/>
          <w:szCs w:val="20"/>
          <w:u w:val="single"/>
        </w:rPr>
        <w:t>aila.ruskule</w:t>
      </w:r>
      <w:hyperlink r:id="rId24" w:history="1">
        <w:r w:rsidR="008E1F2A" w:rsidRPr="00B94590">
          <w:rPr>
            <w:rStyle w:val="Hyperlink"/>
            <w:color w:val="auto"/>
            <w:sz w:val="20"/>
            <w:szCs w:val="20"/>
          </w:rPr>
          <w:t>@fm.gov.lv</w:t>
        </w:r>
      </w:hyperlink>
      <w:r w:rsidR="008E1F2A" w:rsidRPr="00B94590">
        <w:rPr>
          <w:sz w:val="20"/>
          <w:szCs w:val="20"/>
        </w:rPr>
        <w:t xml:space="preserve"> </w:t>
      </w:r>
      <w:bookmarkEnd w:id="163"/>
      <w:bookmarkEnd w:id="164"/>
    </w:p>
    <w:p w:rsidR="00ED55CF" w:rsidRPr="00B94590" w:rsidRDefault="00ED55CF" w:rsidP="00A65510">
      <w:pPr>
        <w:jc w:val="both"/>
        <w:rPr>
          <w:sz w:val="28"/>
          <w:szCs w:val="28"/>
        </w:rPr>
      </w:pPr>
    </w:p>
    <w:p w:rsidR="00ED55CF" w:rsidRPr="00B94590" w:rsidRDefault="00ED55CF" w:rsidP="00A65510">
      <w:pPr>
        <w:jc w:val="both"/>
        <w:rPr>
          <w:sz w:val="28"/>
          <w:szCs w:val="28"/>
        </w:rPr>
      </w:pPr>
    </w:p>
    <w:sectPr w:rsidR="00ED55CF" w:rsidRPr="00B94590" w:rsidSect="00D66855">
      <w:headerReference w:type="default" r:id="rId25"/>
      <w:footerReference w:type="default" r:id="rId26"/>
      <w:pgSz w:w="11907" w:h="16840" w:code="9"/>
      <w:pgMar w:top="1440" w:right="1797" w:bottom="1440" w:left="1797" w:header="709" w:footer="709"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DDA" w:rsidRDefault="00D92DDA">
      <w:r>
        <w:separator/>
      </w:r>
    </w:p>
  </w:endnote>
  <w:endnote w:type="continuationSeparator" w:id="0">
    <w:p w:rsidR="00D92DDA" w:rsidRDefault="00D9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Baltic">
    <w:altName w:val="Arial"/>
    <w:panose1 w:val="00000000000000000000"/>
    <w:charset w:val="FF"/>
    <w:family w:val="swiss"/>
    <w:notTrueType/>
    <w:pitch w:val="variable"/>
    <w:sig w:usb0="00000003"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tarSymbol">
    <w:panose1 w:val="00000000000000000000"/>
    <w:charset w:val="02"/>
    <w:family w:val="auto"/>
    <w:notTrueType/>
    <w:pitch w:val="default"/>
  </w:font>
  <w:font w:name="MS Mincho">
    <w:altName w:val="ＭＳ 明朝"/>
    <w:panose1 w:val="02020609040205080304"/>
    <w:charset w:val="80"/>
    <w:family w:val="modern"/>
    <w:pitch w:val="fixed"/>
    <w:sig w:usb0="A00002BF" w:usb1="68C7FCFB" w:usb2="00000010" w:usb3="00000000" w:csb0="0002009F" w:csb1="00000000"/>
  </w:font>
  <w:font w:name="Dutch TL">
    <w:panose1 w:val="02020603060505020304"/>
    <w:charset w:val="BA"/>
    <w:family w:val="roman"/>
    <w:pitch w:val="variable"/>
    <w:sig w:usb0="800002EF" w:usb1="00000048" w:usb2="00000000" w:usb3="00000000" w:csb0="00000097"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94" w:rsidRPr="00D66855" w:rsidRDefault="006F6894">
    <w:pPr>
      <w:pStyle w:val="Footer"/>
      <w:pBdr>
        <w:top w:val="single" w:sz="4" w:space="1" w:color="auto"/>
      </w:pBdr>
      <w:rPr>
        <w:sz w:val="20"/>
        <w:szCs w:val="20"/>
      </w:rPr>
    </w:pPr>
    <w:r>
      <w:rPr>
        <w:sz w:val="20"/>
        <w:szCs w:val="20"/>
      </w:rPr>
      <w:t>FMKonc_270312; Vienotas valsts iestāžu finanšu un vadības grāmatvedības sistēmas  un finanšu analīzes rīka izveide, nodrošinot finanšu un cilvēkresursu vadību koncepcija</w:t>
    </w:r>
    <w:r w:rsidRPr="00D66855">
      <w:rPr>
        <w:sz w:val="20"/>
        <w:szCs w:val="20"/>
      </w:rPr>
      <w:tab/>
    </w:r>
    <w:r w:rsidRPr="00D66855">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DDA" w:rsidRDefault="00D92DDA">
      <w:r>
        <w:separator/>
      </w:r>
    </w:p>
  </w:footnote>
  <w:footnote w:type="continuationSeparator" w:id="0">
    <w:p w:rsidR="00D92DDA" w:rsidRDefault="00D92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94" w:rsidRDefault="006F6894">
    <w:pPr>
      <w:pStyle w:val="Header"/>
      <w:pBdr>
        <w:bottom w:val="single" w:sz="4" w:space="1" w:color="auto"/>
      </w:pBdr>
      <w:tabs>
        <w:tab w:val="clear" w:pos="4320"/>
        <w:tab w:val="clear" w:pos="8640"/>
        <w:tab w:val="center" w:pos="8647"/>
      </w:tabs>
      <w:rPr>
        <w:sz w:val="20"/>
        <w:szCs w:val="20"/>
      </w:rPr>
    </w:pPr>
    <w:r>
      <w:rPr>
        <w:rStyle w:val="PageNumber"/>
        <w:sz w:val="20"/>
        <w:szCs w:val="20"/>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94198F">
      <w:rPr>
        <w:rStyle w:val="PageNumber"/>
        <w:noProof/>
        <w:sz w:val="20"/>
        <w:szCs w:val="20"/>
      </w:rPr>
      <w:t>44</w:t>
    </w:r>
    <w:r>
      <w:rPr>
        <w:rStyle w:val="PageNumbe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304AEE"/>
    <w:lvl w:ilvl="0">
      <w:numFmt w:val="bullet"/>
      <w:lvlText w:val="*"/>
      <w:lvlJc w:val="left"/>
    </w:lvl>
  </w:abstractNum>
  <w:abstractNum w:abstractNumId="1">
    <w:nsid w:val="00000001"/>
    <w:multiLevelType w:val="multilevel"/>
    <w:tmpl w:val="00000001"/>
    <w:name w:val="WW8Num2"/>
    <w:lvl w:ilvl="0">
      <w:start w:val="1"/>
      <w:numFmt w:val="bullet"/>
      <w:suff w:val="nothing"/>
      <w:lvlText w:val=""/>
      <w:lvlJc w:val="left"/>
      <w:rPr>
        <w:rFonts w:ascii="Symbol" w:hAnsi="Symbol"/>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2">
    <w:nsid w:val="025E6F3E"/>
    <w:multiLevelType w:val="hybridMultilevel"/>
    <w:tmpl w:val="DA22D486"/>
    <w:lvl w:ilvl="0" w:tplc="0426000F">
      <w:start w:val="1"/>
      <w:numFmt w:val="decimal"/>
      <w:lvlText w:val="%1."/>
      <w:lvlJc w:val="left"/>
      <w:pPr>
        <w:tabs>
          <w:tab w:val="num" w:pos="360"/>
        </w:tabs>
        <w:ind w:left="36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3">
    <w:nsid w:val="0665010B"/>
    <w:multiLevelType w:val="hybridMultilevel"/>
    <w:tmpl w:val="688886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C7B6A21"/>
    <w:multiLevelType w:val="hybridMultilevel"/>
    <w:tmpl w:val="A3384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6DE7177"/>
    <w:multiLevelType w:val="hybridMultilevel"/>
    <w:tmpl w:val="AE26899E"/>
    <w:lvl w:ilvl="0" w:tplc="04260017">
      <w:start w:val="1"/>
      <w:numFmt w:val="lowerLetter"/>
      <w:lvlText w:val="%1)"/>
      <w:lvlJc w:val="left"/>
      <w:pPr>
        <w:ind w:left="2944" w:hanging="360"/>
      </w:pPr>
    </w:lvl>
    <w:lvl w:ilvl="1" w:tplc="04260019" w:tentative="1">
      <w:start w:val="1"/>
      <w:numFmt w:val="lowerLetter"/>
      <w:lvlText w:val="%2."/>
      <w:lvlJc w:val="left"/>
      <w:pPr>
        <w:ind w:left="3664" w:hanging="360"/>
      </w:pPr>
    </w:lvl>
    <w:lvl w:ilvl="2" w:tplc="0426001B" w:tentative="1">
      <w:start w:val="1"/>
      <w:numFmt w:val="lowerRoman"/>
      <w:lvlText w:val="%3."/>
      <w:lvlJc w:val="right"/>
      <w:pPr>
        <w:ind w:left="4384" w:hanging="180"/>
      </w:pPr>
    </w:lvl>
    <w:lvl w:ilvl="3" w:tplc="0426000F" w:tentative="1">
      <w:start w:val="1"/>
      <w:numFmt w:val="decimal"/>
      <w:lvlText w:val="%4."/>
      <w:lvlJc w:val="left"/>
      <w:pPr>
        <w:ind w:left="5104" w:hanging="360"/>
      </w:pPr>
    </w:lvl>
    <w:lvl w:ilvl="4" w:tplc="04260019" w:tentative="1">
      <w:start w:val="1"/>
      <w:numFmt w:val="lowerLetter"/>
      <w:lvlText w:val="%5."/>
      <w:lvlJc w:val="left"/>
      <w:pPr>
        <w:ind w:left="5824" w:hanging="360"/>
      </w:pPr>
    </w:lvl>
    <w:lvl w:ilvl="5" w:tplc="0426001B" w:tentative="1">
      <w:start w:val="1"/>
      <w:numFmt w:val="lowerRoman"/>
      <w:lvlText w:val="%6."/>
      <w:lvlJc w:val="right"/>
      <w:pPr>
        <w:ind w:left="6544" w:hanging="180"/>
      </w:pPr>
    </w:lvl>
    <w:lvl w:ilvl="6" w:tplc="0426000F" w:tentative="1">
      <w:start w:val="1"/>
      <w:numFmt w:val="decimal"/>
      <w:lvlText w:val="%7."/>
      <w:lvlJc w:val="left"/>
      <w:pPr>
        <w:ind w:left="7264" w:hanging="360"/>
      </w:pPr>
    </w:lvl>
    <w:lvl w:ilvl="7" w:tplc="04260019" w:tentative="1">
      <w:start w:val="1"/>
      <w:numFmt w:val="lowerLetter"/>
      <w:lvlText w:val="%8."/>
      <w:lvlJc w:val="left"/>
      <w:pPr>
        <w:ind w:left="7984" w:hanging="360"/>
      </w:pPr>
    </w:lvl>
    <w:lvl w:ilvl="8" w:tplc="0426001B" w:tentative="1">
      <w:start w:val="1"/>
      <w:numFmt w:val="lowerRoman"/>
      <w:lvlText w:val="%9."/>
      <w:lvlJc w:val="right"/>
      <w:pPr>
        <w:ind w:left="8704" w:hanging="180"/>
      </w:pPr>
    </w:lvl>
  </w:abstractNum>
  <w:abstractNum w:abstractNumId="6">
    <w:nsid w:val="177C28B5"/>
    <w:multiLevelType w:val="multilevel"/>
    <w:tmpl w:val="135ACC36"/>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7">
    <w:nsid w:val="17DD2A2B"/>
    <w:multiLevelType w:val="hybridMultilevel"/>
    <w:tmpl w:val="F21476D2"/>
    <w:lvl w:ilvl="0" w:tplc="CD2EDFB4">
      <w:start w:val="1"/>
      <w:numFmt w:val="decimal"/>
      <w:pStyle w:val="Heading4"/>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8">
    <w:nsid w:val="17FB3C47"/>
    <w:multiLevelType w:val="hybridMultilevel"/>
    <w:tmpl w:val="8474F2E8"/>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9">
    <w:nsid w:val="1A532862"/>
    <w:multiLevelType w:val="hybridMultilevel"/>
    <w:tmpl w:val="3CBAF8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EFF4A14"/>
    <w:multiLevelType w:val="hybridMultilevel"/>
    <w:tmpl w:val="700E5A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F5411B1"/>
    <w:multiLevelType w:val="hybridMultilevel"/>
    <w:tmpl w:val="BEB49B48"/>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12">
    <w:nsid w:val="21FA3BAD"/>
    <w:multiLevelType w:val="hybridMultilevel"/>
    <w:tmpl w:val="3B98C8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40A53D4"/>
    <w:multiLevelType w:val="hybridMultilevel"/>
    <w:tmpl w:val="57C8271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267A572E"/>
    <w:multiLevelType w:val="multilevel"/>
    <w:tmpl w:val="8924C5A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86760E"/>
    <w:multiLevelType w:val="hybridMultilevel"/>
    <w:tmpl w:val="7B060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93B0A31"/>
    <w:multiLevelType w:val="hybridMultilevel"/>
    <w:tmpl w:val="65B0B0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2F1165AC"/>
    <w:multiLevelType w:val="hybridMultilevel"/>
    <w:tmpl w:val="60EEE7F6"/>
    <w:lvl w:ilvl="0" w:tplc="04260001">
      <w:start w:val="1"/>
      <w:numFmt w:val="bullet"/>
      <w:lvlText w:val=""/>
      <w:lvlJc w:val="left"/>
      <w:pPr>
        <w:tabs>
          <w:tab w:val="num" w:pos="1080"/>
        </w:tabs>
        <w:ind w:left="1080" w:hanging="360"/>
      </w:pPr>
      <w:rPr>
        <w:rFonts w:ascii="Symbol" w:hAnsi="Symbol"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8">
    <w:nsid w:val="39B22A65"/>
    <w:multiLevelType w:val="hybridMultilevel"/>
    <w:tmpl w:val="8F60020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3A977F9B"/>
    <w:multiLevelType w:val="hybridMultilevel"/>
    <w:tmpl w:val="6AC6BC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CB52B09"/>
    <w:multiLevelType w:val="multilevel"/>
    <w:tmpl w:val="C96A87B2"/>
    <w:lvl w:ilvl="0">
      <w:start w:val="1"/>
      <w:numFmt w:val="decimal"/>
      <w:pStyle w:val="SectionHeader"/>
      <w:lvlText w:val="%1"/>
      <w:lvlJc w:val="left"/>
      <w:pPr>
        <w:tabs>
          <w:tab w:val="num" w:pos="1152"/>
        </w:tabs>
        <w:ind w:left="1152" w:hanging="432"/>
      </w:pPr>
      <w:rPr>
        <w:rFonts w:ascii="Times New Roman" w:eastAsia="Times New Roman" w:hAnsi="Times New Roman" w:cs="Times New Roman" w:hint="default"/>
      </w:rPr>
    </w:lvl>
    <w:lvl w:ilvl="1">
      <w:start w:val="1"/>
      <w:numFmt w:val="decimal"/>
      <w:pStyle w:val="ChapterHeader"/>
      <w:lvlText w:val="1.%2"/>
      <w:lvlJc w:val="left"/>
      <w:pPr>
        <w:tabs>
          <w:tab w:val="num" w:pos="1296"/>
        </w:tabs>
        <w:ind w:left="1296" w:hanging="576"/>
      </w:pPr>
      <w:rPr>
        <w:rFonts w:cs="Times New Roman" w:hint="default"/>
      </w:rPr>
    </w:lvl>
    <w:lvl w:ilvl="2">
      <w:start w:val="1"/>
      <w:numFmt w:val="decimal"/>
      <w:lvlText w:val="2.2.%3"/>
      <w:lvlJc w:val="left"/>
      <w:pPr>
        <w:tabs>
          <w:tab w:val="num" w:pos="1980"/>
        </w:tabs>
        <w:ind w:left="162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21">
    <w:nsid w:val="3DFD49AB"/>
    <w:multiLevelType w:val="hybridMultilevel"/>
    <w:tmpl w:val="BEDCB81A"/>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22">
    <w:nsid w:val="3E03437A"/>
    <w:multiLevelType w:val="hybridMultilevel"/>
    <w:tmpl w:val="D408D5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3E684D8A"/>
    <w:multiLevelType w:val="singleLevel"/>
    <w:tmpl w:val="CFE63C32"/>
    <w:lvl w:ilvl="0">
      <w:start w:val="1"/>
      <w:numFmt w:val="bullet"/>
      <w:pStyle w:val="butons"/>
      <w:lvlText w:val=""/>
      <w:lvlJc w:val="left"/>
      <w:pPr>
        <w:tabs>
          <w:tab w:val="num" w:pos="432"/>
        </w:tabs>
        <w:ind w:left="432" w:hanging="432"/>
      </w:pPr>
      <w:rPr>
        <w:rFonts w:ascii="Symbol" w:hAnsi="Symbol" w:hint="default"/>
      </w:rPr>
    </w:lvl>
  </w:abstractNum>
  <w:abstractNum w:abstractNumId="24">
    <w:nsid w:val="3EE7638F"/>
    <w:multiLevelType w:val="hybridMultilevel"/>
    <w:tmpl w:val="23D4FDA0"/>
    <w:lvl w:ilvl="0" w:tplc="3758B892">
      <w:start w:val="1"/>
      <w:numFmt w:val="decimal"/>
      <w:lvlText w:val="%1."/>
      <w:lvlJc w:val="left"/>
      <w:pPr>
        <w:tabs>
          <w:tab w:val="num" w:pos="1080"/>
        </w:tabs>
        <w:ind w:left="1080" w:hanging="360"/>
      </w:pPr>
      <w:rPr>
        <w:rFonts w:cs="Times New Roman" w:hint="default"/>
        <w:b w:val="0"/>
        <w:i w:val="0"/>
      </w:rPr>
    </w:lvl>
    <w:lvl w:ilvl="1" w:tplc="04090019">
      <w:start w:val="1"/>
      <w:numFmt w:val="lowerLetter"/>
      <w:lvlText w:val="%2."/>
      <w:lvlJc w:val="left"/>
      <w:pPr>
        <w:tabs>
          <w:tab w:val="num" w:pos="720"/>
        </w:tabs>
        <w:ind w:left="720" w:hanging="360"/>
      </w:pPr>
      <w:rPr>
        <w:rFonts w:cs="Times New Roman"/>
      </w:rPr>
    </w:lvl>
    <w:lvl w:ilvl="2" w:tplc="7128A4DE">
      <w:start w:val="1"/>
      <w:numFmt w:val="decimal"/>
      <w:lvlText w:val="%3."/>
      <w:lvlJc w:val="right"/>
      <w:pPr>
        <w:tabs>
          <w:tab w:val="num" w:pos="1332"/>
        </w:tabs>
        <w:ind w:left="1332" w:hanging="72"/>
      </w:pPr>
      <w:rPr>
        <w:rFonts w:cs="Times New Roman" w:hint="default"/>
      </w:rPr>
    </w:lvl>
    <w:lvl w:ilvl="3" w:tplc="820ED6A8">
      <w:start w:val="1"/>
      <w:numFmt w:val="lowerLetter"/>
      <w:lvlText w:val="%4)"/>
      <w:lvlJc w:val="left"/>
      <w:pPr>
        <w:tabs>
          <w:tab w:val="num" w:pos="2160"/>
        </w:tabs>
        <w:ind w:left="2160" w:hanging="360"/>
      </w:pPr>
      <w:rPr>
        <w:rFonts w:cs="Times New Roman" w:hint="default"/>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25">
    <w:nsid w:val="402B6F10"/>
    <w:multiLevelType w:val="hybridMultilevel"/>
    <w:tmpl w:val="FD08DA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41191802"/>
    <w:multiLevelType w:val="hybridMultilevel"/>
    <w:tmpl w:val="987A20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5DE1610"/>
    <w:multiLevelType w:val="hybridMultilevel"/>
    <w:tmpl w:val="004A7CC2"/>
    <w:lvl w:ilvl="0" w:tplc="04260003">
      <w:start w:val="1"/>
      <w:numFmt w:val="bullet"/>
      <w:lvlText w:val="o"/>
      <w:lvlJc w:val="left"/>
      <w:pPr>
        <w:ind w:left="2880" w:hanging="360"/>
      </w:pPr>
      <w:rPr>
        <w:rFonts w:ascii="Courier New" w:hAnsi="Courier New" w:cs="Courier New"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8">
    <w:nsid w:val="47EB4C36"/>
    <w:multiLevelType w:val="hybridMultilevel"/>
    <w:tmpl w:val="D9C03CC8"/>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nsid w:val="4BDC6FBE"/>
    <w:multiLevelType w:val="hybridMultilevel"/>
    <w:tmpl w:val="26248B8E"/>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0">
    <w:nsid w:val="53052920"/>
    <w:multiLevelType w:val="hybridMultilevel"/>
    <w:tmpl w:val="FA342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6A01097"/>
    <w:multiLevelType w:val="hybridMultilevel"/>
    <w:tmpl w:val="42BEF99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nsid w:val="5B3E11B9"/>
    <w:multiLevelType w:val="hybridMultilevel"/>
    <w:tmpl w:val="C7325D8E"/>
    <w:lvl w:ilvl="0" w:tplc="676C332E">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5D21F5"/>
    <w:multiLevelType w:val="hybridMultilevel"/>
    <w:tmpl w:val="CC206F74"/>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nsid w:val="6696624D"/>
    <w:multiLevelType w:val="hybridMultilevel"/>
    <w:tmpl w:val="C074BA4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nsid w:val="66DD67EE"/>
    <w:multiLevelType w:val="hybridMultilevel"/>
    <w:tmpl w:val="E72E82C8"/>
    <w:lvl w:ilvl="0" w:tplc="4288A93C">
      <w:start w:val="20"/>
      <w:numFmt w:val="bullet"/>
      <w:lvlText w:val="-"/>
      <w:lvlJc w:val="left"/>
      <w:pPr>
        <w:ind w:left="1140" w:hanging="360"/>
      </w:pPr>
      <w:rPr>
        <w:rFonts w:ascii="Times New Roman" w:eastAsia="Times New Roman"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36">
    <w:nsid w:val="69291B31"/>
    <w:multiLevelType w:val="hybridMultilevel"/>
    <w:tmpl w:val="DF2673BE"/>
    <w:lvl w:ilvl="0" w:tplc="3A7CF692">
      <w:start w:val="1"/>
      <w:numFmt w:val="bullet"/>
      <w:lvlText w:val=""/>
      <w:lvlJc w:val="left"/>
      <w:pPr>
        <w:tabs>
          <w:tab w:val="num" w:pos="794"/>
        </w:tabs>
        <w:ind w:left="794"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7">
    <w:nsid w:val="69FC3842"/>
    <w:multiLevelType w:val="hybridMultilevel"/>
    <w:tmpl w:val="197E60E4"/>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38">
    <w:nsid w:val="6B335CC2"/>
    <w:multiLevelType w:val="hybridMultilevel"/>
    <w:tmpl w:val="97EE17A8"/>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39">
    <w:nsid w:val="6F1D0579"/>
    <w:multiLevelType w:val="hybridMultilevel"/>
    <w:tmpl w:val="64E63570"/>
    <w:lvl w:ilvl="0" w:tplc="44B2E62C">
      <w:start w:val="1"/>
      <w:numFmt w:val="bullet"/>
      <w:lvlText w:val=""/>
      <w:lvlJc w:val="left"/>
      <w:pPr>
        <w:tabs>
          <w:tab w:val="num" w:pos="794"/>
        </w:tabs>
        <w:ind w:left="794" w:hanging="360"/>
      </w:pPr>
      <w:rPr>
        <w:rFonts w:ascii="Symbol" w:hAnsi="Symbol" w:hint="default"/>
      </w:rPr>
    </w:lvl>
    <w:lvl w:ilvl="1" w:tplc="ADF8AC9A" w:tentative="1">
      <w:start w:val="1"/>
      <w:numFmt w:val="bullet"/>
      <w:lvlText w:val="o"/>
      <w:lvlJc w:val="left"/>
      <w:pPr>
        <w:tabs>
          <w:tab w:val="num" w:pos="1440"/>
        </w:tabs>
        <w:ind w:left="1440" w:hanging="360"/>
      </w:pPr>
      <w:rPr>
        <w:rFonts w:ascii="Courier New" w:hAnsi="Courier New" w:cs="Courier New" w:hint="default"/>
      </w:rPr>
    </w:lvl>
    <w:lvl w:ilvl="2" w:tplc="24C62274" w:tentative="1">
      <w:start w:val="1"/>
      <w:numFmt w:val="bullet"/>
      <w:lvlText w:val=""/>
      <w:lvlJc w:val="left"/>
      <w:pPr>
        <w:tabs>
          <w:tab w:val="num" w:pos="2160"/>
        </w:tabs>
        <w:ind w:left="2160" w:hanging="360"/>
      </w:pPr>
      <w:rPr>
        <w:rFonts w:ascii="Wingdings" w:hAnsi="Wingdings" w:hint="default"/>
      </w:rPr>
    </w:lvl>
    <w:lvl w:ilvl="3" w:tplc="426EFC94" w:tentative="1">
      <w:start w:val="1"/>
      <w:numFmt w:val="bullet"/>
      <w:lvlText w:val=""/>
      <w:lvlJc w:val="left"/>
      <w:pPr>
        <w:tabs>
          <w:tab w:val="num" w:pos="2880"/>
        </w:tabs>
        <w:ind w:left="2880" w:hanging="360"/>
      </w:pPr>
      <w:rPr>
        <w:rFonts w:ascii="Symbol" w:hAnsi="Symbol" w:hint="default"/>
      </w:rPr>
    </w:lvl>
    <w:lvl w:ilvl="4" w:tplc="413C04A8" w:tentative="1">
      <w:start w:val="1"/>
      <w:numFmt w:val="bullet"/>
      <w:lvlText w:val="o"/>
      <w:lvlJc w:val="left"/>
      <w:pPr>
        <w:tabs>
          <w:tab w:val="num" w:pos="3600"/>
        </w:tabs>
        <w:ind w:left="3600" w:hanging="360"/>
      </w:pPr>
      <w:rPr>
        <w:rFonts w:ascii="Courier New" w:hAnsi="Courier New" w:cs="Courier New" w:hint="default"/>
      </w:rPr>
    </w:lvl>
    <w:lvl w:ilvl="5" w:tplc="1706C0AA" w:tentative="1">
      <w:start w:val="1"/>
      <w:numFmt w:val="bullet"/>
      <w:lvlText w:val=""/>
      <w:lvlJc w:val="left"/>
      <w:pPr>
        <w:tabs>
          <w:tab w:val="num" w:pos="4320"/>
        </w:tabs>
        <w:ind w:left="4320" w:hanging="360"/>
      </w:pPr>
      <w:rPr>
        <w:rFonts w:ascii="Wingdings" w:hAnsi="Wingdings" w:hint="default"/>
      </w:rPr>
    </w:lvl>
    <w:lvl w:ilvl="6" w:tplc="B4B29D76" w:tentative="1">
      <w:start w:val="1"/>
      <w:numFmt w:val="bullet"/>
      <w:lvlText w:val=""/>
      <w:lvlJc w:val="left"/>
      <w:pPr>
        <w:tabs>
          <w:tab w:val="num" w:pos="5040"/>
        </w:tabs>
        <w:ind w:left="5040" w:hanging="360"/>
      </w:pPr>
      <w:rPr>
        <w:rFonts w:ascii="Symbol" w:hAnsi="Symbol" w:hint="default"/>
      </w:rPr>
    </w:lvl>
    <w:lvl w:ilvl="7" w:tplc="3F286786" w:tentative="1">
      <w:start w:val="1"/>
      <w:numFmt w:val="bullet"/>
      <w:lvlText w:val="o"/>
      <w:lvlJc w:val="left"/>
      <w:pPr>
        <w:tabs>
          <w:tab w:val="num" w:pos="5760"/>
        </w:tabs>
        <w:ind w:left="5760" w:hanging="360"/>
      </w:pPr>
      <w:rPr>
        <w:rFonts w:ascii="Courier New" w:hAnsi="Courier New" w:cs="Courier New" w:hint="default"/>
      </w:rPr>
    </w:lvl>
    <w:lvl w:ilvl="8" w:tplc="0436D0B4" w:tentative="1">
      <w:start w:val="1"/>
      <w:numFmt w:val="bullet"/>
      <w:lvlText w:val=""/>
      <w:lvlJc w:val="left"/>
      <w:pPr>
        <w:tabs>
          <w:tab w:val="num" w:pos="6480"/>
        </w:tabs>
        <w:ind w:left="6480" w:hanging="360"/>
      </w:pPr>
      <w:rPr>
        <w:rFonts w:ascii="Wingdings" w:hAnsi="Wingdings" w:hint="default"/>
      </w:rPr>
    </w:lvl>
  </w:abstractNum>
  <w:abstractNum w:abstractNumId="40">
    <w:nsid w:val="73067272"/>
    <w:multiLevelType w:val="multilevel"/>
    <w:tmpl w:val="7EF880BA"/>
    <w:lvl w:ilvl="0">
      <w:start w:val="1"/>
      <w:numFmt w:val="decimal"/>
      <w:pStyle w:val="Virsraksts1"/>
      <w:lvlText w:val="%1"/>
      <w:lvlJc w:val="left"/>
      <w:pPr>
        <w:tabs>
          <w:tab w:val="num" w:pos="252"/>
        </w:tabs>
        <w:ind w:left="252" w:hanging="432"/>
      </w:pPr>
      <w:rPr>
        <w:rFonts w:cs="Times New Roman" w:hint="default"/>
      </w:rPr>
    </w:lvl>
    <w:lvl w:ilvl="1">
      <w:start w:val="1"/>
      <w:numFmt w:val="decimal"/>
      <w:pStyle w:val="Virsraksts2"/>
      <w:lvlText w:val="%1.%2"/>
      <w:lvlJc w:val="left"/>
      <w:pPr>
        <w:tabs>
          <w:tab w:val="num" w:pos="576"/>
        </w:tabs>
        <w:ind w:left="576" w:hanging="576"/>
      </w:pPr>
      <w:rPr>
        <w:rFonts w:cs="Times New Roman" w:hint="default"/>
      </w:rPr>
    </w:lvl>
    <w:lvl w:ilvl="2">
      <w:start w:val="1"/>
      <w:numFmt w:val="decimal"/>
      <w:pStyle w:val="Virsraksts3"/>
      <w:lvlText w:val="%1.%2.%3"/>
      <w:lvlJc w:val="left"/>
      <w:pPr>
        <w:tabs>
          <w:tab w:val="num" w:pos="540"/>
        </w:tabs>
        <w:ind w:left="540" w:hanging="720"/>
      </w:pPr>
      <w:rPr>
        <w:rFonts w:cs="Times New Roman" w:hint="default"/>
      </w:rPr>
    </w:lvl>
    <w:lvl w:ilvl="3">
      <w:start w:val="1"/>
      <w:numFmt w:val="decimal"/>
      <w:pStyle w:val="Virsraksts4CharChar"/>
      <w:lvlText w:val="%1.%2.%3.%4"/>
      <w:lvlJc w:val="left"/>
      <w:pPr>
        <w:tabs>
          <w:tab w:val="num" w:pos="1404"/>
        </w:tabs>
        <w:ind w:left="1404" w:hanging="864"/>
      </w:pPr>
      <w:rPr>
        <w:rFonts w:cs="Times New Roman" w:hint="default"/>
      </w:rPr>
    </w:lvl>
    <w:lvl w:ilvl="4">
      <w:start w:val="1"/>
      <w:numFmt w:val="decimal"/>
      <w:lvlText w:val="%1.%2.%3.%4.%5"/>
      <w:lvlJc w:val="left"/>
      <w:pPr>
        <w:tabs>
          <w:tab w:val="num" w:pos="828"/>
        </w:tabs>
        <w:ind w:left="828" w:hanging="1008"/>
      </w:pPr>
      <w:rPr>
        <w:rFonts w:cs="Times New Roman" w:hint="default"/>
      </w:rPr>
    </w:lvl>
    <w:lvl w:ilvl="5">
      <w:start w:val="1"/>
      <w:numFmt w:val="decimal"/>
      <w:lvlText w:val="%1.%2.%3.%4.%5.%6"/>
      <w:lvlJc w:val="left"/>
      <w:pPr>
        <w:tabs>
          <w:tab w:val="num" w:pos="972"/>
        </w:tabs>
        <w:ind w:left="972" w:hanging="1152"/>
      </w:pPr>
      <w:rPr>
        <w:rFonts w:cs="Times New Roman" w:hint="default"/>
      </w:rPr>
    </w:lvl>
    <w:lvl w:ilvl="6">
      <w:start w:val="1"/>
      <w:numFmt w:val="decimal"/>
      <w:lvlText w:val="%1.%2.%3.%4.%5.%6.%7"/>
      <w:lvlJc w:val="left"/>
      <w:pPr>
        <w:tabs>
          <w:tab w:val="num" w:pos="1116"/>
        </w:tabs>
        <w:ind w:left="1116" w:hanging="1296"/>
      </w:pPr>
      <w:rPr>
        <w:rFonts w:cs="Times New Roman" w:hint="default"/>
      </w:rPr>
    </w:lvl>
    <w:lvl w:ilvl="7">
      <w:start w:val="1"/>
      <w:numFmt w:val="decimal"/>
      <w:lvlText w:val="%1.%2.%3.%4.%5.%6.%7.%8"/>
      <w:lvlJc w:val="left"/>
      <w:pPr>
        <w:tabs>
          <w:tab w:val="num" w:pos="1260"/>
        </w:tabs>
        <w:ind w:left="1260" w:hanging="1440"/>
      </w:pPr>
      <w:rPr>
        <w:rFonts w:cs="Times New Roman" w:hint="default"/>
      </w:rPr>
    </w:lvl>
    <w:lvl w:ilvl="8">
      <w:start w:val="1"/>
      <w:numFmt w:val="decimal"/>
      <w:lvlText w:val="%1.%2.%3.%4.%5.%6.%7.%8.%9"/>
      <w:lvlJc w:val="left"/>
      <w:pPr>
        <w:tabs>
          <w:tab w:val="num" w:pos="1404"/>
        </w:tabs>
        <w:ind w:left="1404" w:hanging="1584"/>
      </w:pPr>
      <w:rPr>
        <w:rFonts w:cs="Times New Roman" w:hint="default"/>
      </w:rPr>
    </w:lvl>
  </w:abstractNum>
  <w:abstractNum w:abstractNumId="41">
    <w:nsid w:val="77BE7D43"/>
    <w:multiLevelType w:val="singleLevel"/>
    <w:tmpl w:val="AEA68F32"/>
    <w:lvl w:ilvl="0">
      <w:start w:val="1"/>
      <w:numFmt w:val="decimal"/>
      <w:lvlText w:val="[%1]"/>
      <w:lvlJc w:val="left"/>
      <w:pPr>
        <w:tabs>
          <w:tab w:val="num" w:pos="454"/>
        </w:tabs>
        <w:ind w:left="454" w:hanging="454"/>
      </w:pPr>
      <w:rPr>
        <w:rFonts w:cs="Times New Roman"/>
      </w:rPr>
    </w:lvl>
  </w:abstractNum>
  <w:abstractNum w:abstractNumId="42">
    <w:nsid w:val="7A6C4815"/>
    <w:multiLevelType w:val="hybridMultilevel"/>
    <w:tmpl w:val="05FAB4FA"/>
    <w:lvl w:ilvl="0" w:tplc="9A16BB9C">
      <w:start w:val="1"/>
      <w:numFmt w:val="bullet"/>
      <w:pStyle w:val="Normalb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7D016320"/>
    <w:multiLevelType w:val="multilevel"/>
    <w:tmpl w:val="FF10D5A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41"/>
  </w:num>
  <w:num w:numId="3">
    <w:abstractNumId w:val="24"/>
  </w:num>
  <w:num w:numId="4">
    <w:abstractNumId w:val="20"/>
  </w:num>
  <w:num w:numId="5">
    <w:abstractNumId w:val="42"/>
  </w:num>
  <w:num w:numId="6">
    <w:abstractNumId w:val="19"/>
  </w:num>
  <w:num w:numId="7">
    <w:abstractNumId w:val="10"/>
  </w:num>
  <w:num w:numId="8">
    <w:abstractNumId w:val="6"/>
  </w:num>
  <w:num w:numId="9">
    <w:abstractNumId w:val="40"/>
  </w:num>
  <w:num w:numId="10">
    <w:abstractNumId w:val="2"/>
  </w:num>
  <w:num w:numId="11">
    <w:abstractNumId w:val="7"/>
  </w:num>
  <w:num w:numId="12">
    <w:abstractNumId w:val="13"/>
  </w:num>
  <w:num w:numId="13">
    <w:abstractNumId w:val="16"/>
  </w:num>
  <w:num w:numId="14">
    <w:abstractNumId w:val="15"/>
  </w:num>
  <w:num w:numId="15">
    <w:abstractNumId w:val="17"/>
  </w:num>
  <w:num w:numId="16">
    <w:abstractNumId w:val="4"/>
  </w:num>
  <w:num w:numId="17">
    <w:abstractNumId w:val="39"/>
  </w:num>
  <w:num w:numId="18">
    <w:abstractNumId w:val="36"/>
  </w:num>
  <w:num w:numId="19">
    <w:abstractNumId w:val="18"/>
  </w:num>
  <w:num w:numId="20">
    <w:abstractNumId w:val="12"/>
  </w:num>
  <w:num w:numId="21">
    <w:abstractNumId w:val="22"/>
  </w:num>
  <w:num w:numId="22">
    <w:abstractNumId w:val="3"/>
  </w:num>
  <w:num w:numId="23">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4">
    <w:abstractNumId w:val="27"/>
  </w:num>
  <w:num w:numId="25">
    <w:abstractNumId w:val="5"/>
  </w:num>
  <w:num w:numId="26">
    <w:abstractNumId w:val="30"/>
  </w:num>
  <w:num w:numId="27">
    <w:abstractNumId w:val="38"/>
  </w:num>
  <w:num w:numId="28">
    <w:abstractNumId w:val="21"/>
  </w:num>
  <w:num w:numId="29">
    <w:abstractNumId w:val="8"/>
  </w:num>
  <w:num w:numId="30">
    <w:abstractNumId w:val="11"/>
  </w:num>
  <w:num w:numId="31">
    <w:abstractNumId w:val="31"/>
  </w:num>
  <w:num w:numId="32">
    <w:abstractNumId w:val="29"/>
  </w:num>
  <w:num w:numId="33">
    <w:abstractNumId w:val="26"/>
  </w:num>
  <w:num w:numId="34">
    <w:abstractNumId w:val="9"/>
  </w:num>
  <w:num w:numId="35">
    <w:abstractNumId w:val="32"/>
  </w:num>
  <w:num w:numId="36">
    <w:abstractNumId w:val="37"/>
  </w:num>
  <w:num w:numId="37">
    <w:abstractNumId w:val="14"/>
  </w:num>
  <w:num w:numId="38">
    <w:abstractNumId w:val="33"/>
  </w:num>
  <w:num w:numId="39">
    <w:abstractNumId w:val="35"/>
  </w:num>
  <w:num w:numId="40">
    <w:abstractNumId w:val="34"/>
  </w:num>
  <w:num w:numId="41">
    <w:abstractNumId w:val="28"/>
  </w:num>
  <w:num w:numId="42">
    <w:abstractNumId w:val="25"/>
  </w:num>
  <w:num w:numId="43">
    <w:abstractNumId w:val="4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9D8"/>
    <w:rsid w:val="00000748"/>
    <w:rsid w:val="0000095B"/>
    <w:rsid w:val="000028F1"/>
    <w:rsid w:val="00005EF9"/>
    <w:rsid w:val="00012261"/>
    <w:rsid w:val="00016337"/>
    <w:rsid w:val="00030EEB"/>
    <w:rsid w:val="00030FF6"/>
    <w:rsid w:val="00031A59"/>
    <w:rsid w:val="00035070"/>
    <w:rsid w:val="00036EE0"/>
    <w:rsid w:val="000406CA"/>
    <w:rsid w:val="00041926"/>
    <w:rsid w:val="00043514"/>
    <w:rsid w:val="000512CA"/>
    <w:rsid w:val="000659D8"/>
    <w:rsid w:val="000773A8"/>
    <w:rsid w:val="00081728"/>
    <w:rsid w:val="00085477"/>
    <w:rsid w:val="000918E8"/>
    <w:rsid w:val="0009399F"/>
    <w:rsid w:val="000A0126"/>
    <w:rsid w:val="000A3342"/>
    <w:rsid w:val="000A53BB"/>
    <w:rsid w:val="000A6FCD"/>
    <w:rsid w:val="000B09E5"/>
    <w:rsid w:val="000B25FC"/>
    <w:rsid w:val="000B28B6"/>
    <w:rsid w:val="000B2DD0"/>
    <w:rsid w:val="000B4FBC"/>
    <w:rsid w:val="000B5115"/>
    <w:rsid w:val="000B5697"/>
    <w:rsid w:val="000B6633"/>
    <w:rsid w:val="000C3510"/>
    <w:rsid w:val="000C402F"/>
    <w:rsid w:val="000C4A94"/>
    <w:rsid w:val="000C70D3"/>
    <w:rsid w:val="000C7D28"/>
    <w:rsid w:val="000D2431"/>
    <w:rsid w:val="000D3087"/>
    <w:rsid w:val="000D399E"/>
    <w:rsid w:val="000D43C6"/>
    <w:rsid w:val="000E2A26"/>
    <w:rsid w:val="000E2E28"/>
    <w:rsid w:val="000E2E63"/>
    <w:rsid w:val="000E6630"/>
    <w:rsid w:val="000F079E"/>
    <w:rsid w:val="000F2ED7"/>
    <w:rsid w:val="000F4444"/>
    <w:rsid w:val="000F5D14"/>
    <w:rsid w:val="000F6F8E"/>
    <w:rsid w:val="00103573"/>
    <w:rsid w:val="00104628"/>
    <w:rsid w:val="00107344"/>
    <w:rsid w:val="00111105"/>
    <w:rsid w:val="00111DB0"/>
    <w:rsid w:val="00114D79"/>
    <w:rsid w:val="00115AD9"/>
    <w:rsid w:val="00116800"/>
    <w:rsid w:val="00116D8B"/>
    <w:rsid w:val="001202CA"/>
    <w:rsid w:val="00121AEE"/>
    <w:rsid w:val="00124A67"/>
    <w:rsid w:val="0012541E"/>
    <w:rsid w:val="00126707"/>
    <w:rsid w:val="001311B5"/>
    <w:rsid w:val="0013178D"/>
    <w:rsid w:val="0013377A"/>
    <w:rsid w:val="00135413"/>
    <w:rsid w:val="0014103C"/>
    <w:rsid w:val="001410FB"/>
    <w:rsid w:val="00142A71"/>
    <w:rsid w:val="001508F1"/>
    <w:rsid w:val="00151C23"/>
    <w:rsid w:val="00157C96"/>
    <w:rsid w:val="00160074"/>
    <w:rsid w:val="001644C6"/>
    <w:rsid w:val="00164631"/>
    <w:rsid w:val="00165EB4"/>
    <w:rsid w:val="00167BAF"/>
    <w:rsid w:val="0017042C"/>
    <w:rsid w:val="00171654"/>
    <w:rsid w:val="00171D66"/>
    <w:rsid w:val="00174EA0"/>
    <w:rsid w:val="00175AF6"/>
    <w:rsid w:val="00180DB1"/>
    <w:rsid w:val="0018509B"/>
    <w:rsid w:val="0018511F"/>
    <w:rsid w:val="001974BF"/>
    <w:rsid w:val="001A049F"/>
    <w:rsid w:val="001A1048"/>
    <w:rsid w:val="001A3080"/>
    <w:rsid w:val="001A3E6D"/>
    <w:rsid w:val="001A647B"/>
    <w:rsid w:val="001B0C4E"/>
    <w:rsid w:val="001B0CBB"/>
    <w:rsid w:val="001B35F9"/>
    <w:rsid w:val="001B53CD"/>
    <w:rsid w:val="001B597B"/>
    <w:rsid w:val="001B5C7F"/>
    <w:rsid w:val="001C494F"/>
    <w:rsid w:val="001C766A"/>
    <w:rsid w:val="001D079A"/>
    <w:rsid w:val="001D3BC2"/>
    <w:rsid w:val="001D71E3"/>
    <w:rsid w:val="001E5A7C"/>
    <w:rsid w:val="001F14E7"/>
    <w:rsid w:val="001F6849"/>
    <w:rsid w:val="001F7C9E"/>
    <w:rsid w:val="00202B18"/>
    <w:rsid w:val="00205AE7"/>
    <w:rsid w:val="002066CD"/>
    <w:rsid w:val="00207A8B"/>
    <w:rsid w:val="00210367"/>
    <w:rsid w:val="002163DD"/>
    <w:rsid w:val="00216AD2"/>
    <w:rsid w:val="00217B0D"/>
    <w:rsid w:val="00222C9C"/>
    <w:rsid w:val="002276D2"/>
    <w:rsid w:val="00227A46"/>
    <w:rsid w:val="00227D86"/>
    <w:rsid w:val="00231C14"/>
    <w:rsid w:val="00232095"/>
    <w:rsid w:val="002348B0"/>
    <w:rsid w:val="00237688"/>
    <w:rsid w:val="00237E34"/>
    <w:rsid w:val="00241184"/>
    <w:rsid w:val="00241D5E"/>
    <w:rsid w:val="002453C1"/>
    <w:rsid w:val="0024766E"/>
    <w:rsid w:val="00252279"/>
    <w:rsid w:val="00252511"/>
    <w:rsid w:val="00256D71"/>
    <w:rsid w:val="002624F5"/>
    <w:rsid w:val="002654A7"/>
    <w:rsid w:val="00266D8E"/>
    <w:rsid w:val="00270FEA"/>
    <w:rsid w:val="00274F09"/>
    <w:rsid w:val="002779FF"/>
    <w:rsid w:val="00283EDB"/>
    <w:rsid w:val="00287FBC"/>
    <w:rsid w:val="00290751"/>
    <w:rsid w:val="00292BF8"/>
    <w:rsid w:val="00293877"/>
    <w:rsid w:val="00293A4B"/>
    <w:rsid w:val="00294B1F"/>
    <w:rsid w:val="00295906"/>
    <w:rsid w:val="002973B2"/>
    <w:rsid w:val="002974E5"/>
    <w:rsid w:val="002A4943"/>
    <w:rsid w:val="002A5998"/>
    <w:rsid w:val="002A6BA1"/>
    <w:rsid w:val="002B0FCA"/>
    <w:rsid w:val="002B1780"/>
    <w:rsid w:val="002C033E"/>
    <w:rsid w:val="002C070F"/>
    <w:rsid w:val="002C16DD"/>
    <w:rsid w:val="002C1BA5"/>
    <w:rsid w:val="002C3BB5"/>
    <w:rsid w:val="002D3804"/>
    <w:rsid w:val="002D48D4"/>
    <w:rsid w:val="002D70BB"/>
    <w:rsid w:val="002E0E7B"/>
    <w:rsid w:val="002F5C4D"/>
    <w:rsid w:val="002F65B4"/>
    <w:rsid w:val="002F7D16"/>
    <w:rsid w:val="003041D8"/>
    <w:rsid w:val="00313A21"/>
    <w:rsid w:val="00314969"/>
    <w:rsid w:val="00314F75"/>
    <w:rsid w:val="00315837"/>
    <w:rsid w:val="00326544"/>
    <w:rsid w:val="00334F18"/>
    <w:rsid w:val="003356E0"/>
    <w:rsid w:val="00336C49"/>
    <w:rsid w:val="0034038F"/>
    <w:rsid w:val="003417CB"/>
    <w:rsid w:val="0034516C"/>
    <w:rsid w:val="0035161A"/>
    <w:rsid w:val="00352264"/>
    <w:rsid w:val="00352A67"/>
    <w:rsid w:val="003541D1"/>
    <w:rsid w:val="00355E58"/>
    <w:rsid w:val="003636A5"/>
    <w:rsid w:val="003672F4"/>
    <w:rsid w:val="00370CE8"/>
    <w:rsid w:val="00371061"/>
    <w:rsid w:val="00373D64"/>
    <w:rsid w:val="00373D92"/>
    <w:rsid w:val="00381010"/>
    <w:rsid w:val="00381E24"/>
    <w:rsid w:val="003828B8"/>
    <w:rsid w:val="003838C3"/>
    <w:rsid w:val="00393145"/>
    <w:rsid w:val="00393189"/>
    <w:rsid w:val="0039519E"/>
    <w:rsid w:val="00395976"/>
    <w:rsid w:val="003A3662"/>
    <w:rsid w:val="003A71F5"/>
    <w:rsid w:val="003B0CF6"/>
    <w:rsid w:val="003B47DB"/>
    <w:rsid w:val="003C28EA"/>
    <w:rsid w:val="003C32BB"/>
    <w:rsid w:val="003C46F4"/>
    <w:rsid w:val="003C5410"/>
    <w:rsid w:val="003C57BD"/>
    <w:rsid w:val="003C6BB6"/>
    <w:rsid w:val="003D065B"/>
    <w:rsid w:val="003D1E7D"/>
    <w:rsid w:val="003D4D5D"/>
    <w:rsid w:val="003D61A6"/>
    <w:rsid w:val="003D713B"/>
    <w:rsid w:val="003D725C"/>
    <w:rsid w:val="003E49F8"/>
    <w:rsid w:val="003E7526"/>
    <w:rsid w:val="003F0E80"/>
    <w:rsid w:val="003F14DE"/>
    <w:rsid w:val="003F257E"/>
    <w:rsid w:val="003F2B86"/>
    <w:rsid w:val="003F31EE"/>
    <w:rsid w:val="003F34C3"/>
    <w:rsid w:val="003F4856"/>
    <w:rsid w:val="003F56B7"/>
    <w:rsid w:val="003F7CE7"/>
    <w:rsid w:val="00400A7B"/>
    <w:rsid w:val="00402A18"/>
    <w:rsid w:val="00410172"/>
    <w:rsid w:val="004105AA"/>
    <w:rsid w:val="00410DF1"/>
    <w:rsid w:val="00411F01"/>
    <w:rsid w:val="004121B7"/>
    <w:rsid w:val="00413FF3"/>
    <w:rsid w:val="0041496A"/>
    <w:rsid w:val="00417396"/>
    <w:rsid w:val="00422CA1"/>
    <w:rsid w:val="00425E9C"/>
    <w:rsid w:val="00426EC7"/>
    <w:rsid w:val="00427B79"/>
    <w:rsid w:val="00433C7F"/>
    <w:rsid w:val="0043714F"/>
    <w:rsid w:val="0043784E"/>
    <w:rsid w:val="00444406"/>
    <w:rsid w:val="00444E4C"/>
    <w:rsid w:val="00447333"/>
    <w:rsid w:val="00447767"/>
    <w:rsid w:val="00450996"/>
    <w:rsid w:val="00460692"/>
    <w:rsid w:val="004622F9"/>
    <w:rsid w:val="00462348"/>
    <w:rsid w:val="0046356E"/>
    <w:rsid w:val="0047069B"/>
    <w:rsid w:val="00471F74"/>
    <w:rsid w:val="004802CB"/>
    <w:rsid w:val="00494E4D"/>
    <w:rsid w:val="00494ED7"/>
    <w:rsid w:val="00495F49"/>
    <w:rsid w:val="004A1989"/>
    <w:rsid w:val="004A1BFB"/>
    <w:rsid w:val="004A3657"/>
    <w:rsid w:val="004A50B3"/>
    <w:rsid w:val="004A7151"/>
    <w:rsid w:val="004B1A13"/>
    <w:rsid w:val="004B305D"/>
    <w:rsid w:val="004C0340"/>
    <w:rsid w:val="004C4144"/>
    <w:rsid w:val="004C7D67"/>
    <w:rsid w:val="004D0CE7"/>
    <w:rsid w:val="004D2689"/>
    <w:rsid w:val="004D7F58"/>
    <w:rsid w:val="004E4CAA"/>
    <w:rsid w:val="004F00A5"/>
    <w:rsid w:val="004F0C5E"/>
    <w:rsid w:val="004F1281"/>
    <w:rsid w:val="004F4C3A"/>
    <w:rsid w:val="004F5317"/>
    <w:rsid w:val="00502AE5"/>
    <w:rsid w:val="00502F90"/>
    <w:rsid w:val="00505C90"/>
    <w:rsid w:val="0051088F"/>
    <w:rsid w:val="00512024"/>
    <w:rsid w:val="00515BB0"/>
    <w:rsid w:val="00520039"/>
    <w:rsid w:val="00522F3F"/>
    <w:rsid w:val="005234AA"/>
    <w:rsid w:val="00524557"/>
    <w:rsid w:val="00524D9E"/>
    <w:rsid w:val="00526CD9"/>
    <w:rsid w:val="005302B5"/>
    <w:rsid w:val="00532025"/>
    <w:rsid w:val="005328F7"/>
    <w:rsid w:val="00532E97"/>
    <w:rsid w:val="00536839"/>
    <w:rsid w:val="0054283C"/>
    <w:rsid w:val="005459B8"/>
    <w:rsid w:val="0055292F"/>
    <w:rsid w:val="0057039B"/>
    <w:rsid w:val="00572207"/>
    <w:rsid w:val="00574C75"/>
    <w:rsid w:val="00576D31"/>
    <w:rsid w:val="00581A1A"/>
    <w:rsid w:val="00581FA4"/>
    <w:rsid w:val="00583337"/>
    <w:rsid w:val="00583EA6"/>
    <w:rsid w:val="00584FB9"/>
    <w:rsid w:val="005861E8"/>
    <w:rsid w:val="00591541"/>
    <w:rsid w:val="00597EF1"/>
    <w:rsid w:val="005A268F"/>
    <w:rsid w:val="005A472E"/>
    <w:rsid w:val="005A5055"/>
    <w:rsid w:val="005B03BD"/>
    <w:rsid w:val="005B25A5"/>
    <w:rsid w:val="005B3254"/>
    <w:rsid w:val="005B5274"/>
    <w:rsid w:val="005B6B52"/>
    <w:rsid w:val="005C2B05"/>
    <w:rsid w:val="005C450E"/>
    <w:rsid w:val="005C5F56"/>
    <w:rsid w:val="005D452F"/>
    <w:rsid w:val="005D4D91"/>
    <w:rsid w:val="005E357B"/>
    <w:rsid w:val="005E5793"/>
    <w:rsid w:val="005F3D83"/>
    <w:rsid w:val="006040A6"/>
    <w:rsid w:val="00604B2B"/>
    <w:rsid w:val="00605086"/>
    <w:rsid w:val="006111BC"/>
    <w:rsid w:val="00612B92"/>
    <w:rsid w:val="00615E20"/>
    <w:rsid w:val="0061607C"/>
    <w:rsid w:val="00617581"/>
    <w:rsid w:val="006200D8"/>
    <w:rsid w:val="00621658"/>
    <w:rsid w:val="0062204C"/>
    <w:rsid w:val="0062272E"/>
    <w:rsid w:val="00625B04"/>
    <w:rsid w:val="0063461A"/>
    <w:rsid w:val="00641F6C"/>
    <w:rsid w:val="00642EBD"/>
    <w:rsid w:val="006436F9"/>
    <w:rsid w:val="00644476"/>
    <w:rsid w:val="00645AC7"/>
    <w:rsid w:val="006460E1"/>
    <w:rsid w:val="006537FC"/>
    <w:rsid w:val="0065388F"/>
    <w:rsid w:val="00654218"/>
    <w:rsid w:val="00654237"/>
    <w:rsid w:val="0066167E"/>
    <w:rsid w:val="00662091"/>
    <w:rsid w:val="00667726"/>
    <w:rsid w:val="00680267"/>
    <w:rsid w:val="00685875"/>
    <w:rsid w:val="0068663B"/>
    <w:rsid w:val="00697490"/>
    <w:rsid w:val="006A2CAF"/>
    <w:rsid w:val="006A438A"/>
    <w:rsid w:val="006A4D17"/>
    <w:rsid w:val="006A5032"/>
    <w:rsid w:val="006A6979"/>
    <w:rsid w:val="006B0590"/>
    <w:rsid w:val="006B6736"/>
    <w:rsid w:val="006C48C0"/>
    <w:rsid w:val="006C5F6A"/>
    <w:rsid w:val="006D0A7D"/>
    <w:rsid w:val="006D1234"/>
    <w:rsid w:val="006D17CF"/>
    <w:rsid w:val="006D3E96"/>
    <w:rsid w:val="006D3F5E"/>
    <w:rsid w:val="006D4007"/>
    <w:rsid w:val="006D4520"/>
    <w:rsid w:val="006E5106"/>
    <w:rsid w:val="006F2612"/>
    <w:rsid w:val="006F5BC8"/>
    <w:rsid w:val="006F6894"/>
    <w:rsid w:val="00701C7B"/>
    <w:rsid w:val="00701E76"/>
    <w:rsid w:val="0070260B"/>
    <w:rsid w:val="007046A2"/>
    <w:rsid w:val="00704C81"/>
    <w:rsid w:val="007052AA"/>
    <w:rsid w:val="0070642F"/>
    <w:rsid w:val="00707971"/>
    <w:rsid w:val="007111EF"/>
    <w:rsid w:val="007141E0"/>
    <w:rsid w:val="0072040A"/>
    <w:rsid w:val="0072096D"/>
    <w:rsid w:val="00724D97"/>
    <w:rsid w:val="007317D2"/>
    <w:rsid w:val="00732A1E"/>
    <w:rsid w:val="00734FEC"/>
    <w:rsid w:val="007356AA"/>
    <w:rsid w:val="00735946"/>
    <w:rsid w:val="00735EE2"/>
    <w:rsid w:val="00736255"/>
    <w:rsid w:val="0073646E"/>
    <w:rsid w:val="00737E80"/>
    <w:rsid w:val="00740D4A"/>
    <w:rsid w:val="00741682"/>
    <w:rsid w:val="00741CC1"/>
    <w:rsid w:val="00742979"/>
    <w:rsid w:val="00742AEF"/>
    <w:rsid w:val="00745870"/>
    <w:rsid w:val="00746EE3"/>
    <w:rsid w:val="007477F7"/>
    <w:rsid w:val="00750ABF"/>
    <w:rsid w:val="00750E01"/>
    <w:rsid w:val="00757783"/>
    <w:rsid w:val="00763281"/>
    <w:rsid w:val="00767298"/>
    <w:rsid w:val="007729AD"/>
    <w:rsid w:val="00775AF9"/>
    <w:rsid w:val="00775DEE"/>
    <w:rsid w:val="0077628B"/>
    <w:rsid w:val="00777B6B"/>
    <w:rsid w:val="00777CC6"/>
    <w:rsid w:val="00780EBC"/>
    <w:rsid w:val="007836FE"/>
    <w:rsid w:val="00787B13"/>
    <w:rsid w:val="00791AE7"/>
    <w:rsid w:val="00795B82"/>
    <w:rsid w:val="00795D3B"/>
    <w:rsid w:val="007A1345"/>
    <w:rsid w:val="007A1550"/>
    <w:rsid w:val="007A19C9"/>
    <w:rsid w:val="007A3D46"/>
    <w:rsid w:val="007A7F87"/>
    <w:rsid w:val="007B15AC"/>
    <w:rsid w:val="007B2410"/>
    <w:rsid w:val="007B4E0E"/>
    <w:rsid w:val="007B5427"/>
    <w:rsid w:val="007B6898"/>
    <w:rsid w:val="007C09C5"/>
    <w:rsid w:val="007C0BAF"/>
    <w:rsid w:val="007C203F"/>
    <w:rsid w:val="007C231B"/>
    <w:rsid w:val="007E2185"/>
    <w:rsid w:val="007E2E71"/>
    <w:rsid w:val="007E2FE5"/>
    <w:rsid w:val="007E2FEE"/>
    <w:rsid w:val="007E3B64"/>
    <w:rsid w:val="007E448C"/>
    <w:rsid w:val="007E5904"/>
    <w:rsid w:val="007E598C"/>
    <w:rsid w:val="007F07AC"/>
    <w:rsid w:val="007F2DAA"/>
    <w:rsid w:val="007F48B3"/>
    <w:rsid w:val="007F5802"/>
    <w:rsid w:val="007F5E9A"/>
    <w:rsid w:val="007F6873"/>
    <w:rsid w:val="008005B6"/>
    <w:rsid w:val="0080314F"/>
    <w:rsid w:val="008062BB"/>
    <w:rsid w:val="008064C0"/>
    <w:rsid w:val="008069EA"/>
    <w:rsid w:val="008069F8"/>
    <w:rsid w:val="00807199"/>
    <w:rsid w:val="00807768"/>
    <w:rsid w:val="00811548"/>
    <w:rsid w:val="00812BA9"/>
    <w:rsid w:val="008138A4"/>
    <w:rsid w:val="00813EDE"/>
    <w:rsid w:val="008231E0"/>
    <w:rsid w:val="0082537A"/>
    <w:rsid w:val="0082709C"/>
    <w:rsid w:val="00831DFF"/>
    <w:rsid w:val="0083333E"/>
    <w:rsid w:val="008376AC"/>
    <w:rsid w:val="0083774F"/>
    <w:rsid w:val="0084293A"/>
    <w:rsid w:val="00843B9D"/>
    <w:rsid w:val="0084570C"/>
    <w:rsid w:val="00847A15"/>
    <w:rsid w:val="00847BEC"/>
    <w:rsid w:val="00853F2C"/>
    <w:rsid w:val="0086330D"/>
    <w:rsid w:val="00863468"/>
    <w:rsid w:val="008639F0"/>
    <w:rsid w:val="00867690"/>
    <w:rsid w:val="00870587"/>
    <w:rsid w:val="00876527"/>
    <w:rsid w:val="00877723"/>
    <w:rsid w:val="00886B96"/>
    <w:rsid w:val="00887654"/>
    <w:rsid w:val="00890BF7"/>
    <w:rsid w:val="00891E35"/>
    <w:rsid w:val="008A1A05"/>
    <w:rsid w:val="008A5049"/>
    <w:rsid w:val="008A65CF"/>
    <w:rsid w:val="008B23CE"/>
    <w:rsid w:val="008B49F6"/>
    <w:rsid w:val="008C1E9A"/>
    <w:rsid w:val="008C7502"/>
    <w:rsid w:val="008C78D2"/>
    <w:rsid w:val="008D0B93"/>
    <w:rsid w:val="008D3390"/>
    <w:rsid w:val="008E0F67"/>
    <w:rsid w:val="008E1F2A"/>
    <w:rsid w:val="008E2D53"/>
    <w:rsid w:val="008E4F8C"/>
    <w:rsid w:val="008E7070"/>
    <w:rsid w:val="008E7130"/>
    <w:rsid w:val="008E734B"/>
    <w:rsid w:val="008F06A3"/>
    <w:rsid w:val="008F10AA"/>
    <w:rsid w:val="008F2C0A"/>
    <w:rsid w:val="008F2EE7"/>
    <w:rsid w:val="008F3529"/>
    <w:rsid w:val="008F6A02"/>
    <w:rsid w:val="00904BD2"/>
    <w:rsid w:val="00916DF8"/>
    <w:rsid w:val="00930746"/>
    <w:rsid w:val="00930D29"/>
    <w:rsid w:val="00931240"/>
    <w:rsid w:val="00936CE4"/>
    <w:rsid w:val="009402A3"/>
    <w:rsid w:val="0094198F"/>
    <w:rsid w:val="00944A49"/>
    <w:rsid w:val="00951FB1"/>
    <w:rsid w:val="009525AE"/>
    <w:rsid w:val="00952D67"/>
    <w:rsid w:val="00963615"/>
    <w:rsid w:val="009641BF"/>
    <w:rsid w:val="0096548A"/>
    <w:rsid w:val="00970366"/>
    <w:rsid w:val="009747D3"/>
    <w:rsid w:val="00974A63"/>
    <w:rsid w:val="00974DEE"/>
    <w:rsid w:val="00976FD1"/>
    <w:rsid w:val="00985094"/>
    <w:rsid w:val="00986476"/>
    <w:rsid w:val="00991CFF"/>
    <w:rsid w:val="00991DB0"/>
    <w:rsid w:val="00994178"/>
    <w:rsid w:val="0099574E"/>
    <w:rsid w:val="009962E5"/>
    <w:rsid w:val="009A53E1"/>
    <w:rsid w:val="009A57AF"/>
    <w:rsid w:val="009B05B4"/>
    <w:rsid w:val="009B23DB"/>
    <w:rsid w:val="009B3AD1"/>
    <w:rsid w:val="009B449C"/>
    <w:rsid w:val="009B68C8"/>
    <w:rsid w:val="009C2662"/>
    <w:rsid w:val="009C5EBA"/>
    <w:rsid w:val="009D1121"/>
    <w:rsid w:val="009D16D1"/>
    <w:rsid w:val="009D31A9"/>
    <w:rsid w:val="009D5133"/>
    <w:rsid w:val="009D58AE"/>
    <w:rsid w:val="009D74AA"/>
    <w:rsid w:val="009D7F44"/>
    <w:rsid w:val="009E1E47"/>
    <w:rsid w:val="009F0E29"/>
    <w:rsid w:val="009F62D5"/>
    <w:rsid w:val="009F63D5"/>
    <w:rsid w:val="00A0371E"/>
    <w:rsid w:val="00A0555A"/>
    <w:rsid w:val="00A06477"/>
    <w:rsid w:val="00A1283F"/>
    <w:rsid w:val="00A13B67"/>
    <w:rsid w:val="00A2369F"/>
    <w:rsid w:val="00A24FA2"/>
    <w:rsid w:val="00A306B2"/>
    <w:rsid w:val="00A3327A"/>
    <w:rsid w:val="00A344A8"/>
    <w:rsid w:val="00A35113"/>
    <w:rsid w:val="00A35295"/>
    <w:rsid w:val="00A43586"/>
    <w:rsid w:val="00A44C91"/>
    <w:rsid w:val="00A45318"/>
    <w:rsid w:val="00A51117"/>
    <w:rsid w:val="00A53585"/>
    <w:rsid w:val="00A56E3E"/>
    <w:rsid w:val="00A57B90"/>
    <w:rsid w:val="00A60D8A"/>
    <w:rsid w:val="00A641E6"/>
    <w:rsid w:val="00A64A6A"/>
    <w:rsid w:val="00A64C94"/>
    <w:rsid w:val="00A65510"/>
    <w:rsid w:val="00A703CC"/>
    <w:rsid w:val="00A70D49"/>
    <w:rsid w:val="00A7245C"/>
    <w:rsid w:val="00A72865"/>
    <w:rsid w:val="00A808DD"/>
    <w:rsid w:val="00A821AD"/>
    <w:rsid w:val="00A83394"/>
    <w:rsid w:val="00A84A9B"/>
    <w:rsid w:val="00A85395"/>
    <w:rsid w:val="00A86221"/>
    <w:rsid w:val="00A871FA"/>
    <w:rsid w:val="00A87290"/>
    <w:rsid w:val="00A878BB"/>
    <w:rsid w:val="00A91D2A"/>
    <w:rsid w:val="00A9727F"/>
    <w:rsid w:val="00A978A5"/>
    <w:rsid w:val="00AA53C6"/>
    <w:rsid w:val="00AB2C2D"/>
    <w:rsid w:val="00AB3663"/>
    <w:rsid w:val="00AC0B8B"/>
    <w:rsid w:val="00AC0F73"/>
    <w:rsid w:val="00AC1164"/>
    <w:rsid w:val="00AC35E5"/>
    <w:rsid w:val="00AC392B"/>
    <w:rsid w:val="00AC50AE"/>
    <w:rsid w:val="00AC6746"/>
    <w:rsid w:val="00AC702C"/>
    <w:rsid w:val="00AD1FA3"/>
    <w:rsid w:val="00AD4D48"/>
    <w:rsid w:val="00AD5839"/>
    <w:rsid w:val="00AD5893"/>
    <w:rsid w:val="00AD68A3"/>
    <w:rsid w:val="00AD6E74"/>
    <w:rsid w:val="00AE0FB9"/>
    <w:rsid w:val="00AE10BA"/>
    <w:rsid w:val="00AE2F7D"/>
    <w:rsid w:val="00AE3E43"/>
    <w:rsid w:val="00AF166C"/>
    <w:rsid w:val="00AF4667"/>
    <w:rsid w:val="00AF6708"/>
    <w:rsid w:val="00AF6969"/>
    <w:rsid w:val="00AF6AF4"/>
    <w:rsid w:val="00B01D73"/>
    <w:rsid w:val="00B10D56"/>
    <w:rsid w:val="00B1143D"/>
    <w:rsid w:val="00B16C66"/>
    <w:rsid w:val="00B17470"/>
    <w:rsid w:val="00B23B36"/>
    <w:rsid w:val="00B23F06"/>
    <w:rsid w:val="00B32F21"/>
    <w:rsid w:val="00B34772"/>
    <w:rsid w:val="00B36981"/>
    <w:rsid w:val="00B37CA7"/>
    <w:rsid w:val="00B415B9"/>
    <w:rsid w:val="00B453F2"/>
    <w:rsid w:val="00B52FB4"/>
    <w:rsid w:val="00B54ED9"/>
    <w:rsid w:val="00B55533"/>
    <w:rsid w:val="00B608CB"/>
    <w:rsid w:val="00B60EEB"/>
    <w:rsid w:val="00B627AD"/>
    <w:rsid w:val="00B63445"/>
    <w:rsid w:val="00B66086"/>
    <w:rsid w:val="00B66756"/>
    <w:rsid w:val="00B70754"/>
    <w:rsid w:val="00B74101"/>
    <w:rsid w:val="00B7794C"/>
    <w:rsid w:val="00B816F8"/>
    <w:rsid w:val="00B87413"/>
    <w:rsid w:val="00B921EB"/>
    <w:rsid w:val="00B94590"/>
    <w:rsid w:val="00B966EC"/>
    <w:rsid w:val="00BA2AA2"/>
    <w:rsid w:val="00BA3725"/>
    <w:rsid w:val="00BA6414"/>
    <w:rsid w:val="00BA7230"/>
    <w:rsid w:val="00BB4F37"/>
    <w:rsid w:val="00BB7318"/>
    <w:rsid w:val="00BB7BBF"/>
    <w:rsid w:val="00BC393E"/>
    <w:rsid w:val="00BD0C91"/>
    <w:rsid w:val="00BD11F2"/>
    <w:rsid w:val="00BD2A2B"/>
    <w:rsid w:val="00BE3259"/>
    <w:rsid w:val="00BE5EE3"/>
    <w:rsid w:val="00BF0145"/>
    <w:rsid w:val="00BF098F"/>
    <w:rsid w:val="00BF2DE4"/>
    <w:rsid w:val="00BF51CF"/>
    <w:rsid w:val="00C03BEB"/>
    <w:rsid w:val="00C06375"/>
    <w:rsid w:val="00C06DE2"/>
    <w:rsid w:val="00C079CA"/>
    <w:rsid w:val="00C07D72"/>
    <w:rsid w:val="00C07E23"/>
    <w:rsid w:val="00C12E53"/>
    <w:rsid w:val="00C13E54"/>
    <w:rsid w:val="00C1693D"/>
    <w:rsid w:val="00C2014E"/>
    <w:rsid w:val="00C2275C"/>
    <w:rsid w:val="00C3004D"/>
    <w:rsid w:val="00C30F08"/>
    <w:rsid w:val="00C32A86"/>
    <w:rsid w:val="00C333F7"/>
    <w:rsid w:val="00C34BAC"/>
    <w:rsid w:val="00C40CD6"/>
    <w:rsid w:val="00C41403"/>
    <w:rsid w:val="00C4166F"/>
    <w:rsid w:val="00C430ED"/>
    <w:rsid w:val="00C46441"/>
    <w:rsid w:val="00C4762A"/>
    <w:rsid w:val="00C522A4"/>
    <w:rsid w:val="00C62CE9"/>
    <w:rsid w:val="00C6760D"/>
    <w:rsid w:val="00C72B96"/>
    <w:rsid w:val="00C758D1"/>
    <w:rsid w:val="00C7616E"/>
    <w:rsid w:val="00C862C8"/>
    <w:rsid w:val="00C86C18"/>
    <w:rsid w:val="00C87C2F"/>
    <w:rsid w:val="00C87EA5"/>
    <w:rsid w:val="00C9559D"/>
    <w:rsid w:val="00CA200A"/>
    <w:rsid w:val="00CA5918"/>
    <w:rsid w:val="00CB0258"/>
    <w:rsid w:val="00CB1AF7"/>
    <w:rsid w:val="00CC01E5"/>
    <w:rsid w:val="00CC253B"/>
    <w:rsid w:val="00CC29F9"/>
    <w:rsid w:val="00CD0CDF"/>
    <w:rsid w:val="00CD10B0"/>
    <w:rsid w:val="00CD57BA"/>
    <w:rsid w:val="00CE229D"/>
    <w:rsid w:val="00CE454F"/>
    <w:rsid w:val="00CF1FAC"/>
    <w:rsid w:val="00CF5426"/>
    <w:rsid w:val="00D00060"/>
    <w:rsid w:val="00D02AD2"/>
    <w:rsid w:val="00D0712E"/>
    <w:rsid w:val="00D07637"/>
    <w:rsid w:val="00D07874"/>
    <w:rsid w:val="00D10C0B"/>
    <w:rsid w:val="00D12E49"/>
    <w:rsid w:val="00D1386E"/>
    <w:rsid w:val="00D169A5"/>
    <w:rsid w:val="00D175B6"/>
    <w:rsid w:val="00D177D1"/>
    <w:rsid w:val="00D20022"/>
    <w:rsid w:val="00D21AEC"/>
    <w:rsid w:val="00D22816"/>
    <w:rsid w:val="00D23005"/>
    <w:rsid w:val="00D23918"/>
    <w:rsid w:val="00D26B8A"/>
    <w:rsid w:val="00D275BF"/>
    <w:rsid w:val="00D33AF7"/>
    <w:rsid w:val="00D340B5"/>
    <w:rsid w:val="00D34E12"/>
    <w:rsid w:val="00D3644C"/>
    <w:rsid w:val="00D41367"/>
    <w:rsid w:val="00D446C1"/>
    <w:rsid w:val="00D45DDC"/>
    <w:rsid w:val="00D54A46"/>
    <w:rsid w:val="00D57D41"/>
    <w:rsid w:val="00D62B90"/>
    <w:rsid w:val="00D6459C"/>
    <w:rsid w:val="00D648EA"/>
    <w:rsid w:val="00D66855"/>
    <w:rsid w:val="00D668B3"/>
    <w:rsid w:val="00D67DDD"/>
    <w:rsid w:val="00D70DCF"/>
    <w:rsid w:val="00D719CD"/>
    <w:rsid w:val="00D72927"/>
    <w:rsid w:val="00D803A0"/>
    <w:rsid w:val="00D80839"/>
    <w:rsid w:val="00D8141C"/>
    <w:rsid w:val="00D831B6"/>
    <w:rsid w:val="00D85822"/>
    <w:rsid w:val="00D92DDA"/>
    <w:rsid w:val="00D940A4"/>
    <w:rsid w:val="00D95FEA"/>
    <w:rsid w:val="00DA6352"/>
    <w:rsid w:val="00DA6C9C"/>
    <w:rsid w:val="00DA7C61"/>
    <w:rsid w:val="00DB305F"/>
    <w:rsid w:val="00DB4AF8"/>
    <w:rsid w:val="00DC3629"/>
    <w:rsid w:val="00DC4A03"/>
    <w:rsid w:val="00DC67F2"/>
    <w:rsid w:val="00DD058A"/>
    <w:rsid w:val="00DD4405"/>
    <w:rsid w:val="00DD528E"/>
    <w:rsid w:val="00DE0F5B"/>
    <w:rsid w:val="00DE1F53"/>
    <w:rsid w:val="00DF0572"/>
    <w:rsid w:val="00DF091A"/>
    <w:rsid w:val="00DF1195"/>
    <w:rsid w:val="00DF13FF"/>
    <w:rsid w:val="00DF26F7"/>
    <w:rsid w:val="00E024F8"/>
    <w:rsid w:val="00E045AF"/>
    <w:rsid w:val="00E05750"/>
    <w:rsid w:val="00E06AB1"/>
    <w:rsid w:val="00E13A06"/>
    <w:rsid w:val="00E14D1B"/>
    <w:rsid w:val="00E152E0"/>
    <w:rsid w:val="00E15940"/>
    <w:rsid w:val="00E16879"/>
    <w:rsid w:val="00E175AB"/>
    <w:rsid w:val="00E204A4"/>
    <w:rsid w:val="00E21C08"/>
    <w:rsid w:val="00E22BD7"/>
    <w:rsid w:val="00E24396"/>
    <w:rsid w:val="00E24A83"/>
    <w:rsid w:val="00E24AFF"/>
    <w:rsid w:val="00E24CE7"/>
    <w:rsid w:val="00E2603A"/>
    <w:rsid w:val="00E301C8"/>
    <w:rsid w:val="00E30F4B"/>
    <w:rsid w:val="00E32BE0"/>
    <w:rsid w:val="00E33834"/>
    <w:rsid w:val="00E34226"/>
    <w:rsid w:val="00E35C93"/>
    <w:rsid w:val="00E36AD7"/>
    <w:rsid w:val="00E36FA0"/>
    <w:rsid w:val="00E36FF2"/>
    <w:rsid w:val="00E420E4"/>
    <w:rsid w:val="00E423EB"/>
    <w:rsid w:val="00E42D0B"/>
    <w:rsid w:val="00E4458B"/>
    <w:rsid w:val="00E47D93"/>
    <w:rsid w:val="00E5039C"/>
    <w:rsid w:val="00E53B95"/>
    <w:rsid w:val="00E64C38"/>
    <w:rsid w:val="00E64C5C"/>
    <w:rsid w:val="00E6750F"/>
    <w:rsid w:val="00E7004D"/>
    <w:rsid w:val="00E70E4F"/>
    <w:rsid w:val="00E70F71"/>
    <w:rsid w:val="00E71A92"/>
    <w:rsid w:val="00E76050"/>
    <w:rsid w:val="00E763D1"/>
    <w:rsid w:val="00E765E8"/>
    <w:rsid w:val="00E77BA4"/>
    <w:rsid w:val="00E80023"/>
    <w:rsid w:val="00E80039"/>
    <w:rsid w:val="00E80CFF"/>
    <w:rsid w:val="00E82B58"/>
    <w:rsid w:val="00E8564F"/>
    <w:rsid w:val="00E903BB"/>
    <w:rsid w:val="00E93D42"/>
    <w:rsid w:val="00E9481C"/>
    <w:rsid w:val="00EA21D6"/>
    <w:rsid w:val="00EA2243"/>
    <w:rsid w:val="00EA4414"/>
    <w:rsid w:val="00EA6435"/>
    <w:rsid w:val="00EA77FC"/>
    <w:rsid w:val="00EB05C8"/>
    <w:rsid w:val="00EB08D4"/>
    <w:rsid w:val="00EB1D87"/>
    <w:rsid w:val="00EC20B3"/>
    <w:rsid w:val="00ED1294"/>
    <w:rsid w:val="00ED18F4"/>
    <w:rsid w:val="00ED37B7"/>
    <w:rsid w:val="00ED55CF"/>
    <w:rsid w:val="00ED58D5"/>
    <w:rsid w:val="00EE7B92"/>
    <w:rsid w:val="00EF5496"/>
    <w:rsid w:val="00EF761F"/>
    <w:rsid w:val="00EF785D"/>
    <w:rsid w:val="00F02D6E"/>
    <w:rsid w:val="00F04C2C"/>
    <w:rsid w:val="00F05FC0"/>
    <w:rsid w:val="00F06537"/>
    <w:rsid w:val="00F06BB9"/>
    <w:rsid w:val="00F10DF2"/>
    <w:rsid w:val="00F10F32"/>
    <w:rsid w:val="00F115EA"/>
    <w:rsid w:val="00F11FDC"/>
    <w:rsid w:val="00F149CC"/>
    <w:rsid w:val="00F14DDD"/>
    <w:rsid w:val="00F15445"/>
    <w:rsid w:val="00F1559E"/>
    <w:rsid w:val="00F20F4D"/>
    <w:rsid w:val="00F267DF"/>
    <w:rsid w:val="00F26D04"/>
    <w:rsid w:val="00F32A0A"/>
    <w:rsid w:val="00F37A68"/>
    <w:rsid w:val="00F4325E"/>
    <w:rsid w:val="00F456F9"/>
    <w:rsid w:val="00F5363D"/>
    <w:rsid w:val="00F54278"/>
    <w:rsid w:val="00F56DA4"/>
    <w:rsid w:val="00F61EDC"/>
    <w:rsid w:val="00F65727"/>
    <w:rsid w:val="00F66B10"/>
    <w:rsid w:val="00F6725F"/>
    <w:rsid w:val="00F6755F"/>
    <w:rsid w:val="00F71DD4"/>
    <w:rsid w:val="00F83FF3"/>
    <w:rsid w:val="00F93E65"/>
    <w:rsid w:val="00F95C01"/>
    <w:rsid w:val="00FA0DA7"/>
    <w:rsid w:val="00FA52CD"/>
    <w:rsid w:val="00FA5720"/>
    <w:rsid w:val="00FA5835"/>
    <w:rsid w:val="00FA5AA9"/>
    <w:rsid w:val="00FB0AD0"/>
    <w:rsid w:val="00FB4409"/>
    <w:rsid w:val="00FB5EAE"/>
    <w:rsid w:val="00FC5422"/>
    <w:rsid w:val="00FC5C7A"/>
    <w:rsid w:val="00FD11A2"/>
    <w:rsid w:val="00FD783D"/>
    <w:rsid w:val="00FE0D64"/>
    <w:rsid w:val="00FE195E"/>
    <w:rsid w:val="00FE554A"/>
    <w:rsid w:val="00FE6EEC"/>
    <w:rsid w:val="00FF34E6"/>
    <w:rsid w:val="00FF38ED"/>
    <w:rsid w:val="00FF4B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annotation text" w:uiPriority="99"/>
    <w:lsdException w:name="caption" w:locked="1" w:qFormat="1"/>
    <w:lsdException w:name="table of figures" w:uiPriority="99"/>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09C5"/>
    <w:rPr>
      <w:sz w:val="24"/>
      <w:szCs w:val="24"/>
    </w:rPr>
  </w:style>
  <w:style w:type="paragraph" w:styleId="Heading1">
    <w:name w:val="heading 1"/>
    <w:basedOn w:val="Normal"/>
    <w:next w:val="Normal"/>
    <w:qFormat/>
    <w:rsid w:val="007C09C5"/>
    <w:pPr>
      <w:keepNext/>
      <w:pageBreakBefore/>
      <w:numPr>
        <w:numId w:val="8"/>
      </w:numPr>
      <w:spacing w:before="240" w:after="120"/>
      <w:outlineLvl w:val="0"/>
    </w:pPr>
    <w:rPr>
      <w:b/>
      <w:bCs/>
      <w:caps/>
      <w:kern w:val="32"/>
      <w:sz w:val="28"/>
      <w:szCs w:val="32"/>
      <w:lang w:val="en-GB" w:eastAsia="en-US"/>
    </w:rPr>
  </w:style>
  <w:style w:type="paragraph" w:styleId="Heading2">
    <w:name w:val="heading 2"/>
    <w:basedOn w:val="Normal"/>
    <w:next w:val="Normal"/>
    <w:autoRedefine/>
    <w:qFormat/>
    <w:rsid w:val="007C09C5"/>
    <w:pPr>
      <w:keepNext/>
      <w:numPr>
        <w:ilvl w:val="1"/>
        <w:numId w:val="8"/>
      </w:numPr>
      <w:tabs>
        <w:tab w:val="left" w:pos="862"/>
      </w:tabs>
      <w:spacing w:before="120" w:after="120"/>
      <w:outlineLvl w:val="1"/>
    </w:pPr>
    <w:rPr>
      <w:b/>
      <w:bCs/>
      <w:iCs/>
      <w:sz w:val="28"/>
      <w:szCs w:val="28"/>
      <w:lang w:val="en-GB" w:eastAsia="en-US"/>
    </w:rPr>
  </w:style>
  <w:style w:type="paragraph" w:styleId="Heading3">
    <w:name w:val="heading 3"/>
    <w:aliases w:val="Heading 3 Char,Antraste 3,Antraste 31,Antraste 32,Antraste 33,Antraste 34,Antraste 35,Antraste 36,Antraste 37"/>
    <w:basedOn w:val="Normal"/>
    <w:next w:val="Normal"/>
    <w:autoRedefine/>
    <w:qFormat/>
    <w:rsid w:val="00CD0CDF"/>
    <w:pPr>
      <w:keepNext/>
      <w:numPr>
        <w:ilvl w:val="2"/>
        <w:numId w:val="8"/>
      </w:numPr>
      <w:spacing w:before="240" w:after="120"/>
      <w:outlineLvl w:val="2"/>
    </w:pPr>
    <w:rPr>
      <w:b/>
      <w:bCs/>
      <w:szCs w:val="26"/>
      <w:lang w:eastAsia="en-US"/>
    </w:rPr>
  </w:style>
  <w:style w:type="paragraph" w:styleId="Heading4">
    <w:name w:val="heading 4"/>
    <w:basedOn w:val="Normal"/>
    <w:next w:val="Normal"/>
    <w:autoRedefine/>
    <w:qFormat/>
    <w:rsid w:val="007C09C5"/>
    <w:pPr>
      <w:keepNext/>
      <w:numPr>
        <w:numId w:val="11"/>
      </w:numPr>
      <w:tabs>
        <w:tab w:val="left" w:pos="1134"/>
      </w:tabs>
      <w:spacing w:before="120" w:after="120"/>
      <w:outlineLvl w:val="3"/>
    </w:pPr>
    <w:rPr>
      <w:b/>
      <w:bCs/>
      <w:szCs w:val="28"/>
      <w:lang w:val="en-GB" w:eastAsia="en-US"/>
    </w:rPr>
  </w:style>
  <w:style w:type="paragraph" w:styleId="Heading5">
    <w:name w:val="heading 5"/>
    <w:basedOn w:val="Normal"/>
    <w:next w:val="Normal"/>
    <w:autoRedefine/>
    <w:qFormat/>
    <w:rsid w:val="007C09C5"/>
    <w:pPr>
      <w:numPr>
        <w:ilvl w:val="4"/>
        <w:numId w:val="8"/>
      </w:numPr>
      <w:spacing w:before="240" w:after="60"/>
      <w:outlineLvl w:val="4"/>
    </w:pPr>
    <w:rPr>
      <w:b/>
      <w:bCs/>
      <w:iCs/>
      <w:szCs w:val="26"/>
      <w:lang w:val="en-GB" w:eastAsia="en-US"/>
    </w:rPr>
  </w:style>
  <w:style w:type="paragraph" w:styleId="Heading6">
    <w:name w:val="heading 6"/>
    <w:basedOn w:val="Normal"/>
    <w:next w:val="Normal"/>
    <w:qFormat/>
    <w:rsid w:val="007C09C5"/>
    <w:pPr>
      <w:keepNext/>
      <w:numPr>
        <w:ilvl w:val="5"/>
        <w:numId w:val="8"/>
      </w:numPr>
      <w:jc w:val="center"/>
      <w:outlineLvl w:val="5"/>
    </w:pPr>
    <w:rPr>
      <w:b/>
    </w:rPr>
  </w:style>
  <w:style w:type="paragraph" w:styleId="Heading7">
    <w:name w:val="heading 7"/>
    <w:basedOn w:val="Normal"/>
    <w:next w:val="Normal"/>
    <w:qFormat/>
    <w:rsid w:val="007C09C5"/>
    <w:pPr>
      <w:keepNext/>
      <w:numPr>
        <w:ilvl w:val="6"/>
        <w:numId w:val="8"/>
      </w:numPr>
      <w:jc w:val="center"/>
      <w:outlineLvl w:val="6"/>
    </w:pPr>
    <w:rPr>
      <w:sz w:val="52"/>
    </w:rPr>
  </w:style>
  <w:style w:type="paragraph" w:styleId="Heading8">
    <w:name w:val="heading 8"/>
    <w:basedOn w:val="Normal"/>
    <w:next w:val="Normal"/>
    <w:qFormat/>
    <w:rsid w:val="007C09C5"/>
    <w:pPr>
      <w:keepNext/>
      <w:numPr>
        <w:ilvl w:val="7"/>
        <w:numId w:val="8"/>
      </w:numPr>
      <w:jc w:val="right"/>
      <w:outlineLvl w:val="7"/>
    </w:pPr>
    <w:rPr>
      <w:b/>
      <w:bCs/>
      <w:sz w:val="52"/>
    </w:rPr>
  </w:style>
  <w:style w:type="paragraph" w:styleId="Heading9">
    <w:name w:val="heading 9"/>
    <w:basedOn w:val="Normal"/>
    <w:next w:val="Normal"/>
    <w:qFormat/>
    <w:rsid w:val="007C09C5"/>
    <w:pPr>
      <w:keepNext/>
      <w:framePr w:w="7978" w:h="618" w:hSpace="181" w:wrap="notBeside" w:vAnchor="page" w:hAnchor="page" w:x="1786" w:y="1768"/>
      <w:numPr>
        <w:ilvl w:val="8"/>
        <w:numId w:val="8"/>
      </w:numPr>
      <w:shd w:val="solid" w:color="FFFFFF" w:fill="FFFFFF"/>
      <w:outlineLvl w:val="8"/>
    </w:pPr>
    <w:rPr>
      <w:b/>
      <w:caps/>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09C5"/>
    <w:pPr>
      <w:tabs>
        <w:tab w:val="center" w:pos="4320"/>
        <w:tab w:val="right" w:pos="8640"/>
      </w:tabs>
      <w:spacing w:after="120"/>
    </w:pPr>
  </w:style>
  <w:style w:type="paragraph" w:customStyle="1" w:styleId="body">
    <w:name w:val="body"/>
    <w:basedOn w:val="BodyText"/>
    <w:uiPriority w:val="99"/>
    <w:rsid w:val="007C09C5"/>
    <w:pPr>
      <w:ind w:left="720"/>
    </w:pPr>
  </w:style>
  <w:style w:type="paragraph" w:styleId="BodyText">
    <w:name w:val="Body Text"/>
    <w:basedOn w:val="Normal"/>
    <w:rsid w:val="007C09C5"/>
    <w:pPr>
      <w:spacing w:after="120"/>
    </w:pPr>
  </w:style>
  <w:style w:type="paragraph" w:styleId="Footer">
    <w:name w:val="footer"/>
    <w:basedOn w:val="Normal"/>
    <w:rsid w:val="007C09C5"/>
    <w:pPr>
      <w:tabs>
        <w:tab w:val="center" w:pos="4320"/>
        <w:tab w:val="right" w:pos="8640"/>
      </w:tabs>
    </w:pPr>
  </w:style>
  <w:style w:type="character" w:styleId="PageNumber">
    <w:name w:val="page number"/>
    <w:rsid w:val="007C09C5"/>
    <w:rPr>
      <w:rFonts w:cs="Times New Roman"/>
    </w:rPr>
  </w:style>
  <w:style w:type="paragraph" w:styleId="TOC1">
    <w:name w:val="toc 1"/>
    <w:basedOn w:val="Normal"/>
    <w:next w:val="Normal"/>
    <w:autoRedefine/>
    <w:uiPriority w:val="39"/>
    <w:rsid w:val="007C09C5"/>
    <w:pPr>
      <w:tabs>
        <w:tab w:val="left" w:pos="964"/>
        <w:tab w:val="right" w:pos="8494"/>
      </w:tabs>
      <w:spacing w:before="240" w:after="120"/>
    </w:pPr>
    <w:rPr>
      <w:b/>
      <w:bCs/>
      <w:caps/>
      <w:sz w:val="20"/>
      <w:szCs w:val="26"/>
      <w:lang w:val="en-GB" w:eastAsia="en-US"/>
    </w:rPr>
  </w:style>
  <w:style w:type="paragraph" w:styleId="TOC2">
    <w:name w:val="toc 2"/>
    <w:basedOn w:val="Normal"/>
    <w:next w:val="Normal"/>
    <w:autoRedefine/>
    <w:uiPriority w:val="39"/>
    <w:rsid w:val="007C09C5"/>
    <w:pPr>
      <w:tabs>
        <w:tab w:val="left" w:pos="960"/>
        <w:tab w:val="right" w:pos="8494"/>
      </w:tabs>
      <w:spacing w:before="20" w:after="20"/>
      <w:ind w:left="964" w:hanging="964"/>
    </w:pPr>
    <w:rPr>
      <w:b/>
      <w:bCs/>
      <w:sz w:val="20"/>
      <w:lang w:eastAsia="en-US"/>
    </w:rPr>
  </w:style>
  <w:style w:type="paragraph" w:styleId="TOC3">
    <w:name w:val="toc 3"/>
    <w:basedOn w:val="Normal"/>
    <w:next w:val="Normal"/>
    <w:autoRedefine/>
    <w:uiPriority w:val="39"/>
    <w:rsid w:val="007C09C5"/>
    <w:pPr>
      <w:spacing w:before="20" w:after="20"/>
    </w:pPr>
    <w:rPr>
      <w:sz w:val="20"/>
      <w:lang w:eastAsia="en-US"/>
    </w:rPr>
  </w:style>
  <w:style w:type="paragraph" w:styleId="TOC4">
    <w:name w:val="toc 4"/>
    <w:basedOn w:val="Normal"/>
    <w:next w:val="Normal"/>
    <w:autoRedefine/>
    <w:semiHidden/>
    <w:rsid w:val="007C09C5"/>
    <w:rPr>
      <w:sz w:val="20"/>
      <w:szCs w:val="26"/>
      <w:lang w:val="en-GB" w:eastAsia="en-US"/>
    </w:rPr>
  </w:style>
  <w:style w:type="paragraph" w:styleId="TOC5">
    <w:name w:val="toc 5"/>
    <w:basedOn w:val="Normal"/>
    <w:next w:val="Normal"/>
    <w:autoRedefine/>
    <w:semiHidden/>
    <w:rsid w:val="007C09C5"/>
    <w:rPr>
      <w:sz w:val="20"/>
      <w:szCs w:val="26"/>
      <w:lang w:val="en-GB" w:eastAsia="en-US"/>
    </w:rPr>
  </w:style>
  <w:style w:type="paragraph" w:styleId="TOC6">
    <w:name w:val="toc 6"/>
    <w:basedOn w:val="Normal"/>
    <w:next w:val="Normal"/>
    <w:autoRedefine/>
    <w:semiHidden/>
    <w:rsid w:val="007C09C5"/>
    <w:pPr>
      <w:ind w:left="1000"/>
    </w:pPr>
    <w:rPr>
      <w:sz w:val="18"/>
    </w:rPr>
  </w:style>
  <w:style w:type="paragraph" w:styleId="TOC7">
    <w:name w:val="toc 7"/>
    <w:basedOn w:val="Normal"/>
    <w:next w:val="Normal"/>
    <w:autoRedefine/>
    <w:semiHidden/>
    <w:rsid w:val="007C09C5"/>
    <w:pPr>
      <w:ind w:left="1200"/>
    </w:pPr>
    <w:rPr>
      <w:sz w:val="18"/>
    </w:rPr>
  </w:style>
  <w:style w:type="paragraph" w:styleId="TOC8">
    <w:name w:val="toc 8"/>
    <w:basedOn w:val="Normal"/>
    <w:next w:val="Normal"/>
    <w:autoRedefine/>
    <w:semiHidden/>
    <w:rsid w:val="007C09C5"/>
    <w:pPr>
      <w:ind w:left="1400"/>
    </w:pPr>
    <w:rPr>
      <w:sz w:val="18"/>
    </w:rPr>
  </w:style>
  <w:style w:type="paragraph" w:styleId="TOC9">
    <w:name w:val="toc 9"/>
    <w:basedOn w:val="Normal"/>
    <w:next w:val="Normal"/>
    <w:autoRedefine/>
    <w:semiHidden/>
    <w:rsid w:val="007C09C5"/>
    <w:pPr>
      <w:ind w:left="1600"/>
    </w:pPr>
    <w:rPr>
      <w:sz w:val="18"/>
    </w:rPr>
  </w:style>
  <w:style w:type="paragraph" w:customStyle="1" w:styleId="Body0">
    <w:name w:val="Body"/>
    <w:basedOn w:val="BodyText"/>
    <w:rsid w:val="007C09C5"/>
  </w:style>
  <w:style w:type="paragraph" w:customStyle="1" w:styleId="butons">
    <w:name w:val="butons"/>
    <w:basedOn w:val="body"/>
    <w:rsid w:val="007C09C5"/>
    <w:pPr>
      <w:numPr>
        <w:numId w:val="1"/>
      </w:numPr>
      <w:tabs>
        <w:tab w:val="clear" w:pos="432"/>
        <w:tab w:val="num" w:pos="1152"/>
      </w:tabs>
      <w:ind w:left="1152"/>
    </w:pPr>
  </w:style>
  <w:style w:type="paragraph" w:styleId="BodyTextIndent">
    <w:name w:val="Body Text Indent"/>
    <w:basedOn w:val="Normal"/>
    <w:rsid w:val="007C09C5"/>
    <w:pPr>
      <w:tabs>
        <w:tab w:val="left" w:pos="720"/>
      </w:tabs>
      <w:ind w:left="720"/>
      <w:jc w:val="both"/>
    </w:pPr>
  </w:style>
  <w:style w:type="character" w:styleId="LineNumber">
    <w:name w:val="line number"/>
    <w:rsid w:val="007C09C5"/>
    <w:rPr>
      <w:rFonts w:cs="Times New Roman"/>
    </w:rPr>
  </w:style>
  <w:style w:type="paragraph" w:styleId="Title">
    <w:name w:val="Title"/>
    <w:basedOn w:val="Normal"/>
    <w:qFormat/>
    <w:rsid w:val="007C09C5"/>
    <w:pPr>
      <w:tabs>
        <w:tab w:val="left" w:pos="360"/>
      </w:tabs>
      <w:ind w:left="360" w:hanging="360"/>
      <w:jc w:val="center"/>
    </w:pPr>
    <w:rPr>
      <w:b/>
      <w:sz w:val="26"/>
    </w:rPr>
  </w:style>
  <w:style w:type="paragraph" w:styleId="Subtitle">
    <w:name w:val="Subtitle"/>
    <w:basedOn w:val="Normal"/>
    <w:qFormat/>
    <w:rsid w:val="007C09C5"/>
    <w:pPr>
      <w:jc w:val="center"/>
    </w:pPr>
    <w:rPr>
      <w:b/>
      <w:sz w:val="28"/>
    </w:rPr>
  </w:style>
  <w:style w:type="paragraph" w:styleId="TOAHeading">
    <w:name w:val="toa heading"/>
    <w:basedOn w:val="Normal"/>
    <w:next w:val="Normal"/>
    <w:semiHidden/>
    <w:rsid w:val="007C09C5"/>
    <w:pPr>
      <w:spacing w:before="120"/>
      <w:jc w:val="both"/>
    </w:pPr>
    <w:rPr>
      <w:b/>
      <w:lang w:val="lt-LT"/>
    </w:rPr>
  </w:style>
  <w:style w:type="paragraph" w:styleId="Caption">
    <w:name w:val="caption"/>
    <w:basedOn w:val="Normal"/>
    <w:next w:val="Normal"/>
    <w:qFormat/>
    <w:rsid w:val="007C09C5"/>
    <w:pPr>
      <w:spacing w:before="120" w:after="120"/>
      <w:jc w:val="center"/>
    </w:pPr>
    <w:rPr>
      <w:b/>
      <w:bCs/>
      <w:sz w:val="20"/>
    </w:rPr>
  </w:style>
  <w:style w:type="paragraph" w:customStyle="1" w:styleId="Sectiontext">
    <w:name w:val="Section text"/>
    <w:basedOn w:val="Normal"/>
    <w:rsid w:val="007C09C5"/>
    <w:pPr>
      <w:spacing w:before="120" w:after="120"/>
    </w:pPr>
    <w:rPr>
      <w:rFonts w:ascii="Arial" w:hAnsi="Arial"/>
      <w:lang w:val="en-US"/>
    </w:rPr>
  </w:style>
  <w:style w:type="character" w:styleId="Strong">
    <w:name w:val="Strong"/>
    <w:qFormat/>
    <w:rsid w:val="007C09C5"/>
    <w:rPr>
      <w:rFonts w:cs="Times New Roman"/>
      <w:b/>
      <w:bCs/>
    </w:rPr>
  </w:style>
  <w:style w:type="paragraph" w:customStyle="1" w:styleId="SectionHeader">
    <w:name w:val="Section Header"/>
    <w:basedOn w:val="Normal"/>
    <w:next w:val="Sectiontext"/>
    <w:rsid w:val="007C09C5"/>
    <w:pPr>
      <w:numPr>
        <w:numId w:val="4"/>
      </w:numPr>
      <w:tabs>
        <w:tab w:val="left" w:pos="567"/>
      </w:tabs>
      <w:spacing w:before="240" w:after="240"/>
    </w:pPr>
    <w:rPr>
      <w:rFonts w:ascii="Arial" w:hAnsi="Arial"/>
      <w:sz w:val="36"/>
      <w:lang w:val="en-US"/>
    </w:rPr>
  </w:style>
  <w:style w:type="paragraph" w:customStyle="1" w:styleId="ChapterHeader">
    <w:name w:val="Chapter Header"/>
    <w:basedOn w:val="SectionHeader"/>
    <w:next w:val="ChapterText"/>
    <w:rsid w:val="007C09C5"/>
    <w:pPr>
      <w:numPr>
        <w:ilvl w:val="1"/>
      </w:numPr>
      <w:tabs>
        <w:tab w:val="clear" w:pos="1296"/>
        <w:tab w:val="num" w:pos="1560"/>
      </w:tabs>
    </w:pPr>
    <w:rPr>
      <w:b/>
      <w:sz w:val="28"/>
    </w:rPr>
  </w:style>
  <w:style w:type="paragraph" w:customStyle="1" w:styleId="ChapterText">
    <w:name w:val="Chapter Text"/>
    <w:basedOn w:val="Normal"/>
    <w:rsid w:val="007C09C5"/>
    <w:pPr>
      <w:spacing w:before="120" w:after="120"/>
      <w:ind w:left="1134"/>
      <w:jc w:val="both"/>
    </w:pPr>
    <w:rPr>
      <w:rFonts w:ascii="Arial" w:hAnsi="Arial"/>
      <w:lang w:val="en-US"/>
    </w:rPr>
  </w:style>
  <w:style w:type="paragraph" w:customStyle="1" w:styleId="ParagraphHeader">
    <w:name w:val="Paragraph Header"/>
    <w:basedOn w:val="SectionHeader"/>
    <w:next w:val="ParagraphText"/>
    <w:rsid w:val="007C09C5"/>
    <w:pPr>
      <w:numPr>
        <w:numId w:val="0"/>
      </w:numPr>
      <w:tabs>
        <w:tab w:val="num" w:pos="360"/>
      </w:tabs>
      <w:ind w:left="1620" w:hanging="720"/>
    </w:pPr>
    <w:rPr>
      <w:b/>
      <w:sz w:val="24"/>
      <w:lang w:val="en-GB"/>
    </w:rPr>
  </w:style>
  <w:style w:type="paragraph" w:customStyle="1" w:styleId="ParagraphText">
    <w:name w:val="Paragraph Text"/>
    <w:basedOn w:val="Normal"/>
    <w:rsid w:val="007C09C5"/>
    <w:pPr>
      <w:spacing w:before="120" w:after="120"/>
      <w:ind w:left="1871"/>
      <w:jc w:val="both"/>
    </w:pPr>
    <w:rPr>
      <w:rFonts w:ascii="Arial" w:hAnsi="Arial"/>
      <w:lang w:val="en-US"/>
    </w:rPr>
  </w:style>
  <w:style w:type="paragraph" w:customStyle="1" w:styleId="Punktliste2">
    <w:name w:val="Punktliste2"/>
    <w:basedOn w:val="Normal"/>
    <w:rsid w:val="007C09C5"/>
    <w:pPr>
      <w:tabs>
        <w:tab w:val="num" w:pos="360"/>
      </w:tabs>
      <w:spacing w:after="170" w:line="250" w:lineRule="atLeast"/>
      <w:ind w:left="284" w:hanging="284"/>
      <w:jc w:val="both"/>
    </w:pPr>
    <w:rPr>
      <w:lang w:val="de-DE"/>
    </w:rPr>
  </w:style>
  <w:style w:type="paragraph" w:styleId="BodyTextIndent3">
    <w:name w:val="Body Text Indent 3"/>
    <w:basedOn w:val="Normal"/>
    <w:rsid w:val="007C09C5"/>
    <w:pPr>
      <w:spacing w:before="120" w:after="120"/>
      <w:ind w:left="360"/>
    </w:pPr>
    <w:rPr>
      <w:rFonts w:ascii="Arial" w:hAnsi="Arial"/>
      <w:b/>
      <w:sz w:val="16"/>
      <w:szCs w:val="16"/>
      <w:lang w:val="en-US"/>
    </w:rPr>
  </w:style>
  <w:style w:type="paragraph" w:styleId="BodyTextIndent2">
    <w:name w:val="Body Text Indent 2"/>
    <w:basedOn w:val="Normal"/>
    <w:rsid w:val="007C09C5"/>
    <w:pPr>
      <w:ind w:left="709" w:firstLine="11"/>
      <w:jc w:val="both"/>
    </w:pPr>
  </w:style>
  <w:style w:type="paragraph" w:styleId="NormalWeb">
    <w:name w:val="Normal (Web)"/>
    <w:basedOn w:val="Normal"/>
    <w:uiPriority w:val="99"/>
    <w:rsid w:val="007C09C5"/>
    <w:pPr>
      <w:spacing w:before="100" w:after="100"/>
    </w:pPr>
    <w:rPr>
      <w:rFonts w:ascii="Arial" w:eastAsia="Arial Unicode MS" w:hAnsi="Arial"/>
      <w:lang w:val="en-GB"/>
    </w:rPr>
  </w:style>
  <w:style w:type="paragraph" w:styleId="BodyText3">
    <w:name w:val="Body Text 3"/>
    <w:basedOn w:val="Normal"/>
    <w:rsid w:val="007C09C5"/>
    <w:pPr>
      <w:autoSpaceDE w:val="0"/>
      <w:autoSpaceDN w:val="0"/>
      <w:adjustRightInd w:val="0"/>
      <w:jc w:val="both"/>
    </w:pPr>
  </w:style>
  <w:style w:type="paragraph" w:customStyle="1" w:styleId="TabelleKlein">
    <w:name w:val="TabelleKlein"/>
    <w:basedOn w:val="Normal"/>
    <w:rsid w:val="007C09C5"/>
    <w:pPr>
      <w:spacing w:after="170" w:line="250" w:lineRule="atLeast"/>
    </w:pPr>
    <w:rPr>
      <w:rFonts w:ascii="Arial" w:hAnsi="Arial"/>
      <w:b/>
      <w:lang w:val="de-DE"/>
    </w:rPr>
  </w:style>
  <w:style w:type="paragraph" w:customStyle="1" w:styleId="Normalb">
    <w:name w:val="Normal b"/>
    <w:basedOn w:val="Normal"/>
    <w:rsid w:val="007C09C5"/>
    <w:pPr>
      <w:spacing w:before="60" w:after="60"/>
    </w:pPr>
  </w:style>
  <w:style w:type="character" w:customStyle="1" w:styleId="Heading3Char1">
    <w:name w:val="Heading 3 Char1"/>
    <w:aliases w:val="Heading 3 Char Char,Antraste 3 Char,Antraste 31 Char,Antraste 32 Char,Antraste 33 Char,Antraste 34 Char,Antraste 35 Char,Antraste 36 Char,Antraste 37 Char"/>
    <w:rsid w:val="007C09C5"/>
    <w:rPr>
      <w:rFonts w:cs="Times New Roman"/>
      <w:b/>
      <w:i/>
      <w:iCs/>
      <w:sz w:val="24"/>
      <w:lang w:val="lv-LV" w:eastAsia="en-US" w:bidi="ar-SA"/>
    </w:rPr>
  </w:style>
  <w:style w:type="paragraph" w:customStyle="1" w:styleId="Normalb2">
    <w:name w:val="Normal b2"/>
    <w:basedOn w:val="Normal"/>
    <w:rsid w:val="007C09C5"/>
    <w:pPr>
      <w:numPr>
        <w:numId w:val="5"/>
      </w:numPr>
      <w:spacing w:before="60" w:after="60"/>
      <w:jc w:val="both"/>
    </w:pPr>
  </w:style>
  <w:style w:type="character" w:customStyle="1" w:styleId="Heading1Char">
    <w:name w:val="Heading 1 Char"/>
    <w:aliases w:val="Antraste 1 Char"/>
    <w:rsid w:val="007C09C5"/>
    <w:rPr>
      <w:rFonts w:cs="Times New Roman"/>
      <w:b/>
      <w:sz w:val="32"/>
      <w:lang w:val="lv-LV" w:eastAsia="en-US" w:bidi="ar-SA"/>
    </w:rPr>
  </w:style>
  <w:style w:type="paragraph" w:customStyle="1" w:styleId="Style1">
    <w:name w:val="Style1"/>
    <w:basedOn w:val="Normal"/>
    <w:rsid w:val="007C09C5"/>
    <w:pPr>
      <w:spacing w:before="60" w:after="60"/>
      <w:jc w:val="both"/>
    </w:pPr>
  </w:style>
  <w:style w:type="paragraph" w:customStyle="1" w:styleId="Description">
    <w:name w:val="Description"/>
    <w:basedOn w:val="Normal"/>
    <w:rsid w:val="007C09C5"/>
    <w:pPr>
      <w:spacing w:before="60" w:after="60"/>
      <w:ind w:left="720"/>
      <w:jc w:val="both"/>
    </w:pPr>
    <w:rPr>
      <w:rFonts w:ascii="Times-Baltic" w:hAnsi="Times-Baltic"/>
    </w:rPr>
  </w:style>
  <w:style w:type="paragraph" w:customStyle="1" w:styleId="attls">
    <w:name w:val="attēls"/>
    <w:basedOn w:val="Normal"/>
    <w:rsid w:val="007C09C5"/>
    <w:pPr>
      <w:tabs>
        <w:tab w:val="num" w:pos="720"/>
      </w:tabs>
      <w:spacing w:before="60" w:after="60"/>
      <w:ind w:left="720" w:hanging="360"/>
      <w:jc w:val="center"/>
    </w:pPr>
    <w:rPr>
      <w:b/>
      <w:sz w:val="22"/>
      <w:szCs w:val="22"/>
      <w:lang w:val="de-DE"/>
    </w:rPr>
  </w:style>
  <w:style w:type="paragraph" w:customStyle="1" w:styleId="Style2">
    <w:name w:val="Style2"/>
    <w:basedOn w:val="Normal"/>
    <w:rsid w:val="007C09C5"/>
    <w:pPr>
      <w:spacing w:before="60" w:after="60"/>
      <w:jc w:val="center"/>
    </w:pPr>
    <w:rPr>
      <w:b/>
    </w:rPr>
  </w:style>
  <w:style w:type="paragraph" w:customStyle="1" w:styleId="Normal1">
    <w:name w:val="Normal1"/>
    <w:rsid w:val="007C09C5"/>
    <w:pPr>
      <w:widowControl w:val="0"/>
      <w:jc w:val="both"/>
    </w:pPr>
    <w:rPr>
      <w:sz w:val="24"/>
      <w:lang w:val="en-US" w:eastAsia="en-US"/>
    </w:rPr>
  </w:style>
  <w:style w:type="paragraph" w:styleId="ListNumber3">
    <w:name w:val="List Number 3"/>
    <w:basedOn w:val="Normal"/>
    <w:rsid w:val="007C09C5"/>
    <w:pPr>
      <w:tabs>
        <w:tab w:val="num" w:pos="1080"/>
      </w:tabs>
      <w:spacing w:before="60" w:after="60"/>
      <w:ind w:left="1080" w:hanging="360"/>
      <w:jc w:val="both"/>
    </w:pPr>
  </w:style>
  <w:style w:type="paragraph" w:customStyle="1" w:styleId="tabulai">
    <w:name w:val="tabulai"/>
    <w:basedOn w:val="Normal"/>
    <w:rsid w:val="007C09C5"/>
    <w:pPr>
      <w:spacing w:before="60" w:after="60"/>
      <w:jc w:val="both"/>
    </w:pPr>
  </w:style>
  <w:style w:type="paragraph" w:customStyle="1" w:styleId="TEKSTS">
    <w:name w:val="TEKSTS"/>
    <w:basedOn w:val="Normal"/>
    <w:rsid w:val="007C09C5"/>
    <w:pPr>
      <w:spacing w:before="60" w:after="60"/>
    </w:pPr>
    <w:rPr>
      <w:noProof/>
    </w:rPr>
  </w:style>
  <w:style w:type="paragraph" w:customStyle="1" w:styleId="Attelaparaksts">
    <w:name w:val="Attela paraksts"/>
    <w:basedOn w:val="Normal"/>
    <w:rsid w:val="007C09C5"/>
    <w:pPr>
      <w:keepNext/>
      <w:spacing w:before="60" w:after="60"/>
      <w:jc w:val="both"/>
    </w:pPr>
    <w:rPr>
      <w:b/>
      <w:bCs/>
      <w:i/>
      <w:iCs/>
      <w:lang w:val="de-DE"/>
    </w:rPr>
  </w:style>
  <w:style w:type="paragraph" w:customStyle="1" w:styleId="Mazvirsraksts">
    <w:name w:val="Mazvirsraksts"/>
    <w:basedOn w:val="Style1"/>
    <w:rsid w:val="007C09C5"/>
    <w:pPr>
      <w:spacing w:before="240"/>
    </w:pPr>
    <w:rPr>
      <w:b/>
      <w:bCs/>
      <w:noProof/>
      <w:sz w:val="28"/>
      <w:lang w:val="de-DE"/>
    </w:rPr>
  </w:style>
  <w:style w:type="paragraph" w:styleId="BalloonText">
    <w:name w:val="Balloon Text"/>
    <w:basedOn w:val="Normal"/>
    <w:semiHidden/>
    <w:rsid w:val="007C09C5"/>
    <w:pPr>
      <w:spacing w:before="60" w:after="60"/>
      <w:jc w:val="both"/>
    </w:pPr>
    <w:rPr>
      <w:rFonts w:ascii="Tahoma" w:hAnsi="Tahoma" w:cs="Tahoma"/>
      <w:sz w:val="16"/>
      <w:szCs w:val="16"/>
    </w:rPr>
  </w:style>
  <w:style w:type="paragraph" w:customStyle="1" w:styleId="Tekststabulaa">
    <w:name w:val="Teksts_tabulaa"/>
    <w:basedOn w:val="Normal"/>
    <w:rsid w:val="007C09C5"/>
    <w:pPr>
      <w:tabs>
        <w:tab w:val="num" w:pos="57"/>
      </w:tabs>
      <w:ind w:left="284" w:hanging="227"/>
    </w:pPr>
  </w:style>
  <w:style w:type="character" w:customStyle="1" w:styleId="BulletSymbols">
    <w:name w:val="Bullet Symbols"/>
    <w:rsid w:val="007C09C5"/>
    <w:rPr>
      <w:rFonts w:ascii="StarSymbol" w:eastAsia="Times New Roman" w:hAnsi="StarSymbol"/>
      <w:sz w:val="18"/>
    </w:rPr>
  </w:style>
  <w:style w:type="paragraph" w:customStyle="1" w:styleId="DITeksts1">
    <w:name w:val="DI Teksts 1"/>
    <w:basedOn w:val="Normal"/>
    <w:rsid w:val="007C09C5"/>
    <w:pPr>
      <w:spacing w:after="240"/>
      <w:jc w:val="both"/>
    </w:pPr>
  </w:style>
  <w:style w:type="paragraph" w:customStyle="1" w:styleId="DIIeZim1">
    <w:name w:val="DI IeZim 1"/>
    <w:basedOn w:val="DITeksts1"/>
    <w:autoRedefine/>
    <w:rsid w:val="007C09C5"/>
    <w:rPr>
      <w:bCs/>
    </w:rPr>
  </w:style>
  <w:style w:type="character" w:customStyle="1" w:styleId="attlsChar">
    <w:name w:val="attēls Char"/>
    <w:rsid w:val="007C09C5"/>
    <w:rPr>
      <w:rFonts w:cs="Times New Roman"/>
      <w:b/>
      <w:sz w:val="22"/>
      <w:szCs w:val="22"/>
      <w:lang w:val="de-DE" w:eastAsia="en-US" w:bidi="ar-SA"/>
    </w:rPr>
  </w:style>
  <w:style w:type="paragraph" w:styleId="CommentText">
    <w:name w:val="annotation text"/>
    <w:basedOn w:val="Normal"/>
    <w:link w:val="CommentTextChar"/>
    <w:uiPriority w:val="99"/>
    <w:semiHidden/>
    <w:rsid w:val="007C09C5"/>
    <w:pPr>
      <w:spacing w:before="60" w:after="60"/>
      <w:jc w:val="both"/>
    </w:pPr>
  </w:style>
  <w:style w:type="paragraph" w:styleId="CommentSubject">
    <w:name w:val="annotation subject"/>
    <w:basedOn w:val="CommentText"/>
    <w:next w:val="CommentText"/>
    <w:semiHidden/>
    <w:rsid w:val="007C09C5"/>
    <w:rPr>
      <w:b/>
      <w:bCs/>
    </w:rPr>
  </w:style>
  <w:style w:type="paragraph" w:customStyle="1" w:styleId="tabula">
    <w:name w:val="tabula"/>
    <w:basedOn w:val="Normal"/>
    <w:rsid w:val="007C09C5"/>
    <w:pPr>
      <w:tabs>
        <w:tab w:val="num" w:pos="720"/>
      </w:tabs>
      <w:spacing w:before="60" w:after="60"/>
      <w:ind w:left="714" w:hanging="357"/>
      <w:jc w:val="center"/>
    </w:pPr>
    <w:rPr>
      <w:b/>
      <w:sz w:val="22"/>
      <w:szCs w:val="22"/>
    </w:rPr>
  </w:style>
  <w:style w:type="paragraph" w:customStyle="1" w:styleId="attls1">
    <w:name w:val="attēls_1"/>
    <w:basedOn w:val="Normal"/>
    <w:rsid w:val="007C09C5"/>
    <w:pPr>
      <w:tabs>
        <w:tab w:val="num" w:pos="1353"/>
      </w:tabs>
      <w:spacing w:before="60" w:after="60"/>
      <w:ind w:left="1353" w:hanging="360"/>
      <w:jc w:val="center"/>
    </w:pPr>
    <w:rPr>
      <w:b/>
    </w:rPr>
  </w:style>
  <w:style w:type="character" w:customStyle="1" w:styleId="attls1Char">
    <w:name w:val="attēls_1 Char"/>
    <w:rsid w:val="007C09C5"/>
    <w:rPr>
      <w:rFonts w:cs="Times New Roman"/>
      <w:b/>
      <w:sz w:val="24"/>
      <w:szCs w:val="24"/>
      <w:lang w:val="lv-LV" w:eastAsia="en-US" w:bidi="ar-SA"/>
    </w:rPr>
  </w:style>
  <w:style w:type="paragraph" w:customStyle="1" w:styleId="attels">
    <w:name w:val="attels"/>
    <w:basedOn w:val="Normal"/>
    <w:autoRedefine/>
    <w:rsid w:val="007C09C5"/>
    <w:pPr>
      <w:tabs>
        <w:tab w:val="num" w:pos="720"/>
      </w:tabs>
      <w:spacing w:before="60" w:after="60"/>
      <w:ind w:left="714" w:hanging="357"/>
      <w:jc w:val="center"/>
    </w:pPr>
    <w:rPr>
      <w:b/>
      <w:lang w:val="de-DE"/>
    </w:rPr>
  </w:style>
  <w:style w:type="paragraph" w:customStyle="1" w:styleId="Teksts0">
    <w:name w:val="Teksts"/>
    <w:basedOn w:val="Normal"/>
    <w:autoRedefine/>
    <w:rsid w:val="007C09C5"/>
    <w:pPr>
      <w:spacing w:before="240" w:after="240"/>
    </w:pPr>
    <w:rPr>
      <w:rFonts w:eastAsia="MS Mincho" w:cs="Tahoma"/>
      <w:color w:val="000000"/>
    </w:rPr>
  </w:style>
  <w:style w:type="character" w:styleId="Hyperlink">
    <w:name w:val="Hyperlink"/>
    <w:uiPriority w:val="99"/>
    <w:rsid w:val="007C09C5"/>
    <w:rPr>
      <w:rFonts w:cs="Times New Roman"/>
      <w:color w:val="0000FF"/>
      <w:u w:val="single"/>
    </w:rPr>
  </w:style>
  <w:style w:type="character" w:styleId="FootnoteReference">
    <w:name w:val="footnote reference"/>
    <w:semiHidden/>
    <w:rsid w:val="007C09C5"/>
    <w:rPr>
      <w:rFonts w:ascii="Dutch TL" w:hAnsi="Dutch TL" w:cs="Times New Roman"/>
      <w:position w:val="6"/>
      <w:sz w:val="16"/>
      <w:lang w:val="lv-LV"/>
    </w:rPr>
  </w:style>
  <w:style w:type="paragraph" w:styleId="BodyText2">
    <w:name w:val="Body Text 2"/>
    <w:basedOn w:val="Normal"/>
    <w:rsid w:val="007C09C5"/>
    <w:pPr>
      <w:spacing w:before="60" w:after="60"/>
      <w:jc w:val="both"/>
    </w:pPr>
    <w:rPr>
      <w:i/>
      <w:iCs/>
    </w:rPr>
  </w:style>
  <w:style w:type="paragraph" w:styleId="FootnoteText">
    <w:name w:val="footnote text"/>
    <w:basedOn w:val="Normal"/>
    <w:semiHidden/>
    <w:rsid w:val="007C09C5"/>
    <w:pPr>
      <w:spacing w:before="60" w:after="60"/>
      <w:jc w:val="both"/>
    </w:pPr>
  </w:style>
  <w:style w:type="paragraph" w:customStyle="1" w:styleId="StyleSectiontextTimesNewRomanLeft127cm">
    <w:name w:val="Style Section text + Times New Roman Left:  127 cm"/>
    <w:basedOn w:val="Sectiontext"/>
    <w:rsid w:val="007C09C5"/>
    <w:pPr>
      <w:ind w:left="720"/>
    </w:pPr>
    <w:rPr>
      <w:rFonts w:ascii="Times New Roman" w:hAnsi="Times New Roman"/>
      <w:szCs w:val="20"/>
    </w:rPr>
  </w:style>
  <w:style w:type="paragraph" w:customStyle="1" w:styleId="StyleSectiontextTimesNewRomanJustifiedLeft127cm">
    <w:name w:val="Style Section text + Times New Roman Justified Left:  127 cm"/>
    <w:basedOn w:val="Sectiontext"/>
    <w:rsid w:val="007C09C5"/>
    <w:pPr>
      <w:ind w:left="720"/>
    </w:pPr>
    <w:rPr>
      <w:rFonts w:ascii="Times New Roman" w:hAnsi="Times New Roman"/>
      <w:szCs w:val="20"/>
    </w:rPr>
  </w:style>
  <w:style w:type="paragraph" w:customStyle="1" w:styleId="Tabulasteksts">
    <w:name w:val="Tabulas teksts"/>
    <w:basedOn w:val="Normal"/>
    <w:rsid w:val="007C09C5"/>
    <w:pPr>
      <w:spacing w:before="60" w:after="60"/>
    </w:pPr>
    <w:rPr>
      <w:lang w:val="en-GB" w:eastAsia="en-US"/>
    </w:rPr>
  </w:style>
  <w:style w:type="paragraph" w:styleId="TableofFigures">
    <w:name w:val="table of figures"/>
    <w:basedOn w:val="Normal"/>
    <w:next w:val="Normal"/>
    <w:uiPriority w:val="99"/>
    <w:rsid w:val="007C09C5"/>
    <w:pPr>
      <w:spacing w:before="60" w:after="60"/>
      <w:ind w:left="482" w:hanging="482"/>
    </w:pPr>
    <w:rPr>
      <w:sz w:val="20"/>
    </w:rPr>
  </w:style>
  <w:style w:type="paragraph" w:customStyle="1" w:styleId="StyleBodyTextJustifiedAfter0pt">
    <w:name w:val="Style Body Text + Justified After:  0 pt"/>
    <w:basedOn w:val="BodyText"/>
    <w:rsid w:val="007C09C5"/>
    <w:pPr>
      <w:spacing w:after="0"/>
    </w:pPr>
    <w:rPr>
      <w:szCs w:val="20"/>
    </w:rPr>
  </w:style>
  <w:style w:type="paragraph" w:customStyle="1" w:styleId="StyleNormalWebTimesNewRoman">
    <w:name w:val="Style Normal (Web) + Times New Roman"/>
    <w:basedOn w:val="NormalWeb"/>
    <w:rsid w:val="007C09C5"/>
    <w:rPr>
      <w:rFonts w:ascii="Times New Roman" w:hAnsi="Times New Roman"/>
    </w:rPr>
  </w:style>
  <w:style w:type="character" w:customStyle="1" w:styleId="SaturaTekstsCharChar1CharCharCharChar">
    <w:name w:val="SaturaTeksts Char Char1 Char Char Char Char"/>
    <w:rsid w:val="007C09C5"/>
    <w:rPr>
      <w:rFonts w:cs="Times New Roman"/>
      <w:sz w:val="24"/>
      <w:szCs w:val="24"/>
      <w:lang w:val="lv-LV" w:eastAsia="lv-LV" w:bidi="ar-SA"/>
    </w:rPr>
  </w:style>
  <w:style w:type="paragraph" w:customStyle="1" w:styleId="SaturaTekstsCharChar1CharCharChar">
    <w:name w:val="SaturaTeksts Char Char1 Char Char Char"/>
    <w:basedOn w:val="Normal"/>
    <w:rsid w:val="007C09C5"/>
    <w:pPr>
      <w:spacing w:after="120" w:line="288" w:lineRule="auto"/>
      <w:jc w:val="both"/>
    </w:pPr>
  </w:style>
  <w:style w:type="paragraph" w:customStyle="1" w:styleId="Virsraksts1">
    <w:name w:val="Virsraksts1"/>
    <w:basedOn w:val="Heading1"/>
    <w:next w:val="Normal"/>
    <w:autoRedefine/>
    <w:rsid w:val="007C09C5"/>
    <w:pPr>
      <w:numPr>
        <w:numId w:val="9"/>
      </w:numPr>
      <w:tabs>
        <w:tab w:val="num" w:pos="432"/>
      </w:tabs>
      <w:spacing w:before="0" w:after="200"/>
      <w:ind w:hanging="252"/>
    </w:pPr>
    <w:rPr>
      <w:rFonts w:cs="Arial"/>
      <w:caps w:val="0"/>
      <w:sz w:val="32"/>
      <w:lang w:val="lv-LV" w:eastAsia="lv-LV"/>
    </w:rPr>
  </w:style>
  <w:style w:type="paragraph" w:customStyle="1" w:styleId="Virsraksts2">
    <w:name w:val="Virsraksts2"/>
    <w:basedOn w:val="Heading2"/>
    <w:next w:val="Normal"/>
    <w:rsid w:val="007C09C5"/>
    <w:pPr>
      <w:numPr>
        <w:numId w:val="9"/>
      </w:numPr>
      <w:tabs>
        <w:tab w:val="clear" w:pos="862"/>
      </w:tabs>
      <w:spacing w:before="360" w:after="200"/>
      <w:ind w:left="578" w:hanging="578"/>
    </w:pPr>
    <w:rPr>
      <w:rFonts w:cs="Arial"/>
      <w:lang w:val="lv-LV" w:eastAsia="lv-LV"/>
    </w:rPr>
  </w:style>
  <w:style w:type="paragraph" w:customStyle="1" w:styleId="Virsraksts3">
    <w:name w:val="Virsraksts3"/>
    <w:basedOn w:val="Heading3"/>
    <w:next w:val="SaturaTekstsCharChar1CharChar"/>
    <w:autoRedefine/>
    <w:rsid w:val="007C09C5"/>
    <w:pPr>
      <w:numPr>
        <w:numId w:val="9"/>
      </w:numPr>
      <w:tabs>
        <w:tab w:val="clear" w:pos="540"/>
        <w:tab w:val="num" w:pos="720"/>
      </w:tabs>
      <w:spacing w:after="200"/>
      <w:ind w:hanging="540"/>
    </w:pPr>
    <w:rPr>
      <w:rFonts w:cs="Arial"/>
      <w:sz w:val="26"/>
      <w:lang w:eastAsia="lv-LV"/>
    </w:rPr>
  </w:style>
  <w:style w:type="paragraph" w:customStyle="1" w:styleId="Virsraksts4CharChar">
    <w:name w:val="Virsraksts4 Char Char"/>
    <w:basedOn w:val="Heading4"/>
    <w:next w:val="SaturaTekstsCharChar1CharChar"/>
    <w:rsid w:val="007C09C5"/>
    <w:pPr>
      <w:numPr>
        <w:ilvl w:val="3"/>
        <w:numId w:val="9"/>
      </w:numPr>
      <w:tabs>
        <w:tab w:val="clear" w:pos="1134"/>
        <w:tab w:val="clear" w:pos="1404"/>
        <w:tab w:val="num" w:pos="900"/>
      </w:tabs>
      <w:spacing w:before="240" w:after="240"/>
      <w:ind w:left="1406" w:hanging="1406"/>
      <w:jc w:val="both"/>
    </w:pPr>
    <w:rPr>
      <w:lang w:val="lv-LV" w:eastAsia="lv-LV"/>
    </w:rPr>
  </w:style>
  <w:style w:type="paragraph" w:customStyle="1" w:styleId="SaturaTekstsCharChar1CharChar">
    <w:name w:val="SaturaTeksts Char Char1 Char Char"/>
    <w:basedOn w:val="Normal"/>
    <w:rsid w:val="007C09C5"/>
    <w:pPr>
      <w:spacing w:after="120" w:line="288" w:lineRule="auto"/>
      <w:jc w:val="both"/>
    </w:pPr>
  </w:style>
  <w:style w:type="character" w:customStyle="1" w:styleId="Heading2Char">
    <w:name w:val="Heading 2 Char"/>
    <w:rsid w:val="007C09C5"/>
    <w:rPr>
      <w:rFonts w:cs="Times New Roman"/>
      <w:b/>
      <w:bCs/>
      <w:iCs/>
      <w:sz w:val="28"/>
      <w:szCs w:val="28"/>
      <w:lang w:val="en-GB" w:eastAsia="en-US" w:bidi="ar-SA"/>
    </w:rPr>
  </w:style>
  <w:style w:type="paragraph" w:customStyle="1" w:styleId="Dokteksts">
    <w:name w:val="Dok teksts"/>
    <w:basedOn w:val="Tabulasteksts"/>
    <w:rsid w:val="007C09C5"/>
    <w:pPr>
      <w:spacing w:before="80" w:after="120"/>
    </w:pPr>
  </w:style>
  <w:style w:type="character" w:customStyle="1" w:styleId="BodyTextChar">
    <w:name w:val="Body Text Char"/>
    <w:rsid w:val="007C09C5"/>
    <w:rPr>
      <w:rFonts w:cs="Times New Roman"/>
      <w:sz w:val="24"/>
      <w:szCs w:val="24"/>
      <w:lang w:val="lv-LV" w:eastAsia="lv-LV" w:bidi="ar-SA"/>
    </w:rPr>
  </w:style>
  <w:style w:type="character" w:customStyle="1" w:styleId="BodyChar">
    <w:name w:val="Body Char"/>
    <w:basedOn w:val="BodyTextChar"/>
    <w:rsid w:val="007C09C5"/>
    <w:rPr>
      <w:rFonts w:cs="Times New Roman"/>
      <w:sz w:val="24"/>
      <w:szCs w:val="24"/>
      <w:lang w:val="lv-LV" w:eastAsia="lv-LV" w:bidi="ar-SA"/>
    </w:rPr>
  </w:style>
  <w:style w:type="character" w:customStyle="1" w:styleId="BodyCharChar">
    <w:name w:val="Body Char Char"/>
    <w:rsid w:val="007C09C5"/>
    <w:rPr>
      <w:rFonts w:cs="Times New Roman"/>
      <w:sz w:val="24"/>
      <w:szCs w:val="24"/>
      <w:lang w:val="lv-LV" w:eastAsia="lv-LV" w:bidi="ar-SA"/>
    </w:rPr>
  </w:style>
  <w:style w:type="character" w:styleId="FollowedHyperlink">
    <w:name w:val="FollowedHyperlink"/>
    <w:rsid w:val="007C09C5"/>
    <w:rPr>
      <w:rFonts w:cs="Times New Roman"/>
      <w:color w:val="800080"/>
      <w:u w:val="single"/>
    </w:rPr>
  </w:style>
  <w:style w:type="character" w:styleId="CommentReference">
    <w:name w:val="annotation reference"/>
    <w:uiPriority w:val="99"/>
    <w:semiHidden/>
    <w:rsid w:val="007C09C5"/>
    <w:rPr>
      <w:rFonts w:cs="Times New Roman"/>
      <w:sz w:val="16"/>
      <w:szCs w:val="16"/>
    </w:rPr>
  </w:style>
  <w:style w:type="paragraph" w:customStyle="1" w:styleId="naisc">
    <w:name w:val="naisc"/>
    <w:basedOn w:val="Normal"/>
    <w:rsid w:val="007C09C5"/>
    <w:pPr>
      <w:spacing w:before="100" w:beforeAutospacing="1" w:after="100" w:afterAutospacing="1"/>
      <w:jc w:val="center"/>
    </w:pPr>
    <w:rPr>
      <w:rFonts w:eastAsia="Arial Unicode MS"/>
      <w:lang w:val="en-GB" w:eastAsia="en-US"/>
    </w:rPr>
  </w:style>
  <w:style w:type="paragraph" w:customStyle="1" w:styleId="Bodytextindent0">
    <w:name w:val="Body_text_indent"/>
    <w:basedOn w:val="Normal"/>
    <w:rsid w:val="007C09C5"/>
    <w:pPr>
      <w:suppressAutoHyphens/>
      <w:spacing w:before="120"/>
      <w:ind w:firstLine="720"/>
      <w:jc w:val="both"/>
    </w:pPr>
    <w:rPr>
      <w:szCs w:val="20"/>
      <w:lang w:eastAsia="ar-SA"/>
    </w:rPr>
  </w:style>
  <w:style w:type="character" w:customStyle="1" w:styleId="spelle">
    <w:name w:val="spelle"/>
    <w:rsid w:val="007C09C5"/>
    <w:rPr>
      <w:rFonts w:cs="Times New Roman"/>
    </w:rPr>
  </w:style>
  <w:style w:type="character" w:customStyle="1" w:styleId="CommentTextChar">
    <w:name w:val="Comment Text Char"/>
    <w:link w:val="CommentText"/>
    <w:uiPriority w:val="99"/>
    <w:rsid w:val="007F5E9A"/>
    <w:rPr>
      <w:sz w:val="24"/>
      <w:szCs w:val="24"/>
      <w:lang w:val="lv-LV" w:eastAsia="lv-LV" w:bidi="ar-SA"/>
    </w:rPr>
  </w:style>
  <w:style w:type="paragraph" w:styleId="ListParagraph">
    <w:name w:val="List Paragraph"/>
    <w:basedOn w:val="Normal"/>
    <w:uiPriority w:val="34"/>
    <w:qFormat/>
    <w:rsid w:val="00232095"/>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naisf">
    <w:name w:val="naisf"/>
    <w:basedOn w:val="Normal"/>
    <w:rsid w:val="00AD4D48"/>
    <w:pPr>
      <w:spacing w:before="100" w:beforeAutospacing="1" w:after="100" w:afterAutospacing="1"/>
      <w:jc w:val="both"/>
    </w:pPr>
    <w:rPr>
      <w:rFonts w:eastAsia="Arial Unicode MS"/>
      <w:lang w:val="en-GB" w:eastAsia="en-US"/>
    </w:rPr>
  </w:style>
  <w:style w:type="character" w:customStyle="1" w:styleId="hps">
    <w:name w:val="hps"/>
    <w:basedOn w:val="DefaultParagraphFont"/>
    <w:rsid w:val="00742979"/>
  </w:style>
  <w:style w:type="paragraph" w:customStyle="1" w:styleId="Default">
    <w:name w:val="Default"/>
    <w:rsid w:val="00E36FF2"/>
    <w:pPr>
      <w:autoSpaceDE w:val="0"/>
      <w:autoSpaceDN w:val="0"/>
      <w:adjustRightInd w:val="0"/>
    </w:pPr>
    <w:rPr>
      <w:color w:val="000000"/>
      <w:sz w:val="24"/>
      <w:szCs w:val="24"/>
    </w:rPr>
  </w:style>
  <w:style w:type="table" w:styleId="TableGrid">
    <w:name w:val="Table Grid"/>
    <w:basedOn w:val="TableNormal"/>
    <w:uiPriority w:val="59"/>
    <w:rsid w:val="00746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annotation text" w:uiPriority="99"/>
    <w:lsdException w:name="caption" w:locked="1" w:qFormat="1"/>
    <w:lsdException w:name="table of figures" w:uiPriority="99"/>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09C5"/>
    <w:rPr>
      <w:sz w:val="24"/>
      <w:szCs w:val="24"/>
    </w:rPr>
  </w:style>
  <w:style w:type="paragraph" w:styleId="Heading1">
    <w:name w:val="heading 1"/>
    <w:basedOn w:val="Normal"/>
    <w:next w:val="Normal"/>
    <w:qFormat/>
    <w:rsid w:val="007C09C5"/>
    <w:pPr>
      <w:keepNext/>
      <w:pageBreakBefore/>
      <w:numPr>
        <w:numId w:val="8"/>
      </w:numPr>
      <w:spacing w:before="240" w:after="120"/>
      <w:outlineLvl w:val="0"/>
    </w:pPr>
    <w:rPr>
      <w:b/>
      <w:bCs/>
      <w:caps/>
      <w:kern w:val="32"/>
      <w:sz w:val="28"/>
      <w:szCs w:val="32"/>
      <w:lang w:val="en-GB" w:eastAsia="en-US"/>
    </w:rPr>
  </w:style>
  <w:style w:type="paragraph" w:styleId="Heading2">
    <w:name w:val="heading 2"/>
    <w:basedOn w:val="Normal"/>
    <w:next w:val="Normal"/>
    <w:autoRedefine/>
    <w:qFormat/>
    <w:rsid w:val="007C09C5"/>
    <w:pPr>
      <w:keepNext/>
      <w:numPr>
        <w:ilvl w:val="1"/>
        <w:numId w:val="8"/>
      </w:numPr>
      <w:tabs>
        <w:tab w:val="left" w:pos="862"/>
      </w:tabs>
      <w:spacing w:before="120" w:after="120"/>
      <w:outlineLvl w:val="1"/>
    </w:pPr>
    <w:rPr>
      <w:b/>
      <w:bCs/>
      <w:iCs/>
      <w:sz w:val="28"/>
      <w:szCs w:val="28"/>
      <w:lang w:val="en-GB" w:eastAsia="en-US"/>
    </w:rPr>
  </w:style>
  <w:style w:type="paragraph" w:styleId="Heading3">
    <w:name w:val="heading 3"/>
    <w:aliases w:val="Heading 3 Char,Antraste 3,Antraste 31,Antraste 32,Antraste 33,Antraste 34,Antraste 35,Antraste 36,Antraste 37"/>
    <w:basedOn w:val="Normal"/>
    <w:next w:val="Normal"/>
    <w:autoRedefine/>
    <w:qFormat/>
    <w:rsid w:val="00CD0CDF"/>
    <w:pPr>
      <w:keepNext/>
      <w:numPr>
        <w:ilvl w:val="2"/>
        <w:numId w:val="8"/>
      </w:numPr>
      <w:spacing w:before="240" w:after="120"/>
      <w:outlineLvl w:val="2"/>
    </w:pPr>
    <w:rPr>
      <w:b/>
      <w:bCs/>
      <w:szCs w:val="26"/>
      <w:lang w:eastAsia="en-US"/>
    </w:rPr>
  </w:style>
  <w:style w:type="paragraph" w:styleId="Heading4">
    <w:name w:val="heading 4"/>
    <w:basedOn w:val="Normal"/>
    <w:next w:val="Normal"/>
    <w:autoRedefine/>
    <w:qFormat/>
    <w:rsid w:val="007C09C5"/>
    <w:pPr>
      <w:keepNext/>
      <w:numPr>
        <w:numId w:val="11"/>
      </w:numPr>
      <w:tabs>
        <w:tab w:val="left" w:pos="1134"/>
      </w:tabs>
      <w:spacing w:before="120" w:after="120"/>
      <w:outlineLvl w:val="3"/>
    </w:pPr>
    <w:rPr>
      <w:b/>
      <w:bCs/>
      <w:szCs w:val="28"/>
      <w:lang w:val="en-GB" w:eastAsia="en-US"/>
    </w:rPr>
  </w:style>
  <w:style w:type="paragraph" w:styleId="Heading5">
    <w:name w:val="heading 5"/>
    <w:basedOn w:val="Normal"/>
    <w:next w:val="Normal"/>
    <w:autoRedefine/>
    <w:qFormat/>
    <w:rsid w:val="007C09C5"/>
    <w:pPr>
      <w:numPr>
        <w:ilvl w:val="4"/>
        <w:numId w:val="8"/>
      </w:numPr>
      <w:spacing w:before="240" w:after="60"/>
      <w:outlineLvl w:val="4"/>
    </w:pPr>
    <w:rPr>
      <w:b/>
      <w:bCs/>
      <w:iCs/>
      <w:szCs w:val="26"/>
      <w:lang w:val="en-GB" w:eastAsia="en-US"/>
    </w:rPr>
  </w:style>
  <w:style w:type="paragraph" w:styleId="Heading6">
    <w:name w:val="heading 6"/>
    <w:basedOn w:val="Normal"/>
    <w:next w:val="Normal"/>
    <w:qFormat/>
    <w:rsid w:val="007C09C5"/>
    <w:pPr>
      <w:keepNext/>
      <w:numPr>
        <w:ilvl w:val="5"/>
        <w:numId w:val="8"/>
      </w:numPr>
      <w:jc w:val="center"/>
      <w:outlineLvl w:val="5"/>
    </w:pPr>
    <w:rPr>
      <w:b/>
    </w:rPr>
  </w:style>
  <w:style w:type="paragraph" w:styleId="Heading7">
    <w:name w:val="heading 7"/>
    <w:basedOn w:val="Normal"/>
    <w:next w:val="Normal"/>
    <w:qFormat/>
    <w:rsid w:val="007C09C5"/>
    <w:pPr>
      <w:keepNext/>
      <w:numPr>
        <w:ilvl w:val="6"/>
        <w:numId w:val="8"/>
      </w:numPr>
      <w:jc w:val="center"/>
      <w:outlineLvl w:val="6"/>
    </w:pPr>
    <w:rPr>
      <w:sz w:val="52"/>
    </w:rPr>
  </w:style>
  <w:style w:type="paragraph" w:styleId="Heading8">
    <w:name w:val="heading 8"/>
    <w:basedOn w:val="Normal"/>
    <w:next w:val="Normal"/>
    <w:qFormat/>
    <w:rsid w:val="007C09C5"/>
    <w:pPr>
      <w:keepNext/>
      <w:numPr>
        <w:ilvl w:val="7"/>
        <w:numId w:val="8"/>
      </w:numPr>
      <w:jc w:val="right"/>
      <w:outlineLvl w:val="7"/>
    </w:pPr>
    <w:rPr>
      <w:b/>
      <w:bCs/>
      <w:sz w:val="52"/>
    </w:rPr>
  </w:style>
  <w:style w:type="paragraph" w:styleId="Heading9">
    <w:name w:val="heading 9"/>
    <w:basedOn w:val="Normal"/>
    <w:next w:val="Normal"/>
    <w:qFormat/>
    <w:rsid w:val="007C09C5"/>
    <w:pPr>
      <w:keepNext/>
      <w:framePr w:w="7978" w:h="618" w:hSpace="181" w:wrap="notBeside" w:vAnchor="page" w:hAnchor="page" w:x="1786" w:y="1768"/>
      <w:numPr>
        <w:ilvl w:val="8"/>
        <w:numId w:val="8"/>
      </w:numPr>
      <w:shd w:val="solid" w:color="FFFFFF" w:fill="FFFFFF"/>
      <w:outlineLvl w:val="8"/>
    </w:pPr>
    <w:rPr>
      <w:b/>
      <w:caps/>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09C5"/>
    <w:pPr>
      <w:tabs>
        <w:tab w:val="center" w:pos="4320"/>
        <w:tab w:val="right" w:pos="8640"/>
      </w:tabs>
      <w:spacing w:after="120"/>
    </w:pPr>
  </w:style>
  <w:style w:type="paragraph" w:customStyle="1" w:styleId="body">
    <w:name w:val="body"/>
    <w:basedOn w:val="BodyText"/>
    <w:uiPriority w:val="99"/>
    <w:rsid w:val="007C09C5"/>
    <w:pPr>
      <w:ind w:left="720"/>
    </w:pPr>
  </w:style>
  <w:style w:type="paragraph" w:styleId="BodyText">
    <w:name w:val="Body Text"/>
    <w:basedOn w:val="Normal"/>
    <w:rsid w:val="007C09C5"/>
    <w:pPr>
      <w:spacing w:after="120"/>
    </w:pPr>
  </w:style>
  <w:style w:type="paragraph" w:styleId="Footer">
    <w:name w:val="footer"/>
    <w:basedOn w:val="Normal"/>
    <w:rsid w:val="007C09C5"/>
    <w:pPr>
      <w:tabs>
        <w:tab w:val="center" w:pos="4320"/>
        <w:tab w:val="right" w:pos="8640"/>
      </w:tabs>
    </w:pPr>
  </w:style>
  <w:style w:type="character" w:styleId="PageNumber">
    <w:name w:val="page number"/>
    <w:rsid w:val="007C09C5"/>
    <w:rPr>
      <w:rFonts w:cs="Times New Roman"/>
    </w:rPr>
  </w:style>
  <w:style w:type="paragraph" w:styleId="TOC1">
    <w:name w:val="toc 1"/>
    <w:basedOn w:val="Normal"/>
    <w:next w:val="Normal"/>
    <w:autoRedefine/>
    <w:uiPriority w:val="39"/>
    <w:rsid w:val="007C09C5"/>
    <w:pPr>
      <w:tabs>
        <w:tab w:val="left" w:pos="964"/>
        <w:tab w:val="right" w:pos="8494"/>
      </w:tabs>
      <w:spacing w:before="240" w:after="120"/>
    </w:pPr>
    <w:rPr>
      <w:b/>
      <w:bCs/>
      <w:caps/>
      <w:sz w:val="20"/>
      <w:szCs w:val="26"/>
      <w:lang w:val="en-GB" w:eastAsia="en-US"/>
    </w:rPr>
  </w:style>
  <w:style w:type="paragraph" w:styleId="TOC2">
    <w:name w:val="toc 2"/>
    <w:basedOn w:val="Normal"/>
    <w:next w:val="Normal"/>
    <w:autoRedefine/>
    <w:uiPriority w:val="39"/>
    <w:rsid w:val="007C09C5"/>
    <w:pPr>
      <w:tabs>
        <w:tab w:val="left" w:pos="960"/>
        <w:tab w:val="right" w:pos="8494"/>
      </w:tabs>
      <w:spacing w:before="20" w:after="20"/>
      <w:ind w:left="964" w:hanging="964"/>
    </w:pPr>
    <w:rPr>
      <w:b/>
      <w:bCs/>
      <w:sz w:val="20"/>
      <w:lang w:eastAsia="en-US"/>
    </w:rPr>
  </w:style>
  <w:style w:type="paragraph" w:styleId="TOC3">
    <w:name w:val="toc 3"/>
    <w:basedOn w:val="Normal"/>
    <w:next w:val="Normal"/>
    <w:autoRedefine/>
    <w:uiPriority w:val="39"/>
    <w:rsid w:val="007C09C5"/>
    <w:pPr>
      <w:spacing w:before="20" w:after="20"/>
    </w:pPr>
    <w:rPr>
      <w:sz w:val="20"/>
      <w:lang w:eastAsia="en-US"/>
    </w:rPr>
  </w:style>
  <w:style w:type="paragraph" w:styleId="TOC4">
    <w:name w:val="toc 4"/>
    <w:basedOn w:val="Normal"/>
    <w:next w:val="Normal"/>
    <w:autoRedefine/>
    <w:semiHidden/>
    <w:rsid w:val="007C09C5"/>
    <w:rPr>
      <w:sz w:val="20"/>
      <w:szCs w:val="26"/>
      <w:lang w:val="en-GB" w:eastAsia="en-US"/>
    </w:rPr>
  </w:style>
  <w:style w:type="paragraph" w:styleId="TOC5">
    <w:name w:val="toc 5"/>
    <w:basedOn w:val="Normal"/>
    <w:next w:val="Normal"/>
    <w:autoRedefine/>
    <w:semiHidden/>
    <w:rsid w:val="007C09C5"/>
    <w:rPr>
      <w:sz w:val="20"/>
      <w:szCs w:val="26"/>
      <w:lang w:val="en-GB" w:eastAsia="en-US"/>
    </w:rPr>
  </w:style>
  <w:style w:type="paragraph" w:styleId="TOC6">
    <w:name w:val="toc 6"/>
    <w:basedOn w:val="Normal"/>
    <w:next w:val="Normal"/>
    <w:autoRedefine/>
    <w:semiHidden/>
    <w:rsid w:val="007C09C5"/>
    <w:pPr>
      <w:ind w:left="1000"/>
    </w:pPr>
    <w:rPr>
      <w:sz w:val="18"/>
    </w:rPr>
  </w:style>
  <w:style w:type="paragraph" w:styleId="TOC7">
    <w:name w:val="toc 7"/>
    <w:basedOn w:val="Normal"/>
    <w:next w:val="Normal"/>
    <w:autoRedefine/>
    <w:semiHidden/>
    <w:rsid w:val="007C09C5"/>
    <w:pPr>
      <w:ind w:left="1200"/>
    </w:pPr>
    <w:rPr>
      <w:sz w:val="18"/>
    </w:rPr>
  </w:style>
  <w:style w:type="paragraph" w:styleId="TOC8">
    <w:name w:val="toc 8"/>
    <w:basedOn w:val="Normal"/>
    <w:next w:val="Normal"/>
    <w:autoRedefine/>
    <w:semiHidden/>
    <w:rsid w:val="007C09C5"/>
    <w:pPr>
      <w:ind w:left="1400"/>
    </w:pPr>
    <w:rPr>
      <w:sz w:val="18"/>
    </w:rPr>
  </w:style>
  <w:style w:type="paragraph" w:styleId="TOC9">
    <w:name w:val="toc 9"/>
    <w:basedOn w:val="Normal"/>
    <w:next w:val="Normal"/>
    <w:autoRedefine/>
    <w:semiHidden/>
    <w:rsid w:val="007C09C5"/>
    <w:pPr>
      <w:ind w:left="1600"/>
    </w:pPr>
    <w:rPr>
      <w:sz w:val="18"/>
    </w:rPr>
  </w:style>
  <w:style w:type="paragraph" w:customStyle="1" w:styleId="Body0">
    <w:name w:val="Body"/>
    <w:basedOn w:val="BodyText"/>
    <w:rsid w:val="007C09C5"/>
  </w:style>
  <w:style w:type="paragraph" w:customStyle="1" w:styleId="butons">
    <w:name w:val="butons"/>
    <w:basedOn w:val="body"/>
    <w:rsid w:val="007C09C5"/>
    <w:pPr>
      <w:numPr>
        <w:numId w:val="1"/>
      </w:numPr>
      <w:tabs>
        <w:tab w:val="clear" w:pos="432"/>
        <w:tab w:val="num" w:pos="1152"/>
      </w:tabs>
      <w:ind w:left="1152"/>
    </w:pPr>
  </w:style>
  <w:style w:type="paragraph" w:styleId="BodyTextIndent">
    <w:name w:val="Body Text Indent"/>
    <w:basedOn w:val="Normal"/>
    <w:rsid w:val="007C09C5"/>
    <w:pPr>
      <w:tabs>
        <w:tab w:val="left" w:pos="720"/>
      </w:tabs>
      <w:ind w:left="720"/>
      <w:jc w:val="both"/>
    </w:pPr>
  </w:style>
  <w:style w:type="character" w:styleId="LineNumber">
    <w:name w:val="line number"/>
    <w:rsid w:val="007C09C5"/>
    <w:rPr>
      <w:rFonts w:cs="Times New Roman"/>
    </w:rPr>
  </w:style>
  <w:style w:type="paragraph" w:styleId="Title">
    <w:name w:val="Title"/>
    <w:basedOn w:val="Normal"/>
    <w:qFormat/>
    <w:rsid w:val="007C09C5"/>
    <w:pPr>
      <w:tabs>
        <w:tab w:val="left" w:pos="360"/>
      </w:tabs>
      <w:ind w:left="360" w:hanging="360"/>
      <w:jc w:val="center"/>
    </w:pPr>
    <w:rPr>
      <w:b/>
      <w:sz w:val="26"/>
    </w:rPr>
  </w:style>
  <w:style w:type="paragraph" w:styleId="Subtitle">
    <w:name w:val="Subtitle"/>
    <w:basedOn w:val="Normal"/>
    <w:qFormat/>
    <w:rsid w:val="007C09C5"/>
    <w:pPr>
      <w:jc w:val="center"/>
    </w:pPr>
    <w:rPr>
      <w:b/>
      <w:sz w:val="28"/>
    </w:rPr>
  </w:style>
  <w:style w:type="paragraph" w:styleId="TOAHeading">
    <w:name w:val="toa heading"/>
    <w:basedOn w:val="Normal"/>
    <w:next w:val="Normal"/>
    <w:semiHidden/>
    <w:rsid w:val="007C09C5"/>
    <w:pPr>
      <w:spacing w:before="120"/>
      <w:jc w:val="both"/>
    </w:pPr>
    <w:rPr>
      <w:b/>
      <w:lang w:val="lt-LT"/>
    </w:rPr>
  </w:style>
  <w:style w:type="paragraph" w:styleId="Caption">
    <w:name w:val="caption"/>
    <w:basedOn w:val="Normal"/>
    <w:next w:val="Normal"/>
    <w:qFormat/>
    <w:rsid w:val="007C09C5"/>
    <w:pPr>
      <w:spacing w:before="120" w:after="120"/>
      <w:jc w:val="center"/>
    </w:pPr>
    <w:rPr>
      <w:b/>
      <w:bCs/>
      <w:sz w:val="20"/>
    </w:rPr>
  </w:style>
  <w:style w:type="paragraph" w:customStyle="1" w:styleId="Sectiontext">
    <w:name w:val="Section text"/>
    <w:basedOn w:val="Normal"/>
    <w:rsid w:val="007C09C5"/>
    <w:pPr>
      <w:spacing w:before="120" w:after="120"/>
    </w:pPr>
    <w:rPr>
      <w:rFonts w:ascii="Arial" w:hAnsi="Arial"/>
      <w:lang w:val="en-US"/>
    </w:rPr>
  </w:style>
  <w:style w:type="character" w:styleId="Strong">
    <w:name w:val="Strong"/>
    <w:qFormat/>
    <w:rsid w:val="007C09C5"/>
    <w:rPr>
      <w:rFonts w:cs="Times New Roman"/>
      <w:b/>
      <w:bCs/>
    </w:rPr>
  </w:style>
  <w:style w:type="paragraph" w:customStyle="1" w:styleId="SectionHeader">
    <w:name w:val="Section Header"/>
    <w:basedOn w:val="Normal"/>
    <w:next w:val="Sectiontext"/>
    <w:rsid w:val="007C09C5"/>
    <w:pPr>
      <w:numPr>
        <w:numId w:val="4"/>
      </w:numPr>
      <w:tabs>
        <w:tab w:val="left" w:pos="567"/>
      </w:tabs>
      <w:spacing w:before="240" w:after="240"/>
    </w:pPr>
    <w:rPr>
      <w:rFonts w:ascii="Arial" w:hAnsi="Arial"/>
      <w:sz w:val="36"/>
      <w:lang w:val="en-US"/>
    </w:rPr>
  </w:style>
  <w:style w:type="paragraph" w:customStyle="1" w:styleId="ChapterHeader">
    <w:name w:val="Chapter Header"/>
    <w:basedOn w:val="SectionHeader"/>
    <w:next w:val="ChapterText"/>
    <w:rsid w:val="007C09C5"/>
    <w:pPr>
      <w:numPr>
        <w:ilvl w:val="1"/>
      </w:numPr>
      <w:tabs>
        <w:tab w:val="clear" w:pos="1296"/>
        <w:tab w:val="num" w:pos="1560"/>
      </w:tabs>
    </w:pPr>
    <w:rPr>
      <w:b/>
      <w:sz w:val="28"/>
    </w:rPr>
  </w:style>
  <w:style w:type="paragraph" w:customStyle="1" w:styleId="ChapterText">
    <w:name w:val="Chapter Text"/>
    <w:basedOn w:val="Normal"/>
    <w:rsid w:val="007C09C5"/>
    <w:pPr>
      <w:spacing w:before="120" w:after="120"/>
      <w:ind w:left="1134"/>
      <w:jc w:val="both"/>
    </w:pPr>
    <w:rPr>
      <w:rFonts w:ascii="Arial" w:hAnsi="Arial"/>
      <w:lang w:val="en-US"/>
    </w:rPr>
  </w:style>
  <w:style w:type="paragraph" w:customStyle="1" w:styleId="ParagraphHeader">
    <w:name w:val="Paragraph Header"/>
    <w:basedOn w:val="SectionHeader"/>
    <w:next w:val="ParagraphText"/>
    <w:rsid w:val="007C09C5"/>
    <w:pPr>
      <w:numPr>
        <w:numId w:val="0"/>
      </w:numPr>
      <w:tabs>
        <w:tab w:val="num" w:pos="360"/>
      </w:tabs>
      <w:ind w:left="1620" w:hanging="720"/>
    </w:pPr>
    <w:rPr>
      <w:b/>
      <w:sz w:val="24"/>
      <w:lang w:val="en-GB"/>
    </w:rPr>
  </w:style>
  <w:style w:type="paragraph" w:customStyle="1" w:styleId="ParagraphText">
    <w:name w:val="Paragraph Text"/>
    <w:basedOn w:val="Normal"/>
    <w:rsid w:val="007C09C5"/>
    <w:pPr>
      <w:spacing w:before="120" w:after="120"/>
      <w:ind w:left="1871"/>
      <w:jc w:val="both"/>
    </w:pPr>
    <w:rPr>
      <w:rFonts w:ascii="Arial" w:hAnsi="Arial"/>
      <w:lang w:val="en-US"/>
    </w:rPr>
  </w:style>
  <w:style w:type="paragraph" w:customStyle="1" w:styleId="Punktliste2">
    <w:name w:val="Punktliste2"/>
    <w:basedOn w:val="Normal"/>
    <w:rsid w:val="007C09C5"/>
    <w:pPr>
      <w:tabs>
        <w:tab w:val="num" w:pos="360"/>
      </w:tabs>
      <w:spacing w:after="170" w:line="250" w:lineRule="atLeast"/>
      <w:ind w:left="284" w:hanging="284"/>
      <w:jc w:val="both"/>
    </w:pPr>
    <w:rPr>
      <w:lang w:val="de-DE"/>
    </w:rPr>
  </w:style>
  <w:style w:type="paragraph" w:styleId="BodyTextIndent3">
    <w:name w:val="Body Text Indent 3"/>
    <w:basedOn w:val="Normal"/>
    <w:rsid w:val="007C09C5"/>
    <w:pPr>
      <w:spacing w:before="120" w:after="120"/>
      <w:ind w:left="360"/>
    </w:pPr>
    <w:rPr>
      <w:rFonts w:ascii="Arial" w:hAnsi="Arial"/>
      <w:b/>
      <w:sz w:val="16"/>
      <w:szCs w:val="16"/>
      <w:lang w:val="en-US"/>
    </w:rPr>
  </w:style>
  <w:style w:type="paragraph" w:styleId="BodyTextIndent2">
    <w:name w:val="Body Text Indent 2"/>
    <w:basedOn w:val="Normal"/>
    <w:rsid w:val="007C09C5"/>
    <w:pPr>
      <w:ind w:left="709" w:firstLine="11"/>
      <w:jc w:val="both"/>
    </w:pPr>
  </w:style>
  <w:style w:type="paragraph" w:styleId="NormalWeb">
    <w:name w:val="Normal (Web)"/>
    <w:basedOn w:val="Normal"/>
    <w:uiPriority w:val="99"/>
    <w:rsid w:val="007C09C5"/>
    <w:pPr>
      <w:spacing w:before="100" w:after="100"/>
    </w:pPr>
    <w:rPr>
      <w:rFonts w:ascii="Arial" w:eastAsia="Arial Unicode MS" w:hAnsi="Arial"/>
      <w:lang w:val="en-GB"/>
    </w:rPr>
  </w:style>
  <w:style w:type="paragraph" w:styleId="BodyText3">
    <w:name w:val="Body Text 3"/>
    <w:basedOn w:val="Normal"/>
    <w:rsid w:val="007C09C5"/>
    <w:pPr>
      <w:autoSpaceDE w:val="0"/>
      <w:autoSpaceDN w:val="0"/>
      <w:adjustRightInd w:val="0"/>
      <w:jc w:val="both"/>
    </w:pPr>
  </w:style>
  <w:style w:type="paragraph" w:customStyle="1" w:styleId="TabelleKlein">
    <w:name w:val="TabelleKlein"/>
    <w:basedOn w:val="Normal"/>
    <w:rsid w:val="007C09C5"/>
    <w:pPr>
      <w:spacing w:after="170" w:line="250" w:lineRule="atLeast"/>
    </w:pPr>
    <w:rPr>
      <w:rFonts w:ascii="Arial" w:hAnsi="Arial"/>
      <w:b/>
      <w:lang w:val="de-DE"/>
    </w:rPr>
  </w:style>
  <w:style w:type="paragraph" w:customStyle="1" w:styleId="Normalb">
    <w:name w:val="Normal b"/>
    <w:basedOn w:val="Normal"/>
    <w:rsid w:val="007C09C5"/>
    <w:pPr>
      <w:spacing w:before="60" w:after="60"/>
    </w:pPr>
  </w:style>
  <w:style w:type="character" w:customStyle="1" w:styleId="Heading3Char1">
    <w:name w:val="Heading 3 Char1"/>
    <w:aliases w:val="Heading 3 Char Char,Antraste 3 Char,Antraste 31 Char,Antraste 32 Char,Antraste 33 Char,Antraste 34 Char,Antraste 35 Char,Antraste 36 Char,Antraste 37 Char"/>
    <w:rsid w:val="007C09C5"/>
    <w:rPr>
      <w:rFonts w:cs="Times New Roman"/>
      <w:b/>
      <w:i/>
      <w:iCs/>
      <w:sz w:val="24"/>
      <w:lang w:val="lv-LV" w:eastAsia="en-US" w:bidi="ar-SA"/>
    </w:rPr>
  </w:style>
  <w:style w:type="paragraph" w:customStyle="1" w:styleId="Normalb2">
    <w:name w:val="Normal b2"/>
    <w:basedOn w:val="Normal"/>
    <w:rsid w:val="007C09C5"/>
    <w:pPr>
      <w:numPr>
        <w:numId w:val="5"/>
      </w:numPr>
      <w:spacing w:before="60" w:after="60"/>
      <w:jc w:val="both"/>
    </w:pPr>
  </w:style>
  <w:style w:type="character" w:customStyle="1" w:styleId="Heading1Char">
    <w:name w:val="Heading 1 Char"/>
    <w:aliases w:val="Antraste 1 Char"/>
    <w:rsid w:val="007C09C5"/>
    <w:rPr>
      <w:rFonts w:cs="Times New Roman"/>
      <w:b/>
      <w:sz w:val="32"/>
      <w:lang w:val="lv-LV" w:eastAsia="en-US" w:bidi="ar-SA"/>
    </w:rPr>
  </w:style>
  <w:style w:type="paragraph" w:customStyle="1" w:styleId="Style1">
    <w:name w:val="Style1"/>
    <w:basedOn w:val="Normal"/>
    <w:rsid w:val="007C09C5"/>
    <w:pPr>
      <w:spacing w:before="60" w:after="60"/>
      <w:jc w:val="both"/>
    </w:pPr>
  </w:style>
  <w:style w:type="paragraph" w:customStyle="1" w:styleId="Description">
    <w:name w:val="Description"/>
    <w:basedOn w:val="Normal"/>
    <w:rsid w:val="007C09C5"/>
    <w:pPr>
      <w:spacing w:before="60" w:after="60"/>
      <w:ind w:left="720"/>
      <w:jc w:val="both"/>
    </w:pPr>
    <w:rPr>
      <w:rFonts w:ascii="Times-Baltic" w:hAnsi="Times-Baltic"/>
    </w:rPr>
  </w:style>
  <w:style w:type="paragraph" w:customStyle="1" w:styleId="attls">
    <w:name w:val="attēls"/>
    <w:basedOn w:val="Normal"/>
    <w:rsid w:val="007C09C5"/>
    <w:pPr>
      <w:tabs>
        <w:tab w:val="num" w:pos="720"/>
      </w:tabs>
      <w:spacing w:before="60" w:after="60"/>
      <w:ind w:left="720" w:hanging="360"/>
      <w:jc w:val="center"/>
    </w:pPr>
    <w:rPr>
      <w:b/>
      <w:sz w:val="22"/>
      <w:szCs w:val="22"/>
      <w:lang w:val="de-DE"/>
    </w:rPr>
  </w:style>
  <w:style w:type="paragraph" w:customStyle="1" w:styleId="Style2">
    <w:name w:val="Style2"/>
    <w:basedOn w:val="Normal"/>
    <w:rsid w:val="007C09C5"/>
    <w:pPr>
      <w:spacing w:before="60" w:after="60"/>
      <w:jc w:val="center"/>
    </w:pPr>
    <w:rPr>
      <w:b/>
    </w:rPr>
  </w:style>
  <w:style w:type="paragraph" w:customStyle="1" w:styleId="Normal1">
    <w:name w:val="Normal1"/>
    <w:rsid w:val="007C09C5"/>
    <w:pPr>
      <w:widowControl w:val="0"/>
      <w:jc w:val="both"/>
    </w:pPr>
    <w:rPr>
      <w:sz w:val="24"/>
      <w:lang w:val="en-US" w:eastAsia="en-US"/>
    </w:rPr>
  </w:style>
  <w:style w:type="paragraph" w:styleId="ListNumber3">
    <w:name w:val="List Number 3"/>
    <w:basedOn w:val="Normal"/>
    <w:rsid w:val="007C09C5"/>
    <w:pPr>
      <w:tabs>
        <w:tab w:val="num" w:pos="1080"/>
      </w:tabs>
      <w:spacing w:before="60" w:after="60"/>
      <w:ind w:left="1080" w:hanging="360"/>
      <w:jc w:val="both"/>
    </w:pPr>
  </w:style>
  <w:style w:type="paragraph" w:customStyle="1" w:styleId="tabulai">
    <w:name w:val="tabulai"/>
    <w:basedOn w:val="Normal"/>
    <w:rsid w:val="007C09C5"/>
    <w:pPr>
      <w:spacing w:before="60" w:after="60"/>
      <w:jc w:val="both"/>
    </w:pPr>
  </w:style>
  <w:style w:type="paragraph" w:customStyle="1" w:styleId="TEKSTS">
    <w:name w:val="TEKSTS"/>
    <w:basedOn w:val="Normal"/>
    <w:rsid w:val="007C09C5"/>
    <w:pPr>
      <w:spacing w:before="60" w:after="60"/>
    </w:pPr>
    <w:rPr>
      <w:noProof/>
    </w:rPr>
  </w:style>
  <w:style w:type="paragraph" w:customStyle="1" w:styleId="Attelaparaksts">
    <w:name w:val="Attela paraksts"/>
    <w:basedOn w:val="Normal"/>
    <w:rsid w:val="007C09C5"/>
    <w:pPr>
      <w:keepNext/>
      <w:spacing w:before="60" w:after="60"/>
      <w:jc w:val="both"/>
    </w:pPr>
    <w:rPr>
      <w:b/>
      <w:bCs/>
      <w:i/>
      <w:iCs/>
      <w:lang w:val="de-DE"/>
    </w:rPr>
  </w:style>
  <w:style w:type="paragraph" w:customStyle="1" w:styleId="Mazvirsraksts">
    <w:name w:val="Mazvirsraksts"/>
    <w:basedOn w:val="Style1"/>
    <w:rsid w:val="007C09C5"/>
    <w:pPr>
      <w:spacing w:before="240"/>
    </w:pPr>
    <w:rPr>
      <w:b/>
      <w:bCs/>
      <w:noProof/>
      <w:sz w:val="28"/>
      <w:lang w:val="de-DE"/>
    </w:rPr>
  </w:style>
  <w:style w:type="paragraph" w:styleId="BalloonText">
    <w:name w:val="Balloon Text"/>
    <w:basedOn w:val="Normal"/>
    <w:semiHidden/>
    <w:rsid w:val="007C09C5"/>
    <w:pPr>
      <w:spacing w:before="60" w:after="60"/>
      <w:jc w:val="both"/>
    </w:pPr>
    <w:rPr>
      <w:rFonts w:ascii="Tahoma" w:hAnsi="Tahoma" w:cs="Tahoma"/>
      <w:sz w:val="16"/>
      <w:szCs w:val="16"/>
    </w:rPr>
  </w:style>
  <w:style w:type="paragraph" w:customStyle="1" w:styleId="Tekststabulaa">
    <w:name w:val="Teksts_tabulaa"/>
    <w:basedOn w:val="Normal"/>
    <w:rsid w:val="007C09C5"/>
    <w:pPr>
      <w:tabs>
        <w:tab w:val="num" w:pos="57"/>
      </w:tabs>
      <w:ind w:left="284" w:hanging="227"/>
    </w:pPr>
  </w:style>
  <w:style w:type="character" w:customStyle="1" w:styleId="BulletSymbols">
    <w:name w:val="Bullet Symbols"/>
    <w:rsid w:val="007C09C5"/>
    <w:rPr>
      <w:rFonts w:ascii="StarSymbol" w:eastAsia="Times New Roman" w:hAnsi="StarSymbol"/>
      <w:sz w:val="18"/>
    </w:rPr>
  </w:style>
  <w:style w:type="paragraph" w:customStyle="1" w:styleId="DITeksts1">
    <w:name w:val="DI Teksts 1"/>
    <w:basedOn w:val="Normal"/>
    <w:rsid w:val="007C09C5"/>
    <w:pPr>
      <w:spacing w:after="240"/>
      <w:jc w:val="both"/>
    </w:pPr>
  </w:style>
  <w:style w:type="paragraph" w:customStyle="1" w:styleId="DIIeZim1">
    <w:name w:val="DI IeZim 1"/>
    <w:basedOn w:val="DITeksts1"/>
    <w:autoRedefine/>
    <w:rsid w:val="007C09C5"/>
    <w:rPr>
      <w:bCs/>
    </w:rPr>
  </w:style>
  <w:style w:type="character" w:customStyle="1" w:styleId="attlsChar">
    <w:name w:val="attēls Char"/>
    <w:rsid w:val="007C09C5"/>
    <w:rPr>
      <w:rFonts w:cs="Times New Roman"/>
      <w:b/>
      <w:sz w:val="22"/>
      <w:szCs w:val="22"/>
      <w:lang w:val="de-DE" w:eastAsia="en-US" w:bidi="ar-SA"/>
    </w:rPr>
  </w:style>
  <w:style w:type="paragraph" w:styleId="CommentText">
    <w:name w:val="annotation text"/>
    <w:basedOn w:val="Normal"/>
    <w:link w:val="CommentTextChar"/>
    <w:uiPriority w:val="99"/>
    <w:semiHidden/>
    <w:rsid w:val="007C09C5"/>
    <w:pPr>
      <w:spacing w:before="60" w:after="60"/>
      <w:jc w:val="both"/>
    </w:pPr>
  </w:style>
  <w:style w:type="paragraph" w:styleId="CommentSubject">
    <w:name w:val="annotation subject"/>
    <w:basedOn w:val="CommentText"/>
    <w:next w:val="CommentText"/>
    <w:semiHidden/>
    <w:rsid w:val="007C09C5"/>
    <w:rPr>
      <w:b/>
      <w:bCs/>
    </w:rPr>
  </w:style>
  <w:style w:type="paragraph" w:customStyle="1" w:styleId="tabula">
    <w:name w:val="tabula"/>
    <w:basedOn w:val="Normal"/>
    <w:rsid w:val="007C09C5"/>
    <w:pPr>
      <w:tabs>
        <w:tab w:val="num" w:pos="720"/>
      </w:tabs>
      <w:spacing w:before="60" w:after="60"/>
      <w:ind w:left="714" w:hanging="357"/>
      <w:jc w:val="center"/>
    </w:pPr>
    <w:rPr>
      <w:b/>
      <w:sz w:val="22"/>
      <w:szCs w:val="22"/>
    </w:rPr>
  </w:style>
  <w:style w:type="paragraph" w:customStyle="1" w:styleId="attls1">
    <w:name w:val="attēls_1"/>
    <w:basedOn w:val="Normal"/>
    <w:rsid w:val="007C09C5"/>
    <w:pPr>
      <w:tabs>
        <w:tab w:val="num" w:pos="1353"/>
      </w:tabs>
      <w:spacing w:before="60" w:after="60"/>
      <w:ind w:left="1353" w:hanging="360"/>
      <w:jc w:val="center"/>
    </w:pPr>
    <w:rPr>
      <w:b/>
    </w:rPr>
  </w:style>
  <w:style w:type="character" w:customStyle="1" w:styleId="attls1Char">
    <w:name w:val="attēls_1 Char"/>
    <w:rsid w:val="007C09C5"/>
    <w:rPr>
      <w:rFonts w:cs="Times New Roman"/>
      <w:b/>
      <w:sz w:val="24"/>
      <w:szCs w:val="24"/>
      <w:lang w:val="lv-LV" w:eastAsia="en-US" w:bidi="ar-SA"/>
    </w:rPr>
  </w:style>
  <w:style w:type="paragraph" w:customStyle="1" w:styleId="attels">
    <w:name w:val="attels"/>
    <w:basedOn w:val="Normal"/>
    <w:autoRedefine/>
    <w:rsid w:val="007C09C5"/>
    <w:pPr>
      <w:tabs>
        <w:tab w:val="num" w:pos="720"/>
      </w:tabs>
      <w:spacing w:before="60" w:after="60"/>
      <w:ind w:left="714" w:hanging="357"/>
      <w:jc w:val="center"/>
    </w:pPr>
    <w:rPr>
      <w:b/>
      <w:lang w:val="de-DE"/>
    </w:rPr>
  </w:style>
  <w:style w:type="paragraph" w:customStyle="1" w:styleId="Teksts0">
    <w:name w:val="Teksts"/>
    <w:basedOn w:val="Normal"/>
    <w:autoRedefine/>
    <w:rsid w:val="007C09C5"/>
    <w:pPr>
      <w:spacing w:before="240" w:after="240"/>
    </w:pPr>
    <w:rPr>
      <w:rFonts w:eastAsia="MS Mincho" w:cs="Tahoma"/>
      <w:color w:val="000000"/>
    </w:rPr>
  </w:style>
  <w:style w:type="character" w:styleId="Hyperlink">
    <w:name w:val="Hyperlink"/>
    <w:uiPriority w:val="99"/>
    <w:rsid w:val="007C09C5"/>
    <w:rPr>
      <w:rFonts w:cs="Times New Roman"/>
      <w:color w:val="0000FF"/>
      <w:u w:val="single"/>
    </w:rPr>
  </w:style>
  <w:style w:type="character" w:styleId="FootnoteReference">
    <w:name w:val="footnote reference"/>
    <w:semiHidden/>
    <w:rsid w:val="007C09C5"/>
    <w:rPr>
      <w:rFonts w:ascii="Dutch TL" w:hAnsi="Dutch TL" w:cs="Times New Roman"/>
      <w:position w:val="6"/>
      <w:sz w:val="16"/>
      <w:lang w:val="lv-LV"/>
    </w:rPr>
  </w:style>
  <w:style w:type="paragraph" w:styleId="BodyText2">
    <w:name w:val="Body Text 2"/>
    <w:basedOn w:val="Normal"/>
    <w:rsid w:val="007C09C5"/>
    <w:pPr>
      <w:spacing w:before="60" w:after="60"/>
      <w:jc w:val="both"/>
    </w:pPr>
    <w:rPr>
      <w:i/>
      <w:iCs/>
    </w:rPr>
  </w:style>
  <w:style w:type="paragraph" w:styleId="FootnoteText">
    <w:name w:val="footnote text"/>
    <w:basedOn w:val="Normal"/>
    <w:semiHidden/>
    <w:rsid w:val="007C09C5"/>
    <w:pPr>
      <w:spacing w:before="60" w:after="60"/>
      <w:jc w:val="both"/>
    </w:pPr>
  </w:style>
  <w:style w:type="paragraph" w:customStyle="1" w:styleId="StyleSectiontextTimesNewRomanLeft127cm">
    <w:name w:val="Style Section text + Times New Roman Left:  127 cm"/>
    <w:basedOn w:val="Sectiontext"/>
    <w:rsid w:val="007C09C5"/>
    <w:pPr>
      <w:ind w:left="720"/>
    </w:pPr>
    <w:rPr>
      <w:rFonts w:ascii="Times New Roman" w:hAnsi="Times New Roman"/>
      <w:szCs w:val="20"/>
    </w:rPr>
  </w:style>
  <w:style w:type="paragraph" w:customStyle="1" w:styleId="StyleSectiontextTimesNewRomanJustifiedLeft127cm">
    <w:name w:val="Style Section text + Times New Roman Justified Left:  127 cm"/>
    <w:basedOn w:val="Sectiontext"/>
    <w:rsid w:val="007C09C5"/>
    <w:pPr>
      <w:ind w:left="720"/>
    </w:pPr>
    <w:rPr>
      <w:rFonts w:ascii="Times New Roman" w:hAnsi="Times New Roman"/>
      <w:szCs w:val="20"/>
    </w:rPr>
  </w:style>
  <w:style w:type="paragraph" w:customStyle="1" w:styleId="Tabulasteksts">
    <w:name w:val="Tabulas teksts"/>
    <w:basedOn w:val="Normal"/>
    <w:rsid w:val="007C09C5"/>
    <w:pPr>
      <w:spacing w:before="60" w:after="60"/>
    </w:pPr>
    <w:rPr>
      <w:lang w:val="en-GB" w:eastAsia="en-US"/>
    </w:rPr>
  </w:style>
  <w:style w:type="paragraph" w:styleId="TableofFigures">
    <w:name w:val="table of figures"/>
    <w:basedOn w:val="Normal"/>
    <w:next w:val="Normal"/>
    <w:uiPriority w:val="99"/>
    <w:rsid w:val="007C09C5"/>
    <w:pPr>
      <w:spacing w:before="60" w:after="60"/>
      <w:ind w:left="482" w:hanging="482"/>
    </w:pPr>
    <w:rPr>
      <w:sz w:val="20"/>
    </w:rPr>
  </w:style>
  <w:style w:type="paragraph" w:customStyle="1" w:styleId="StyleBodyTextJustifiedAfter0pt">
    <w:name w:val="Style Body Text + Justified After:  0 pt"/>
    <w:basedOn w:val="BodyText"/>
    <w:rsid w:val="007C09C5"/>
    <w:pPr>
      <w:spacing w:after="0"/>
    </w:pPr>
    <w:rPr>
      <w:szCs w:val="20"/>
    </w:rPr>
  </w:style>
  <w:style w:type="paragraph" w:customStyle="1" w:styleId="StyleNormalWebTimesNewRoman">
    <w:name w:val="Style Normal (Web) + Times New Roman"/>
    <w:basedOn w:val="NormalWeb"/>
    <w:rsid w:val="007C09C5"/>
    <w:rPr>
      <w:rFonts w:ascii="Times New Roman" w:hAnsi="Times New Roman"/>
    </w:rPr>
  </w:style>
  <w:style w:type="character" w:customStyle="1" w:styleId="SaturaTekstsCharChar1CharCharCharChar">
    <w:name w:val="SaturaTeksts Char Char1 Char Char Char Char"/>
    <w:rsid w:val="007C09C5"/>
    <w:rPr>
      <w:rFonts w:cs="Times New Roman"/>
      <w:sz w:val="24"/>
      <w:szCs w:val="24"/>
      <w:lang w:val="lv-LV" w:eastAsia="lv-LV" w:bidi="ar-SA"/>
    </w:rPr>
  </w:style>
  <w:style w:type="paragraph" w:customStyle="1" w:styleId="SaturaTekstsCharChar1CharCharChar">
    <w:name w:val="SaturaTeksts Char Char1 Char Char Char"/>
    <w:basedOn w:val="Normal"/>
    <w:rsid w:val="007C09C5"/>
    <w:pPr>
      <w:spacing w:after="120" w:line="288" w:lineRule="auto"/>
      <w:jc w:val="both"/>
    </w:pPr>
  </w:style>
  <w:style w:type="paragraph" w:customStyle="1" w:styleId="Virsraksts1">
    <w:name w:val="Virsraksts1"/>
    <w:basedOn w:val="Heading1"/>
    <w:next w:val="Normal"/>
    <w:autoRedefine/>
    <w:rsid w:val="007C09C5"/>
    <w:pPr>
      <w:numPr>
        <w:numId w:val="9"/>
      </w:numPr>
      <w:tabs>
        <w:tab w:val="num" w:pos="432"/>
      </w:tabs>
      <w:spacing w:before="0" w:after="200"/>
      <w:ind w:hanging="252"/>
    </w:pPr>
    <w:rPr>
      <w:rFonts w:cs="Arial"/>
      <w:caps w:val="0"/>
      <w:sz w:val="32"/>
      <w:lang w:val="lv-LV" w:eastAsia="lv-LV"/>
    </w:rPr>
  </w:style>
  <w:style w:type="paragraph" w:customStyle="1" w:styleId="Virsraksts2">
    <w:name w:val="Virsraksts2"/>
    <w:basedOn w:val="Heading2"/>
    <w:next w:val="Normal"/>
    <w:rsid w:val="007C09C5"/>
    <w:pPr>
      <w:numPr>
        <w:numId w:val="9"/>
      </w:numPr>
      <w:tabs>
        <w:tab w:val="clear" w:pos="862"/>
      </w:tabs>
      <w:spacing w:before="360" w:after="200"/>
      <w:ind w:left="578" w:hanging="578"/>
    </w:pPr>
    <w:rPr>
      <w:rFonts w:cs="Arial"/>
      <w:lang w:val="lv-LV" w:eastAsia="lv-LV"/>
    </w:rPr>
  </w:style>
  <w:style w:type="paragraph" w:customStyle="1" w:styleId="Virsraksts3">
    <w:name w:val="Virsraksts3"/>
    <w:basedOn w:val="Heading3"/>
    <w:next w:val="SaturaTekstsCharChar1CharChar"/>
    <w:autoRedefine/>
    <w:rsid w:val="007C09C5"/>
    <w:pPr>
      <w:numPr>
        <w:numId w:val="9"/>
      </w:numPr>
      <w:tabs>
        <w:tab w:val="clear" w:pos="540"/>
        <w:tab w:val="num" w:pos="720"/>
      </w:tabs>
      <w:spacing w:after="200"/>
      <w:ind w:hanging="540"/>
    </w:pPr>
    <w:rPr>
      <w:rFonts w:cs="Arial"/>
      <w:sz w:val="26"/>
      <w:lang w:eastAsia="lv-LV"/>
    </w:rPr>
  </w:style>
  <w:style w:type="paragraph" w:customStyle="1" w:styleId="Virsraksts4CharChar">
    <w:name w:val="Virsraksts4 Char Char"/>
    <w:basedOn w:val="Heading4"/>
    <w:next w:val="SaturaTekstsCharChar1CharChar"/>
    <w:rsid w:val="007C09C5"/>
    <w:pPr>
      <w:numPr>
        <w:ilvl w:val="3"/>
        <w:numId w:val="9"/>
      </w:numPr>
      <w:tabs>
        <w:tab w:val="clear" w:pos="1134"/>
        <w:tab w:val="clear" w:pos="1404"/>
        <w:tab w:val="num" w:pos="900"/>
      </w:tabs>
      <w:spacing w:before="240" w:after="240"/>
      <w:ind w:left="1406" w:hanging="1406"/>
      <w:jc w:val="both"/>
    </w:pPr>
    <w:rPr>
      <w:lang w:val="lv-LV" w:eastAsia="lv-LV"/>
    </w:rPr>
  </w:style>
  <w:style w:type="paragraph" w:customStyle="1" w:styleId="SaturaTekstsCharChar1CharChar">
    <w:name w:val="SaturaTeksts Char Char1 Char Char"/>
    <w:basedOn w:val="Normal"/>
    <w:rsid w:val="007C09C5"/>
    <w:pPr>
      <w:spacing w:after="120" w:line="288" w:lineRule="auto"/>
      <w:jc w:val="both"/>
    </w:pPr>
  </w:style>
  <w:style w:type="character" w:customStyle="1" w:styleId="Heading2Char">
    <w:name w:val="Heading 2 Char"/>
    <w:rsid w:val="007C09C5"/>
    <w:rPr>
      <w:rFonts w:cs="Times New Roman"/>
      <w:b/>
      <w:bCs/>
      <w:iCs/>
      <w:sz w:val="28"/>
      <w:szCs w:val="28"/>
      <w:lang w:val="en-GB" w:eastAsia="en-US" w:bidi="ar-SA"/>
    </w:rPr>
  </w:style>
  <w:style w:type="paragraph" w:customStyle="1" w:styleId="Dokteksts">
    <w:name w:val="Dok teksts"/>
    <w:basedOn w:val="Tabulasteksts"/>
    <w:rsid w:val="007C09C5"/>
    <w:pPr>
      <w:spacing w:before="80" w:after="120"/>
    </w:pPr>
  </w:style>
  <w:style w:type="character" w:customStyle="1" w:styleId="BodyTextChar">
    <w:name w:val="Body Text Char"/>
    <w:rsid w:val="007C09C5"/>
    <w:rPr>
      <w:rFonts w:cs="Times New Roman"/>
      <w:sz w:val="24"/>
      <w:szCs w:val="24"/>
      <w:lang w:val="lv-LV" w:eastAsia="lv-LV" w:bidi="ar-SA"/>
    </w:rPr>
  </w:style>
  <w:style w:type="character" w:customStyle="1" w:styleId="BodyChar">
    <w:name w:val="Body Char"/>
    <w:basedOn w:val="BodyTextChar"/>
    <w:rsid w:val="007C09C5"/>
    <w:rPr>
      <w:rFonts w:cs="Times New Roman"/>
      <w:sz w:val="24"/>
      <w:szCs w:val="24"/>
      <w:lang w:val="lv-LV" w:eastAsia="lv-LV" w:bidi="ar-SA"/>
    </w:rPr>
  </w:style>
  <w:style w:type="character" w:customStyle="1" w:styleId="BodyCharChar">
    <w:name w:val="Body Char Char"/>
    <w:rsid w:val="007C09C5"/>
    <w:rPr>
      <w:rFonts w:cs="Times New Roman"/>
      <w:sz w:val="24"/>
      <w:szCs w:val="24"/>
      <w:lang w:val="lv-LV" w:eastAsia="lv-LV" w:bidi="ar-SA"/>
    </w:rPr>
  </w:style>
  <w:style w:type="character" w:styleId="FollowedHyperlink">
    <w:name w:val="FollowedHyperlink"/>
    <w:rsid w:val="007C09C5"/>
    <w:rPr>
      <w:rFonts w:cs="Times New Roman"/>
      <w:color w:val="800080"/>
      <w:u w:val="single"/>
    </w:rPr>
  </w:style>
  <w:style w:type="character" w:styleId="CommentReference">
    <w:name w:val="annotation reference"/>
    <w:uiPriority w:val="99"/>
    <w:semiHidden/>
    <w:rsid w:val="007C09C5"/>
    <w:rPr>
      <w:rFonts w:cs="Times New Roman"/>
      <w:sz w:val="16"/>
      <w:szCs w:val="16"/>
    </w:rPr>
  </w:style>
  <w:style w:type="paragraph" w:customStyle="1" w:styleId="naisc">
    <w:name w:val="naisc"/>
    <w:basedOn w:val="Normal"/>
    <w:rsid w:val="007C09C5"/>
    <w:pPr>
      <w:spacing w:before="100" w:beforeAutospacing="1" w:after="100" w:afterAutospacing="1"/>
      <w:jc w:val="center"/>
    </w:pPr>
    <w:rPr>
      <w:rFonts w:eastAsia="Arial Unicode MS"/>
      <w:lang w:val="en-GB" w:eastAsia="en-US"/>
    </w:rPr>
  </w:style>
  <w:style w:type="paragraph" w:customStyle="1" w:styleId="Bodytextindent0">
    <w:name w:val="Body_text_indent"/>
    <w:basedOn w:val="Normal"/>
    <w:rsid w:val="007C09C5"/>
    <w:pPr>
      <w:suppressAutoHyphens/>
      <w:spacing w:before="120"/>
      <w:ind w:firstLine="720"/>
      <w:jc w:val="both"/>
    </w:pPr>
    <w:rPr>
      <w:szCs w:val="20"/>
      <w:lang w:eastAsia="ar-SA"/>
    </w:rPr>
  </w:style>
  <w:style w:type="character" w:customStyle="1" w:styleId="spelle">
    <w:name w:val="spelle"/>
    <w:rsid w:val="007C09C5"/>
    <w:rPr>
      <w:rFonts w:cs="Times New Roman"/>
    </w:rPr>
  </w:style>
  <w:style w:type="character" w:customStyle="1" w:styleId="CommentTextChar">
    <w:name w:val="Comment Text Char"/>
    <w:link w:val="CommentText"/>
    <w:uiPriority w:val="99"/>
    <w:rsid w:val="007F5E9A"/>
    <w:rPr>
      <w:sz w:val="24"/>
      <w:szCs w:val="24"/>
      <w:lang w:val="lv-LV" w:eastAsia="lv-LV" w:bidi="ar-SA"/>
    </w:rPr>
  </w:style>
  <w:style w:type="paragraph" w:styleId="ListParagraph">
    <w:name w:val="List Paragraph"/>
    <w:basedOn w:val="Normal"/>
    <w:uiPriority w:val="34"/>
    <w:qFormat/>
    <w:rsid w:val="00232095"/>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naisf">
    <w:name w:val="naisf"/>
    <w:basedOn w:val="Normal"/>
    <w:rsid w:val="00AD4D48"/>
    <w:pPr>
      <w:spacing w:before="100" w:beforeAutospacing="1" w:after="100" w:afterAutospacing="1"/>
      <w:jc w:val="both"/>
    </w:pPr>
    <w:rPr>
      <w:rFonts w:eastAsia="Arial Unicode MS"/>
      <w:lang w:val="en-GB" w:eastAsia="en-US"/>
    </w:rPr>
  </w:style>
  <w:style w:type="character" w:customStyle="1" w:styleId="hps">
    <w:name w:val="hps"/>
    <w:basedOn w:val="DefaultParagraphFont"/>
    <w:rsid w:val="00742979"/>
  </w:style>
  <w:style w:type="paragraph" w:customStyle="1" w:styleId="Default">
    <w:name w:val="Default"/>
    <w:rsid w:val="00E36FF2"/>
    <w:pPr>
      <w:autoSpaceDE w:val="0"/>
      <w:autoSpaceDN w:val="0"/>
      <w:adjustRightInd w:val="0"/>
    </w:pPr>
    <w:rPr>
      <w:color w:val="000000"/>
      <w:sz w:val="24"/>
      <w:szCs w:val="24"/>
    </w:rPr>
  </w:style>
  <w:style w:type="table" w:styleId="TableGrid">
    <w:name w:val="Table Grid"/>
    <w:basedOn w:val="TableNormal"/>
    <w:uiPriority w:val="59"/>
    <w:rsid w:val="00746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41"/>
      <w:marBottom w:val="41"/>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2160"/>
                  <w:marRight w:val="3586"/>
                  <w:marTop w:val="0"/>
                  <w:marBottom w:val="0"/>
                  <w:divBdr>
                    <w:top w:val="none" w:sz="0" w:space="0" w:color="auto"/>
                    <w:left w:val="single" w:sz="6" w:space="0" w:color="D3E1F9"/>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59462">
      <w:bodyDiv w:val="1"/>
      <w:marLeft w:val="0"/>
      <w:marRight w:val="0"/>
      <w:marTop w:val="0"/>
      <w:marBottom w:val="0"/>
      <w:divBdr>
        <w:top w:val="none" w:sz="0" w:space="0" w:color="auto"/>
        <w:left w:val="none" w:sz="0" w:space="0" w:color="auto"/>
        <w:bottom w:val="none" w:sz="0" w:space="0" w:color="auto"/>
        <w:right w:val="none" w:sz="0" w:space="0" w:color="auto"/>
      </w:divBdr>
    </w:div>
    <w:div w:id="181019923">
      <w:bodyDiv w:val="1"/>
      <w:marLeft w:val="0"/>
      <w:marRight w:val="0"/>
      <w:marTop w:val="0"/>
      <w:marBottom w:val="0"/>
      <w:divBdr>
        <w:top w:val="none" w:sz="0" w:space="0" w:color="auto"/>
        <w:left w:val="none" w:sz="0" w:space="0" w:color="auto"/>
        <w:bottom w:val="none" w:sz="0" w:space="0" w:color="auto"/>
        <w:right w:val="none" w:sz="0" w:space="0" w:color="auto"/>
      </w:divBdr>
    </w:div>
    <w:div w:id="182204957">
      <w:bodyDiv w:val="1"/>
      <w:marLeft w:val="0"/>
      <w:marRight w:val="0"/>
      <w:marTop w:val="0"/>
      <w:marBottom w:val="0"/>
      <w:divBdr>
        <w:top w:val="none" w:sz="0" w:space="0" w:color="auto"/>
        <w:left w:val="none" w:sz="0" w:space="0" w:color="auto"/>
        <w:bottom w:val="none" w:sz="0" w:space="0" w:color="auto"/>
        <w:right w:val="none" w:sz="0" w:space="0" w:color="auto"/>
      </w:divBdr>
    </w:div>
    <w:div w:id="458493359">
      <w:bodyDiv w:val="1"/>
      <w:marLeft w:val="0"/>
      <w:marRight w:val="0"/>
      <w:marTop w:val="0"/>
      <w:marBottom w:val="0"/>
      <w:divBdr>
        <w:top w:val="none" w:sz="0" w:space="0" w:color="auto"/>
        <w:left w:val="none" w:sz="0" w:space="0" w:color="auto"/>
        <w:bottom w:val="none" w:sz="0" w:space="0" w:color="auto"/>
        <w:right w:val="none" w:sz="0" w:space="0" w:color="auto"/>
      </w:divBdr>
    </w:div>
    <w:div w:id="520973496">
      <w:bodyDiv w:val="1"/>
      <w:marLeft w:val="0"/>
      <w:marRight w:val="0"/>
      <w:marTop w:val="0"/>
      <w:marBottom w:val="0"/>
      <w:divBdr>
        <w:top w:val="none" w:sz="0" w:space="0" w:color="auto"/>
        <w:left w:val="none" w:sz="0" w:space="0" w:color="auto"/>
        <w:bottom w:val="none" w:sz="0" w:space="0" w:color="auto"/>
        <w:right w:val="none" w:sz="0" w:space="0" w:color="auto"/>
      </w:divBdr>
    </w:div>
    <w:div w:id="552693940">
      <w:bodyDiv w:val="1"/>
      <w:marLeft w:val="0"/>
      <w:marRight w:val="0"/>
      <w:marTop w:val="0"/>
      <w:marBottom w:val="0"/>
      <w:divBdr>
        <w:top w:val="none" w:sz="0" w:space="0" w:color="auto"/>
        <w:left w:val="none" w:sz="0" w:space="0" w:color="auto"/>
        <w:bottom w:val="none" w:sz="0" w:space="0" w:color="auto"/>
        <w:right w:val="none" w:sz="0" w:space="0" w:color="auto"/>
      </w:divBdr>
    </w:div>
    <w:div w:id="608394244">
      <w:bodyDiv w:val="1"/>
      <w:marLeft w:val="0"/>
      <w:marRight w:val="0"/>
      <w:marTop w:val="0"/>
      <w:marBottom w:val="0"/>
      <w:divBdr>
        <w:top w:val="none" w:sz="0" w:space="0" w:color="auto"/>
        <w:left w:val="none" w:sz="0" w:space="0" w:color="auto"/>
        <w:bottom w:val="none" w:sz="0" w:space="0" w:color="auto"/>
        <w:right w:val="none" w:sz="0" w:space="0" w:color="auto"/>
      </w:divBdr>
    </w:div>
    <w:div w:id="627665024">
      <w:bodyDiv w:val="1"/>
      <w:marLeft w:val="0"/>
      <w:marRight w:val="0"/>
      <w:marTop w:val="0"/>
      <w:marBottom w:val="0"/>
      <w:divBdr>
        <w:top w:val="none" w:sz="0" w:space="0" w:color="auto"/>
        <w:left w:val="none" w:sz="0" w:space="0" w:color="auto"/>
        <w:bottom w:val="none" w:sz="0" w:space="0" w:color="auto"/>
        <w:right w:val="none" w:sz="0" w:space="0" w:color="auto"/>
      </w:divBdr>
    </w:div>
    <w:div w:id="676808446">
      <w:bodyDiv w:val="1"/>
      <w:marLeft w:val="0"/>
      <w:marRight w:val="0"/>
      <w:marTop w:val="0"/>
      <w:marBottom w:val="0"/>
      <w:divBdr>
        <w:top w:val="none" w:sz="0" w:space="0" w:color="auto"/>
        <w:left w:val="none" w:sz="0" w:space="0" w:color="auto"/>
        <w:bottom w:val="none" w:sz="0" w:space="0" w:color="auto"/>
        <w:right w:val="none" w:sz="0" w:space="0" w:color="auto"/>
      </w:divBdr>
    </w:div>
    <w:div w:id="730154250">
      <w:bodyDiv w:val="1"/>
      <w:marLeft w:val="0"/>
      <w:marRight w:val="0"/>
      <w:marTop w:val="0"/>
      <w:marBottom w:val="0"/>
      <w:divBdr>
        <w:top w:val="none" w:sz="0" w:space="0" w:color="auto"/>
        <w:left w:val="none" w:sz="0" w:space="0" w:color="auto"/>
        <w:bottom w:val="none" w:sz="0" w:space="0" w:color="auto"/>
        <w:right w:val="none" w:sz="0" w:space="0" w:color="auto"/>
      </w:divBdr>
    </w:div>
    <w:div w:id="819347941">
      <w:bodyDiv w:val="1"/>
      <w:marLeft w:val="0"/>
      <w:marRight w:val="0"/>
      <w:marTop w:val="0"/>
      <w:marBottom w:val="0"/>
      <w:divBdr>
        <w:top w:val="none" w:sz="0" w:space="0" w:color="auto"/>
        <w:left w:val="none" w:sz="0" w:space="0" w:color="auto"/>
        <w:bottom w:val="none" w:sz="0" w:space="0" w:color="auto"/>
        <w:right w:val="none" w:sz="0" w:space="0" w:color="auto"/>
      </w:divBdr>
    </w:div>
    <w:div w:id="825777610">
      <w:bodyDiv w:val="1"/>
      <w:marLeft w:val="0"/>
      <w:marRight w:val="0"/>
      <w:marTop w:val="0"/>
      <w:marBottom w:val="0"/>
      <w:divBdr>
        <w:top w:val="none" w:sz="0" w:space="0" w:color="auto"/>
        <w:left w:val="none" w:sz="0" w:space="0" w:color="auto"/>
        <w:bottom w:val="none" w:sz="0" w:space="0" w:color="auto"/>
        <w:right w:val="none" w:sz="0" w:space="0" w:color="auto"/>
      </w:divBdr>
    </w:div>
    <w:div w:id="925924798">
      <w:bodyDiv w:val="1"/>
      <w:marLeft w:val="0"/>
      <w:marRight w:val="0"/>
      <w:marTop w:val="0"/>
      <w:marBottom w:val="0"/>
      <w:divBdr>
        <w:top w:val="none" w:sz="0" w:space="0" w:color="auto"/>
        <w:left w:val="none" w:sz="0" w:space="0" w:color="auto"/>
        <w:bottom w:val="none" w:sz="0" w:space="0" w:color="auto"/>
        <w:right w:val="none" w:sz="0" w:space="0" w:color="auto"/>
      </w:divBdr>
    </w:div>
    <w:div w:id="991445216">
      <w:bodyDiv w:val="1"/>
      <w:marLeft w:val="0"/>
      <w:marRight w:val="0"/>
      <w:marTop w:val="0"/>
      <w:marBottom w:val="0"/>
      <w:divBdr>
        <w:top w:val="none" w:sz="0" w:space="0" w:color="auto"/>
        <w:left w:val="none" w:sz="0" w:space="0" w:color="auto"/>
        <w:bottom w:val="none" w:sz="0" w:space="0" w:color="auto"/>
        <w:right w:val="none" w:sz="0" w:space="0" w:color="auto"/>
      </w:divBdr>
    </w:div>
    <w:div w:id="1029457287">
      <w:bodyDiv w:val="1"/>
      <w:marLeft w:val="0"/>
      <w:marRight w:val="0"/>
      <w:marTop w:val="0"/>
      <w:marBottom w:val="0"/>
      <w:divBdr>
        <w:top w:val="none" w:sz="0" w:space="0" w:color="auto"/>
        <w:left w:val="none" w:sz="0" w:space="0" w:color="auto"/>
        <w:bottom w:val="none" w:sz="0" w:space="0" w:color="auto"/>
        <w:right w:val="none" w:sz="0" w:space="0" w:color="auto"/>
      </w:divBdr>
    </w:div>
    <w:div w:id="1062482068">
      <w:bodyDiv w:val="1"/>
      <w:marLeft w:val="0"/>
      <w:marRight w:val="0"/>
      <w:marTop w:val="0"/>
      <w:marBottom w:val="0"/>
      <w:divBdr>
        <w:top w:val="none" w:sz="0" w:space="0" w:color="auto"/>
        <w:left w:val="none" w:sz="0" w:space="0" w:color="auto"/>
        <w:bottom w:val="none" w:sz="0" w:space="0" w:color="auto"/>
        <w:right w:val="none" w:sz="0" w:space="0" w:color="auto"/>
      </w:divBdr>
    </w:div>
    <w:div w:id="1137532636">
      <w:bodyDiv w:val="1"/>
      <w:marLeft w:val="0"/>
      <w:marRight w:val="0"/>
      <w:marTop w:val="0"/>
      <w:marBottom w:val="0"/>
      <w:divBdr>
        <w:top w:val="none" w:sz="0" w:space="0" w:color="auto"/>
        <w:left w:val="none" w:sz="0" w:space="0" w:color="auto"/>
        <w:bottom w:val="none" w:sz="0" w:space="0" w:color="auto"/>
        <w:right w:val="none" w:sz="0" w:space="0" w:color="auto"/>
      </w:divBdr>
    </w:div>
    <w:div w:id="1187449148">
      <w:bodyDiv w:val="1"/>
      <w:marLeft w:val="0"/>
      <w:marRight w:val="0"/>
      <w:marTop w:val="0"/>
      <w:marBottom w:val="0"/>
      <w:divBdr>
        <w:top w:val="none" w:sz="0" w:space="0" w:color="auto"/>
        <w:left w:val="none" w:sz="0" w:space="0" w:color="auto"/>
        <w:bottom w:val="none" w:sz="0" w:space="0" w:color="auto"/>
        <w:right w:val="none" w:sz="0" w:space="0" w:color="auto"/>
      </w:divBdr>
    </w:div>
    <w:div w:id="1202941936">
      <w:bodyDiv w:val="1"/>
      <w:marLeft w:val="0"/>
      <w:marRight w:val="0"/>
      <w:marTop w:val="0"/>
      <w:marBottom w:val="0"/>
      <w:divBdr>
        <w:top w:val="none" w:sz="0" w:space="0" w:color="auto"/>
        <w:left w:val="none" w:sz="0" w:space="0" w:color="auto"/>
        <w:bottom w:val="none" w:sz="0" w:space="0" w:color="auto"/>
        <w:right w:val="none" w:sz="0" w:space="0" w:color="auto"/>
      </w:divBdr>
    </w:div>
    <w:div w:id="1294557212">
      <w:bodyDiv w:val="1"/>
      <w:marLeft w:val="0"/>
      <w:marRight w:val="0"/>
      <w:marTop w:val="0"/>
      <w:marBottom w:val="0"/>
      <w:divBdr>
        <w:top w:val="none" w:sz="0" w:space="0" w:color="auto"/>
        <w:left w:val="none" w:sz="0" w:space="0" w:color="auto"/>
        <w:bottom w:val="none" w:sz="0" w:space="0" w:color="auto"/>
        <w:right w:val="none" w:sz="0" w:space="0" w:color="auto"/>
      </w:divBdr>
    </w:div>
    <w:div w:id="1317995352">
      <w:bodyDiv w:val="1"/>
      <w:marLeft w:val="0"/>
      <w:marRight w:val="0"/>
      <w:marTop w:val="0"/>
      <w:marBottom w:val="0"/>
      <w:divBdr>
        <w:top w:val="none" w:sz="0" w:space="0" w:color="auto"/>
        <w:left w:val="none" w:sz="0" w:space="0" w:color="auto"/>
        <w:bottom w:val="none" w:sz="0" w:space="0" w:color="auto"/>
        <w:right w:val="none" w:sz="0" w:space="0" w:color="auto"/>
      </w:divBdr>
    </w:div>
    <w:div w:id="1324117966">
      <w:bodyDiv w:val="1"/>
      <w:marLeft w:val="0"/>
      <w:marRight w:val="0"/>
      <w:marTop w:val="0"/>
      <w:marBottom w:val="0"/>
      <w:divBdr>
        <w:top w:val="none" w:sz="0" w:space="0" w:color="auto"/>
        <w:left w:val="none" w:sz="0" w:space="0" w:color="auto"/>
        <w:bottom w:val="none" w:sz="0" w:space="0" w:color="auto"/>
        <w:right w:val="none" w:sz="0" w:space="0" w:color="auto"/>
      </w:divBdr>
    </w:div>
    <w:div w:id="1378356130">
      <w:bodyDiv w:val="1"/>
      <w:marLeft w:val="0"/>
      <w:marRight w:val="0"/>
      <w:marTop w:val="0"/>
      <w:marBottom w:val="0"/>
      <w:divBdr>
        <w:top w:val="none" w:sz="0" w:space="0" w:color="auto"/>
        <w:left w:val="none" w:sz="0" w:space="0" w:color="auto"/>
        <w:bottom w:val="none" w:sz="0" w:space="0" w:color="auto"/>
        <w:right w:val="none" w:sz="0" w:space="0" w:color="auto"/>
      </w:divBdr>
    </w:div>
    <w:div w:id="1529372189">
      <w:bodyDiv w:val="1"/>
      <w:marLeft w:val="0"/>
      <w:marRight w:val="0"/>
      <w:marTop w:val="0"/>
      <w:marBottom w:val="0"/>
      <w:divBdr>
        <w:top w:val="none" w:sz="0" w:space="0" w:color="auto"/>
        <w:left w:val="none" w:sz="0" w:space="0" w:color="auto"/>
        <w:bottom w:val="none" w:sz="0" w:space="0" w:color="auto"/>
        <w:right w:val="none" w:sz="0" w:space="0" w:color="auto"/>
      </w:divBdr>
    </w:div>
    <w:div w:id="1611937812">
      <w:bodyDiv w:val="1"/>
      <w:marLeft w:val="0"/>
      <w:marRight w:val="0"/>
      <w:marTop w:val="0"/>
      <w:marBottom w:val="0"/>
      <w:divBdr>
        <w:top w:val="none" w:sz="0" w:space="0" w:color="auto"/>
        <w:left w:val="none" w:sz="0" w:space="0" w:color="auto"/>
        <w:bottom w:val="none" w:sz="0" w:space="0" w:color="auto"/>
        <w:right w:val="none" w:sz="0" w:space="0" w:color="auto"/>
      </w:divBdr>
    </w:div>
    <w:div w:id="1715275506">
      <w:bodyDiv w:val="1"/>
      <w:marLeft w:val="0"/>
      <w:marRight w:val="0"/>
      <w:marTop w:val="0"/>
      <w:marBottom w:val="0"/>
      <w:divBdr>
        <w:top w:val="none" w:sz="0" w:space="0" w:color="auto"/>
        <w:left w:val="none" w:sz="0" w:space="0" w:color="auto"/>
        <w:bottom w:val="none" w:sz="0" w:space="0" w:color="auto"/>
        <w:right w:val="none" w:sz="0" w:space="0" w:color="auto"/>
      </w:divBdr>
    </w:div>
    <w:div w:id="1813794712">
      <w:bodyDiv w:val="1"/>
      <w:marLeft w:val="45"/>
      <w:marRight w:val="45"/>
      <w:marTop w:val="90"/>
      <w:marBottom w:val="90"/>
      <w:divBdr>
        <w:top w:val="none" w:sz="0" w:space="0" w:color="auto"/>
        <w:left w:val="none" w:sz="0" w:space="0" w:color="auto"/>
        <w:bottom w:val="none" w:sz="0" w:space="0" w:color="auto"/>
        <w:right w:val="none" w:sz="0" w:space="0" w:color="auto"/>
      </w:divBdr>
      <w:divsChild>
        <w:div w:id="1534535338">
          <w:marLeft w:val="0"/>
          <w:marRight w:val="0"/>
          <w:marTop w:val="240"/>
          <w:marBottom w:val="0"/>
          <w:divBdr>
            <w:top w:val="none" w:sz="0" w:space="0" w:color="auto"/>
            <w:left w:val="none" w:sz="0" w:space="0" w:color="auto"/>
            <w:bottom w:val="none" w:sz="0" w:space="0" w:color="auto"/>
            <w:right w:val="none" w:sz="0" w:space="0" w:color="auto"/>
          </w:divBdr>
        </w:div>
      </w:divsChild>
    </w:div>
    <w:div w:id="1839954624">
      <w:bodyDiv w:val="1"/>
      <w:marLeft w:val="45"/>
      <w:marRight w:val="45"/>
      <w:marTop w:val="90"/>
      <w:marBottom w:val="90"/>
      <w:divBdr>
        <w:top w:val="none" w:sz="0" w:space="0" w:color="auto"/>
        <w:left w:val="none" w:sz="0" w:space="0" w:color="auto"/>
        <w:bottom w:val="none" w:sz="0" w:space="0" w:color="auto"/>
        <w:right w:val="none" w:sz="0" w:space="0" w:color="auto"/>
      </w:divBdr>
      <w:divsChild>
        <w:div w:id="157043663">
          <w:marLeft w:val="0"/>
          <w:marRight w:val="0"/>
          <w:marTop w:val="240"/>
          <w:marBottom w:val="0"/>
          <w:divBdr>
            <w:top w:val="none" w:sz="0" w:space="0" w:color="auto"/>
            <w:left w:val="none" w:sz="0" w:space="0" w:color="auto"/>
            <w:bottom w:val="none" w:sz="0" w:space="0" w:color="auto"/>
            <w:right w:val="none" w:sz="0" w:space="0" w:color="auto"/>
          </w:divBdr>
        </w:div>
        <w:div w:id="1788573717">
          <w:marLeft w:val="0"/>
          <w:marRight w:val="0"/>
          <w:marTop w:val="240"/>
          <w:marBottom w:val="0"/>
          <w:divBdr>
            <w:top w:val="none" w:sz="0" w:space="0" w:color="auto"/>
            <w:left w:val="none" w:sz="0" w:space="0" w:color="auto"/>
            <w:bottom w:val="none" w:sz="0" w:space="0" w:color="auto"/>
            <w:right w:val="none" w:sz="0" w:space="0" w:color="auto"/>
          </w:divBdr>
        </w:div>
      </w:divsChild>
    </w:div>
    <w:div w:id="1965114363">
      <w:bodyDiv w:val="1"/>
      <w:marLeft w:val="0"/>
      <w:marRight w:val="0"/>
      <w:marTop w:val="0"/>
      <w:marBottom w:val="0"/>
      <w:divBdr>
        <w:top w:val="none" w:sz="0" w:space="0" w:color="auto"/>
        <w:left w:val="none" w:sz="0" w:space="0" w:color="auto"/>
        <w:bottom w:val="none" w:sz="0" w:space="0" w:color="auto"/>
        <w:right w:val="none" w:sz="0" w:space="0" w:color="auto"/>
      </w:divBdr>
    </w:div>
    <w:div w:id="199452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mailto:Diana.Vitolina@fm.gov.lv" TargetMode="External"/><Relationship Id="rId5" Type="http://schemas.openxmlformats.org/officeDocument/2006/relationships/settings" Target="settings.xml"/><Relationship Id="rId15" Type="http://schemas.openxmlformats.org/officeDocument/2006/relationships/hyperlink" Target="http://www.kase.gov.lv/uploaded_files/Pasvaldibam/XML%20apraksti%20VBPBP/Veidlapu%20apraksts_150411.xsd" TargetMode="External"/><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www.raplm.gov.lv/pub/index.php?id=1841" TargetMode="Externa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B2672-754F-4EF1-83EA-05120CBC7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82878</Words>
  <Characters>47242</Characters>
  <Application>Microsoft Office Word</Application>
  <DocSecurity>0</DocSecurity>
  <Lines>393</Lines>
  <Paragraphs>259</Paragraphs>
  <ScaleCrop>false</ScaleCrop>
  <HeadingPairs>
    <vt:vector size="2" baseType="variant">
      <vt:variant>
        <vt:lpstr>Title</vt:lpstr>
      </vt:variant>
      <vt:variant>
        <vt:i4>1</vt:i4>
      </vt:variant>
    </vt:vector>
  </HeadingPairs>
  <TitlesOfParts>
    <vt:vector size="1" baseType="lpstr">
      <vt:lpstr>Koncepcijas projekts "Vienotas valsts iestāžu un vadības grāmatvedības sistēmas izveide un tās sasaiste ar vienoto valsts cilvēkresursu vadības sistēmu"</vt:lpstr>
    </vt:vector>
  </TitlesOfParts>
  <Manager>Mārtiņš Linde</Manager>
  <Company>Valsts kase</Company>
  <LinksUpToDate>false</LinksUpToDate>
  <CharactersWithSpaces>129861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Koncepcijas projekts "Vienotas valsts iestāžu un vadības grāmatvedības sistēmas izveide un tās sasaiste ar vienoto valsts cilvēkresursu vadības sistēmu"</dc:title>
  <dc:subject>Koncepcijas projekts - informatīvā daļa</dc:subject>
  <dc:creator>Laila Ruškule</dc:creator>
  <dc:description>laila.ruskule@fm.gov.lv ; 67083914</dc:description>
  <cp:lastModifiedBy>Laila</cp:lastModifiedBy>
  <cp:revision>2</cp:revision>
  <cp:lastPrinted>2012-03-28T11:09:00Z</cp:lastPrinted>
  <dcterms:created xsi:type="dcterms:W3CDTF">2012-03-29T06:55:00Z</dcterms:created>
  <dcterms:modified xsi:type="dcterms:W3CDTF">2012-03-29T06:55:00Z</dcterms:modified>
</cp:coreProperties>
</file>