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CD" w:rsidRDefault="00F17F72" w:rsidP="00F17F72">
      <w:pPr>
        <w:tabs>
          <w:tab w:val="left" w:pos="7620"/>
        </w:tabs>
      </w:pPr>
      <w:r>
        <w:tab/>
      </w:r>
    </w:p>
    <w:p w:rsidR="008248CD" w:rsidRDefault="008248CD" w:rsidP="00F17F72">
      <w:pPr>
        <w:jc w:val="right"/>
      </w:pPr>
      <w:r>
        <w:t>1.pielikums</w:t>
      </w:r>
    </w:p>
    <w:p w:rsidR="008248CD" w:rsidRDefault="008248CD" w:rsidP="00F17F72">
      <w:pPr>
        <w:jc w:val="right"/>
      </w:pPr>
      <w:r>
        <w:t>Koncepcijai par Eiropas Reģionālās</w:t>
      </w:r>
    </w:p>
    <w:p w:rsidR="008248CD" w:rsidRDefault="008248CD" w:rsidP="00F17F72">
      <w:pPr>
        <w:jc w:val="right"/>
      </w:pPr>
      <w:r>
        <w:t xml:space="preserve">attīstības fonda, Eiropas Sociālā fonda, </w:t>
      </w:r>
    </w:p>
    <w:p w:rsidR="008248CD" w:rsidRDefault="008248CD" w:rsidP="00F17F72">
      <w:pPr>
        <w:jc w:val="right"/>
      </w:pPr>
      <w:r>
        <w:t xml:space="preserve">Kohēzijas fonda, Eiropas Lauksaimniecības fonda </w:t>
      </w:r>
    </w:p>
    <w:p w:rsidR="008248CD" w:rsidRDefault="008248CD" w:rsidP="00F17F72">
      <w:pPr>
        <w:jc w:val="right"/>
      </w:pPr>
      <w:r>
        <w:t xml:space="preserve">Lauku attīstībai un Eiropas Jūrlietu  un zivsaimniecības </w:t>
      </w:r>
    </w:p>
    <w:p w:rsidR="008248CD" w:rsidRDefault="008248CD" w:rsidP="00F17F72">
      <w:pPr>
        <w:jc w:val="right"/>
      </w:pPr>
      <w:r>
        <w:t>fonda ieviešan</w:t>
      </w:r>
      <w:r w:rsidR="00A0743A">
        <w:t>u</w:t>
      </w:r>
      <w:r>
        <w:t xml:space="preserve"> 2014. – 2020.gadā Latvijā </w:t>
      </w:r>
    </w:p>
    <w:p w:rsidR="008248CD" w:rsidRDefault="008248CD"/>
    <w:tbl>
      <w:tblPr>
        <w:tblW w:w="5263" w:type="pct"/>
        <w:jc w:val="center"/>
        <w:tblInd w:w="-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7"/>
      </w:tblGrid>
      <w:tr w:rsidR="009F7D02" w:rsidRPr="00CA152F" w:rsidTr="009F7D02">
        <w:trPr>
          <w:trHeight w:val="182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7D02" w:rsidRDefault="009F7D02" w:rsidP="00F027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b/>
                <w:bCs/>
                <w:szCs w:val="24"/>
              </w:rPr>
              <w:t>Politikas plānošanas dokumenta ietekme uz valsts un pašvaldību budžetiem</w:t>
            </w:r>
          </w:p>
        </w:tc>
      </w:tr>
    </w:tbl>
    <w:p w:rsidR="00ED7B27" w:rsidRDefault="00ED7B27" w:rsidP="00F17F72">
      <w:pPr>
        <w:ind w:firstLine="720"/>
      </w:pPr>
    </w:p>
    <w:tbl>
      <w:tblPr>
        <w:tblW w:w="5257" w:type="pct"/>
        <w:jc w:val="center"/>
        <w:tblInd w:w="-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813"/>
        <w:gridCol w:w="3237"/>
        <w:gridCol w:w="3574"/>
      </w:tblGrid>
      <w:tr w:rsidR="00AF6389" w:rsidRPr="00CA152F" w:rsidTr="00AF4DA0">
        <w:trPr>
          <w:trHeight w:val="182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CA152F" w:rsidRDefault="00AF6389" w:rsidP="00F027D4">
            <w:pPr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CA152F" w:rsidRDefault="00AF6389" w:rsidP="00F027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Turpmākie trīs gadi (</w:t>
            </w:r>
            <w:r w:rsidRPr="00CA152F">
              <w:rPr>
                <w:rFonts w:eastAsia="Times New Roman" w:cs="Times New Roman"/>
                <w:sz w:val="20"/>
                <w:szCs w:val="20"/>
              </w:rPr>
              <w:t>latu)</w:t>
            </w:r>
          </w:p>
        </w:tc>
      </w:tr>
      <w:tr w:rsidR="00AF6389" w:rsidRPr="00CA152F" w:rsidTr="00AF4DA0">
        <w:trPr>
          <w:trHeight w:val="182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CA152F" w:rsidRDefault="00AF6389" w:rsidP="00F027D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CA152F" w:rsidRDefault="00AF6389" w:rsidP="00F027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CA152F" w:rsidRDefault="00AF6389" w:rsidP="00F027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CA152F" w:rsidRDefault="00AF6389" w:rsidP="00F027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AF6389" w:rsidRPr="00CA152F" w:rsidTr="00880BA3">
        <w:trPr>
          <w:trHeight w:val="103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 xml:space="preserve">Kopējās izmaiņas budžeta ieņēmumos </w:t>
            </w:r>
            <w:proofErr w:type="spellStart"/>
            <w:r w:rsidRPr="00CA152F">
              <w:rPr>
                <w:rFonts w:eastAsia="Times New Roman" w:cs="Times New Roman"/>
                <w:sz w:val="20"/>
                <w:szCs w:val="20"/>
              </w:rPr>
              <w:t>t.sk</w:t>
            </w:r>
            <w:proofErr w:type="spellEnd"/>
            <w:r w:rsidRPr="00CA152F">
              <w:rPr>
                <w:rFonts w:eastAsia="Times New Roman" w:cs="Times New Roman"/>
                <w:sz w:val="20"/>
                <w:szCs w:val="20"/>
              </w:rPr>
              <w:t>.: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4C39BA" w:rsidP="00880BA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16 462 443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4C39BA" w:rsidP="00880BA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16 462 443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389" w:rsidRPr="00880BA3" w:rsidRDefault="004C39BA" w:rsidP="00880BA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16 462 443</w:t>
            </w:r>
          </w:p>
        </w:tc>
      </w:tr>
      <w:tr w:rsidR="00AF6389" w:rsidRPr="00CA152F" w:rsidTr="00880BA3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Izmaiņas valsts budžeta ieņēmumos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39BA" w:rsidRPr="00880BA3" w:rsidRDefault="004C39BA" w:rsidP="00880BA3">
            <w:pPr>
              <w:jc w:val="center"/>
              <w:rPr>
                <w:color w:val="000000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16 462 443</w:t>
            </w:r>
          </w:p>
          <w:p w:rsidR="00AF6389" w:rsidRPr="00880BA3" w:rsidRDefault="00AF6389" w:rsidP="00880B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4C39BA" w:rsidP="00880BA3">
            <w:pPr>
              <w:jc w:val="center"/>
              <w:rPr>
                <w:color w:val="000000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16 462 443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4C39BA" w:rsidP="00880BA3">
            <w:pPr>
              <w:jc w:val="center"/>
              <w:rPr>
                <w:color w:val="000000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16 462 443</w:t>
            </w:r>
          </w:p>
        </w:tc>
      </w:tr>
      <w:tr w:rsidR="00AF6389" w:rsidRPr="00CA152F" w:rsidTr="00880BA3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Izmaiņas pašvaldību budžeta ieņēmumos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6389" w:rsidRPr="00CA152F" w:rsidTr="00880BA3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 xml:space="preserve">Kopējās izmaiņas budžeta izdevumos </w:t>
            </w:r>
            <w:proofErr w:type="spellStart"/>
            <w:r w:rsidRPr="00CA152F">
              <w:rPr>
                <w:rFonts w:eastAsia="Times New Roman" w:cs="Times New Roman"/>
                <w:sz w:val="20"/>
                <w:szCs w:val="20"/>
              </w:rPr>
              <w:t>t.sk</w:t>
            </w:r>
            <w:proofErr w:type="spellEnd"/>
            <w:r w:rsidRPr="00CA152F">
              <w:rPr>
                <w:rFonts w:eastAsia="Times New Roman" w:cs="Times New Roman"/>
                <w:sz w:val="20"/>
                <w:szCs w:val="20"/>
              </w:rPr>
              <w:t>.: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880BA3" w:rsidRDefault="00AF6389" w:rsidP="00880B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20 586 181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20 586 181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20 586 181</w:t>
            </w:r>
          </w:p>
        </w:tc>
      </w:tr>
      <w:tr w:rsidR="00AF6389" w:rsidRPr="00CA152F" w:rsidTr="00880BA3">
        <w:trPr>
          <w:trHeight w:val="607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Izmaiņas valsts budžeta izdevumos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20 586 181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20 586 181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20 586 181</w:t>
            </w:r>
          </w:p>
        </w:tc>
      </w:tr>
      <w:tr w:rsidR="00AF6389" w:rsidRPr="00CA152F" w:rsidTr="00880BA3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Izmaiņas pašvaldību budžeta izdevumos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6389" w:rsidRPr="00CA152F" w:rsidTr="00880BA3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Kopējā finansiālā ietekme: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880BA3" w:rsidRDefault="00AF6389" w:rsidP="00880BA3">
            <w:pPr>
              <w:tabs>
                <w:tab w:val="left" w:pos="664"/>
                <w:tab w:val="center" w:pos="738"/>
              </w:tabs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 w:rsidR="00D634BE"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  </w:t>
            </w:r>
            <w:r w:rsidR="00D10885"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4 123 738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 w:rsidR="00D10885"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 4 123 738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 w:rsidR="00D10885"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 4 123 738</w:t>
            </w:r>
          </w:p>
        </w:tc>
      </w:tr>
      <w:tr w:rsidR="00AF6389" w:rsidRPr="00CA152F" w:rsidTr="00880BA3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Finansiālā ietekme uz valsts budžetu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389" w:rsidRPr="00880BA3" w:rsidRDefault="00AF6389" w:rsidP="00880B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 w:rsidR="00D634BE"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4 123 738</w:t>
            </w: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 w:rsidR="00D634BE"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4 123 738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880BA3" w:rsidRDefault="00AF6389" w:rsidP="00880B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AF6389" w:rsidRPr="00880BA3" w:rsidRDefault="00AF6389" w:rsidP="00880BA3">
            <w:pPr>
              <w:spacing w:line="6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  <w:r w:rsidR="00D634BE" w:rsidRPr="00880BA3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4 123 738</w:t>
            </w:r>
          </w:p>
        </w:tc>
      </w:tr>
      <w:tr w:rsidR="00AF6389" w:rsidRPr="00CA152F" w:rsidTr="00AF4DA0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Finansiālā ietekme uz pašvaldību budžetu</w:t>
            </w:r>
          </w:p>
        </w:tc>
        <w:tc>
          <w:tcPr>
            <w:tcW w:w="42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line="6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6389" w:rsidRPr="00CA152F" w:rsidTr="00AF4DA0">
        <w:trPr>
          <w:trHeight w:val="341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Detalizēts ieņēmumu un izdevumu aprēķins (ja nepieciešams, detalizētu ieņēmumu un izdevumu aprēķinu pievieno politikas plānošanas dokumenta pielikumā. Ietekmi uz valsts un pašvaldību budžetiem norāda atsevišķi valsts un pašvaldību budžetam)</w:t>
            </w:r>
          </w:p>
        </w:tc>
        <w:tc>
          <w:tcPr>
            <w:tcW w:w="42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Default="00AF6389" w:rsidP="00F027D4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3856"/>
              <w:gridCol w:w="1134"/>
              <w:gridCol w:w="1417"/>
              <w:gridCol w:w="1166"/>
            </w:tblGrid>
            <w:tr w:rsidR="00AF6389" w:rsidRPr="00780C2B" w:rsidTr="00F027D4">
              <w:trPr>
                <w:trHeight w:val="218"/>
              </w:trPr>
              <w:tc>
                <w:tcPr>
                  <w:tcW w:w="7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  <w:t>KP,ERAF,ESF,ELFLA,EJZF, ETC fondu ieviešanas izmaksas</w:t>
                  </w:r>
                </w:p>
              </w:tc>
            </w:tr>
            <w:tr w:rsidR="00AF6389" w:rsidRPr="00780C2B" w:rsidTr="00F027D4">
              <w:trPr>
                <w:trHeight w:val="211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  <w:t>2014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  <w:t>2015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lv-LV"/>
                    </w:rPr>
                    <w:t>2016</w:t>
                  </w:r>
                </w:p>
              </w:tc>
            </w:tr>
            <w:tr w:rsidR="00AF6389" w:rsidRPr="00780C2B" w:rsidTr="00F027D4">
              <w:trPr>
                <w:trHeight w:val="416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389" w:rsidRPr="00780C2B" w:rsidRDefault="00AF6389" w:rsidP="00F027D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2014.-2020.g. perioda tehniskā palīdzība un valsts budžets fondu ieviešanai)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6 507 085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9 619 443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19 343 874</w:t>
                  </w:r>
                </w:p>
              </w:tc>
            </w:tr>
            <w:tr w:rsidR="00AF6389" w:rsidRPr="00780C2B" w:rsidTr="00F027D4">
              <w:trPr>
                <w:trHeight w:val="654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389" w:rsidRPr="00780C2B" w:rsidRDefault="00AF6389" w:rsidP="00F027D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2007.- 2013.g.perioda tehniskā palīdzība un valsts budžets fondu ieviešanai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12 836 789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9 724 431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AF6389" w:rsidRPr="00780C2B" w:rsidTr="00F027D4">
              <w:trPr>
                <w:trHeight w:val="278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389" w:rsidRPr="00780C2B" w:rsidRDefault="00AF6389" w:rsidP="00F027D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T</w:t>
                  </w:r>
                  <w:r w:rsidRPr="00630887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ehniskā palīdzībā </w:t>
                  </w: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kopā (bez valsts budžeta finansējuma)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015FB2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16 462 443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015FB2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16 462 443 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015FB2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 16 462 443</w:t>
                  </w:r>
                </w:p>
              </w:tc>
            </w:tr>
            <w:tr w:rsidR="00AF6389" w:rsidRPr="00780C2B" w:rsidTr="00F027D4">
              <w:trPr>
                <w:trHeight w:val="502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389" w:rsidRPr="00780C2B" w:rsidRDefault="00AF6389" w:rsidP="00F027D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 xml:space="preserve">Valsts budžeta līdzfinansējums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015FB2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2 881 431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015FB2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2 881 431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015FB2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 2 881 431</w:t>
                  </w:r>
                </w:p>
              </w:tc>
            </w:tr>
            <w:tr w:rsidR="00AF6389" w:rsidRPr="00780C2B" w:rsidTr="00F027D4">
              <w:trPr>
                <w:trHeight w:val="71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6389" w:rsidRPr="00780C2B" w:rsidRDefault="00AF6389" w:rsidP="00F027D4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Valsts budžeta finansējums atalgojumiem ES KP fondu ieviešanai (2007-2013 perioda izmaksas vienā gadā)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1 242 307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1 242 307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6389" w:rsidRPr="00780C2B" w:rsidRDefault="00AF6389" w:rsidP="00F027D4">
                  <w:pPr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780C2B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1 242 307</w:t>
                  </w:r>
                </w:p>
              </w:tc>
            </w:tr>
            <w:tr w:rsidR="00AF6389" w:rsidRPr="00780C2B" w:rsidTr="00F027D4">
              <w:trPr>
                <w:trHeight w:val="713"/>
              </w:trPr>
              <w:tc>
                <w:tcPr>
                  <w:tcW w:w="3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F6389" w:rsidRPr="00880BA3" w:rsidRDefault="00AF6389" w:rsidP="00F027D4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80BA3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Ietekme uz valsts budžetu KOPĀ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6389" w:rsidRPr="00880BA3" w:rsidRDefault="00AF6389" w:rsidP="00F027D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0BA3">
                    <w:rPr>
                      <w:bCs/>
                      <w:color w:val="000000"/>
                      <w:sz w:val="20"/>
                      <w:szCs w:val="20"/>
                    </w:rPr>
                    <w:t>20 586 181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6389" w:rsidRPr="00880BA3" w:rsidRDefault="00AF6389" w:rsidP="00F027D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0BA3">
                    <w:rPr>
                      <w:bCs/>
                      <w:color w:val="000000"/>
                      <w:sz w:val="20"/>
                      <w:szCs w:val="20"/>
                    </w:rPr>
                    <w:t>20 586 181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6389" w:rsidRPr="00880BA3" w:rsidRDefault="00AF6389" w:rsidP="00F027D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0BA3">
                    <w:rPr>
                      <w:bCs/>
                      <w:color w:val="000000"/>
                      <w:sz w:val="20"/>
                      <w:szCs w:val="20"/>
                    </w:rPr>
                    <w:t>20 586 181</w:t>
                  </w:r>
                </w:p>
              </w:tc>
            </w:tr>
          </w:tbl>
          <w:p w:rsidR="00AF6389" w:rsidRDefault="00AF6389" w:rsidP="00F027D4">
            <w:pPr>
              <w:jc w:val="both"/>
              <w:rPr>
                <w:sz w:val="20"/>
                <w:szCs w:val="20"/>
              </w:rPr>
            </w:pPr>
          </w:p>
          <w:p w:rsidR="00AF6389" w:rsidRPr="005133B1" w:rsidRDefault="00AF6389" w:rsidP="00F02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Negatīvās finansiālās ietekmes segšanai v</w:t>
            </w:r>
            <w:r w:rsidRPr="005133B1">
              <w:rPr>
                <w:sz w:val="20"/>
                <w:szCs w:val="20"/>
              </w:rPr>
              <w:t>alsts budžeta līdzfinansējums normatīvajos aktos noteiktajā kārtībā tiks pārdalīts no valsts budžeta programmas 80.00.00 „Nesadalītais finansējums Eiropas Savienības politiku instrumentu un pārējās ārvalstu finanšu palīdzības līdzfinansēto projektu un pasākumu īstenošanai”.</w:t>
            </w:r>
          </w:p>
          <w:p w:rsidR="00AF6389" w:rsidRPr="00C93EE2" w:rsidRDefault="00AF6389" w:rsidP="00F027D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6389" w:rsidRPr="00CA152F" w:rsidTr="00AF4DA0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lastRenderedPageBreak/>
              <w:t>Cita informācija</w:t>
            </w:r>
          </w:p>
        </w:tc>
        <w:tc>
          <w:tcPr>
            <w:tcW w:w="42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Default="00AF6389" w:rsidP="00F027D4">
            <w:pPr>
              <w:spacing w:before="100" w:beforeAutospacing="1" w:after="100" w:afterAutospacing="1" w:line="20" w:lineRule="atLeast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Detalizētāks aprēķina skaidrojums norādīts koncepcijas 3</w:t>
            </w:r>
            <w:r w:rsidRPr="002A6C1F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Sadaļā </w:t>
            </w:r>
            <w:r w:rsidRPr="002A6C1F">
              <w:rPr>
                <w:rFonts w:cs="Times New Roman"/>
                <w:i/>
                <w:sz w:val="20"/>
                <w:szCs w:val="20"/>
              </w:rPr>
              <w:t>Institucionālo sistēmu ietekme uz valsts budžetu</w:t>
            </w:r>
            <w:r w:rsidRPr="002A6C1F">
              <w:rPr>
                <w:rFonts w:cs="Times New Roman"/>
                <w:sz w:val="20"/>
                <w:szCs w:val="20"/>
              </w:rPr>
              <w:t>.</w:t>
            </w:r>
          </w:p>
          <w:p w:rsidR="00AF6389" w:rsidRPr="005B423D" w:rsidRDefault="00AF6389" w:rsidP="00F027D4">
            <w:pPr>
              <w:spacing w:before="100" w:beforeAutospacing="1" w:after="100" w:afterAutospacing="1" w:line="2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28D5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Attiecībā uz ieņēmumu  daļu saskaņā ar EK regulu priekšlikumiem un diskusijām par ES daudzgadu budžetu, pozīcijā „</w:t>
            </w:r>
            <w:r w:rsidRPr="00CA152F">
              <w:rPr>
                <w:rFonts w:eastAsia="Times New Roman" w:cs="Times New Roman"/>
                <w:sz w:val="20"/>
                <w:szCs w:val="20"/>
              </w:rPr>
              <w:t xml:space="preserve">Izmaiņas valsts </w:t>
            </w:r>
            <w:r w:rsidRPr="00793E01">
              <w:rPr>
                <w:rFonts w:eastAsia="Times New Roman" w:cs="Times New Roman"/>
                <w:sz w:val="20"/>
                <w:szCs w:val="20"/>
              </w:rPr>
              <w:t xml:space="preserve">budžeta ieņēmumos” tiek plānots, ka ESF, ERAF, KF, EFLA un EJZF gadījumā ES līdzfinansējuma daļa ir </w:t>
            </w:r>
            <w:r w:rsidR="000C5179" w:rsidRPr="00793E01">
              <w:rPr>
                <w:rFonts w:eastAsia="Times New Roman" w:cs="Times New Roman"/>
                <w:sz w:val="20"/>
                <w:szCs w:val="20"/>
              </w:rPr>
              <w:t>85</w:t>
            </w:r>
            <w:r w:rsidRPr="00793E01">
              <w:rPr>
                <w:rFonts w:eastAsia="Times New Roman" w:cs="Times New Roman"/>
                <w:sz w:val="20"/>
                <w:szCs w:val="20"/>
              </w:rPr>
              <w:t>%</w:t>
            </w:r>
            <w:r w:rsidR="00CA52ED" w:rsidRPr="00793E01">
              <w:rPr>
                <w:rFonts w:eastAsia="Times New Roman" w:cs="Times New Roman"/>
                <w:sz w:val="20"/>
                <w:szCs w:val="20"/>
              </w:rPr>
              <w:t xml:space="preserve"> (tomēr vēršam uzmanību, ka </w:t>
            </w:r>
            <w:r w:rsidR="00CA52ED" w:rsidRPr="00793E01">
              <w:rPr>
                <w:sz w:val="20"/>
                <w:szCs w:val="20"/>
              </w:rPr>
              <w:t>joprojām notiek sarunas par Regulu priekšlikumu redakcijām un minētais procentuālais sadalījums vēl var mainīties atkarībā no diskusiju iznākuma)</w:t>
            </w:r>
            <w:r w:rsidRPr="00793E01">
              <w:rPr>
                <w:rFonts w:eastAsia="Times New Roman" w:cs="Times New Roman"/>
                <w:sz w:val="20"/>
                <w:szCs w:val="20"/>
              </w:rPr>
              <w:t xml:space="preserve">. Attiecīgi nacionālā līdzfinansējuma daļa tiek plānota </w:t>
            </w:r>
            <w:r w:rsidR="000C5179">
              <w:rPr>
                <w:rFonts w:eastAsia="Times New Roman" w:cs="Times New Roman"/>
                <w:sz w:val="20"/>
                <w:szCs w:val="20"/>
              </w:rPr>
              <w:t>15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% (tiek ņemt vērā izdevumu daļā). ETS gadījumā ES līdzfinansējuma </w:t>
            </w:r>
            <w:r w:rsidRPr="005B423D">
              <w:rPr>
                <w:rFonts w:eastAsia="Times New Roman" w:cs="Times New Roman"/>
                <w:sz w:val="20"/>
                <w:szCs w:val="20"/>
              </w:rPr>
              <w:t xml:space="preserve">daļa ir 85,5% un nacionālā līdzfinansējuma daļa ir 12,5% (tiek ņemts vērā izdevumu daļā). </w:t>
            </w:r>
            <w:r w:rsidRPr="005B423D">
              <w:rPr>
                <w:sz w:val="20"/>
                <w:szCs w:val="20"/>
              </w:rPr>
              <w:t xml:space="preserve">ETS gadījumā tehniskās palīdzības apjoms un attiecīgi nepieciešamā papildus nacionālā līdzfinansējuma likme ir atkarīgi no programmas dalībvalstu vienošanās par Tehniskās palīdzības finansētajām aktivitātēm, kam ir </w:t>
            </w:r>
            <w:proofErr w:type="spellStart"/>
            <w:r w:rsidRPr="005B423D">
              <w:rPr>
                <w:sz w:val="20"/>
                <w:szCs w:val="20"/>
              </w:rPr>
              <w:t>daudzvalstu</w:t>
            </w:r>
            <w:proofErr w:type="spellEnd"/>
            <w:r w:rsidRPr="005B423D">
              <w:rPr>
                <w:sz w:val="20"/>
                <w:szCs w:val="20"/>
              </w:rPr>
              <w:t xml:space="preserve"> konteksts / starptautisks mērogs, un lēmuma par vadības sistēmas uzbūvi.”</w:t>
            </w:r>
          </w:p>
          <w:p w:rsidR="00AF6389" w:rsidRDefault="00AF6389" w:rsidP="00F027D4">
            <w:pPr>
              <w:spacing w:before="100" w:beforeAutospacing="1" w:after="100" w:afterAutospacing="1" w:line="2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Izdevumu daļā tiek ņemti vērā arī </w:t>
            </w:r>
            <w:r w:rsidRPr="00D428D5">
              <w:rPr>
                <w:rFonts w:eastAsia="Times New Roman" w:cs="Times New Roman"/>
                <w:sz w:val="20"/>
                <w:szCs w:val="20"/>
              </w:rPr>
              <w:t>2007. – 2013.gada plānošanas perioda tehniskās palīdzības līdzekļi</w:t>
            </w:r>
            <w:r>
              <w:rPr>
                <w:rFonts w:eastAsia="Times New Roman" w:cs="Times New Roman"/>
                <w:sz w:val="20"/>
                <w:szCs w:val="20"/>
              </w:rPr>
              <w:t>, ņemot vērā, ka</w:t>
            </w:r>
            <w:r w:rsidRPr="00D428D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tie</w:t>
            </w:r>
            <w:r w:rsidRPr="00D428D5">
              <w:rPr>
                <w:rFonts w:eastAsia="Times New Roman" w:cs="Times New Roman"/>
                <w:sz w:val="20"/>
                <w:szCs w:val="20"/>
              </w:rPr>
              <w:t xml:space="preserve"> jau šobrīd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daļēji </w:t>
            </w:r>
            <w:r w:rsidRPr="00D428D5">
              <w:rPr>
                <w:rFonts w:eastAsia="Times New Roman" w:cs="Times New Roman"/>
                <w:sz w:val="20"/>
                <w:szCs w:val="20"/>
              </w:rPr>
              <w:t xml:space="preserve">tiek novirzīti nākamā plānošanas perioda </w:t>
            </w:r>
            <w:r>
              <w:rPr>
                <w:rFonts w:eastAsia="Times New Roman" w:cs="Times New Roman"/>
                <w:sz w:val="20"/>
                <w:szCs w:val="20"/>
              </w:rPr>
              <w:t>sagatavošanas darbiem</w:t>
            </w:r>
            <w:r w:rsidRPr="00D428D5">
              <w:rPr>
                <w:rFonts w:eastAsia="Times New Roman" w:cs="Times New Roman"/>
                <w:sz w:val="20"/>
                <w:szCs w:val="20"/>
              </w:rPr>
              <w:t xml:space="preserve">, kuru īpatsvars 2014. – 2015. gadā tikai pieaugs, ņemot vērā ES fondu ieviešanas ciklisko dabu, ka perioda beigās visaktuālākais ES fondu ieviešanas jautājums ir nākamā perioda plānošana. </w:t>
            </w:r>
          </w:p>
          <w:p w:rsidR="00AF6389" w:rsidRPr="00CA152F" w:rsidRDefault="00AF6389" w:rsidP="00F027D4">
            <w:pPr>
              <w:spacing w:before="100" w:beforeAutospacing="1" w:after="100" w:afterAutospacing="1" w:line="20" w:lineRule="atLeast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ES KP fondu gadījumā 2014. – 2020.gadā plānots izstrādāt un ieviest atalgojuma daļveida attiecināšanu no dažādiem finansēšanas avotiem, tai skaitā  no ES KP fondiem un valsts budžeta finansējuma. T</w:t>
            </w:r>
            <w:r w:rsidRPr="002A6C1F">
              <w:rPr>
                <w:rFonts w:eastAsia="Times New Roman" w:cs="Times New Roman"/>
                <w:sz w:val="20"/>
                <w:szCs w:val="20"/>
              </w:rPr>
              <w:t xml:space="preserve">ā kā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atalgojuma </w:t>
            </w:r>
            <w:r w:rsidRPr="002A6C1F">
              <w:rPr>
                <w:rFonts w:eastAsia="Times New Roman" w:cs="Times New Roman"/>
                <w:sz w:val="20"/>
                <w:szCs w:val="20"/>
              </w:rPr>
              <w:t>daļveida 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ttiecināšana ir izstrādes stadijā un nevar precīzi prognozēt tās ieviešanas laiku, tad </w:t>
            </w:r>
            <w:r w:rsidRPr="002A6C1F">
              <w:rPr>
                <w:rFonts w:eastAsia="Times New Roman" w:cs="Times New Roman"/>
                <w:sz w:val="20"/>
                <w:szCs w:val="20"/>
              </w:rPr>
              <w:t>summa, kas veidojas no ES fondu vadībā iesaistīto personu atalgojumiem, kuru izmaksas tiek segtas no nacionālā budžeta, visos gados ir atspoguļota vienādā apjomā.</w:t>
            </w:r>
          </w:p>
        </w:tc>
      </w:tr>
      <w:tr w:rsidR="00AF6389" w:rsidRPr="00CA152F" w:rsidTr="00AF4DA0">
        <w:trPr>
          <w:trHeight w:val="25"/>
          <w:jc w:val="center"/>
        </w:trPr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389" w:rsidRPr="00CA152F" w:rsidRDefault="00AF6389" w:rsidP="00F027D4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0"/>
                <w:szCs w:val="20"/>
              </w:rPr>
            </w:pPr>
            <w:r w:rsidRPr="00CA152F">
              <w:rPr>
                <w:rFonts w:eastAsia="Times New Roman" w:cs="Times New Roman"/>
                <w:sz w:val="20"/>
                <w:szCs w:val="20"/>
              </w:rPr>
              <w:t>Izmaiņas budžeta izdevumos no N+4 līdz N+7 gadiem*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Default="00AF6389" w:rsidP="00F027D4">
            <w:pPr>
              <w:pStyle w:val="ListParagraph"/>
              <w:jc w:val="center"/>
              <w:rPr>
                <w:color w:val="000000"/>
                <w:szCs w:val="24"/>
              </w:rPr>
            </w:pPr>
          </w:p>
          <w:p w:rsidR="00AF6389" w:rsidRPr="00D428D5" w:rsidRDefault="00AF6389" w:rsidP="00F027D4">
            <w:pPr>
              <w:pStyle w:val="ListParagraph"/>
              <w:ind w:left="33"/>
              <w:jc w:val="center"/>
              <w:rPr>
                <w:color w:val="000000"/>
                <w:szCs w:val="24"/>
              </w:rPr>
            </w:pPr>
            <w:r w:rsidRPr="00D428D5">
              <w:rPr>
                <w:color w:val="000000"/>
                <w:szCs w:val="24"/>
              </w:rPr>
              <w:t>20 586 181</w:t>
            </w:r>
          </w:p>
          <w:p w:rsidR="00AF6389" w:rsidRPr="00D428D5" w:rsidRDefault="00AF6389" w:rsidP="00F027D4">
            <w:pPr>
              <w:pStyle w:val="ListParagraph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  <w:p w:rsidR="00AF6389" w:rsidRDefault="00AF6389" w:rsidP="00F027D4">
            <w:pPr>
              <w:jc w:val="center"/>
            </w:pPr>
          </w:p>
        </w:tc>
        <w:tc>
          <w:tcPr>
            <w:tcW w:w="1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D428D5" w:rsidRDefault="00AF6389" w:rsidP="00F027D4">
            <w:pPr>
              <w:pStyle w:val="ListParagraph"/>
              <w:ind w:left="0"/>
              <w:jc w:val="center"/>
              <w:rPr>
                <w:color w:val="000000"/>
                <w:szCs w:val="24"/>
              </w:rPr>
            </w:pPr>
            <w:r w:rsidRPr="00D428D5">
              <w:rPr>
                <w:color w:val="000000"/>
                <w:szCs w:val="24"/>
              </w:rPr>
              <w:t>20 586</w:t>
            </w:r>
            <w:r>
              <w:rPr>
                <w:color w:val="000000"/>
                <w:szCs w:val="24"/>
              </w:rPr>
              <w:t> </w:t>
            </w:r>
            <w:r w:rsidRPr="00D428D5">
              <w:rPr>
                <w:color w:val="000000"/>
                <w:szCs w:val="24"/>
              </w:rPr>
              <w:t>181</w:t>
            </w:r>
          </w:p>
          <w:p w:rsidR="00AF6389" w:rsidRDefault="00AF6389" w:rsidP="00F027D4">
            <w:pPr>
              <w:jc w:val="center"/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389" w:rsidRPr="00D428D5" w:rsidRDefault="00AF6389" w:rsidP="00F027D4">
            <w:pPr>
              <w:pStyle w:val="ListParagraph"/>
              <w:ind w:left="14"/>
              <w:jc w:val="center"/>
              <w:rPr>
                <w:color w:val="000000"/>
                <w:szCs w:val="24"/>
              </w:rPr>
            </w:pPr>
            <w:r w:rsidRPr="00D428D5">
              <w:rPr>
                <w:color w:val="000000"/>
                <w:szCs w:val="24"/>
              </w:rPr>
              <w:t>20 586</w:t>
            </w:r>
            <w:r>
              <w:rPr>
                <w:color w:val="000000"/>
                <w:szCs w:val="24"/>
              </w:rPr>
              <w:t> </w:t>
            </w:r>
            <w:r w:rsidRPr="00D428D5">
              <w:rPr>
                <w:color w:val="000000"/>
                <w:szCs w:val="24"/>
              </w:rPr>
              <w:t>181</w:t>
            </w:r>
          </w:p>
          <w:p w:rsidR="00AF6389" w:rsidRDefault="00AF6389" w:rsidP="00F027D4">
            <w:pPr>
              <w:jc w:val="center"/>
            </w:pPr>
          </w:p>
        </w:tc>
      </w:tr>
    </w:tbl>
    <w:p w:rsidR="00AF6389" w:rsidRDefault="002C5107" w:rsidP="002C5107">
      <w:pPr>
        <w:tabs>
          <w:tab w:val="left" w:pos="6345"/>
        </w:tabs>
      </w:pPr>
      <w:r>
        <w:tab/>
      </w:r>
    </w:p>
    <w:p w:rsidR="00AF4DA0" w:rsidRDefault="00AF4DA0" w:rsidP="00715B43">
      <w:pPr>
        <w:tabs>
          <w:tab w:val="right" w:pos="9072"/>
        </w:tabs>
        <w:jc w:val="both"/>
        <w:rPr>
          <w:rFonts w:cs="Times New Roman"/>
          <w:szCs w:val="24"/>
        </w:rPr>
      </w:pPr>
    </w:p>
    <w:p w:rsidR="00AF4DA0" w:rsidRDefault="00AF4DA0" w:rsidP="00715B43">
      <w:pPr>
        <w:tabs>
          <w:tab w:val="right" w:pos="9072"/>
        </w:tabs>
        <w:jc w:val="both"/>
        <w:rPr>
          <w:rFonts w:cs="Times New Roman"/>
          <w:szCs w:val="24"/>
        </w:rPr>
      </w:pPr>
    </w:p>
    <w:p w:rsidR="00EF0FC8" w:rsidRDefault="00EF0FC8" w:rsidP="00715B43">
      <w:pPr>
        <w:tabs>
          <w:tab w:val="right" w:pos="9072"/>
        </w:tabs>
        <w:jc w:val="both"/>
        <w:rPr>
          <w:rFonts w:cs="Times New Roman"/>
          <w:szCs w:val="24"/>
        </w:rPr>
      </w:pPr>
    </w:p>
    <w:p w:rsidR="006029ED" w:rsidRDefault="006029ED" w:rsidP="006029ED">
      <w:pPr>
        <w:tabs>
          <w:tab w:val="right" w:pos="9072"/>
        </w:tabs>
        <w:ind w:firstLine="720"/>
        <w:jc w:val="both"/>
        <w:rPr>
          <w:szCs w:val="24"/>
        </w:rPr>
      </w:pPr>
      <w:r>
        <w:rPr>
          <w:szCs w:val="24"/>
        </w:rPr>
        <w:t xml:space="preserve">Finanšu ministra vietā – </w:t>
      </w:r>
    </w:p>
    <w:p w:rsidR="006029ED" w:rsidRDefault="006029ED" w:rsidP="006029ED">
      <w:pPr>
        <w:tabs>
          <w:tab w:val="right" w:pos="9072"/>
        </w:tabs>
        <w:ind w:firstLine="720"/>
        <w:jc w:val="both"/>
        <w:rPr>
          <w:szCs w:val="24"/>
        </w:rPr>
      </w:pPr>
      <w:r>
        <w:rPr>
          <w:szCs w:val="24"/>
        </w:rPr>
        <w:t>zemkopības ministre</w:t>
      </w:r>
      <w:r>
        <w:rPr>
          <w:szCs w:val="24"/>
          <w:lang w:val="de-DE"/>
        </w:rPr>
        <w:tab/>
      </w:r>
      <w:r>
        <w:rPr>
          <w:szCs w:val="24"/>
        </w:rPr>
        <w:t>L.Straujuma</w:t>
      </w:r>
    </w:p>
    <w:p w:rsidR="00715B43" w:rsidRDefault="00715B43" w:rsidP="00715B43">
      <w:pPr>
        <w:rPr>
          <w:rFonts w:cs="Times New Roman"/>
          <w:sz w:val="16"/>
          <w:szCs w:val="16"/>
        </w:rPr>
      </w:pPr>
    </w:p>
    <w:p w:rsidR="00606D81" w:rsidRDefault="00606D81" w:rsidP="00715B43">
      <w:pPr>
        <w:rPr>
          <w:rFonts w:cs="Times New Roman"/>
          <w:sz w:val="16"/>
          <w:szCs w:val="16"/>
        </w:rPr>
      </w:pPr>
    </w:p>
    <w:p w:rsidR="00606D81" w:rsidRDefault="00606D81" w:rsidP="00715B43">
      <w:pPr>
        <w:rPr>
          <w:rFonts w:cs="Times New Roman"/>
          <w:sz w:val="16"/>
          <w:szCs w:val="16"/>
        </w:rPr>
      </w:pPr>
      <w:bookmarkStart w:id="0" w:name="_GoBack"/>
      <w:bookmarkEnd w:id="0"/>
    </w:p>
    <w:p w:rsidR="00606D81" w:rsidRDefault="00606D81" w:rsidP="00715B43">
      <w:pPr>
        <w:rPr>
          <w:rFonts w:cs="Times New Roman"/>
          <w:sz w:val="16"/>
          <w:szCs w:val="16"/>
        </w:rPr>
      </w:pPr>
    </w:p>
    <w:p w:rsidR="00AF4DA0" w:rsidRDefault="00AF4DA0" w:rsidP="00715B43">
      <w:pPr>
        <w:rPr>
          <w:rFonts w:cs="Times New Roman"/>
          <w:sz w:val="16"/>
          <w:szCs w:val="16"/>
        </w:rPr>
      </w:pPr>
    </w:p>
    <w:p w:rsidR="00606D81" w:rsidRDefault="00606D81" w:rsidP="00715B43">
      <w:pPr>
        <w:rPr>
          <w:rFonts w:cs="Times New Roman"/>
          <w:sz w:val="16"/>
          <w:szCs w:val="16"/>
        </w:rPr>
      </w:pPr>
    </w:p>
    <w:p w:rsidR="00715B43" w:rsidRDefault="00715B43" w:rsidP="00715B43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fldChar w:fldCharType="begin"/>
      </w:r>
      <w:r>
        <w:rPr>
          <w:rFonts w:cs="Times New Roman"/>
          <w:sz w:val="16"/>
          <w:szCs w:val="16"/>
        </w:rPr>
        <w:instrText xml:space="preserve"> DATE  \@ "dd.MM.yyyy H:mm"  \* MERGEFORMAT </w:instrText>
      </w:r>
      <w:r>
        <w:rPr>
          <w:rFonts w:cs="Times New Roman"/>
          <w:sz w:val="16"/>
          <w:szCs w:val="16"/>
        </w:rPr>
        <w:fldChar w:fldCharType="separate"/>
      </w:r>
      <w:r w:rsidR="006029ED">
        <w:rPr>
          <w:rFonts w:cs="Times New Roman"/>
          <w:noProof/>
          <w:sz w:val="16"/>
          <w:szCs w:val="16"/>
        </w:rPr>
        <w:t>29.04.2013 18:56</w:t>
      </w:r>
      <w:r>
        <w:rPr>
          <w:rFonts w:cs="Times New Roman"/>
          <w:sz w:val="16"/>
          <w:szCs w:val="16"/>
        </w:rPr>
        <w:fldChar w:fldCharType="end"/>
      </w:r>
    </w:p>
    <w:p w:rsidR="000F2100" w:rsidRDefault="000F2100" w:rsidP="00AF4DA0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fldChar w:fldCharType="begin"/>
      </w:r>
      <w:r>
        <w:rPr>
          <w:rFonts w:cs="Times New Roman"/>
          <w:sz w:val="16"/>
          <w:szCs w:val="16"/>
        </w:rPr>
        <w:instrText xml:space="preserve"> NUMWORDS  \# "0"  \* MERGEFORMAT </w:instrText>
      </w:r>
      <w:r>
        <w:rPr>
          <w:rFonts w:cs="Times New Roman"/>
          <w:sz w:val="16"/>
          <w:szCs w:val="16"/>
        </w:rPr>
        <w:fldChar w:fldCharType="separate"/>
      </w:r>
      <w:r w:rsidR="006029ED">
        <w:rPr>
          <w:rFonts w:cs="Times New Roman"/>
          <w:noProof/>
          <w:sz w:val="16"/>
          <w:szCs w:val="16"/>
        </w:rPr>
        <w:t>600</w:t>
      </w:r>
      <w:r>
        <w:rPr>
          <w:rFonts w:cs="Times New Roman"/>
          <w:sz w:val="16"/>
          <w:szCs w:val="16"/>
        </w:rPr>
        <w:fldChar w:fldCharType="end"/>
      </w:r>
    </w:p>
    <w:p w:rsidR="006367BA" w:rsidRPr="00171658" w:rsidRDefault="006367BA" w:rsidP="006367BA">
      <w:pPr>
        <w:rPr>
          <w:i/>
          <w:sz w:val="16"/>
          <w:szCs w:val="16"/>
        </w:rPr>
      </w:pPr>
      <w:r w:rsidRPr="00171658">
        <w:rPr>
          <w:i/>
          <w:sz w:val="16"/>
          <w:szCs w:val="16"/>
        </w:rPr>
        <w:t>K.Ancāne</w:t>
      </w:r>
    </w:p>
    <w:p w:rsidR="006367BA" w:rsidRPr="00171658" w:rsidRDefault="006367BA" w:rsidP="006367BA">
      <w:pPr>
        <w:rPr>
          <w:i/>
          <w:sz w:val="16"/>
          <w:szCs w:val="16"/>
        </w:rPr>
      </w:pPr>
      <w:proofErr w:type="spellStart"/>
      <w:r w:rsidRPr="005E495C">
        <w:rPr>
          <w:bCs/>
          <w:i/>
          <w:sz w:val="16"/>
          <w:szCs w:val="16"/>
        </w:rPr>
        <w:t>Tālr</w:t>
      </w:r>
      <w:proofErr w:type="spellEnd"/>
      <w:r w:rsidRPr="005E495C">
        <w:rPr>
          <w:bCs/>
          <w:i/>
          <w:sz w:val="16"/>
          <w:szCs w:val="16"/>
        </w:rPr>
        <w:t xml:space="preserve">.: </w:t>
      </w:r>
      <w:r w:rsidRPr="00171658">
        <w:rPr>
          <w:i/>
          <w:color w:val="333333"/>
          <w:sz w:val="16"/>
          <w:szCs w:val="16"/>
        </w:rPr>
        <w:t>67095635</w:t>
      </w:r>
    </w:p>
    <w:p w:rsidR="006367BA" w:rsidRDefault="006367BA" w:rsidP="006367BA">
      <w:pPr>
        <w:rPr>
          <w:i/>
          <w:sz w:val="16"/>
          <w:szCs w:val="16"/>
        </w:rPr>
      </w:pPr>
      <w:r>
        <w:rPr>
          <w:i/>
          <w:sz w:val="16"/>
          <w:szCs w:val="16"/>
        </w:rPr>
        <w:t>Kristine. Ancane@fm.gov.lv</w:t>
      </w:r>
    </w:p>
    <w:p w:rsidR="006367BA" w:rsidRDefault="006367BA" w:rsidP="00715B43">
      <w:pPr>
        <w:rPr>
          <w:sz w:val="16"/>
          <w:szCs w:val="16"/>
        </w:rPr>
      </w:pPr>
    </w:p>
    <w:p w:rsidR="00715B43" w:rsidRPr="005772DC" w:rsidRDefault="00AF4DA0" w:rsidP="00715B43">
      <w:pPr>
        <w:rPr>
          <w:sz w:val="16"/>
          <w:szCs w:val="16"/>
        </w:rPr>
      </w:pPr>
      <w:r>
        <w:rPr>
          <w:sz w:val="16"/>
          <w:szCs w:val="16"/>
        </w:rPr>
        <w:t>R.</w:t>
      </w:r>
      <w:r w:rsidR="00715B43" w:rsidRPr="005772DC">
        <w:rPr>
          <w:sz w:val="16"/>
          <w:szCs w:val="16"/>
        </w:rPr>
        <w:t>Zīverte</w:t>
      </w:r>
    </w:p>
    <w:p w:rsidR="00715B43" w:rsidRPr="005772DC" w:rsidRDefault="00715B43" w:rsidP="00715B43">
      <w:pPr>
        <w:pStyle w:val="BodyText"/>
        <w:jc w:val="both"/>
        <w:rPr>
          <w:b w:val="0"/>
          <w:sz w:val="16"/>
          <w:szCs w:val="16"/>
          <w:lang w:val="lv-LV"/>
        </w:rPr>
      </w:pPr>
      <w:proofErr w:type="spellStart"/>
      <w:r w:rsidRPr="005772DC">
        <w:rPr>
          <w:b w:val="0"/>
          <w:bCs/>
          <w:sz w:val="16"/>
          <w:szCs w:val="16"/>
          <w:lang w:val="lv-LV"/>
        </w:rPr>
        <w:t>Tālr</w:t>
      </w:r>
      <w:proofErr w:type="spellEnd"/>
      <w:r w:rsidRPr="005772DC">
        <w:rPr>
          <w:b w:val="0"/>
          <w:bCs/>
          <w:sz w:val="16"/>
          <w:szCs w:val="16"/>
          <w:lang w:val="lv-LV"/>
        </w:rPr>
        <w:t>.: 6</w:t>
      </w:r>
      <w:r w:rsidRPr="005772DC">
        <w:rPr>
          <w:b w:val="0"/>
          <w:sz w:val="16"/>
          <w:szCs w:val="16"/>
          <w:lang w:val="lv-LV"/>
        </w:rPr>
        <w:t xml:space="preserve">7083858; </w:t>
      </w:r>
    </w:p>
    <w:p w:rsidR="008248CD" w:rsidRPr="002C5107" w:rsidRDefault="00715B43" w:rsidP="00FA0DAE">
      <w:pPr>
        <w:pStyle w:val="BodyText"/>
        <w:jc w:val="both"/>
      </w:pPr>
      <w:r w:rsidRPr="005772DC">
        <w:rPr>
          <w:b w:val="0"/>
          <w:sz w:val="16"/>
          <w:szCs w:val="16"/>
          <w:lang w:val="lv-LV"/>
        </w:rPr>
        <w:t>Renate.Ziverte@fm.gov.lv</w:t>
      </w:r>
    </w:p>
    <w:sectPr w:rsidR="008248CD" w:rsidRPr="002C5107" w:rsidSect="00087C1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78" w:rsidRDefault="00642A78" w:rsidP="00A308F3">
      <w:r>
        <w:separator/>
      </w:r>
    </w:p>
  </w:endnote>
  <w:endnote w:type="continuationSeparator" w:id="0">
    <w:p w:rsidR="00642A78" w:rsidRDefault="00642A78" w:rsidP="00A3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7D4" w:rsidRDefault="00F027D4" w:rsidP="002C5107">
    <w:pPr>
      <w:pStyle w:val="Footer"/>
      <w:jc w:val="both"/>
    </w:pPr>
    <w:r w:rsidRPr="0067439E">
      <w:rPr>
        <w:sz w:val="20"/>
        <w:szCs w:val="20"/>
      </w:rPr>
      <w:t>FMKoncp1_</w:t>
    </w:r>
    <w:r w:rsidR="00BB2A62">
      <w:rPr>
        <w:sz w:val="20"/>
        <w:szCs w:val="20"/>
      </w:rPr>
      <w:t>2</w:t>
    </w:r>
    <w:r w:rsidR="008D4C92">
      <w:rPr>
        <w:sz w:val="20"/>
        <w:szCs w:val="20"/>
      </w:rPr>
      <w:t>504</w:t>
    </w:r>
    <w:r w:rsidR="008D4C92" w:rsidRPr="0067439E">
      <w:rPr>
        <w:sz w:val="20"/>
        <w:szCs w:val="20"/>
      </w:rPr>
      <w:t>13</w:t>
    </w:r>
    <w:r w:rsidRPr="0067439E">
      <w:rPr>
        <w:sz w:val="20"/>
        <w:szCs w:val="20"/>
      </w:rPr>
      <w:t>; 1.pielikums Koncepcijai par Eiropas Reģionālās attīstības fonda, Eiropas Sociālā fonda,  Kohēzijas fonda, Eiropas Lauksaimniecības fonda  Lauku attīstībai un Eiropas Jūrlietu  un zivsaimniecības fonda ieviešan</w:t>
    </w:r>
    <w:r w:rsidR="00A0743A">
      <w:rPr>
        <w:sz w:val="20"/>
        <w:szCs w:val="20"/>
      </w:rPr>
      <w:t>u</w:t>
    </w:r>
    <w:r w:rsidRPr="0067439E">
      <w:rPr>
        <w:sz w:val="20"/>
        <w:szCs w:val="20"/>
      </w:rPr>
      <w:t xml:space="preserve"> 2014. – 2020.gadā Latvijā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78" w:rsidRDefault="00642A78" w:rsidP="00A308F3">
      <w:r>
        <w:separator/>
      </w:r>
    </w:p>
  </w:footnote>
  <w:footnote w:type="continuationSeparator" w:id="0">
    <w:p w:rsidR="00642A78" w:rsidRDefault="00642A78" w:rsidP="00A3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88286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F027D4" w:rsidRPr="00E14890" w:rsidRDefault="00F027D4">
        <w:pPr>
          <w:pStyle w:val="Header"/>
          <w:jc w:val="center"/>
          <w:rPr>
            <w:sz w:val="20"/>
            <w:szCs w:val="20"/>
          </w:rPr>
        </w:pPr>
        <w:r w:rsidRPr="00E14890">
          <w:rPr>
            <w:sz w:val="20"/>
            <w:szCs w:val="20"/>
          </w:rPr>
          <w:fldChar w:fldCharType="begin"/>
        </w:r>
        <w:r w:rsidRPr="00E14890">
          <w:rPr>
            <w:sz w:val="20"/>
            <w:szCs w:val="20"/>
          </w:rPr>
          <w:instrText xml:space="preserve"> PAGE   \* MERGEFORMAT </w:instrText>
        </w:r>
        <w:r w:rsidRPr="00E14890">
          <w:rPr>
            <w:sz w:val="20"/>
            <w:szCs w:val="20"/>
          </w:rPr>
          <w:fldChar w:fldCharType="separate"/>
        </w:r>
        <w:r w:rsidR="006029ED">
          <w:rPr>
            <w:noProof/>
            <w:sz w:val="20"/>
            <w:szCs w:val="20"/>
          </w:rPr>
          <w:t>2</w:t>
        </w:r>
        <w:r w:rsidRPr="00E14890">
          <w:rPr>
            <w:noProof/>
            <w:sz w:val="20"/>
            <w:szCs w:val="20"/>
          </w:rPr>
          <w:fldChar w:fldCharType="end"/>
        </w:r>
      </w:p>
    </w:sdtContent>
  </w:sdt>
  <w:p w:rsidR="00F027D4" w:rsidRDefault="00F02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1FA9"/>
    <w:multiLevelType w:val="hybridMultilevel"/>
    <w:tmpl w:val="012AE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DD"/>
    <w:rsid w:val="00015FB2"/>
    <w:rsid w:val="00080BE0"/>
    <w:rsid w:val="00087C1B"/>
    <w:rsid w:val="000C5179"/>
    <w:rsid w:val="000F2100"/>
    <w:rsid w:val="001356B8"/>
    <w:rsid w:val="00162A59"/>
    <w:rsid w:val="00260DDD"/>
    <w:rsid w:val="002C5107"/>
    <w:rsid w:val="0042679A"/>
    <w:rsid w:val="004C38C0"/>
    <w:rsid w:val="004C39BA"/>
    <w:rsid w:val="004F1140"/>
    <w:rsid w:val="00526A38"/>
    <w:rsid w:val="006029ED"/>
    <w:rsid w:val="00606D81"/>
    <w:rsid w:val="006228EF"/>
    <w:rsid w:val="006367BA"/>
    <w:rsid w:val="00642A78"/>
    <w:rsid w:val="00657A79"/>
    <w:rsid w:val="00670FC9"/>
    <w:rsid w:val="0067439E"/>
    <w:rsid w:val="006762F1"/>
    <w:rsid w:val="00697173"/>
    <w:rsid w:val="00697DF3"/>
    <w:rsid w:val="00715B43"/>
    <w:rsid w:val="00751A57"/>
    <w:rsid w:val="0077131B"/>
    <w:rsid w:val="00793E01"/>
    <w:rsid w:val="00803835"/>
    <w:rsid w:val="00820AA2"/>
    <w:rsid w:val="008248CD"/>
    <w:rsid w:val="00880BA3"/>
    <w:rsid w:val="008D0B72"/>
    <w:rsid w:val="008D4C92"/>
    <w:rsid w:val="009B4A0C"/>
    <w:rsid w:val="009F7D02"/>
    <w:rsid w:val="00A0743A"/>
    <w:rsid w:val="00A308F3"/>
    <w:rsid w:val="00A77D2D"/>
    <w:rsid w:val="00A873B3"/>
    <w:rsid w:val="00AB3F0E"/>
    <w:rsid w:val="00AF4DA0"/>
    <w:rsid w:val="00AF6389"/>
    <w:rsid w:val="00B82022"/>
    <w:rsid w:val="00BA5163"/>
    <w:rsid w:val="00BB2A62"/>
    <w:rsid w:val="00BD46C7"/>
    <w:rsid w:val="00C219BE"/>
    <w:rsid w:val="00C85AF7"/>
    <w:rsid w:val="00CA52ED"/>
    <w:rsid w:val="00D10885"/>
    <w:rsid w:val="00D634BE"/>
    <w:rsid w:val="00DC0C21"/>
    <w:rsid w:val="00E14890"/>
    <w:rsid w:val="00ED7B27"/>
    <w:rsid w:val="00EF0FC8"/>
    <w:rsid w:val="00F027D4"/>
    <w:rsid w:val="00F17F72"/>
    <w:rsid w:val="00F54260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2A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A59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30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F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0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F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C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715B43"/>
    <w:pPr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15B43"/>
    <w:rPr>
      <w:rFonts w:eastAsia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2A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A59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308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F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08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F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C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715B43"/>
    <w:pPr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15B43"/>
    <w:rPr>
      <w:rFonts w:eastAsia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CCE2-F410-490A-8EEE-3741200E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</vt:lpstr>
    </vt:vector>
  </TitlesOfParts>
  <Company>Finanšu ministrija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</dc:title>
  <dc:subject>Koncepcija</dc:subject>
  <dc:creator>Renāte Zīverte; Kristīne Ancāne</dc:creator>
  <dc:description>Kristīne Ancāne,Tālrunis: 67-095-635;_x000d_
Kristine.Ancane@fm.gov.lv_x000d_
Renāte Zīverte,_x000d_
Tālrunis: 67-083-858;_x000d_
E-pasts: Renāte.Ziverte@fm.gov.lv</dc:description>
  <cp:lastModifiedBy>Kristīne Ancāne</cp:lastModifiedBy>
  <cp:revision>48</cp:revision>
  <cp:lastPrinted>2013-04-25T15:13:00Z</cp:lastPrinted>
  <dcterms:created xsi:type="dcterms:W3CDTF">2013-02-08T09:33:00Z</dcterms:created>
  <dcterms:modified xsi:type="dcterms:W3CDTF">2013-04-29T15:56:00Z</dcterms:modified>
  <cp:category>Koncepcijas 1. pielikums</cp:category>
</cp:coreProperties>
</file>