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BA" w:rsidRPr="00667612" w:rsidRDefault="006A66BA" w:rsidP="006A66BA">
      <w:pPr>
        <w:pStyle w:val="naisvisr"/>
        <w:spacing w:before="0" w:after="0"/>
        <w:jc w:val="right"/>
        <w:rPr>
          <w:b w:val="0"/>
        </w:rPr>
      </w:pPr>
      <w:r w:rsidRPr="00667612">
        <w:rPr>
          <w:b w:val="0"/>
        </w:rPr>
        <w:t>Likumprojekts</w:t>
      </w:r>
    </w:p>
    <w:p w:rsidR="006A66BA" w:rsidRPr="00667612" w:rsidRDefault="006A66BA" w:rsidP="006A66BA">
      <w:pPr>
        <w:pStyle w:val="naisvisr"/>
        <w:spacing w:before="0" w:after="0"/>
        <w:jc w:val="right"/>
        <w:rPr>
          <w:b w:val="0"/>
        </w:rPr>
      </w:pPr>
    </w:p>
    <w:p w:rsidR="006A66BA" w:rsidRPr="00667612" w:rsidRDefault="006A66BA" w:rsidP="006A66BA">
      <w:pPr>
        <w:pStyle w:val="naisvisr"/>
        <w:spacing w:before="0" w:after="0"/>
      </w:pPr>
      <w:bookmarkStart w:id="0" w:name="bkm39"/>
      <w:bookmarkStart w:id="1" w:name="_GoBack"/>
      <w:r w:rsidRPr="00667612">
        <w:t>Grozījumi likumā "Par nodokļiem un nodevām"</w:t>
      </w:r>
    </w:p>
    <w:p w:rsidR="006A66BA" w:rsidRPr="00667612" w:rsidRDefault="006A66BA" w:rsidP="006A66BA">
      <w:pPr>
        <w:pStyle w:val="naisf"/>
        <w:spacing w:before="0" w:beforeAutospacing="0" w:after="0" w:afterAutospacing="0"/>
        <w:ind w:firstLine="709"/>
        <w:jc w:val="both"/>
        <w:rPr>
          <w:sz w:val="28"/>
          <w:szCs w:val="28"/>
        </w:rPr>
      </w:pPr>
      <w:bookmarkStart w:id="2" w:name="_Toc193075254"/>
      <w:bookmarkEnd w:id="0"/>
      <w:bookmarkEnd w:id="1"/>
    </w:p>
    <w:p w:rsidR="006A66BA" w:rsidRPr="00667612" w:rsidRDefault="006A66BA" w:rsidP="006A66BA">
      <w:pPr>
        <w:ind w:firstLine="720"/>
        <w:jc w:val="both"/>
        <w:rPr>
          <w:rFonts w:ascii="Times New Roman" w:hAnsi="Times New Roman"/>
          <w:lang w:val="lv-LV"/>
        </w:rPr>
      </w:pPr>
      <w:r w:rsidRPr="00667612">
        <w:rPr>
          <w:rFonts w:ascii="Times New Roman" w:hAnsi="Times New Roman"/>
          <w:lang w:val="lv-LV"/>
        </w:rPr>
        <w:t>Izdarīt likumā "Par nodokļiem un nodevām" (Latvijas Republikas Saeimas un Ministru Kabineta Ziņotājs, 1995, 7.nr.; 1996, 15.nr.; 1997, 24.nr.; 1998, 2., 18., 22., 24.nr.; 1999, 24.nr.; 2000, 11.nr.; 2001, 3., 8., 12.nr.; 2002, 2., 22.nr.; 2003, 2., 6., 8., 15., 22.nr.; 2004, 9.nr.; 2005, 2., 11.nr.; 2006, 1., 9., 13., 20., 24.nr.; 2007, 3., 7., 12.nr.; 2008, 1., 6., 13.nr.; 2009, 2., 11., 13., 15.</w:t>
      </w:r>
      <w:r w:rsidR="00581D46">
        <w:rPr>
          <w:rFonts w:ascii="Times New Roman" w:hAnsi="Times New Roman"/>
          <w:lang w:val="lv-LV"/>
        </w:rPr>
        <w:t>, 200., 205.</w:t>
      </w:r>
      <w:r w:rsidRPr="00667612">
        <w:rPr>
          <w:rFonts w:ascii="Times New Roman" w:hAnsi="Times New Roman"/>
          <w:lang w:val="lv-LV"/>
        </w:rPr>
        <w:t>nr.; Latvijas Vēstnesis, 2010, 91., 101., 131., 151., 157., 178., 183., 206.nr.; 2011, 68., 80., 85., 169.nr.; 2012, 24., 50., 56., 109., 157., 186., 199., 203.nr.; 2013, 61., 92.nr.) šādus grozījumus:</w:t>
      </w:r>
    </w:p>
    <w:p w:rsidR="006A66BA" w:rsidRPr="00EE0382" w:rsidRDefault="006A66BA" w:rsidP="006A66BA">
      <w:pPr>
        <w:pStyle w:val="ListParagraph"/>
        <w:tabs>
          <w:tab w:val="left" w:pos="1276"/>
        </w:tabs>
        <w:ind w:left="0" w:firstLine="709"/>
        <w:jc w:val="both"/>
        <w:rPr>
          <w:sz w:val="28"/>
          <w:szCs w:val="28"/>
        </w:rPr>
      </w:pPr>
    </w:p>
    <w:p w:rsidR="00EE0382" w:rsidRPr="002B6EA4" w:rsidRDefault="00EE0382" w:rsidP="00EE0382">
      <w:pPr>
        <w:pStyle w:val="ListParagraph"/>
        <w:numPr>
          <w:ilvl w:val="0"/>
          <w:numId w:val="7"/>
        </w:numPr>
        <w:jc w:val="both"/>
        <w:rPr>
          <w:sz w:val="28"/>
          <w:szCs w:val="28"/>
        </w:rPr>
      </w:pPr>
      <w:r w:rsidRPr="002B6EA4">
        <w:rPr>
          <w:sz w:val="28"/>
          <w:szCs w:val="28"/>
        </w:rPr>
        <w:t>Papildināt 26.pantu ar 1.</w:t>
      </w:r>
      <w:r w:rsidRPr="002B6EA4">
        <w:rPr>
          <w:sz w:val="28"/>
          <w:szCs w:val="28"/>
          <w:vertAlign w:val="superscript"/>
        </w:rPr>
        <w:t>1</w:t>
      </w:r>
      <w:r w:rsidRPr="002B6EA4">
        <w:rPr>
          <w:sz w:val="28"/>
          <w:szCs w:val="28"/>
        </w:rPr>
        <w:t xml:space="preserve"> un 1.</w:t>
      </w:r>
      <w:r w:rsidRPr="002B6EA4">
        <w:rPr>
          <w:sz w:val="28"/>
          <w:szCs w:val="28"/>
          <w:vertAlign w:val="superscript"/>
        </w:rPr>
        <w:t>2</w:t>
      </w:r>
      <w:r w:rsidRPr="002B6EA4">
        <w:rPr>
          <w:sz w:val="28"/>
          <w:szCs w:val="28"/>
        </w:rPr>
        <w:t xml:space="preserve"> daļu šādā redakcijā:</w:t>
      </w:r>
    </w:p>
    <w:p w:rsidR="00EE0382" w:rsidRPr="00344D6F" w:rsidRDefault="00EE0382" w:rsidP="002B6EA4">
      <w:pPr>
        <w:pStyle w:val="ListParagraph"/>
        <w:ind w:left="1069"/>
        <w:jc w:val="both"/>
      </w:pPr>
    </w:p>
    <w:p w:rsidR="00EE0382" w:rsidRPr="002B6EA4" w:rsidRDefault="00EE0382" w:rsidP="002B6EA4">
      <w:pPr>
        <w:pStyle w:val="ListParagraph"/>
        <w:ind w:left="0" w:firstLine="567"/>
        <w:jc w:val="both"/>
        <w:rPr>
          <w:sz w:val="28"/>
          <w:szCs w:val="28"/>
        </w:rPr>
      </w:pPr>
      <w:r w:rsidRPr="002B6EA4">
        <w:rPr>
          <w:sz w:val="28"/>
          <w:szCs w:val="28"/>
        </w:rPr>
        <w:t>„(1.</w:t>
      </w:r>
      <w:r w:rsidRPr="002B6EA4">
        <w:rPr>
          <w:sz w:val="28"/>
          <w:szCs w:val="28"/>
          <w:vertAlign w:val="superscript"/>
        </w:rPr>
        <w:t>1</w:t>
      </w:r>
      <w:r w:rsidRPr="002B6EA4">
        <w:rPr>
          <w:sz w:val="28"/>
          <w:szCs w:val="28"/>
        </w:rPr>
        <w:t xml:space="preserve">) Ja </w:t>
      </w:r>
      <w:r w:rsidR="00691199">
        <w:rPr>
          <w:sz w:val="28"/>
          <w:szCs w:val="28"/>
        </w:rPr>
        <w:t>šā likuma 26.</w:t>
      </w:r>
      <w:r w:rsidR="00691199" w:rsidRPr="00691199">
        <w:rPr>
          <w:sz w:val="28"/>
          <w:szCs w:val="28"/>
          <w:vertAlign w:val="superscript"/>
        </w:rPr>
        <w:t>2</w:t>
      </w:r>
      <w:r w:rsidR="00196928">
        <w:rPr>
          <w:sz w:val="28"/>
          <w:szCs w:val="28"/>
          <w:vertAlign w:val="superscript"/>
        </w:rPr>
        <w:t xml:space="preserve"> </w:t>
      </w:r>
      <w:r w:rsidR="00691199" w:rsidRPr="002B6EA4">
        <w:rPr>
          <w:sz w:val="28"/>
          <w:szCs w:val="28"/>
        </w:rPr>
        <w:t>pantā</w:t>
      </w:r>
      <w:r w:rsidR="00691199">
        <w:rPr>
          <w:sz w:val="28"/>
          <w:szCs w:val="28"/>
        </w:rPr>
        <w:t xml:space="preserve"> un citos nodokļu normatīvajos aktos </w:t>
      </w:r>
      <w:r w:rsidR="00691199" w:rsidRPr="002B6EA4">
        <w:rPr>
          <w:sz w:val="28"/>
          <w:szCs w:val="28"/>
        </w:rPr>
        <w:t xml:space="preserve"> </w:t>
      </w:r>
      <w:r w:rsidR="00691199">
        <w:rPr>
          <w:sz w:val="28"/>
          <w:szCs w:val="28"/>
        </w:rPr>
        <w:t xml:space="preserve">noteiktā </w:t>
      </w:r>
      <w:r w:rsidRPr="002B6EA4">
        <w:rPr>
          <w:sz w:val="28"/>
          <w:szCs w:val="28"/>
        </w:rPr>
        <w:t>nodrošinājuma iesniedzējs normatīvajos aktos noteiktajā termiņā un kārtībā nav samaksājis nodokļa parādu, nodrošinātājs, lai segtu tās personas nodokļa parādu, kurai ir izsniegta nodokļu nodrošinājuma apliecība, viena mēneša laikā pēc Valsts ieņēmumu dienesta rakstiska pieprasījuma samaksā nodokli pamatparāda apjomā, kas neietver nokavējuma naudu un soda naudu un nepārsniedz nodrošinājuma apmēru. Ja šajā punktā noteiktais termiņš netiek ievērots, nodrošinātājs par katru nokavēto dienu maksā nokavējuma naudu 0,1 procenta apmērā no termiņā nesamaksātās nodokļa parāda summas, kas norādīta Valsts ieņēmumu dienesta rakstiskajā pieprasījumā samaksāt nodrošinājuma iesniedzēja nodokļa parādu, bet ne vairāk kā 100 procentu apmērā no tās.</w:t>
      </w:r>
    </w:p>
    <w:p w:rsidR="00EE0382" w:rsidRPr="002B6EA4" w:rsidRDefault="00EE0382" w:rsidP="002B6EA4">
      <w:pPr>
        <w:pStyle w:val="ListParagraph"/>
        <w:ind w:left="0" w:right="-1" w:firstLine="567"/>
        <w:jc w:val="both"/>
        <w:rPr>
          <w:bCs/>
          <w:sz w:val="28"/>
          <w:szCs w:val="28"/>
        </w:rPr>
      </w:pPr>
      <w:r w:rsidRPr="002B6EA4">
        <w:rPr>
          <w:sz w:val="28"/>
          <w:szCs w:val="28"/>
        </w:rPr>
        <w:t>(1.</w:t>
      </w:r>
      <w:r w:rsidRPr="002B6EA4">
        <w:rPr>
          <w:sz w:val="28"/>
          <w:szCs w:val="28"/>
          <w:vertAlign w:val="superscript"/>
        </w:rPr>
        <w:t>2</w:t>
      </w:r>
      <w:r w:rsidRPr="002B6EA4">
        <w:rPr>
          <w:sz w:val="28"/>
          <w:szCs w:val="28"/>
        </w:rPr>
        <w:t>) Šā panta 1.</w:t>
      </w:r>
      <w:r w:rsidRPr="002B6EA4">
        <w:rPr>
          <w:sz w:val="28"/>
          <w:szCs w:val="28"/>
          <w:vertAlign w:val="superscript"/>
        </w:rPr>
        <w:t>1</w:t>
      </w:r>
      <w:r w:rsidRPr="002B6EA4">
        <w:rPr>
          <w:sz w:val="28"/>
          <w:szCs w:val="28"/>
        </w:rPr>
        <w:t xml:space="preserve"> daļā noteiktais pieprasījums ir uzskatāms par administratīvo aktu un tā piespiedu izpilde veicama pēc viena mēneša labprātīgai samaksai noteiktā termiņa notecējuma šajā likumā nokavēto nodokļu maksājumu piedziņai noteiktajā bezstrīdus kārtībā, pamatojoties uz lēmumu par nokavēto nodokļu maksājumu piedziņu.”</w:t>
      </w:r>
    </w:p>
    <w:p w:rsidR="00EE0382" w:rsidRDefault="00EE0382" w:rsidP="002B6EA4">
      <w:pPr>
        <w:pStyle w:val="ListParagraph"/>
        <w:ind w:left="1069"/>
        <w:jc w:val="both"/>
        <w:rPr>
          <w:sz w:val="28"/>
          <w:szCs w:val="28"/>
        </w:rPr>
      </w:pPr>
    </w:p>
    <w:p w:rsidR="006A66BA" w:rsidRPr="00F82F58" w:rsidRDefault="006A66BA" w:rsidP="003604EE">
      <w:pPr>
        <w:pStyle w:val="ListParagraph"/>
        <w:numPr>
          <w:ilvl w:val="0"/>
          <w:numId w:val="7"/>
        </w:numPr>
        <w:jc w:val="both"/>
        <w:rPr>
          <w:sz w:val="28"/>
          <w:szCs w:val="28"/>
        </w:rPr>
      </w:pPr>
      <w:r w:rsidRPr="00F82F58">
        <w:rPr>
          <w:sz w:val="28"/>
          <w:szCs w:val="28"/>
        </w:rPr>
        <w:t xml:space="preserve">Papildināt likumu ar jaunu </w:t>
      </w:r>
      <w:r w:rsidR="00F82F58" w:rsidRPr="00F82F58">
        <w:rPr>
          <w:bCs/>
          <w:sz w:val="28"/>
          <w:szCs w:val="28"/>
        </w:rPr>
        <w:t>26.</w:t>
      </w:r>
      <w:r w:rsidR="00F82F58" w:rsidRPr="00F82F58">
        <w:rPr>
          <w:bCs/>
          <w:sz w:val="28"/>
          <w:szCs w:val="28"/>
          <w:vertAlign w:val="superscript"/>
        </w:rPr>
        <w:t>2</w:t>
      </w:r>
      <w:r w:rsidR="00196928">
        <w:rPr>
          <w:bCs/>
          <w:sz w:val="28"/>
          <w:szCs w:val="28"/>
          <w:vertAlign w:val="superscript"/>
        </w:rPr>
        <w:t xml:space="preserve"> </w:t>
      </w:r>
      <w:r w:rsidR="00211B8B">
        <w:rPr>
          <w:bCs/>
          <w:sz w:val="28"/>
          <w:szCs w:val="28"/>
        </w:rPr>
        <w:t>pantu</w:t>
      </w:r>
      <w:r w:rsidRPr="00F82F58">
        <w:rPr>
          <w:bCs/>
          <w:sz w:val="28"/>
          <w:szCs w:val="28"/>
        </w:rPr>
        <w:t xml:space="preserve"> šādā redakcijā</w:t>
      </w:r>
      <w:r w:rsidRPr="00F82F58">
        <w:rPr>
          <w:sz w:val="28"/>
          <w:szCs w:val="28"/>
        </w:rPr>
        <w:t>:</w:t>
      </w:r>
    </w:p>
    <w:p w:rsidR="004904A6" w:rsidRPr="00667612" w:rsidRDefault="004904A6" w:rsidP="004904A6">
      <w:pPr>
        <w:ind w:left="1069"/>
        <w:jc w:val="both"/>
        <w:rPr>
          <w:rFonts w:ascii="Times New Roman" w:hAnsi="Times New Roman"/>
          <w:b/>
          <w:szCs w:val="28"/>
          <w:lang w:val="lv-LV"/>
        </w:rPr>
      </w:pPr>
    </w:p>
    <w:bookmarkEnd w:id="2"/>
    <w:p w:rsidR="00CA5C34" w:rsidRPr="00667612" w:rsidRDefault="00F82F58" w:rsidP="00CA5C34">
      <w:pPr>
        <w:ind w:firstLine="720"/>
        <w:jc w:val="both"/>
        <w:rPr>
          <w:b/>
          <w:bCs/>
          <w:szCs w:val="28"/>
          <w:lang w:val="lv-LV"/>
        </w:rPr>
      </w:pPr>
      <w:r w:rsidRPr="00F82F58">
        <w:rPr>
          <w:bCs/>
          <w:szCs w:val="28"/>
          <w:lang w:val="lv-LV"/>
        </w:rPr>
        <w:t>„</w:t>
      </w:r>
      <w:r w:rsidR="00CA5C34" w:rsidRPr="00667612">
        <w:rPr>
          <w:b/>
          <w:bCs/>
          <w:szCs w:val="28"/>
          <w:lang w:val="lv-LV"/>
        </w:rPr>
        <w:t>2</w:t>
      </w:r>
      <w:r>
        <w:rPr>
          <w:b/>
          <w:bCs/>
          <w:szCs w:val="28"/>
          <w:lang w:val="lv-LV"/>
        </w:rPr>
        <w:t>6</w:t>
      </w:r>
      <w:r w:rsidR="00CA5C34" w:rsidRPr="00667612">
        <w:rPr>
          <w:b/>
          <w:bCs/>
          <w:szCs w:val="28"/>
          <w:lang w:val="lv-LV"/>
        </w:rPr>
        <w:t>.</w:t>
      </w:r>
      <w:r>
        <w:rPr>
          <w:b/>
          <w:bCs/>
          <w:szCs w:val="28"/>
          <w:vertAlign w:val="superscript"/>
          <w:lang w:val="lv-LV"/>
        </w:rPr>
        <w:t>2</w:t>
      </w:r>
      <w:r w:rsidR="00196928">
        <w:rPr>
          <w:b/>
          <w:bCs/>
          <w:szCs w:val="28"/>
          <w:vertAlign w:val="superscript"/>
          <w:lang w:val="lv-LV"/>
        </w:rPr>
        <w:t xml:space="preserve"> </w:t>
      </w:r>
      <w:r w:rsidR="00CA5C34" w:rsidRPr="00667612">
        <w:rPr>
          <w:b/>
          <w:bCs/>
          <w:szCs w:val="28"/>
          <w:lang w:val="lv-LV"/>
        </w:rPr>
        <w:t xml:space="preserve">pants. Nodrošinājums par </w:t>
      </w:r>
      <w:r w:rsidR="00CA5C34" w:rsidRPr="00667612">
        <w:rPr>
          <w:b/>
          <w:szCs w:val="28"/>
          <w:lang w:val="lv-LV"/>
        </w:rPr>
        <w:t>iespējamo pievienotās vērtības nodokļa parāda samaksu</w:t>
      </w:r>
      <w:r>
        <w:rPr>
          <w:b/>
          <w:szCs w:val="28"/>
          <w:lang w:val="lv-LV"/>
        </w:rPr>
        <w:t xml:space="preserve"> darījumos ar naftas produktiem</w:t>
      </w:r>
    </w:p>
    <w:p w:rsidR="00CA5C34" w:rsidRPr="00667612" w:rsidRDefault="00CA5C34" w:rsidP="00CA5C34">
      <w:pPr>
        <w:pStyle w:val="ListParagraph"/>
        <w:numPr>
          <w:ilvl w:val="0"/>
          <w:numId w:val="5"/>
        </w:numPr>
        <w:ind w:left="0" w:firstLine="720"/>
        <w:jc w:val="both"/>
        <w:rPr>
          <w:sz w:val="28"/>
          <w:szCs w:val="28"/>
        </w:rPr>
      </w:pPr>
      <w:r w:rsidRPr="00667612">
        <w:rPr>
          <w:sz w:val="28"/>
          <w:szCs w:val="28"/>
        </w:rPr>
        <w:t>Nodokļu maksātājam, kas saņēmis speciālo atļauju (licenci) apstiprināta noliktavas turētāja darbībai ar naftas produktiem, reģistrēta saņēmēja darbībai ar naftas produktiem vai reģistrēta nosūtītāja darbībai ar naftas produktiem, un ir reģistrēts pievienotās vērtības nodokļa maksātājs saskaņā ar pievienotās vērtības nodokļa jomu reglamentējošo normatīvo aktu prasībām, jāiesniedz Valsts ieņēmumu dienestā nodrošinājumu uzņemoties atbildību par iespējamā pievienotās vērtības nodokļa parāda samaksu</w:t>
      </w:r>
      <w:r w:rsidR="000307F1">
        <w:rPr>
          <w:sz w:val="28"/>
          <w:szCs w:val="28"/>
        </w:rPr>
        <w:t xml:space="preserve"> attiecībā uz naftas produktiem</w:t>
      </w:r>
      <w:r w:rsidRPr="00667612">
        <w:rPr>
          <w:sz w:val="28"/>
          <w:szCs w:val="28"/>
        </w:rPr>
        <w:t>.</w:t>
      </w:r>
    </w:p>
    <w:p w:rsidR="00CA5C34" w:rsidRPr="00F82F58" w:rsidRDefault="00CA5C34" w:rsidP="00CA5C34">
      <w:pPr>
        <w:pStyle w:val="ListParagraph"/>
        <w:numPr>
          <w:ilvl w:val="0"/>
          <w:numId w:val="5"/>
        </w:numPr>
        <w:ind w:left="0" w:firstLine="720"/>
        <w:jc w:val="both"/>
        <w:rPr>
          <w:sz w:val="28"/>
          <w:szCs w:val="28"/>
        </w:rPr>
      </w:pPr>
      <w:r w:rsidRPr="00667612">
        <w:rPr>
          <w:sz w:val="28"/>
          <w:szCs w:val="28"/>
        </w:rPr>
        <w:lastRenderedPageBreak/>
        <w:t xml:space="preserve">Šā panta pirmajā daļā minētajā gadījumā ir izmantojami </w:t>
      </w:r>
      <w:r w:rsidR="00F82F58">
        <w:rPr>
          <w:sz w:val="28"/>
          <w:szCs w:val="28"/>
        </w:rPr>
        <w:t xml:space="preserve">šādi </w:t>
      </w:r>
      <w:r w:rsidR="00F82F58">
        <w:rPr>
          <w:bCs/>
          <w:sz w:val="28"/>
          <w:szCs w:val="28"/>
        </w:rPr>
        <w:t xml:space="preserve"> nodrošinājuma veidi:</w:t>
      </w:r>
    </w:p>
    <w:p w:rsidR="00F82F58" w:rsidRPr="00F82F58" w:rsidRDefault="00581D46" w:rsidP="00F82F58">
      <w:pPr>
        <w:pStyle w:val="ListParagraph"/>
        <w:ind w:left="1080" w:hanging="371"/>
        <w:jc w:val="both"/>
        <w:rPr>
          <w:sz w:val="28"/>
          <w:szCs w:val="28"/>
        </w:rPr>
      </w:pPr>
      <w:r>
        <w:rPr>
          <w:sz w:val="28"/>
          <w:szCs w:val="28"/>
        </w:rPr>
        <w:t>1) drošības nauda</w:t>
      </w:r>
      <w:r w:rsidR="00F82F58" w:rsidRPr="00F82F58">
        <w:rPr>
          <w:sz w:val="28"/>
          <w:szCs w:val="28"/>
        </w:rPr>
        <w:t>;</w:t>
      </w:r>
    </w:p>
    <w:p w:rsidR="00F82F58" w:rsidRPr="00F82F58" w:rsidRDefault="00F82F58" w:rsidP="00F82F58">
      <w:pPr>
        <w:pStyle w:val="ListParagraph"/>
        <w:ind w:left="1080" w:hanging="371"/>
        <w:jc w:val="both"/>
        <w:rPr>
          <w:sz w:val="28"/>
          <w:szCs w:val="28"/>
        </w:rPr>
      </w:pPr>
      <w:r w:rsidRPr="00F82F58">
        <w:rPr>
          <w:sz w:val="28"/>
          <w:szCs w:val="28"/>
        </w:rPr>
        <w:t>2) saistīb</w:t>
      </w:r>
      <w:r w:rsidR="00581D46">
        <w:rPr>
          <w:sz w:val="28"/>
          <w:szCs w:val="28"/>
        </w:rPr>
        <w:t>u izpildes apdrošināšanas polise</w:t>
      </w:r>
      <w:r w:rsidRPr="00F82F58">
        <w:rPr>
          <w:sz w:val="28"/>
          <w:szCs w:val="28"/>
        </w:rPr>
        <w:t>;</w:t>
      </w:r>
    </w:p>
    <w:p w:rsidR="00F82F58" w:rsidRPr="00F82F58" w:rsidRDefault="00F82F58" w:rsidP="00F82F58">
      <w:pPr>
        <w:pStyle w:val="ListParagraph"/>
        <w:ind w:left="1080" w:hanging="371"/>
        <w:jc w:val="both"/>
        <w:rPr>
          <w:sz w:val="28"/>
          <w:szCs w:val="28"/>
        </w:rPr>
      </w:pPr>
      <w:r>
        <w:rPr>
          <w:sz w:val="28"/>
          <w:szCs w:val="28"/>
        </w:rPr>
        <w:t>3) kredītiestādes galvojum</w:t>
      </w:r>
      <w:r w:rsidR="00581D46">
        <w:rPr>
          <w:sz w:val="28"/>
          <w:szCs w:val="28"/>
        </w:rPr>
        <w:t>s</w:t>
      </w:r>
      <w:r>
        <w:rPr>
          <w:sz w:val="28"/>
          <w:szCs w:val="28"/>
        </w:rPr>
        <w:t>.</w:t>
      </w:r>
    </w:p>
    <w:p w:rsidR="00CA5C34" w:rsidRPr="00667612" w:rsidRDefault="00CA5C34" w:rsidP="00CA5C34">
      <w:pPr>
        <w:pStyle w:val="ListParagraph"/>
        <w:numPr>
          <w:ilvl w:val="0"/>
          <w:numId w:val="5"/>
        </w:numPr>
        <w:ind w:left="0" w:firstLine="720"/>
        <w:jc w:val="both"/>
        <w:rPr>
          <w:sz w:val="28"/>
          <w:szCs w:val="28"/>
        </w:rPr>
      </w:pPr>
      <w:r w:rsidRPr="00667612">
        <w:rPr>
          <w:sz w:val="28"/>
          <w:szCs w:val="28"/>
        </w:rPr>
        <w:t>Šā panta pirmajā daļā minē</w:t>
      </w:r>
      <w:r w:rsidR="00063100">
        <w:rPr>
          <w:sz w:val="28"/>
          <w:szCs w:val="28"/>
        </w:rPr>
        <w:t xml:space="preserve">tais nodrošinājums </w:t>
      </w:r>
      <w:r w:rsidR="00063100" w:rsidRPr="00667612">
        <w:rPr>
          <w:sz w:val="28"/>
          <w:szCs w:val="28"/>
        </w:rPr>
        <w:t>12 mēnešu laika posmam</w:t>
      </w:r>
      <w:r w:rsidR="00063100">
        <w:rPr>
          <w:sz w:val="28"/>
          <w:szCs w:val="28"/>
        </w:rPr>
        <w:t xml:space="preserve"> ir</w:t>
      </w:r>
      <w:r w:rsidRPr="00667612">
        <w:rPr>
          <w:sz w:val="28"/>
          <w:szCs w:val="28"/>
        </w:rPr>
        <w:t xml:space="preserve"> </w:t>
      </w:r>
      <w:r w:rsidR="00063100" w:rsidRPr="00667612">
        <w:rPr>
          <w:bCs/>
          <w:sz w:val="28"/>
          <w:szCs w:val="28"/>
        </w:rPr>
        <w:t xml:space="preserve">1000000 </w:t>
      </w:r>
      <w:proofErr w:type="spellStart"/>
      <w:r w:rsidR="00063100" w:rsidRPr="00667612">
        <w:rPr>
          <w:bCs/>
          <w:sz w:val="28"/>
          <w:szCs w:val="28"/>
        </w:rPr>
        <w:t>euro</w:t>
      </w:r>
      <w:proofErr w:type="spellEnd"/>
      <w:r w:rsidRPr="00667612">
        <w:rPr>
          <w:bCs/>
          <w:sz w:val="28"/>
          <w:szCs w:val="28"/>
        </w:rPr>
        <w:t>.</w:t>
      </w:r>
    </w:p>
    <w:p w:rsidR="00063100" w:rsidRPr="00063100" w:rsidRDefault="00CA5C34" w:rsidP="00CA5C34">
      <w:pPr>
        <w:pStyle w:val="ListParagraph"/>
        <w:numPr>
          <w:ilvl w:val="0"/>
          <w:numId w:val="5"/>
        </w:numPr>
        <w:ind w:left="0" w:firstLine="720"/>
        <w:jc w:val="both"/>
        <w:rPr>
          <w:sz w:val="28"/>
          <w:szCs w:val="28"/>
        </w:rPr>
      </w:pPr>
      <w:r w:rsidRPr="00667612">
        <w:rPr>
          <w:bCs/>
          <w:sz w:val="28"/>
          <w:szCs w:val="28"/>
        </w:rPr>
        <w:t>Ministru</w:t>
      </w:r>
      <w:r w:rsidR="00C30E60">
        <w:rPr>
          <w:bCs/>
          <w:sz w:val="28"/>
          <w:szCs w:val="28"/>
        </w:rPr>
        <w:t xml:space="preserve"> kabinets nosaka</w:t>
      </w:r>
      <w:r w:rsidR="00063100">
        <w:rPr>
          <w:bCs/>
          <w:sz w:val="28"/>
          <w:szCs w:val="28"/>
        </w:rPr>
        <w:t>:</w:t>
      </w:r>
    </w:p>
    <w:p w:rsidR="00CA5C34" w:rsidRDefault="00C30E60" w:rsidP="00063100">
      <w:pPr>
        <w:pStyle w:val="ListParagraph"/>
        <w:numPr>
          <w:ilvl w:val="0"/>
          <w:numId w:val="11"/>
        </w:numPr>
        <w:jc w:val="both"/>
        <w:rPr>
          <w:bCs/>
          <w:sz w:val="28"/>
          <w:szCs w:val="28"/>
        </w:rPr>
      </w:pPr>
      <w:r>
        <w:rPr>
          <w:bCs/>
          <w:sz w:val="28"/>
          <w:szCs w:val="28"/>
        </w:rPr>
        <w:t>gadījumus, kādos</w:t>
      </w:r>
      <w:r w:rsidR="00CA5C34" w:rsidRPr="00667612">
        <w:rPr>
          <w:bCs/>
          <w:sz w:val="28"/>
          <w:szCs w:val="28"/>
        </w:rPr>
        <w:t xml:space="preserve"> šā panta pirmajā daļā minētais nodrošinājums nav jāiesnie</w:t>
      </w:r>
      <w:r w:rsidR="003615CB">
        <w:rPr>
          <w:bCs/>
          <w:sz w:val="28"/>
          <w:szCs w:val="28"/>
        </w:rPr>
        <w:t>dz vai ir samazināms tā apmērs</w:t>
      </w:r>
      <w:r w:rsidR="00063100">
        <w:rPr>
          <w:bCs/>
          <w:sz w:val="28"/>
          <w:szCs w:val="28"/>
        </w:rPr>
        <w:t>;</w:t>
      </w:r>
    </w:p>
    <w:p w:rsidR="00E87A64" w:rsidRPr="00063100" w:rsidRDefault="003604EE" w:rsidP="00063100">
      <w:pPr>
        <w:pStyle w:val="ListParagraph"/>
        <w:numPr>
          <w:ilvl w:val="0"/>
          <w:numId w:val="11"/>
        </w:numPr>
        <w:jc w:val="both"/>
        <w:rPr>
          <w:sz w:val="28"/>
          <w:szCs w:val="28"/>
        </w:rPr>
      </w:pPr>
      <w:r w:rsidRPr="00063100">
        <w:rPr>
          <w:sz w:val="28"/>
          <w:szCs w:val="28"/>
        </w:rPr>
        <w:t>nodrošinājuma iesniegšanas, apstiprināšanas, pieprasīšanas, dzēšanas un atdošanas kārtību.</w:t>
      </w:r>
      <w:r w:rsidR="003615CB">
        <w:rPr>
          <w:sz w:val="28"/>
          <w:szCs w:val="28"/>
        </w:rPr>
        <w:t>”</w:t>
      </w:r>
    </w:p>
    <w:p w:rsidR="00667612" w:rsidRPr="00667612" w:rsidRDefault="00667612" w:rsidP="00667612">
      <w:pPr>
        <w:jc w:val="both"/>
        <w:rPr>
          <w:szCs w:val="28"/>
          <w:lang w:val="lv-LV"/>
        </w:rPr>
      </w:pPr>
    </w:p>
    <w:p w:rsidR="00667612" w:rsidRPr="00211B8B" w:rsidRDefault="00667612" w:rsidP="00211B8B">
      <w:pPr>
        <w:pStyle w:val="ListParagraph"/>
        <w:numPr>
          <w:ilvl w:val="0"/>
          <w:numId w:val="7"/>
        </w:numPr>
        <w:jc w:val="both"/>
        <w:rPr>
          <w:sz w:val="28"/>
          <w:szCs w:val="28"/>
        </w:rPr>
      </w:pPr>
      <w:r w:rsidRPr="00211B8B">
        <w:rPr>
          <w:sz w:val="28"/>
          <w:szCs w:val="28"/>
        </w:rPr>
        <w:t xml:space="preserve">Papildināt likuma </w:t>
      </w:r>
      <w:r w:rsidRPr="00211B8B">
        <w:rPr>
          <w:bCs/>
          <w:sz w:val="28"/>
          <w:szCs w:val="28"/>
        </w:rPr>
        <w:t>34.</w:t>
      </w:r>
      <w:r w:rsidRPr="00211B8B">
        <w:rPr>
          <w:bCs/>
          <w:sz w:val="28"/>
          <w:szCs w:val="28"/>
          <w:vertAlign w:val="superscript"/>
        </w:rPr>
        <w:t>1</w:t>
      </w:r>
      <w:r w:rsidR="00196928">
        <w:rPr>
          <w:bCs/>
          <w:sz w:val="28"/>
          <w:szCs w:val="28"/>
          <w:vertAlign w:val="superscript"/>
        </w:rPr>
        <w:t xml:space="preserve"> </w:t>
      </w:r>
      <w:r w:rsidRPr="00211B8B">
        <w:rPr>
          <w:bCs/>
          <w:sz w:val="28"/>
          <w:szCs w:val="28"/>
        </w:rPr>
        <w:t>panta</w:t>
      </w:r>
      <w:r w:rsidRPr="00211B8B">
        <w:rPr>
          <w:sz w:val="28"/>
          <w:szCs w:val="28"/>
        </w:rPr>
        <w:t xml:space="preserve"> pirmo daļu ar 6.punktu šādā redakcijā:</w:t>
      </w:r>
    </w:p>
    <w:p w:rsidR="00667612" w:rsidRPr="002B6EA4" w:rsidRDefault="00667612" w:rsidP="00667612">
      <w:pPr>
        <w:jc w:val="both"/>
        <w:rPr>
          <w:szCs w:val="28"/>
          <w:lang w:val="lv-LV"/>
        </w:rPr>
      </w:pPr>
    </w:p>
    <w:p w:rsidR="00667612" w:rsidRPr="00667612" w:rsidRDefault="003615CB" w:rsidP="00667612">
      <w:pPr>
        <w:ind w:firstLine="709"/>
        <w:jc w:val="both"/>
        <w:rPr>
          <w:szCs w:val="28"/>
          <w:lang w:val="lv-LV"/>
        </w:rPr>
      </w:pPr>
      <w:r>
        <w:rPr>
          <w:szCs w:val="28"/>
          <w:lang w:val="lv-LV"/>
        </w:rPr>
        <w:t>„</w:t>
      </w:r>
      <w:r w:rsidR="00667612" w:rsidRPr="00667612">
        <w:rPr>
          <w:szCs w:val="28"/>
          <w:lang w:val="lv-LV"/>
        </w:rPr>
        <w:t>6) nodokļu maksātājs</w:t>
      </w:r>
      <w:r w:rsidR="00E3053A">
        <w:rPr>
          <w:szCs w:val="28"/>
          <w:lang w:val="lv-LV"/>
        </w:rPr>
        <w:t xml:space="preserve"> normatīvajos aktos</w:t>
      </w:r>
      <w:r w:rsidR="00667612">
        <w:rPr>
          <w:szCs w:val="28"/>
          <w:lang w:val="lv-LV"/>
        </w:rPr>
        <w:t xml:space="preserve"> noteiktajā termiņā</w:t>
      </w:r>
      <w:r w:rsidR="00667612" w:rsidRPr="00667612">
        <w:rPr>
          <w:szCs w:val="28"/>
          <w:lang w:val="lv-LV"/>
        </w:rPr>
        <w:t xml:space="preserve"> nav iesniedzis </w:t>
      </w:r>
      <w:r w:rsidR="00667612" w:rsidRPr="00667612">
        <w:rPr>
          <w:bCs/>
          <w:lang w:val="lv-LV"/>
        </w:rPr>
        <w:t>l</w:t>
      </w:r>
      <w:r w:rsidR="00667612" w:rsidRPr="00667612">
        <w:rPr>
          <w:lang w:val="lv-LV"/>
        </w:rPr>
        <w:t xml:space="preserve">ikuma </w:t>
      </w:r>
      <w:r w:rsidR="00667612" w:rsidRPr="00667612">
        <w:rPr>
          <w:bCs/>
          <w:lang w:val="lv-LV"/>
        </w:rPr>
        <w:t>2</w:t>
      </w:r>
      <w:r w:rsidR="00211B8B">
        <w:rPr>
          <w:bCs/>
          <w:lang w:val="lv-LV"/>
        </w:rPr>
        <w:t>6</w:t>
      </w:r>
      <w:r w:rsidR="00667612" w:rsidRPr="00667612">
        <w:rPr>
          <w:bCs/>
          <w:lang w:val="lv-LV"/>
        </w:rPr>
        <w:t>.</w:t>
      </w:r>
      <w:r w:rsidR="00211B8B">
        <w:rPr>
          <w:bCs/>
          <w:vertAlign w:val="superscript"/>
          <w:lang w:val="lv-LV"/>
        </w:rPr>
        <w:t>2</w:t>
      </w:r>
      <w:r w:rsidR="00196928">
        <w:rPr>
          <w:bCs/>
          <w:vertAlign w:val="superscript"/>
          <w:lang w:val="lv-LV"/>
        </w:rPr>
        <w:t xml:space="preserve"> </w:t>
      </w:r>
      <w:r w:rsidR="00667612" w:rsidRPr="00667612">
        <w:rPr>
          <w:bCs/>
          <w:lang w:val="lv-LV"/>
        </w:rPr>
        <w:t>panta pirmajā daļā min</w:t>
      </w:r>
      <w:r w:rsidR="00667612">
        <w:rPr>
          <w:bCs/>
          <w:lang w:val="lv-LV"/>
        </w:rPr>
        <w:t>ēto</w:t>
      </w:r>
      <w:r w:rsidR="00667612" w:rsidRPr="00667612">
        <w:rPr>
          <w:bCs/>
          <w:lang w:val="lv-LV"/>
        </w:rPr>
        <w:t xml:space="preserve"> n</w:t>
      </w:r>
      <w:r w:rsidR="00667612">
        <w:rPr>
          <w:bCs/>
          <w:lang w:val="lv-LV"/>
        </w:rPr>
        <w:t>odrošinājumu.”</w:t>
      </w:r>
    </w:p>
    <w:p w:rsidR="003604EE" w:rsidRPr="00667612" w:rsidRDefault="003604EE" w:rsidP="003604EE">
      <w:pPr>
        <w:jc w:val="both"/>
        <w:rPr>
          <w:szCs w:val="28"/>
          <w:lang w:val="lv-LV"/>
        </w:rPr>
      </w:pPr>
    </w:p>
    <w:p w:rsidR="003604EE" w:rsidRPr="00667612" w:rsidRDefault="003604EE" w:rsidP="00211B8B">
      <w:pPr>
        <w:pStyle w:val="ListParagraph"/>
        <w:numPr>
          <w:ilvl w:val="0"/>
          <w:numId w:val="7"/>
        </w:numPr>
        <w:ind w:left="0" w:firstLine="709"/>
        <w:jc w:val="both"/>
        <w:rPr>
          <w:sz w:val="28"/>
          <w:szCs w:val="28"/>
        </w:rPr>
      </w:pPr>
      <w:r w:rsidRPr="00667612">
        <w:rPr>
          <w:sz w:val="28"/>
          <w:szCs w:val="28"/>
        </w:rPr>
        <w:t xml:space="preserve">Papildināt </w:t>
      </w:r>
      <w:r w:rsidR="003615CB">
        <w:rPr>
          <w:sz w:val="28"/>
          <w:szCs w:val="28"/>
        </w:rPr>
        <w:t>p</w:t>
      </w:r>
      <w:r w:rsidRPr="00667612">
        <w:rPr>
          <w:sz w:val="28"/>
          <w:szCs w:val="28"/>
        </w:rPr>
        <w:t>ārejas noteikumus ar 152., 153. un 154.punktu šādā redakcijā:</w:t>
      </w:r>
    </w:p>
    <w:p w:rsidR="003604EE" w:rsidRPr="00667612" w:rsidRDefault="003604EE" w:rsidP="003604EE">
      <w:pPr>
        <w:ind w:left="709"/>
        <w:jc w:val="both"/>
        <w:rPr>
          <w:szCs w:val="28"/>
          <w:lang w:val="lv-LV"/>
        </w:rPr>
      </w:pPr>
    </w:p>
    <w:p w:rsidR="003604EE" w:rsidRPr="00667612" w:rsidRDefault="003615CB" w:rsidP="003604EE">
      <w:pPr>
        <w:ind w:firstLine="709"/>
        <w:jc w:val="both"/>
        <w:rPr>
          <w:bCs/>
          <w:lang w:val="lv-LV"/>
        </w:rPr>
      </w:pPr>
      <w:r>
        <w:rPr>
          <w:lang w:val="lv-LV"/>
        </w:rPr>
        <w:t>„</w:t>
      </w:r>
      <w:r w:rsidR="003604EE" w:rsidRPr="00667612">
        <w:rPr>
          <w:lang w:val="lv-LV"/>
        </w:rPr>
        <w:t xml:space="preserve">152. Likuma </w:t>
      </w:r>
      <w:r w:rsidR="003604EE" w:rsidRPr="00667612">
        <w:rPr>
          <w:bCs/>
          <w:lang w:val="lv-LV"/>
        </w:rPr>
        <w:t>2</w:t>
      </w:r>
      <w:r w:rsidR="00211B8B">
        <w:rPr>
          <w:bCs/>
          <w:lang w:val="lv-LV"/>
        </w:rPr>
        <w:t>6</w:t>
      </w:r>
      <w:r w:rsidR="003604EE" w:rsidRPr="00667612">
        <w:rPr>
          <w:bCs/>
          <w:lang w:val="lv-LV"/>
        </w:rPr>
        <w:t>.</w:t>
      </w:r>
      <w:r w:rsidR="00211B8B">
        <w:rPr>
          <w:bCs/>
          <w:vertAlign w:val="superscript"/>
          <w:lang w:val="lv-LV"/>
        </w:rPr>
        <w:t>2</w:t>
      </w:r>
      <w:r w:rsidR="00196928">
        <w:rPr>
          <w:bCs/>
          <w:vertAlign w:val="superscript"/>
          <w:lang w:val="lv-LV"/>
        </w:rPr>
        <w:t xml:space="preserve"> </w:t>
      </w:r>
      <w:r w:rsidR="003604EE" w:rsidRPr="00667612">
        <w:rPr>
          <w:bCs/>
          <w:lang w:val="lv-LV"/>
        </w:rPr>
        <w:t>panta pirmajā daļā minētais nodrošinājums nodokļu maksātājiem, kuriem  šā panta spēkā stāšanās brīdī jau ir izsniegta speciālā atļauja (licence) apstiprināta noliktavas turētāja darbībai ar naftas produktiem, reģistrēta saņēmēja darbībai ar naftas produktiem vai reģistrēta nosūtītāja darbībai ar naftas produktiem, iesniedzams ne vēlāk kā 90 kalendāro dienu laikā pēc š</w:t>
      </w:r>
      <w:r w:rsidR="00C30E60">
        <w:rPr>
          <w:bCs/>
          <w:lang w:val="lv-LV"/>
        </w:rPr>
        <w:t>ā</w:t>
      </w:r>
      <w:r w:rsidR="003604EE" w:rsidRPr="00667612">
        <w:rPr>
          <w:bCs/>
          <w:lang w:val="lv-LV"/>
        </w:rPr>
        <w:t xml:space="preserve"> </w:t>
      </w:r>
      <w:r w:rsidR="00C30E60">
        <w:rPr>
          <w:bCs/>
          <w:lang w:val="lv-LV"/>
        </w:rPr>
        <w:t>likuma</w:t>
      </w:r>
      <w:r w:rsidR="003604EE" w:rsidRPr="00667612">
        <w:rPr>
          <w:bCs/>
          <w:lang w:val="lv-LV"/>
        </w:rPr>
        <w:t xml:space="preserve"> spēkā stāšanās.</w:t>
      </w:r>
    </w:p>
    <w:p w:rsidR="003604EE" w:rsidRPr="00667612" w:rsidRDefault="003604EE" w:rsidP="003604EE">
      <w:pPr>
        <w:ind w:firstLine="709"/>
        <w:jc w:val="both"/>
        <w:rPr>
          <w:bCs/>
          <w:lang w:val="lv-LV"/>
        </w:rPr>
      </w:pPr>
      <w:r w:rsidRPr="00667612">
        <w:rPr>
          <w:bCs/>
          <w:lang w:val="lv-LV"/>
        </w:rPr>
        <w:t>153. Ja l</w:t>
      </w:r>
      <w:r w:rsidRPr="00667612">
        <w:rPr>
          <w:lang w:val="lv-LV"/>
        </w:rPr>
        <w:t xml:space="preserve">ikuma </w:t>
      </w:r>
      <w:r w:rsidRPr="00667612">
        <w:rPr>
          <w:bCs/>
          <w:lang w:val="lv-LV"/>
        </w:rPr>
        <w:t>2</w:t>
      </w:r>
      <w:r w:rsidR="00211B8B">
        <w:rPr>
          <w:bCs/>
          <w:lang w:val="lv-LV"/>
        </w:rPr>
        <w:t>6</w:t>
      </w:r>
      <w:r w:rsidRPr="00667612">
        <w:rPr>
          <w:bCs/>
          <w:lang w:val="lv-LV"/>
        </w:rPr>
        <w:t>.</w:t>
      </w:r>
      <w:r w:rsidR="00211B8B">
        <w:rPr>
          <w:bCs/>
          <w:vertAlign w:val="superscript"/>
          <w:lang w:val="lv-LV"/>
        </w:rPr>
        <w:t>2</w:t>
      </w:r>
      <w:r w:rsidR="00196928">
        <w:rPr>
          <w:bCs/>
          <w:vertAlign w:val="superscript"/>
          <w:lang w:val="lv-LV"/>
        </w:rPr>
        <w:t xml:space="preserve"> </w:t>
      </w:r>
      <w:r w:rsidRPr="00667612">
        <w:rPr>
          <w:bCs/>
          <w:lang w:val="lv-LV"/>
        </w:rPr>
        <w:t xml:space="preserve">panta pirmajā daļā minētais nodrošinājums netiek iesniegts </w:t>
      </w:r>
      <w:r w:rsidR="003615CB">
        <w:rPr>
          <w:bCs/>
          <w:lang w:val="lv-LV"/>
        </w:rPr>
        <w:t>šā likuma p</w:t>
      </w:r>
      <w:r w:rsidRPr="00667612">
        <w:rPr>
          <w:bCs/>
          <w:lang w:val="lv-LV"/>
        </w:rPr>
        <w:t xml:space="preserve">ārejas noteikumu 152.punktā noteiktajā termiņā, nodokļu maksātājam tiek apturēta saimnieciskā darbība saskaņā </w:t>
      </w:r>
      <w:r w:rsidR="00667612" w:rsidRPr="00667612">
        <w:rPr>
          <w:bCs/>
          <w:lang w:val="lv-LV"/>
        </w:rPr>
        <w:t xml:space="preserve">ar </w:t>
      </w:r>
      <w:r w:rsidRPr="00667612">
        <w:rPr>
          <w:bCs/>
          <w:lang w:val="lv-LV"/>
        </w:rPr>
        <w:t xml:space="preserve">šā likuma </w:t>
      </w:r>
      <w:r w:rsidR="00667612" w:rsidRPr="00667612">
        <w:rPr>
          <w:bCs/>
          <w:lang w:val="lv-LV"/>
        </w:rPr>
        <w:t>34</w:t>
      </w:r>
      <w:r w:rsidRPr="00667612">
        <w:rPr>
          <w:bCs/>
          <w:lang w:val="lv-LV"/>
        </w:rPr>
        <w:t>.</w:t>
      </w:r>
      <w:r w:rsidR="00667612" w:rsidRPr="00667612">
        <w:rPr>
          <w:bCs/>
          <w:vertAlign w:val="superscript"/>
          <w:lang w:val="lv-LV"/>
        </w:rPr>
        <w:t>1</w:t>
      </w:r>
      <w:r w:rsidR="00196928">
        <w:rPr>
          <w:bCs/>
          <w:vertAlign w:val="superscript"/>
          <w:lang w:val="lv-LV"/>
        </w:rPr>
        <w:t xml:space="preserve"> </w:t>
      </w:r>
      <w:r w:rsidR="00667612" w:rsidRPr="00667612">
        <w:rPr>
          <w:bCs/>
          <w:lang w:val="lv-LV"/>
        </w:rPr>
        <w:t>pantu.</w:t>
      </w:r>
    </w:p>
    <w:p w:rsidR="00667612" w:rsidRPr="00667612" w:rsidRDefault="00667612" w:rsidP="003604EE">
      <w:pPr>
        <w:ind w:firstLine="709"/>
        <w:jc w:val="both"/>
        <w:rPr>
          <w:bCs/>
          <w:lang w:val="lv-LV"/>
        </w:rPr>
      </w:pPr>
      <w:r w:rsidRPr="00667612">
        <w:rPr>
          <w:bCs/>
          <w:lang w:val="lv-LV"/>
        </w:rPr>
        <w:t>154. Ministru kabinets līdz 2013.gada 3</w:t>
      </w:r>
      <w:r w:rsidR="008804EB">
        <w:rPr>
          <w:bCs/>
          <w:lang w:val="lv-LV"/>
        </w:rPr>
        <w:t>1</w:t>
      </w:r>
      <w:r w:rsidRPr="00667612">
        <w:rPr>
          <w:bCs/>
          <w:lang w:val="lv-LV"/>
        </w:rPr>
        <w:t xml:space="preserve">.decembrim izdod šā likuma </w:t>
      </w:r>
      <w:r w:rsidR="00211B8B">
        <w:rPr>
          <w:bCs/>
          <w:lang w:val="lv-LV"/>
        </w:rPr>
        <w:t>26</w:t>
      </w:r>
      <w:r w:rsidRPr="00667612">
        <w:rPr>
          <w:bCs/>
          <w:lang w:val="lv-LV"/>
        </w:rPr>
        <w:t>.</w:t>
      </w:r>
      <w:r w:rsidR="00211B8B">
        <w:rPr>
          <w:bCs/>
          <w:vertAlign w:val="superscript"/>
          <w:lang w:val="lv-LV"/>
        </w:rPr>
        <w:t>2</w:t>
      </w:r>
      <w:r w:rsidRPr="00667612">
        <w:rPr>
          <w:bCs/>
          <w:lang w:val="lv-LV"/>
        </w:rPr>
        <w:t>panta ceturtajā daļā paredzētos normatīvos aktus.</w:t>
      </w:r>
      <w:r w:rsidR="00211B8B">
        <w:rPr>
          <w:bCs/>
          <w:lang w:val="lv-LV"/>
        </w:rPr>
        <w:t>”</w:t>
      </w:r>
    </w:p>
    <w:p w:rsidR="003604EE" w:rsidRPr="00667612" w:rsidRDefault="003604EE" w:rsidP="003604EE">
      <w:pPr>
        <w:ind w:left="709"/>
        <w:jc w:val="both"/>
        <w:rPr>
          <w:szCs w:val="28"/>
          <w:lang w:val="lv-LV"/>
        </w:rPr>
      </w:pPr>
    </w:p>
    <w:p w:rsidR="006A66BA" w:rsidRPr="00667612" w:rsidRDefault="006A66BA" w:rsidP="006A66BA">
      <w:pPr>
        <w:ind w:firstLine="709"/>
        <w:jc w:val="both"/>
        <w:rPr>
          <w:rFonts w:ascii="Times New Roman" w:hAnsi="Times New Roman"/>
          <w:szCs w:val="28"/>
          <w:lang w:val="lv-LV"/>
        </w:rPr>
      </w:pPr>
      <w:r w:rsidRPr="00667612">
        <w:rPr>
          <w:rFonts w:ascii="Times New Roman" w:hAnsi="Times New Roman"/>
          <w:szCs w:val="28"/>
          <w:lang w:val="lv-LV"/>
        </w:rPr>
        <w:t xml:space="preserve">Likums stājas spēkā 2014.gada 1.janvārī. </w:t>
      </w:r>
    </w:p>
    <w:p w:rsidR="00330C36" w:rsidRDefault="003D6139" w:rsidP="003D6139">
      <w:pPr>
        <w:tabs>
          <w:tab w:val="left" w:pos="1695"/>
        </w:tabs>
        <w:ind w:firstLine="709"/>
        <w:jc w:val="both"/>
        <w:rPr>
          <w:rFonts w:ascii="Times New Roman" w:hAnsi="Times New Roman"/>
          <w:color w:val="000000"/>
          <w:szCs w:val="28"/>
          <w:lang w:val="lv-LV"/>
        </w:rPr>
      </w:pPr>
      <w:r>
        <w:rPr>
          <w:rFonts w:ascii="Times New Roman" w:hAnsi="Times New Roman"/>
          <w:color w:val="000000"/>
          <w:szCs w:val="28"/>
          <w:lang w:val="lv-LV"/>
        </w:rPr>
        <w:tab/>
      </w:r>
    </w:p>
    <w:p w:rsidR="006A66BA" w:rsidRPr="00667612" w:rsidRDefault="006A66BA" w:rsidP="002018B4">
      <w:pPr>
        <w:widowControl/>
        <w:rPr>
          <w:rFonts w:ascii="Times New Roman" w:hAnsi="Times New Roman"/>
          <w:szCs w:val="28"/>
          <w:lang w:val="lv-LV"/>
        </w:rPr>
      </w:pPr>
      <w:r w:rsidRPr="00667612">
        <w:rPr>
          <w:rFonts w:ascii="Times New Roman" w:hAnsi="Times New Roman"/>
          <w:szCs w:val="28"/>
          <w:lang w:val="lv-LV"/>
        </w:rPr>
        <w:t>Ministru prezidents                  </w:t>
      </w:r>
      <w:r w:rsidRPr="00667612">
        <w:rPr>
          <w:rFonts w:ascii="Times New Roman" w:hAnsi="Times New Roman"/>
          <w:szCs w:val="28"/>
          <w:lang w:val="lv-LV"/>
        </w:rPr>
        <w:tab/>
      </w:r>
      <w:r w:rsidRPr="00667612">
        <w:rPr>
          <w:rFonts w:ascii="Times New Roman" w:hAnsi="Times New Roman"/>
          <w:szCs w:val="28"/>
          <w:lang w:val="lv-LV"/>
        </w:rPr>
        <w:tab/>
      </w:r>
      <w:r w:rsidRPr="00667612">
        <w:rPr>
          <w:rFonts w:ascii="Times New Roman" w:hAnsi="Times New Roman"/>
          <w:szCs w:val="28"/>
          <w:lang w:val="lv-LV"/>
        </w:rPr>
        <w:tab/>
      </w:r>
      <w:r w:rsidRPr="00667612">
        <w:rPr>
          <w:rFonts w:ascii="Times New Roman" w:hAnsi="Times New Roman"/>
          <w:szCs w:val="28"/>
          <w:lang w:val="lv-LV"/>
        </w:rPr>
        <w:tab/>
        <w:t xml:space="preserve"> V. Dombrovskis</w:t>
      </w:r>
    </w:p>
    <w:p w:rsidR="006A66BA" w:rsidRDefault="006A66BA" w:rsidP="002018B4">
      <w:pPr>
        <w:widowControl/>
        <w:ind w:firstLine="709"/>
        <w:rPr>
          <w:rFonts w:ascii="Times New Roman" w:hAnsi="Times New Roman"/>
          <w:szCs w:val="28"/>
          <w:lang w:val="lv-LV"/>
        </w:rPr>
      </w:pPr>
    </w:p>
    <w:p w:rsidR="002018B4" w:rsidRPr="00105A03" w:rsidRDefault="00A60005" w:rsidP="002018B4">
      <w:pPr>
        <w:pStyle w:val="naisf"/>
        <w:tabs>
          <w:tab w:val="left" w:pos="6804"/>
        </w:tabs>
        <w:spacing w:before="0" w:beforeAutospacing="0" w:after="0" w:afterAutospacing="0"/>
        <w:rPr>
          <w:sz w:val="28"/>
          <w:szCs w:val="28"/>
        </w:rPr>
      </w:pPr>
      <w:r>
        <w:rPr>
          <w:sz w:val="28"/>
          <w:szCs w:val="28"/>
        </w:rPr>
        <w:t>Finanšu ministrs</w:t>
      </w:r>
      <w:r>
        <w:rPr>
          <w:sz w:val="28"/>
          <w:szCs w:val="28"/>
        </w:rPr>
        <w:tab/>
      </w:r>
      <w:proofErr w:type="spellStart"/>
      <w:r w:rsidR="002018B4" w:rsidRPr="00105A03">
        <w:rPr>
          <w:sz w:val="28"/>
          <w:szCs w:val="28"/>
        </w:rPr>
        <w:t>A.</w:t>
      </w:r>
      <w:r>
        <w:rPr>
          <w:sz w:val="28"/>
          <w:szCs w:val="28"/>
        </w:rPr>
        <w:t>Vilks</w:t>
      </w:r>
      <w:proofErr w:type="spellEnd"/>
    </w:p>
    <w:p w:rsidR="003D6139" w:rsidRDefault="003D6139" w:rsidP="006A66BA">
      <w:pPr>
        <w:ind w:firstLine="709"/>
        <w:rPr>
          <w:rFonts w:ascii="Times New Roman" w:hAnsi="Times New Roman"/>
          <w:szCs w:val="28"/>
          <w:lang w:val="lv-LV"/>
        </w:rPr>
      </w:pPr>
    </w:p>
    <w:p w:rsidR="002018B4" w:rsidRDefault="002018B4" w:rsidP="006A66BA">
      <w:pPr>
        <w:ind w:firstLine="709"/>
        <w:rPr>
          <w:rFonts w:ascii="Times New Roman" w:hAnsi="Times New Roman"/>
          <w:szCs w:val="28"/>
          <w:lang w:val="lv-LV"/>
        </w:rPr>
      </w:pPr>
    </w:p>
    <w:p w:rsidR="006A66BA" w:rsidRPr="00667612" w:rsidRDefault="006A66BA" w:rsidP="006A66BA">
      <w:pPr>
        <w:rPr>
          <w:rFonts w:ascii="Times New Roman" w:hAnsi="Times New Roman"/>
          <w:sz w:val="20"/>
          <w:lang w:val="lv-LV"/>
        </w:rPr>
      </w:pPr>
      <w:r w:rsidRPr="00667612">
        <w:rPr>
          <w:rFonts w:ascii="Times New Roman" w:hAnsi="Times New Roman"/>
          <w:sz w:val="20"/>
          <w:lang w:val="lv-LV"/>
        </w:rPr>
        <w:fldChar w:fldCharType="begin"/>
      </w:r>
      <w:r w:rsidRPr="00667612">
        <w:rPr>
          <w:rFonts w:ascii="Times New Roman" w:hAnsi="Times New Roman"/>
          <w:sz w:val="20"/>
          <w:lang w:val="lv-LV"/>
        </w:rPr>
        <w:instrText xml:space="preserve"> DATE  \@ "yyyy.MM.dd. H:mm"  \* MERGEFORMAT </w:instrText>
      </w:r>
      <w:r w:rsidRPr="00667612">
        <w:rPr>
          <w:rFonts w:ascii="Times New Roman" w:hAnsi="Times New Roman"/>
          <w:sz w:val="20"/>
          <w:lang w:val="lv-LV"/>
        </w:rPr>
        <w:fldChar w:fldCharType="separate"/>
      </w:r>
      <w:r w:rsidR="009900F6">
        <w:rPr>
          <w:rFonts w:ascii="Times New Roman" w:hAnsi="Times New Roman"/>
          <w:noProof/>
          <w:sz w:val="20"/>
          <w:lang w:val="lv-LV"/>
        </w:rPr>
        <w:t>2013.09.16. 16:03</w:t>
      </w:r>
      <w:r w:rsidRPr="00667612">
        <w:rPr>
          <w:rFonts w:ascii="Times New Roman" w:hAnsi="Times New Roman"/>
          <w:sz w:val="20"/>
          <w:lang w:val="lv-LV"/>
        </w:rPr>
        <w:fldChar w:fldCharType="end"/>
      </w:r>
    </w:p>
    <w:p w:rsidR="006A66BA" w:rsidRPr="00667612" w:rsidRDefault="00A60005" w:rsidP="006A66BA">
      <w:pPr>
        <w:rPr>
          <w:rFonts w:ascii="Times New Roman" w:hAnsi="Times New Roman"/>
          <w:sz w:val="20"/>
          <w:lang w:val="lv-LV"/>
        </w:rPr>
      </w:pPr>
      <w:r>
        <w:rPr>
          <w:rFonts w:ascii="Times New Roman" w:hAnsi="Times New Roman"/>
          <w:sz w:val="20"/>
          <w:lang w:val="lv-LV"/>
        </w:rPr>
        <w:t>571</w:t>
      </w:r>
    </w:p>
    <w:p w:rsidR="006A66BA" w:rsidRPr="00667612" w:rsidRDefault="007415EB" w:rsidP="006A66BA">
      <w:pPr>
        <w:widowControl/>
        <w:rPr>
          <w:rFonts w:ascii="Times New Roman" w:hAnsi="Times New Roman"/>
          <w:sz w:val="20"/>
          <w:lang w:val="lv-LV" w:eastAsia="en-US"/>
        </w:rPr>
      </w:pPr>
      <w:r>
        <w:rPr>
          <w:rFonts w:ascii="Times New Roman" w:hAnsi="Times New Roman"/>
          <w:sz w:val="20"/>
          <w:lang w:val="lv-LV" w:eastAsia="en-US"/>
        </w:rPr>
        <w:t>Māra Čakste, 67095645</w:t>
      </w:r>
    </w:p>
    <w:p w:rsidR="006A66BA" w:rsidRPr="00667612" w:rsidRDefault="006826A4" w:rsidP="006A66BA">
      <w:pPr>
        <w:rPr>
          <w:rFonts w:ascii="Times New Roman" w:hAnsi="Times New Roman"/>
          <w:sz w:val="20"/>
          <w:lang w:val="lv-LV"/>
        </w:rPr>
      </w:pPr>
      <w:hyperlink r:id="rId8" w:history="1">
        <w:r w:rsidR="006A66BA" w:rsidRPr="00667612">
          <w:rPr>
            <w:rStyle w:val="Hyperlink"/>
            <w:rFonts w:ascii="Times New Roman" w:hAnsi="Times New Roman"/>
            <w:sz w:val="20"/>
            <w:lang w:val="lv-LV"/>
          </w:rPr>
          <w:t>Mara.Cakste@fm.gov.lv</w:t>
        </w:r>
      </w:hyperlink>
    </w:p>
    <w:sectPr w:rsidR="006A66BA" w:rsidRPr="00667612" w:rsidSect="003D6139">
      <w:headerReference w:type="default" r:id="rId9"/>
      <w:footerReference w:type="default" r:id="rId10"/>
      <w:footerReference w:type="first" r:id="rId11"/>
      <w:pgSz w:w="11906" w:h="16838"/>
      <w:pgMar w:top="993" w:right="1274" w:bottom="1276" w:left="1701" w:header="567"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A4" w:rsidRDefault="006826A4" w:rsidP="006A66BA">
      <w:r>
        <w:separator/>
      </w:r>
    </w:p>
  </w:endnote>
  <w:endnote w:type="continuationSeparator" w:id="0">
    <w:p w:rsidR="006826A4" w:rsidRDefault="006826A4" w:rsidP="006A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6BA" w:rsidRPr="00DF0320" w:rsidRDefault="006A66BA" w:rsidP="006A66BA">
    <w:pPr>
      <w:pStyle w:val="Heading1"/>
      <w:keepNext w:val="0"/>
      <w:rPr>
        <w:b w:val="0"/>
      </w:rPr>
    </w:pPr>
    <w:r>
      <w:rPr>
        <w:b w:val="0"/>
        <w:lang w:val="lv-LV"/>
      </w:rPr>
      <w:t>FMLik_290813_NNL_nodrosin</w:t>
    </w:r>
    <w:r w:rsidR="00FE5337">
      <w:rPr>
        <w:b w:val="0"/>
        <w:lang w:val="lv-LV"/>
      </w:rPr>
      <w:t>a</w:t>
    </w:r>
    <w:r>
      <w:rPr>
        <w:b w:val="0"/>
        <w:lang w:val="lv-LV"/>
      </w:rPr>
      <w:t>jums</w:t>
    </w:r>
    <w:r w:rsidRPr="00DF0320">
      <w:rPr>
        <w:b w:val="0"/>
        <w:lang w:val="lv-LV"/>
      </w:rPr>
      <w:t>; Likumprojekts „Groz</w:t>
    </w:r>
    <w:r w:rsidRPr="00DF0320">
      <w:rPr>
        <w:rFonts w:hint="eastAsia"/>
        <w:b w:val="0"/>
        <w:lang w:val="lv-LV"/>
      </w:rPr>
      <w:t>ī</w:t>
    </w:r>
    <w:r w:rsidRPr="00DF0320">
      <w:rPr>
        <w:b w:val="0"/>
        <w:lang w:val="lv-LV"/>
      </w:rPr>
      <w:t>jumi likum</w:t>
    </w:r>
    <w:r w:rsidRPr="00DF0320">
      <w:rPr>
        <w:rFonts w:hint="eastAsia"/>
        <w:b w:val="0"/>
        <w:lang w:val="lv-LV"/>
      </w:rPr>
      <w:t>ā</w:t>
    </w:r>
    <w:r w:rsidRPr="00DF0320">
      <w:rPr>
        <w:b w:val="0"/>
        <w:lang w:val="lv-LV"/>
      </w:rPr>
      <w:t xml:space="preserve"> „Par nodok</w:t>
    </w:r>
    <w:r w:rsidRPr="00DF0320">
      <w:rPr>
        <w:rFonts w:hint="eastAsia"/>
        <w:b w:val="0"/>
        <w:lang w:val="lv-LV"/>
      </w:rPr>
      <w:t>ļ</w:t>
    </w:r>
    <w:r w:rsidRPr="00DF0320">
      <w:rPr>
        <w:b w:val="0"/>
        <w:lang w:val="lv-LV"/>
      </w:rPr>
      <w:t>iem un nodev</w:t>
    </w:r>
    <w:r w:rsidRPr="00DF0320">
      <w:rPr>
        <w:rFonts w:hint="eastAsia"/>
        <w:b w:val="0"/>
        <w:lang w:val="lv-LV"/>
      </w:rPr>
      <w:t>ā</w:t>
    </w:r>
    <w:r w:rsidRPr="00DF0320">
      <w:rPr>
        <w:b w:val="0"/>
        <w:lang w:val="lv-LV"/>
      </w:rPr>
      <w:t>m””</w:t>
    </w:r>
  </w:p>
  <w:p w:rsidR="006A66BA" w:rsidRDefault="006A6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46" w:rsidRPr="00DF0320" w:rsidRDefault="00581D46" w:rsidP="00581D46">
    <w:pPr>
      <w:pStyle w:val="Heading1"/>
      <w:keepNext w:val="0"/>
      <w:rPr>
        <w:b w:val="0"/>
      </w:rPr>
    </w:pPr>
    <w:r>
      <w:rPr>
        <w:b w:val="0"/>
        <w:lang w:val="lv-LV"/>
      </w:rPr>
      <w:t>FMLik_290813_NNL_nodrosinajums</w:t>
    </w:r>
    <w:r w:rsidRPr="00DF0320">
      <w:rPr>
        <w:b w:val="0"/>
        <w:lang w:val="lv-LV"/>
      </w:rPr>
      <w:t>; Likumprojekts „Groz</w:t>
    </w:r>
    <w:r w:rsidRPr="00DF0320">
      <w:rPr>
        <w:rFonts w:hint="eastAsia"/>
        <w:b w:val="0"/>
        <w:lang w:val="lv-LV"/>
      </w:rPr>
      <w:t>ī</w:t>
    </w:r>
    <w:r w:rsidRPr="00DF0320">
      <w:rPr>
        <w:b w:val="0"/>
        <w:lang w:val="lv-LV"/>
      </w:rPr>
      <w:t>jumi likum</w:t>
    </w:r>
    <w:r w:rsidRPr="00DF0320">
      <w:rPr>
        <w:rFonts w:hint="eastAsia"/>
        <w:b w:val="0"/>
        <w:lang w:val="lv-LV"/>
      </w:rPr>
      <w:t>ā</w:t>
    </w:r>
    <w:r w:rsidRPr="00DF0320">
      <w:rPr>
        <w:b w:val="0"/>
        <w:lang w:val="lv-LV"/>
      </w:rPr>
      <w:t xml:space="preserve"> „Par nodok</w:t>
    </w:r>
    <w:r w:rsidRPr="00DF0320">
      <w:rPr>
        <w:rFonts w:hint="eastAsia"/>
        <w:b w:val="0"/>
        <w:lang w:val="lv-LV"/>
      </w:rPr>
      <w:t>ļ</w:t>
    </w:r>
    <w:r w:rsidRPr="00DF0320">
      <w:rPr>
        <w:b w:val="0"/>
        <w:lang w:val="lv-LV"/>
      </w:rPr>
      <w:t>iem un nodev</w:t>
    </w:r>
    <w:r w:rsidRPr="00DF0320">
      <w:rPr>
        <w:rFonts w:hint="eastAsia"/>
        <w:b w:val="0"/>
        <w:lang w:val="lv-LV"/>
      </w:rPr>
      <w:t>ā</w:t>
    </w:r>
    <w:r w:rsidRPr="00DF0320">
      <w:rPr>
        <w:b w:val="0"/>
        <w:lang w:val="lv-LV"/>
      </w:rPr>
      <w:t>m””</w:t>
    </w:r>
  </w:p>
  <w:p w:rsidR="00581D46" w:rsidRDefault="00581D46" w:rsidP="00581D46">
    <w:pPr>
      <w:pStyle w:val="Footer"/>
    </w:pPr>
  </w:p>
  <w:p w:rsidR="00581D46" w:rsidRDefault="00581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A4" w:rsidRDefault="006826A4" w:rsidP="006A66BA">
      <w:r>
        <w:separator/>
      </w:r>
    </w:p>
  </w:footnote>
  <w:footnote w:type="continuationSeparator" w:id="0">
    <w:p w:rsidR="006826A4" w:rsidRDefault="006826A4" w:rsidP="006A6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773734"/>
      <w:docPartObj>
        <w:docPartGallery w:val="Page Numbers (Top of Page)"/>
        <w:docPartUnique/>
      </w:docPartObj>
    </w:sdtPr>
    <w:sdtEndPr>
      <w:rPr>
        <w:noProof/>
      </w:rPr>
    </w:sdtEndPr>
    <w:sdtContent>
      <w:p w:rsidR="003615CB" w:rsidRDefault="003615CB">
        <w:pPr>
          <w:pStyle w:val="Header"/>
          <w:jc w:val="center"/>
        </w:pPr>
        <w:r>
          <w:fldChar w:fldCharType="begin"/>
        </w:r>
        <w:r>
          <w:instrText xml:space="preserve"> PAGE   \* MERGEFORMAT </w:instrText>
        </w:r>
        <w:r>
          <w:fldChar w:fldCharType="separate"/>
        </w:r>
        <w:r w:rsidR="009900F6">
          <w:rPr>
            <w:noProof/>
          </w:rPr>
          <w:t>2</w:t>
        </w:r>
        <w:r>
          <w:rPr>
            <w:noProof/>
          </w:rPr>
          <w:fldChar w:fldCharType="end"/>
        </w:r>
      </w:p>
    </w:sdtContent>
  </w:sdt>
  <w:p w:rsidR="003615CB" w:rsidRDefault="00361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D64E2"/>
    <w:multiLevelType w:val="hybridMultilevel"/>
    <w:tmpl w:val="2CD66EAC"/>
    <w:lvl w:ilvl="0" w:tplc="390CED3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507545"/>
    <w:multiLevelType w:val="hybridMultilevel"/>
    <w:tmpl w:val="77A22380"/>
    <w:lvl w:ilvl="0" w:tplc="8F180A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FCE7AF4"/>
    <w:multiLevelType w:val="hybridMultilevel"/>
    <w:tmpl w:val="051E9E2C"/>
    <w:lvl w:ilvl="0" w:tplc="406607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B3F0505"/>
    <w:multiLevelType w:val="hybridMultilevel"/>
    <w:tmpl w:val="5C103550"/>
    <w:lvl w:ilvl="0" w:tplc="17D230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AB17525"/>
    <w:multiLevelType w:val="hybridMultilevel"/>
    <w:tmpl w:val="56DA6F18"/>
    <w:lvl w:ilvl="0" w:tplc="A47CBDB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5E6C1218"/>
    <w:multiLevelType w:val="hybridMultilevel"/>
    <w:tmpl w:val="D6228442"/>
    <w:lvl w:ilvl="0" w:tplc="7ACA12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605D128E"/>
    <w:multiLevelType w:val="hybridMultilevel"/>
    <w:tmpl w:val="824063C6"/>
    <w:lvl w:ilvl="0" w:tplc="2472B71A">
      <w:start w:val="1"/>
      <w:numFmt w:val="decimal"/>
      <w:lvlText w:val="(%1)"/>
      <w:lvlJc w:val="left"/>
      <w:pPr>
        <w:ind w:left="958" w:hanging="39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70B773CA"/>
    <w:multiLevelType w:val="hybridMultilevel"/>
    <w:tmpl w:val="4E64E9FA"/>
    <w:lvl w:ilvl="0" w:tplc="15BACD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74A95B2F"/>
    <w:multiLevelType w:val="hybridMultilevel"/>
    <w:tmpl w:val="95B6DD96"/>
    <w:lvl w:ilvl="0" w:tplc="E326C698">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74BC27CE"/>
    <w:multiLevelType w:val="hybridMultilevel"/>
    <w:tmpl w:val="77A22380"/>
    <w:lvl w:ilvl="0" w:tplc="8F180A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5687795"/>
    <w:multiLevelType w:val="hybridMultilevel"/>
    <w:tmpl w:val="5C386120"/>
    <w:lvl w:ilvl="0" w:tplc="3FEE0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3"/>
  </w:num>
  <w:num w:numId="5">
    <w:abstractNumId w:val="9"/>
  </w:num>
  <w:num w:numId="6">
    <w:abstractNumId w:val="7"/>
  </w:num>
  <w:num w:numId="7">
    <w:abstractNumId w:val="4"/>
  </w:num>
  <w:num w:numId="8">
    <w:abstractNumId w:val="8"/>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BA"/>
    <w:rsid w:val="000307F1"/>
    <w:rsid w:val="00063100"/>
    <w:rsid w:val="000F6E7D"/>
    <w:rsid w:val="00196928"/>
    <w:rsid w:val="002018B4"/>
    <w:rsid w:val="00211B8B"/>
    <w:rsid w:val="002147F9"/>
    <w:rsid w:val="002B6EA4"/>
    <w:rsid w:val="00330C36"/>
    <w:rsid w:val="003604EE"/>
    <w:rsid w:val="003615CB"/>
    <w:rsid w:val="003949C3"/>
    <w:rsid w:val="003D6139"/>
    <w:rsid w:val="003F5402"/>
    <w:rsid w:val="00403335"/>
    <w:rsid w:val="004904A6"/>
    <w:rsid w:val="00564663"/>
    <w:rsid w:val="00581D46"/>
    <w:rsid w:val="00643597"/>
    <w:rsid w:val="00667612"/>
    <w:rsid w:val="006826A4"/>
    <w:rsid w:val="00691199"/>
    <w:rsid w:val="006A66BA"/>
    <w:rsid w:val="007415EB"/>
    <w:rsid w:val="00843F85"/>
    <w:rsid w:val="008804EB"/>
    <w:rsid w:val="00971D40"/>
    <w:rsid w:val="009900F6"/>
    <w:rsid w:val="009E59F8"/>
    <w:rsid w:val="00A0168D"/>
    <w:rsid w:val="00A60005"/>
    <w:rsid w:val="00A6078B"/>
    <w:rsid w:val="00B34458"/>
    <w:rsid w:val="00B37962"/>
    <w:rsid w:val="00C30E60"/>
    <w:rsid w:val="00C75DED"/>
    <w:rsid w:val="00CA5C34"/>
    <w:rsid w:val="00D9553E"/>
    <w:rsid w:val="00DC5E6A"/>
    <w:rsid w:val="00E027EB"/>
    <w:rsid w:val="00E25087"/>
    <w:rsid w:val="00E3053A"/>
    <w:rsid w:val="00E87A64"/>
    <w:rsid w:val="00EE0382"/>
    <w:rsid w:val="00F82F58"/>
    <w:rsid w:val="00F87001"/>
    <w:rsid w:val="00FE53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BFCA6E-D897-4877-9524-6F22022E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6BA"/>
    <w:pPr>
      <w:widowControl w:val="0"/>
    </w:pPr>
    <w:rPr>
      <w:rFonts w:ascii="RimTimes" w:eastAsia="Times New Roman" w:hAnsi="RimTimes" w:cs="Times New Roman"/>
      <w:sz w:val="28"/>
      <w:szCs w:val="20"/>
      <w:lang w:val="en-AU" w:eastAsia="lv-LV"/>
    </w:rPr>
  </w:style>
  <w:style w:type="paragraph" w:styleId="Heading1">
    <w:name w:val="heading 1"/>
    <w:basedOn w:val="Normal"/>
    <w:next w:val="Normal"/>
    <w:link w:val="Heading1Char"/>
    <w:qFormat/>
    <w:rsid w:val="006A66BA"/>
    <w:pPr>
      <w:keepNext/>
      <w:widowControl/>
      <w:jc w:val="both"/>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A66BA"/>
    <w:pPr>
      <w:widowControl/>
      <w:spacing w:before="100" w:beforeAutospacing="1" w:after="100" w:afterAutospacing="1"/>
    </w:pPr>
    <w:rPr>
      <w:rFonts w:ascii="Times New Roman" w:hAnsi="Times New Roman"/>
      <w:sz w:val="24"/>
      <w:szCs w:val="24"/>
      <w:lang w:val="lv-LV"/>
    </w:rPr>
  </w:style>
  <w:style w:type="paragraph" w:styleId="ListParagraph">
    <w:name w:val="List Paragraph"/>
    <w:basedOn w:val="Normal"/>
    <w:uiPriority w:val="34"/>
    <w:qFormat/>
    <w:rsid w:val="006A66BA"/>
    <w:pPr>
      <w:widowControl/>
      <w:ind w:left="720"/>
      <w:contextualSpacing/>
    </w:pPr>
    <w:rPr>
      <w:rFonts w:ascii="Times New Roman" w:hAnsi="Times New Roman"/>
      <w:sz w:val="24"/>
      <w:szCs w:val="24"/>
      <w:lang w:val="lv-LV"/>
    </w:rPr>
  </w:style>
  <w:style w:type="paragraph" w:customStyle="1" w:styleId="naisvisr">
    <w:name w:val="naisvisr"/>
    <w:basedOn w:val="Normal"/>
    <w:rsid w:val="006A66BA"/>
    <w:pPr>
      <w:widowControl/>
      <w:spacing w:before="150" w:after="150"/>
      <w:jc w:val="center"/>
    </w:pPr>
    <w:rPr>
      <w:rFonts w:ascii="Times New Roman" w:hAnsi="Times New Roman"/>
      <w:b/>
      <w:bCs/>
      <w:szCs w:val="28"/>
      <w:lang w:val="lv-LV"/>
    </w:rPr>
  </w:style>
  <w:style w:type="paragraph" w:customStyle="1" w:styleId="tv2131">
    <w:name w:val="tv2131"/>
    <w:basedOn w:val="Normal"/>
    <w:rsid w:val="006A66BA"/>
    <w:pPr>
      <w:widowControl/>
      <w:spacing w:before="240" w:line="360" w:lineRule="auto"/>
      <w:ind w:firstLine="300"/>
      <w:jc w:val="both"/>
    </w:pPr>
    <w:rPr>
      <w:rFonts w:ascii="Verdana" w:hAnsi="Verdana"/>
      <w:sz w:val="18"/>
      <w:szCs w:val="18"/>
      <w:lang w:val="lv-LV"/>
    </w:rPr>
  </w:style>
  <w:style w:type="character" w:styleId="Hyperlink">
    <w:name w:val="Hyperlink"/>
    <w:basedOn w:val="DefaultParagraphFont"/>
    <w:uiPriority w:val="99"/>
    <w:unhideWhenUsed/>
    <w:rsid w:val="006A66BA"/>
    <w:rPr>
      <w:color w:val="0563C1" w:themeColor="hyperlink"/>
      <w:u w:val="single"/>
    </w:rPr>
  </w:style>
  <w:style w:type="paragraph" w:styleId="Header">
    <w:name w:val="header"/>
    <w:basedOn w:val="Normal"/>
    <w:link w:val="HeaderChar"/>
    <w:uiPriority w:val="99"/>
    <w:unhideWhenUsed/>
    <w:rsid w:val="006A66BA"/>
    <w:pPr>
      <w:tabs>
        <w:tab w:val="center" w:pos="4153"/>
        <w:tab w:val="right" w:pos="8306"/>
      </w:tabs>
    </w:pPr>
  </w:style>
  <w:style w:type="character" w:customStyle="1" w:styleId="HeaderChar">
    <w:name w:val="Header Char"/>
    <w:basedOn w:val="DefaultParagraphFont"/>
    <w:link w:val="Header"/>
    <w:uiPriority w:val="99"/>
    <w:rsid w:val="006A66BA"/>
    <w:rPr>
      <w:rFonts w:ascii="RimTimes" w:eastAsia="Times New Roman" w:hAnsi="RimTimes" w:cs="Times New Roman"/>
      <w:sz w:val="28"/>
      <w:szCs w:val="20"/>
      <w:lang w:val="en-AU" w:eastAsia="lv-LV"/>
    </w:rPr>
  </w:style>
  <w:style w:type="paragraph" w:styleId="Footer">
    <w:name w:val="footer"/>
    <w:basedOn w:val="Normal"/>
    <w:link w:val="FooterChar"/>
    <w:uiPriority w:val="99"/>
    <w:unhideWhenUsed/>
    <w:rsid w:val="006A66BA"/>
    <w:pPr>
      <w:tabs>
        <w:tab w:val="center" w:pos="4153"/>
        <w:tab w:val="right" w:pos="8306"/>
      </w:tabs>
    </w:pPr>
  </w:style>
  <w:style w:type="character" w:customStyle="1" w:styleId="FooterChar">
    <w:name w:val="Footer Char"/>
    <w:basedOn w:val="DefaultParagraphFont"/>
    <w:link w:val="Footer"/>
    <w:uiPriority w:val="99"/>
    <w:rsid w:val="006A66BA"/>
    <w:rPr>
      <w:rFonts w:ascii="RimTimes" w:eastAsia="Times New Roman" w:hAnsi="RimTimes" w:cs="Times New Roman"/>
      <w:sz w:val="28"/>
      <w:szCs w:val="20"/>
      <w:lang w:val="en-AU" w:eastAsia="lv-LV"/>
    </w:rPr>
  </w:style>
  <w:style w:type="character" w:customStyle="1" w:styleId="Heading1Char">
    <w:name w:val="Heading 1 Char"/>
    <w:basedOn w:val="DefaultParagraphFont"/>
    <w:link w:val="Heading1"/>
    <w:rsid w:val="006A66BA"/>
    <w:rPr>
      <w:rFonts w:eastAsia="Times New Roman" w:cs="Times New Roman"/>
      <w:b/>
      <w:sz w:val="20"/>
      <w:szCs w:val="20"/>
      <w:lang w:val="en-AU" w:eastAsia="lv-LV"/>
    </w:rPr>
  </w:style>
  <w:style w:type="character" w:styleId="CommentReference">
    <w:name w:val="annotation reference"/>
    <w:basedOn w:val="DefaultParagraphFont"/>
    <w:uiPriority w:val="99"/>
    <w:semiHidden/>
    <w:unhideWhenUsed/>
    <w:rsid w:val="003604EE"/>
    <w:rPr>
      <w:sz w:val="16"/>
      <w:szCs w:val="16"/>
    </w:rPr>
  </w:style>
  <w:style w:type="paragraph" w:styleId="CommentText">
    <w:name w:val="annotation text"/>
    <w:basedOn w:val="Normal"/>
    <w:link w:val="CommentTextChar"/>
    <w:uiPriority w:val="99"/>
    <w:semiHidden/>
    <w:unhideWhenUsed/>
    <w:rsid w:val="003604EE"/>
    <w:pPr>
      <w:widowControl/>
    </w:pPr>
    <w:rPr>
      <w:rFonts w:ascii="Times New Roman" w:hAnsi="Times New Roman"/>
      <w:sz w:val="20"/>
      <w:lang w:val="lv-LV"/>
    </w:rPr>
  </w:style>
  <w:style w:type="character" w:customStyle="1" w:styleId="CommentTextChar">
    <w:name w:val="Comment Text Char"/>
    <w:basedOn w:val="DefaultParagraphFont"/>
    <w:link w:val="CommentText"/>
    <w:uiPriority w:val="99"/>
    <w:semiHidden/>
    <w:rsid w:val="003604EE"/>
    <w:rPr>
      <w:rFonts w:eastAsia="Times New Roman" w:cs="Times New Roman"/>
      <w:sz w:val="20"/>
      <w:szCs w:val="20"/>
      <w:lang w:eastAsia="lv-LV"/>
    </w:rPr>
  </w:style>
  <w:style w:type="paragraph" w:styleId="BalloonText">
    <w:name w:val="Balloon Text"/>
    <w:basedOn w:val="Normal"/>
    <w:link w:val="BalloonTextChar"/>
    <w:uiPriority w:val="99"/>
    <w:semiHidden/>
    <w:unhideWhenUsed/>
    <w:rsid w:val="00360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4EE"/>
    <w:rPr>
      <w:rFonts w:ascii="Segoe UI" w:eastAsia="Times New Roman" w:hAnsi="Segoe UI" w:cs="Segoe UI"/>
      <w:sz w:val="18"/>
      <w:szCs w:val="18"/>
      <w:lang w:val="en-AU" w:eastAsia="lv-LV"/>
    </w:rPr>
  </w:style>
  <w:style w:type="paragraph" w:styleId="CommentSubject">
    <w:name w:val="annotation subject"/>
    <w:basedOn w:val="CommentText"/>
    <w:next w:val="CommentText"/>
    <w:link w:val="CommentSubjectChar"/>
    <w:uiPriority w:val="99"/>
    <w:semiHidden/>
    <w:unhideWhenUsed/>
    <w:rsid w:val="00691199"/>
    <w:pPr>
      <w:widowControl w:val="0"/>
    </w:pPr>
    <w:rPr>
      <w:rFonts w:ascii="RimTimes" w:hAnsi="RimTimes"/>
      <w:b/>
      <w:bCs/>
      <w:lang w:val="en-AU"/>
    </w:rPr>
  </w:style>
  <w:style w:type="character" w:customStyle="1" w:styleId="CommentSubjectChar">
    <w:name w:val="Comment Subject Char"/>
    <w:basedOn w:val="CommentTextChar"/>
    <w:link w:val="CommentSubject"/>
    <w:uiPriority w:val="99"/>
    <w:semiHidden/>
    <w:rsid w:val="00691199"/>
    <w:rPr>
      <w:rFonts w:ascii="RimTimes" w:eastAsia="Times New Roman" w:hAnsi="RimTimes" w:cs="Times New Roman"/>
      <w:b/>
      <w:bCs/>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Cakst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FC6AD-BDBD-4845-ACF9-3B861B51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2793</Words>
  <Characters>1593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Likumprojekts</dc:subject>
  <dc:creator>Čakste Māra</dc:creator>
  <dc:description>67095645, Mara.Cakste@fm.gov.lv</dc:description>
  <cp:lastModifiedBy>Sprūģe Veronika</cp:lastModifiedBy>
  <cp:revision>12</cp:revision>
  <cp:lastPrinted>2013-09-12T10:57:00Z</cp:lastPrinted>
  <dcterms:created xsi:type="dcterms:W3CDTF">2013-09-05T06:17:00Z</dcterms:created>
  <dcterms:modified xsi:type="dcterms:W3CDTF">2013-09-16T13:04:00Z</dcterms:modified>
</cp:coreProperties>
</file>