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84FC6" w14:textId="791581A6" w:rsidR="00BA425A" w:rsidRPr="00493E64" w:rsidRDefault="00BA425A" w:rsidP="00BA425A">
      <w:pPr>
        <w:pStyle w:val="BodyText"/>
        <w:keepNext/>
        <w:tabs>
          <w:tab w:val="left" w:pos="6804"/>
        </w:tabs>
        <w:rPr>
          <w:rFonts w:ascii="Times New Roman" w:hAnsi="Times New Roman"/>
          <w:sz w:val="24"/>
        </w:rPr>
      </w:pPr>
      <w:bookmarkStart w:id="0" w:name="_GoBack"/>
      <w:bookmarkEnd w:id="0"/>
      <w:r w:rsidRPr="00493E64">
        <w:rPr>
          <w:rFonts w:ascii="Times New Roman" w:hAnsi="Times New Roman"/>
          <w:sz w:val="24"/>
        </w:rPr>
        <w:t>2013.gada</w:t>
      </w:r>
      <w:r w:rsidR="00094C4F" w:rsidRPr="00493E64">
        <w:rPr>
          <w:rFonts w:ascii="Times New Roman" w:hAnsi="Times New Roman"/>
          <w:sz w:val="24"/>
        </w:rPr>
        <w:t xml:space="preserve"> </w:t>
      </w:r>
      <w:r w:rsidRPr="00493E64">
        <w:rPr>
          <w:rFonts w:ascii="Times New Roman" w:hAnsi="Times New Roman"/>
          <w:sz w:val="24"/>
        </w:rPr>
        <w:tab/>
      </w:r>
      <w:r w:rsidRPr="00493E64">
        <w:rPr>
          <w:rFonts w:ascii="Times New Roman" w:hAnsi="Times New Roman"/>
          <w:sz w:val="24"/>
        </w:rPr>
        <w:tab/>
      </w:r>
      <w:r w:rsidRPr="00493E64">
        <w:rPr>
          <w:rFonts w:ascii="Times New Roman" w:hAnsi="Times New Roman"/>
          <w:sz w:val="24"/>
        </w:rPr>
        <w:tab/>
      </w:r>
      <w:r w:rsidRPr="00493E64">
        <w:rPr>
          <w:rFonts w:ascii="Times New Roman" w:hAnsi="Times New Roman"/>
          <w:sz w:val="24"/>
        </w:rPr>
        <w:tab/>
      </w:r>
      <w:r w:rsidR="00DD5EF9">
        <w:rPr>
          <w:rFonts w:ascii="Times New Roman" w:hAnsi="Times New Roman"/>
          <w:sz w:val="24"/>
        </w:rPr>
        <w:tab/>
      </w:r>
      <w:r w:rsidR="00DD5EF9">
        <w:rPr>
          <w:rFonts w:ascii="Times New Roman" w:hAnsi="Times New Roman"/>
          <w:sz w:val="24"/>
        </w:rPr>
        <w:tab/>
      </w:r>
      <w:r w:rsidR="00DD5EF9">
        <w:rPr>
          <w:rFonts w:ascii="Times New Roman" w:hAnsi="Times New Roman"/>
          <w:sz w:val="24"/>
        </w:rPr>
        <w:tab/>
        <w:t xml:space="preserve">        </w:t>
      </w:r>
      <w:r w:rsidRPr="00493E64">
        <w:rPr>
          <w:rFonts w:ascii="Times New Roman" w:hAnsi="Times New Roman"/>
          <w:sz w:val="24"/>
        </w:rPr>
        <w:t>Noteikumi Nr.</w:t>
      </w:r>
      <w:r w:rsidR="00094C4F" w:rsidRPr="00493E64">
        <w:rPr>
          <w:rFonts w:ascii="Times New Roman" w:hAnsi="Times New Roman"/>
          <w:sz w:val="24"/>
        </w:rPr>
        <w:t xml:space="preserve"> </w:t>
      </w:r>
    </w:p>
    <w:p w14:paraId="56391361" w14:textId="491BBD5B" w:rsidR="00BA425A" w:rsidRPr="00493E64" w:rsidRDefault="00BA425A" w:rsidP="00BA425A">
      <w:pPr>
        <w:keepNext/>
        <w:tabs>
          <w:tab w:val="left" w:pos="6804"/>
        </w:tabs>
        <w:rPr>
          <w:rFonts w:ascii="Times New Roman" w:hAnsi="Times New Roman"/>
          <w:color w:val="000000"/>
          <w:sz w:val="24"/>
          <w:szCs w:val="28"/>
        </w:rPr>
      </w:pPr>
      <w:r w:rsidRPr="00493E64">
        <w:rPr>
          <w:rFonts w:ascii="Times New Roman" w:hAnsi="Times New Roman"/>
          <w:color w:val="000000"/>
          <w:sz w:val="24"/>
          <w:szCs w:val="28"/>
        </w:rPr>
        <w:t>Rīgā</w:t>
      </w:r>
      <w:r w:rsidRPr="00493E64">
        <w:rPr>
          <w:rFonts w:ascii="Times New Roman" w:hAnsi="Times New Roman"/>
          <w:color w:val="000000"/>
          <w:sz w:val="24"/>
          <w:szCs w:val="28"/>
        </w:rPr>
        <w:tab/>
      </w:r>
      <w:r w:rsidR="00DD5EF9">
        <w:rPr>
          <w:rFonts w:ascii="Times New Roman" w:hAnsi="Times New Roman"/>
          <w:color w:val="000000"/>
          <w:sz w:val="24"/>
          <w:szCs w:val="28"/>
        </w:rPr>
        <w:t xml:space="preserve">               </w:t>
      </w:r>
      <w:r w:rsidRPr="00493E64">
        <w:rPr>
          <w:rFonts w:ascii="Times New Roman" w:hAnsi="Times New Roman"/>
          <w:color w:val="000000"/>
          <w:sz w:val="24"/>
          <w:szCs w:val="28"/>
        </w:rPr>
        <w:t>(prot.Nr. § )</w:t>
      </w:r>
    </w:p>
    <w:p w14:paraId="66A94FC5" w14:textId="77777777" w:rsidR="00D96EC0" w:rsidRDefault="00D96EC0" w:rsidP="00D96E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D96EC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Noteikumi par institucionālo sektoru klasifikāciju</w:t>
      </w:r>
    </w:p>
    <w:p w14:paraId="0866291D" w14:textId="77777777" w:rsidR="00BA425A" w:rsidRPr="00D96EC0" w:rsidRDefault="00BA425A" w:rsidP="00D96E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243EA44" w14:textId="77777777" w:rsidR="00D96EC0" w:rsidRPr="00D96EC0" w:rsidRDefault="00D96EC0" w:rsidP="0041675B">
      <w:pPr>
        <w:spacing w:after="0" w:line="240" w:lineRule="auto"/>
        <w:ind w:firstLine="375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Izdoti saskaņā ar</w:t>
      </w:r>
    </w:p>
    <w:p w14:paraId="3AAECAA9" w14:textId="5F337D7D" w:rsidR="00DD5EF9" w:rsidRDefault="00D96EC0" w:rsidP="00DD5E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Likuma par budžetu un</w:t>
      </w:r>
      <w:r w:rsidR="00DD5EF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 xml:space="preserve">finanšu vadību </w:t>
      </w:r>
    </w:p>
    <w:p w14:paraId="3197C512" w14:textId="5EA19B38" w:rsidR="00D96EC0" w:rsidRPr="00D96EC0" w:rsidRDefault="00D96EC0" w:rsidP="00D96E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DD5EF9">
        <w:rPr>
          <w:rFonts w:ascii="Times New Roman" w:eastAsia="Times New Roman" w:hAnsi="Times New Roman"/>
          <w:sz w:val="24"/>
          <w:szCs w:val="24"/>
          <w:lang w:eastAsia="lv-LV"/>
        </w:rPr>
        <w:t>11.panta 3.punktu</w:t>
      </w:r>
    </w:p>
    <w:p w14:paraId="26701669" w14:textId="77777777" w:rsidR="00D96EC0" w:rsidRPr="00D96EC0" w:rsidRDefault="00D96EC0" w:rsidP="00D96E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D96EC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75B0C7AF" w14:textId="77777777" w:rsidR="005859E8" w:rsidRPr="005859E8" w:rsidRDefault="00D96EC0" w:rsidP="00AD70B2">
      <w:pPr>
        <w:numPr>
          <w:ilvl w:val="0"/>
          <w:numId w:val="5"/>
        </w:numPr>
        <w:spacing w:before="75" w:after="75" w:line="240" w:lineRule="auto"/>
        <w:ind w:left="0" w:firstLine="37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859E8">
        <w:rPr>
          <w:rFonts w:ascii="Times New Roman" w:eastAsia="Times New Roman" w:hAnsi="Times New Roman"/>
          <w:sz w:val="24"/>
          <w:szCs w:val="24"/>
          <w:lang w:eastAsia="lv-LV"/>
        </w:rPr>
        <w:t>Noteikumi nosaka institucionālo sektoru klasifikāciju</w:t>
      </w:r>
      <w:r w:rsidR="00511DFC"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tekstā – klasifikācija)</w:t>
      </w:r>
      <w:r w:rsidRPr="005859E8">
        <w:rPr>
          <w:rFonts w:ascii="Times New Roman" w:eastAsia="Times New Roman" w:hAnsi="Times New Roman"/>
          <w:sz w:val="24"/>
          <w:szCs w:val="24"/>
          <w:lang w:eastAsia="lv-LV"/>
        </w:rPr>
        <w:t>, k</w:t>
      </w:r>
      <w:r w:rsidR="006F485A" w:rsidRPr="005859E8">
        <w:rPr>
          <w:rFonts w:ascii="Times New Roman" w:eastAsia="Times New Roman" w:hAnsi="Times New Roman"/>
          <w:sz w:val="24"/>
          <w:szCs w:val="24"/>
          <w:lang w:eastAsia="lv-LV"/>
        </w:rPr>
        <w:t>uru</w:t>
      </w:r>
      <w:r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 izmanto </w:t>
      </w:r>
      <w:r w:rsidR="002D3AF3" w:rsidRPr="005859E8">
        <w:rPr>
          <w:rFonts w:ascii="Times New Roman" w:eastAsia="Times New Roman" w:hAnsi="Times New Roman"/>
          <w:sz w:val="24"/>
          <w:szCs w:val="24"/>
          <w:lang w:eastAsia="lv-LV"/>
        </w:rPr>
        <w:t>normatīvajos aktos budžeta un finanšu vadības jomā noteikto budžetu uzskaitē (atbilstoši naudas p</w:t>
      </w:r>
      <w:r w:rsidR="00A075DB"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lūsmas un uzkrājuma principam), </w:t>
      </w:r>
      <w:r w:rsidR="002D3AF3" w:rsidRPr="005859E8">
        <w:rPr>
          <w:rFonts w:ascii="Times New Roman" w:eastAsia="Times New Roman" w:hAnsi="Times New Roman"/>
          <w:sz w:val="24"/>
          <w:szCs w:val="24"/>
          <w:lang w:eastAsia="lv-LV"/>
        </w:rPr>
        <w:t>pārskatu sagatavošanā</w:t>
      </w:r>
      <w:r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 un parāda uzskaitei.</w:t>
      </w:r>
    </w:p>
    <w:p w14:paraId="3F4CB586" w14:textId="19E97D83" w:rsidR="006F485A" w:rsidRPr="005859E8" w:rsidRDefault="00D7742F" w:rsidP="00AD70B2">
      <w:pPr>
        <w:numPr>
          <w:ilvl w:val="0"/>
          <w:numId w:val="5"/>
        </w:numPr>
        <w:spacing w:before="75" w:after="75" w:line="240" w:lineRule="auto"/>
        <w:ind w:left="0" w:firstLine="37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859E8">
        <w:rPr>
          <w:rFonts w:ascii="Times New Roman" w:eastAsia="Times New Roman" w:hAnsi="Times New Roman"/>
          <w:sz w:val="24"/>
          <w:szCs w:val="24"/>
          <w:lang w:eastAsia="lv-LV"/>
        </w:rPr>
        <w:t>Klasifikācija ir veidota saskaņā ar 2013.</w:t>
      </w:r>
      <w:r w:rsidR="00C6456D" w:rsidRPr="005859E8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5859E8">
        <w:rPr>
          <w:rFonts w:ascii="Times New Roman" w:eastAsia="Times New Roman" w:hAnsi="Times New Roman"/>
          <w:sz w:val="24"/>
          <w:szCs w:val="24"/>
          <w:lang w:eastAsia="lv-LV"/>
        </w:rPr>
        <w:t>gada 21.</w:t>
      </w:r>
      <w:r w:rsidR="00C6456D" w:rsidRPr="005859E8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maija Eiropas Parlamenta un Padomes </w:t>
      </w:r>
      <w:r w:rsidR="00914BD5" w:rsidRPr="005859E8">
        <w:rPr>
          <w:rFonts w:ascii="Times New Roman" w:eastAsia="Times New Roman" w:hAnsi="Times New Roman"/>
          <w:sz w:val="24"/>
          <w:szCs w:val="24"/>
          <w:lang w:eastAsia="lv-LV"/>
        </w:rPr>
        <w:t>R</w:t>
      </w:r>
      <w:r w:rsidRPr="005859E8">
        <w:rPr>
          <w:rFonts w:ascii="Times New Roman" w:eastAsia="Times New Roman" w:hAnsi="Times New Roman"/>
          <w:sz w:val="24"/>
          <w:szCs w:val="24"/>
          <w:lang w:eastAsia="lv-LV"/>
        </w:rPr>
        <w:t>egulu Nr. 549/2013 par Eiropas nacionālo un reģionālo kontu sistēmu Eiropas Savienībā</w:t>
      </w:r>
      <w:r w:rsidR="00F7229B"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</w:t>
      </w:r>
      <w:r w:rsidR="00FB6C28"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 tekstā </w:t>
      </w:r>
      <w:r w:rsidR="00F7229B" w:rsidRPr="005859E8">
        <w:rPr>
          <w:rFonts w:ascii="Times New Roman" w:eastAsia="Times New Roman" w:hAnsi="Times New Roman"/>
          <w:sz w:val="24"/>
          <w:szCs w:val="24"/>
          <w:lang w:eastAsia="lv-LV"/>
        </w:rPr>
        <w:t>- Regula)</w:t>
      </w:r>
      <w:r w:rsidR="003E1D8E"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296139" w:rsidRPr="005859E8">
        <w:rPr>
          <w:rFonts w:ascii="Times New Roman" w:eastAsia="Times New Roman" w:hAnsi="Times New Roman"/>
          <w:sz w:val="24"/>
          <w:szCs w:val="24"/>
          <w:lang w:eastAsia="lv-LV"/>
        </w:rPr>
        <w:t>normatīvajiem aktiem budžeta un finanšu vadības jomā.</w:t>
      </w:r>
      <w:r w:rsidR="00AE3DBE"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1CD794C0" w14:textId="1B514785" w:rsidR="006F485A" w:rsidRPr="00CA05FB" w:rsidRDefault="00AE3DBE" w:rsidP="00CA05FB">
      <w:pPr>
        <w:numPr>
          <w:ilvl w:val="0"/>
          <w:numId w:val="5"/>
        </w:numPr>
        <w:spacing w:before="75" w:after="75" w:line="240" w:lineRule="auto"/>
        <w:ind w:left="0" w:firstLine="37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859E8">
        <w:rPr>
          <w:rFonts w:ascii="Times New Roman" w:eastAsia="Times New Roman" w:hAnsi="Times New Roman"/>
          <w:sz w:val="24"/>
          <w:szCs w:val="24"/>
          <w:lang w:eastAsia="lv-LV"/>
        </w:rPr>
        <w:t>Normatīvajos aktos budžeta un finanšu vadības jomā noteiktās iestādes nodrošina klasifikācijas piemērošanu uzskaitē un pārskatu sagatavošanā</w:t>
      </w:r>
      <w:r w:rsidR="006F485A"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A05FB" w:rsidRPr="00CA05FB">
        <w:rPr>
          <w:rFonts w:ascii="Times New Roman" w:eastAsia="Times New Roman" w:hAnsi="Times New Roman"/>
          <w:sz w:val="24"/>
          <w:szCs w:val="24"/>
          <w:lang w:eastAsia="lv-LV"/>
        </w:rPr>
        <w:t>atbilstoši normatīvajiem aktiem par pārskatu sagatavošanu un iesniegšanu</w:t>
      </w:r>
      <w:r w:rsidRPr="00CA05FB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428D5FA" w14:textId="7455AA49" w:rsidR="00B412DF" w:rsidRDefault="00B8336A" w:rsidP="00AD70B2">
      <w:pPr>
        <w:numPr>
          <w:ilvl w:val="0"/>
          <w:numId w:val="5"/>
        </w:numPr>
        <w:spacing w:before="75" w:after="75" w:line="240" w:lineRule="auto"/>
        <w:ind w:left="0" w:firstLine="37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859E8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511DFC" w:rsidRPr="005859E8">
        <w:rPr>
          <w:rFonts w:ascii="Times New Roman" w:eastAsia="Times New Roman" w:hAnsi="Times New Roman"/>
          <w:sz w:val="24"/>
          <w:szCs w:val="24"/>
          <w:lang w:eastAsia="lv-LV"/>
        </w:rPr>
        <w:t>lasifikācija</w:t>
      </w:r>
      <w:r w:rsidR="00C6456D"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730DD" w:rsidRPr="005859E8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4D267E" w:rsidRPr="005859E8">
        <w:rPr>
          <w:rFonts w:ascii="Times New Roman" w:eastAsia="Times New Roman" w:hAnsi="Times New Roman"/>
          <w:sz w:val="24"/>
          <w:szCs w:val="24"/>
          <w:lang w:eastAsia="lv-LV"/>
        </w:rPr>
        <w:t>pielikums) sastāv no</w:t>
      </w:r>
      <w:r w:rsidR="00AE1C95"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 institucionāliem</w:t>
      </w:r>
      <w:r w:rsidR="004D267E"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 sektoriem</w:t>
      </w:r>
      <w:r w:rsidR="006C6430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tekstā</w:t>
      </w:r>
      <w:r w:rsidR="006C6430" w:rsidRPr="005859E8"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r w:rsidR="00AE1C95" w:rsidRPr="006F485A">
        <w:rPr>
          <w:rFonts w:ascii="Times New Roman" w:eastAsia="Times New Roman" w:hAnsi="Times New Roman"/>
          <w:sz w:val="24"/>
          <w:szCs w:val="24"/>
          <w:lang w:eastAsia="lv-LV"/>
        </w:rPr>
        <w:t>sektors)</w:t>
      </w:r>
      <w:r w:rsidR="00421A9D" w:rsidRPr="006F485A">
        <w:rPr>
          <w:rFonts w:ascii="Times New Roman" w:eastAsia="Times New Roman" w:hAnsi="Times New Roman"/>
          <w:sz w:val="24"/>
          <w:szCs w:val="24"/>
          <w:lang w:eastAsia="lv-LV"/>
        </w:rPr>
        <w:t>, apakšsektoriem</w:t>
      </w:r>
      <w:r w:rsidR="004D267E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7742F" w:rsidRPr="006F485A">
        <w:rPr>
          <w:rFonts w:ascii="Times New Roman" w:eastAsia="Times New Roman" w:hAnsi="Times New Roman"/>
          <w:sz w:val="24"/>
          <w:szCs w:val="24"/>
          <w:lang w:eastAsia="lv-LV"/>
        </w:rPr>
        <w:t>un atsevišķu apakšsektoru papildu dalījuma</w:t>
      </w:r>
      <w:r w:rsidR="004D267E" w:rsidRPr="006F485A">
        <w:rPr>
          <w:rFonts w:ascii="Times New Roman" w:eastAsia="Times New Roman" w:hAnsi="Times New Roman"/>
          <w:sz w:val="24"/>
          <w:szCs w:val="24"/>
          <w:lang w:eastAsia="lv-LV"/>
        </w:rPr>
        <w:t>, kuros grupē institucionālas vienības ar līdzīgām ekonomiskajām funkcijām un mērķiem atbilstoši to pamatdarbībai. Katra institucionālā vienība ir piederīga tikai vienam sektoram un apakšsektoram.</w:t>
      </w:r>
      <w:r w:rsidR="006B3C52" w:rsidRPr="006F485A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ABD217F" w14:textId="5AD1BA64" w:rsidR="00E37798" w:rsidRPr="00E37798" w:rsidRDefault="00B8336A" w:rsidP="00E37798">
      <w:pPr>
        <w:numPr>
          <w:ilvl w:val="0"/>
          <w:numId w:val="5"/>
        </w:numPr>
        <w:spacing w:before="75" w:after="75" w:line="240" w:lineRule="auto"/>
        <w:ind w:left="0" w:firstLine="37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1" w:name="_Ref370219342"/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511DFC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lasifikācijai izmanto </w:t>
      </w:r>
      <w:r w:rsidR="002F1E76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septiņu </w:t>
      </w:r>
      <w:r w:rsidR="00511DFC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zīmju kodu </w:t>
      </w:r>
      <w:r w:rsidR="000730DD" w:rsidRPr="006F485A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511DFC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pielikums). Klasifikācijas kods </w:t>
      </w:r>
      <w:r w:rsidR="00D7742F" w:rsidRPr="006F485A">
        <w:rPr>
          <w:rFonts w:ascii="Times New Roman" w:eastAsia="Times New Roman" w:hAnsi="Times New Roman"/>
          <w:sz w:val="24"/>
          <w:szCs w:val="24"/>
          <w:lang w:eastAsia="lv-LV"/>
        </w:rPr>
        <w:t>parāda</w:t>
      </w:r>
      <w:r w:rsidR="00511DFC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institucionālās vienības piederību rezidentiem, nerezidentiem, valstu grupai, sektoram, tā apakšsektoram un papildu dalījumam.</w:t>
      </w:r>
      <w:bookmarkEnd w:id="1"/>
    </w:p>
    <w:p w14:paraId="12B50F3C" w14:textId="76EB6E24" w:rsidR="006B01D5" w:rsidRPr="006B01D5" w:rsidRDefault="00D7742F" w:rsidP="006B01D5">
      <w:pPr>
        <w:numPr>
          <w:ilvl w:val="0"/>
          <w:numId w:val="5"/>
        </w:numPr>
        <w:spacing w:before="75" w:after="75" w:line="240" w:lineRule="auto"/>
        <w:ind w:left="0" w:firstLine="37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2" w:name="bkm0"/>
      <w:bookmarkStart w:id="3" w:name="_Ref370219204"/>
      <w:bookmarkEnd w:id="2"/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>Latvijas Republikas</w:t>
      </w:r>
      <w:r w:rsidR="00F7229B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4832F5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Centrālā statistikas pārvalde </w:t>
      </w:r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(turpmāk tekstā – Centrālā statistikas pārvalde) </w:t>
      </w:r>
      <w:r w:rsidR="000974E4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sagatavo </w:t>
      </w:r>
      <w:r w:rsidR="00D34C91" w:rsidRPr="006F485A">
        <w:rPr>
          <w:rFonts w:ascii="Times New Roman" w:eastAsia="Times New Roman" w:hAnsi="Times New Roman"/>
          <w:sz w:val="24"/>
          <w:szCs w:val="24"/>
          <w:lang w:eastAsia="lv-LV"/>
        </w:rPr>
        <w:t>un</w:t>
      </w:r>
      <w:r w:rsidR="000974E4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uztur </w:t>
      </w:r>
      <w:r w:rsidR="00D34C91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rezidentu </w:t>
      </w:r>
      <w:r w:rsidR="00D91834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sektorā </w:t>
      </w:r>
      <w:r w:rsidR="002B4CFC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S120000 "Finanšu sabiedrības", S130000 "Vispārējā valdība" un S150000 "Mājsaimniecības apkalpojošās bezpeļņas organizācijas" </w:t>
      </w:r>
      <w:r w:rsidR="00D91834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iekļauto institucionālo vienību </w:t>
      </w:r>
      <w:r w:rsidR="002B4CFC" w:rsidRPr="006F485A">
        <w:rPr>
          <w:rFonts w:ascii="Times New Roman" w:eastAsia="Times New Roman" w:hAnsi="Times New Roman"/>
          <w:sz w:val="24"/>
          <w:szCs w:val="24"/>
          <w:lang w:eastAsia="lv-LV"/>
        </w:rPr>
        <w:t>sarakstus, norādot institucionālajām vienībām piešķirtā klasifikācijas koda pirmās sešas zīmes</w:t>
      </w:r>
      <w:r w:rsidR="003466F3" w:rsidRPr="006F485A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bookmarkEnd w:id="3"/>
    </w:p>
    <w:p w14:paraId="02F3FDB8" w14:textId="47C9CA83" w:rsidR="006F485A" w:rsidRDefault="00403680" w:rsidP="00AD70B2">
      <w:pPr>
        <w:numPr>
          <w:ilvl w:val="0"/>
          <w:numId w:val="5"/>
        </w:numPr>
        <w:spacing w:before="75" w:after="75" w:line="240" w:lineRule="auto"/>
        <w:ind w:left="0" w:firstLine="37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4" w:name="_Ref370219298"/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Centrālā statistikas pārvalde </w:t>
      </w:r>
      <w:r w:rsidR="0057454B" w:rsidRPr="006F485A">
        <w:rPr>
          <w:rFonts w:ascii="Times New Roman" w:eastAsia="Times New Roman" w:hAnsi="Times New Roman"/>
          <w:sz w:val="24"/>
          <w:szCs w:val="24"/>
          <w:lang w:eastAsia="lv-LV"/>
        </w:rPr>
        <w:t>savā tīmekļa vietnē publicētos</w:t>
      </w:r>
      <w:r w:rsidR="00B8336A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412DF" w:rsidRPr="00B412DF">
        <w:rPr>
          <w:rFonts w:ascii="Times New Roman" w:eastAsia="Times New Roman" w:hAnsi="Times New Roman"/>
          <w:sz w:val="24"/>
          <w:szCs w:val="24"/>
          <w:lang w:eastAsia="lv-LV"/>
        </w:rPr>
        <w:t>šo noteikumu</w:t>
      </w:r>
      <w:r w:rsidR="00B412D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37798">
        <w:rPr>
          <w:rFonts w:ascii="Times New Roman" w:eastAsia="Times New Roman" w:hAnsi="Times New Roman"/>
          <w:sz w:val="24"/>
          <w:szCs w:val="24"/>
          <w:lang w:eastAsia="lv-LV"/>
        </w:rPr>
        <w:fldChar w:fldCharType="begin"/>
      </w:r>
      <w:r w:rsidR="00E37798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REF _Ref370219204 \r \h </w:instrText>
      </w:r>
      <w:r w:rsidR="00E37798">
        <w:rPr>
          <w:rFonts w:ascii="Times New Roman" w:eastAsia="Times New Roman" w:hAnsi="Times New Roman"/>
          <w:sz w:val="24"/>
          <w:szCs w:val="24"/>
          <w:lang w:eastAsia="lv-LV"/>
        </w:rPr>
      </w:r>
      <w:r w:rsidR="00E37798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7378A0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E37798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E37798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B8336A" w:rsidRPr="006F485A">
        <w:rPr>
          <w:rFonts w:ascii="Times New Roman" w:eastAsia="Times New Roman" w:hAnsi="Times New Roman"/>
          <w:sz w:val="24"/>
          <w:szCs w:val="24"/>
          <w:lang w:eastAsia="lv-LV"/>
        </w:rPr>
        <w:t>punktā minētos sarakstus aktualizē</w:t>
      </w:r>
      <w:r w:rsidR="00D7742F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šādos termiņos</w:t>
      </w:r>
      <w:r w:rsidR="0057454B" w:rsidRPr="006F485A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bookmarkEnd w:id="4"/>
    </w:p>
    <w:p w14:paraId="5B984164" w14:textId="3AFF218D" w:rsidR="006F485A" w:rsidRDefault="00D7742F" w:rsidP="00D94A15">
      <w:pPr>
        <w:numPr>
          <w:ilvl w:val="1"/>
          <w:numId w:val="5"/>
        </w:num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>četras reizes gadā līdz 1</w:t>
      </w:r>
      <w:r w:rsidR="00385F41" w:rsidRPr="006F485A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317E71" w:rsidRPr="006F485A">
        <w:rPr>
          <w:rFonts w:ascii="Times New Roman" w:eastAsia="Times New Roman" w:hAnsi="Times New Roman"/>
          <w:sz w:val="24"/>
          <w:szCs w:val="24"/>
          <w:lang w:eastAsia="lv-LV"/>
        </w:rPr>
        <w:t> janvārim, 1</w:t>
      </w:r>
      <w:r w:rsidR="00385F41" w:rsidRPr="006F485A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317E71" w:rsidRPr="006F485A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>aprīlim, 1</w:t>
      </w:r>
      <w:r w:rsidR="00385F41" w:rsidRPr="006F485A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317E71" w:rsidRPr="006F485A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>jūlijam un 1</w:t>
      </w:r>
      <w:r w:rsidR="00385F41" w:rsidRPr="006F485A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317E71" w:rsidRPr="006F485A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>oktobrim –</w:t>
      </w:r>
      <w:r w:rsidR="00784BB3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80F5F" w:rsidRPr="006F485A">
        <w:rPr>
          <w:rFonts w:ascii="Times New Roman" w:eastAsia="Times New Roman" w:hAnsi="Times New Roman"/>
          <w:sz w:val="24"/>
          <w:szCs w:val="24"/>
          <w:lang w:eastAsia="lv-LV"/>
        </w:rPr>
        <w:t>sektor</w:t>
      </w:r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C80F5F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S120000 "Finanšu sabiedrības" un S130000 "Vispārējā valdība" </w:t>
      </w:r>
      <w:r w:rsidR="00403680" w:rsidRPr="006F485A">
        <w:rPr>
          <w:rFonts w:ascii="Times New Roman" w:eastAsia="Times New Roman" w:hAnsi="Times New Roman"/>
          <w:sz w:val="24"/>
          <w:szCs w:val="24"/>
          <w:lang w:eastAsia="lv-LV"/>
        </w:rPr>
        <w:t>sarakstus</w:t>
      </w:r>
      <w:r w:rsidR="00D81C2B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14:paraId="79730B7F" w14:textId="7B11922F" w:rsidR="006F485A" w:rsidRPr="006F485A" w:rsidRDefault="00B8336A" w:rsidP="00D94A15">
      <w:pPr>
        <w:numPr>
          <w:ilvl w:val="1"/>
          <w:numId w:val="5"/>
        </w:num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>vienu reizi gadā līdz 15.</w:t>
      </w:r>
      <w:r w:rsidR="00317E71" w:rsidRPr="006F485A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janvārim </w:t>
      </w:r>
      <w:r w:rsidR="00BB16A9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sektora </w:t>
      </w:r>
      <w:r w:rsidR="00C80F5F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S150000 "Mājsaimniecības apkalpojošās bezpeļņas organizācijas" </w:t>
      </w:r>
      <w:r w:rsidR="00BB16A9" w:rsidRPr="006F485A">
        <w:rPr>
          <w:rFonts w:ascii="Times New Roman" w:eastAsia="Times New Roman" w:hAnsi="Times New Roman"/>
          <w:sz w:val="24"/>
          <w:szCs w:val="24"/>
          <w:lang w:eastAsia="lv-LV"/>
        </w:rPr>
        <w:t>sarakstu</w:t>
      </w:r>
      <w:r w:rsidR="0004294E" w:rsidRPr="006F485A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42582DC" w14:textId="58475D04" w:rsidR="006F485A" w:rsidRPr="008537E6" w:rsidRDefault="005E1C82" w:rsidP="00124019">
      <w:pPr>
        <w:numPr>
          <w:ilvl w:val="0"/>
          <w:numId w:val="5"/>
        </w:numPr>
        <w:spacing w:before="75" w:after="75" w:line="240" w:lineRule="auto"/>
        <w:ind w:left="0" w:firstLine="37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8537E6">
        <w:rPr>
          <w:rFonts w:ascii="Times New Roman" w:eastAsia="Times New Roman" w:hAnsi="Times New Roman"/>
          <w:sz w:val="24"/>
          <w:szCs w:val="24"/>
          <w:lang w:eastAsia="lv-LV"/>
        </w:rPr>
        <w:t>Finanšu ministrija savā tīmekļa vietnē publicē kla</w:t>
      </w:r>
      <w:r w:rsidR="00876892" w:rsidRPr="008537E6">
        <w:rPr>
          <w:rFonts w:ascii="Times New Roman" w:eastAsia="Times New Roman" w:hAnsi="Times New Roman"/>
          <w:sz w:val="24"/>
          <w:szCs w:val="24"/>
          <w:lang w:eastAsia="lv-LV"/>
        </w:rPr>
        <w:t xml:space="preserve">sifikācijas terminu skaidrojumu, </w:t>
      </w:r>
      <w:r w:rsidR="00124019" w:rsidRPr="008537E6">
        <w:rPr>
          <w:rFonts w:ascii="Times New Roman" w:eastAsia="Times New Roman" w:hAnsi="Times New Roman"/>
          <w:sz w:val="24"/>
          <w:szCs w:val="24"/>
          <w:lang w:eastAsia="lv-LV"/>
        </w:rPr>
        <w:t>kā arī</w:t>
      </w:r>
      <w:r w:rsidR="00876892" w:rsidRPr="008537E6">
        <w:rPr>
          <w:rFonts w:ascii="Times New Roman" w:eastAsia="Times New Roman" w:hAnsi="Times New Roman"/>
          <w:sz w:val="24"/>
          <w:szCs w:val="24"/>
          <w:lang w:eastAsia="lv-LV"/>
        </w:rPr>
        <w:t xml:space="preserve"> nodrošina viena mēneša laikā sektorā S130000 "Vispārējā valdība" iekļauto terminu skaidrojumu izmaiņu aktualizāciju atbilstoši normatīvajos aktos budžeta un finanšu vadības jomā noteiktajiem terminiem.</w:t>
      </w:r>
    </w:p>
    <w:p w14:paraId="373955E1" w14:textId="45702898" w:rsidR="006F485A" w:rsidRDefault="00C50F8F" w:rsidP="00AD70B2">
      <w:pPr>
        <w:numPr>
          <w:ilvl w:val="0"/>
          <w:numId w:val="5"/>
        </w:numPr>
        <w:spacing w:before="75" w:after="75" w:line="240" w:lineRule="auto"/>
        <w:ind w:left="0" w:firstLine="37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F485A">
        <w:rPr>
          <w:rFonts w:ascii="Times New Roman" w:eastAsia="Times New Roman" w:hAnsi="Times New Roman"/>
          <w:sz w:val="24"/>
          <w:szCs w:val="24"/>
          <w:lang w:eastAsia="lv-LV"/>
        </w:rPr>
        <w:t>Lai nodrošinātu informācijas sistematizēšanu, apkopošanu, analīzi un pārskatu sagatavošanu,</w:t>
      </w:r>
      <w:r w:rsidR="00511DFC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uzskaites veicējs nosaka katra</w:t>
      </w:r>
      <w:r w:rsidR="002C2313" w:rsidRPr="006F485A">
        <w:rPr>
          <w:rFonts w:ascii="Times New Roman" w:eastAsia="Times New Roman" w:hAnsi="Times New Roman"/>
          <w:sz w:val="24"/>
          <w:szCs w:val="24"/>
          <w:lang w:eastAsia="lv-LV"/>
        </w:rPr>
        <w:t>s institucionālās vienības, kas ir</w:t>
      </w:r>
      <w:r w:rsidR="00511DFC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C2313" w:rsidRPr="006F485A">
        <w:rPr>
          <w:rFonts w:ascii="Times New Roman" w:eastAsia="Times New Roman" w:hAnsi="Times New Roman"/>
          <w:sz w:val="24"/>
          <w:szCs w:val="24"/>
          <w:lang w:eastAsia="lv-LV"/>
        </w:rPr>
        <w:t>rezidents,</w:t>
      </w:r>
      <w:r w:rsidR="00511DFC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piederību ko</w:t>
      </w:r>
      <w:r w:rsidR="00317E71" w:rsidRPr="006F485A">
        <w:rPr>
          <w:rFonts w:ascii="Times New Roman" w:eastAsia="Times New Roman" w:hAnsi="Times New Roman"/>
          <w:sz w:val="24"/>
          <w:szCs w:val="24"/>
          <w:lang w:eastAsia="lv-LV"/>
        </w:rPr>
        <w:t>nkrētam sekto</w:t>
      </w:r>
      <w:r w:rsidR="00511DFC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ram, izmantojot </w:t>
      </w:r>
      <w:r w:rsidR="00B412DF" w:rsidRPr="00B412DF">
        <w:rPr>
          <w:rFonts w:ascii="Times New Roman" w:eastAsia="Times New Roman" w:hAnsi="Times New Roman"/>
          <w:sz w:val="24"/>
          <w:szCs w:val="24"/>
          <w:lang w:eastAsia="lv-LV"/>
        </w:rPr>
        <w:t>šo noteikumu</w:t>
      </w:r>
      <w:r w:rsidR="00B412D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A20DC">
        <w:rPr>
          <w:rFonts w:ascii="Times New Roman" w:eastAsia="Times New Roman" w:hAnsi="Times New Roman"/>
          <w:sz w:val="24"/>
          <w:szCs w:val="24"/>
          <w:lang w:eastAsia="lv-LV"/>
        </w:rPr>
        <w:fldChar w:fldCharType="begin"/>
      </w:r>
      <w:r w:rsidR="00EA20DC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REF _Ref370219204 \r \h </w:instrText>
      </w:r>
      <w:r w:rsidR="00EA20DC">
        <w:rPr>
          <w:rFonts w:ascii="Times New Roman" w:eastAsia="Times New Roman" w:hAnsi="Times New Roman"/>
          <w:sz w:val="24"/>
          <w:szCs w:val="24"/>
          <w:lang w:eastAsia="lv-LV"/>
        </w:rPr>
      </w:r>
      <w:r w:rsidR="00EA20DC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7378A0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="00EA20DC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511DFC" w:rsidRPr="006F485A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317E71" w:rsidRPr="006F485A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511DFC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punktā minētos sarakstus. </w:t>
      </w:r>
      <w:r w:rsidR="002D581D" w:rsidRPr="006F485A">
        <w:rPr>
          <w:rFonts w:ascii="Times New Roman" w:eastAsia="Times New Roman" w:hAnsi="Times New Roman"/>
          <w:sz w:val="24"/>
          <w:szCs w:val="24"/>
          <w:lang w:eastAsia="lv-LV"/>
        </w:rPr>
        <w:t>Gadījumos, kad</w:t>
      </w:r>
      <w:r w:rsidR="002C2313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institucionālā vienība, kas ir</w:t>
      </w:r>
      <w:r w:rsidR="002D581D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rezidents</w:t>
      </w:r>
      <w:r w:rsidR="002C2313" w:rsidRPr="006F485A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2D581D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nav identificējams publicē</w:t>
      </w:r>
      <w:r w:rsidR="00B412DF">
        <w:rPr>
          <w:rFonts w:ascii="Times New Roman" w:eastAsia="Times New Roman" w:hAnsi="Times New Roman"/>
          <w:sz w:val="24"/>
          <w:szCs w:val="24"/>
          <w:lang w:eastAsia="lv-LV"/>
        </w:rPr>
        <w:t xml:space="preserve">tajos sarakstos, to saskaņā ar </w:t>
      </w:r>
      <w:r w:rsidR="00B412DF" w:rsidRPr="00B412DF">
        <w:rPr>
          <w:rFonts w:ascii="Times New Roman" w:eastAsia="Times New Roman" w:hAnsi="Times New Roman"/>
          <w:sz w:val="24"/>
          <w:szCs w:val="24"/>
          <w:lang w:eastAsia="lv-LV"/>
        </w:rPr>
        <w:t>šo noteikumu</w:t>
      </w:r>
      <w:r w:rsidR="00B412D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B01D5">
        <w:rPr>
          <w:rFonts w:ascii="Times New Roman" w:eastAsia="Times New Roman" w:hAnsi="Times New Roman"/>
          <w:sz w:val="24"/>
          <w:szCs w:val="24"/>
          <w:lang w:eastAsia="lv-LV"/>
        </w:rPr>
        <w:fldChar w:fldCharType="begin"/>
      </w:r>
      <w:r w:rsidR="006B01D5">
        <w:rPr>
          <w:rFonts w:ascii="Times New Roman" w:eastAsia="Times New Roman" w:hAnsi="Times New Roman"/>
          <w:sz w:val="24"/>
          <w:szCs w:val="24"/>
          <w:lang w:eastAsia="lv-LV"/>
        </w:rPr>
        <w:instrText xml:space="preserve"> REF _Ref370219342 \r \h </w:instrText>
      </w:r>
      <w:r w:rsidR="006B01D5">
        <w:rPr>
          <w:rFonts w:ascii="Times New Roman" w:eastAsia="Times New Roman" w:hAnsi="Times New Roman"/>
          <w:sz w:val="24"/>
          <w:szCs w:val="24"/>
          <w:lang w:eastAsia="lv-LV"/>
        </w:rPr>
      </w:r>
      <w:r w:rsidR="006B01D5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="007378A0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6B01D5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="002D581D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.punktā </w:t>
      </w:r>
      <w:r w:rsidR="000F6EAF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un Regulā </w:t>
      </w:r>
      <w:r w:rsidR="002D581D" w:rsidRPr="006F485A">
        <w:rPr>
          <w:rFonts w:ascii="Times New Roman" w:eastAsia="Times New Roman" w:hAnsi="Times New Roman"/>
          <w:sz w:val="24"/>
          <w:szCs w:val="24"/>
          <w:lang w:eastAsia="lv-LV"/>
        </w:rPr>
        <w:t>noteiktajiem principiem klasificē sektorā S110000 „Nefinanšu sabiedrības” vai S140000 „Mājsaimniecības”.</w:t>
      </w:r>
    </w:p>
    <w:p w14:paraId="63DDB5E9" w14:textId="0CF29DC6" w:rsidR="006F485A" w:rsidRDefault="004D7AD3" w:rsidP="00AD70B2">
      <w:pPr>
        <w:numPr>
          <w:ilvl w:val="0"/>
          <w:numId w:val="5"/>
        </w:numPr>
        <w:spacing w:before="75" w:after="75" w:line="240" w:lineRule="auto"/>
        <w:ind w:left="0" w:firstLine="37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D7AD3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Atzīt par</w:t>
      </w:r>
      <w:r w:rsidR="006B3C52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spēku zaudē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jušiem</w:t>
      </w:r>
      <w:r w:rsidR="006B3C52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2005.</w:t>
      </w:r>
      <w:r w:rsidR="00317E71" w:rsidRPr="006F485A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B3C52" w:rsidRPr="006F485A">
        <w:rPr>
          <w:rFonts w:ascii="Times New Roman" w:eastAsia="Times New Roman" w:hAnsi="Times New Roman"/>
          <w:sz w:val="24"/>
          <w:szCs w:val="24"/>
          <w:lang w:eastAsia="lv-LV"/>
        </w:rPr>
        <w:t>gada 25.</w:t>
      </w:r>
      <w:r w:rsidR="00317E71" w:rsidRPr="006F485A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oktobra noteikumus</w:t>
      </w:r>
      <w:r w:rsidR="006B3C52" w:rsidRPr="006F485A">
        <w:rPr>
          <w:rFonts w:ascii="Times New Roman" w:eastAsia="Times New Roman" w:hAnsi="Times New Roman"/>
          <w:sz w:val="24"/>
          <w:szCs w:val="24"/>
          <w:lang w:eastAsia="lv-LV"/>
        </w:rPr>
        <w:t xml:space="preserve"> Nr. 810 „Noteikumi par institucionālo sektoru klasifikāciju” (Latvijas Vēstnesis, 2005, 173.nr.; 2007, 153.nr.; 2010, 144.nr.).</w:t>
      </w:r>
    </w:p>
    <w:p w14:paraId="0D1BAB50" w14:textId="77777777" w:rsidR="008006A3" w:rsidRDefault="005666F9" w:rsidP="00AD70B2">
      <w:pPr>
        <w:numPr>
          <w:ilvl w:val="0"/>
          <w:numId w:val="5"/>
        </w:numPr>
        <w:spacing w:before="75" w:after="75" w:line="240" w:lineRule="auto"/>
        <w:ind w:left="0" w:firstLine="375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412DF">
        <w:rPr>
          <w:rFonts w:ascii="Times New Roman" w:eastAsia="Times New Roman" w:hAnsi="Times New Roman"/>
          <w:sz w:val="24"/>
          <w:szCs w:val="24"/>
          <w:lang w:eastAsia="lv-LV"/>
        </w:rPr>
        <w:t>Noteikumi stājas spēkā 2014.</w:t>
      </w:r>
      <w:r w:rsidR="006B3C52" w:rsidRPr="00B412DF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B412DF">
        <w:rPr>
          <w:rFonts w:ascii="Times New Roman" w:eastAsia="Times New Roman" w:hAnsi="Times New Roman"/>
          <w:sz w:val="24"/>
          <w:szCs w:val="24"/>
          <w:lang w:eastAsia="lv-LV"/>
        </w:rPr>
        <w:t>gada 1.</w:t>
      </w:r>
      <w:r w:rsidR="006B3C52" w:rsidRPr="00B412DF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EA20DC">
        <w:rPr>
          <w:rFonts w:ascii="Times New Roman" w:eastAsia="Times New Roman" w:hAnsi="Times New Roman"/>
          <w:sz w:val="24"/>
          <w:szCs w:val="24"/>
          <w:lang w:eastAsia="lv-LV"/>
        </w:rPr>
        <w:t>j</w:t>
      </w:r>
      <w:r w:rsidRPr="00B412DF">
        <w:rPr>
          <w:rFonts w:ascii="Times New Roman" w:eastAsia="Times New Roman" w:hAnsi="Times New Roman"/>
          <w:sz w:val="24"/>
          <w:szCs w:val="24"/>
          <w:lang w:eastAsia="lv-LV"/>
        </w:rPr>
        <w:t>anv</w:t>
      </w:r>
      <w:r w:rsidR="00FD008A" w:rsidRPr="00B412DF">
        <w:rPr>
          <w:rFonts w:ascii="Times New Roman" w:eastAsia="Times New Roman" w:hAnsi="Times New Roman"/>
          <w:sz w:val="24"/>
          <w:szCs w:val="24"/>
          <w:lang w:eastAsia="lv-LV"/>
        </w:rPr>
        <w:t>ār</w:t>
      </w:r>
      <w:r w:rsidR="00CB3CA9" w:rsidRPr="00B412DF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bookmarkStart w:id="5" w:name="bkm3"/>
      <w:r w:rsidR="00EA20DC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68F2452C" w14:textId="77777777" w:rsidR="008006A3" w:rsidRDefault="008006A3" w:rsidP="008006A3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53F82D5" w14:textId="77777777" w:rsidR="008006A3" w:rsidRDefault="008006A3" w:rsidP="008006A3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C8B0638" w14:textId="77777777" w:rsidR="008006A3" w:rsidRDefault="008006A3" w:rsidP="008006A3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C7A8894" w14:textId="77777777" w:rsidR="008006A3" w:rsidRDefault="008006A3" w:rsidP="008006A3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CC50DF7" w14:textId="77777777" w:rsidR="008006A3" w:rsidRDefault="008006A3" w:rsidP="008006A3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EB58F3B" w14:textId="77777777" w:rsidR="008006A3" w:rsidRDefault="008006A3" w:rsidP="008006A3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154AB23" w14:textId="77777777" w:rsidR="008006A3" w:rsidRPr="00646E6D" w:rsidRDefault="008006A3" w:rsidP="008006A3">
      <w:pPr>
        <w:rPr>
          <w:rFonts w:ascii="Times New Roman" w:eastAsia="Times New Roman" w:hAnsi="Times New Roman"/>
          <w:sz w:val="24"/>
          <w:szCs w:val="28"/>
          <w:lang w:eastAsia="lv-LV"/>
        </w:rPr>
      </w:pP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>Finanšu ministrs</w:t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</w:r>
      <w:r w:rsidRPr="00646E6D">
        <w:rPr>
          <w:rFonts w:ascii="Times New Roman" w:eastAsia="Times New Roman" w:hAnsi="Times New Roman"/>
          <w:sz w:val="24"/>
          <w:szCs w:val="28"/>
          <w:lang w:eastAsia="lv-LV"/>
        </w:rPr>
        <w:tab/>
        <w:t xml:space="preserve">  A.Vilks</w:t>
      </w:r>
    </w:p>
    <w:p w14:paraId="183624C0" w14:textId="77777777" w:rsidR="008006A3" w:rsidRPr="00646E6D" w:rsidRDefault="008006A3" w:rsidP="008006A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702C94B7" w14:textId="77777777" w:rsidR="008006A3" w:rsidRPr="00646E6D" w:rsidRDefault="008006A3" w:rsidP="008006A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79522ECE" w14:textId="77777777" w:rsidR="008006A3" w:rsidRPr="00646E6D" w:rsidRDefault="008006A3" w:rsidP="008006A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60DA9EA1" w14:textId="77777777" w:rsidR="008006A3" w:rsidRPr="00646E6D" w:rsidRDefault="008006A3" w:rsidP="008006A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3E0461D4" w14:textId="77777777" w:rsidR="008006A3" w:rsidRPr="00646E6D" w:rsidRDefault="008006A3" w:rsidP="008006A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4929C59A" w14:textId="77777777" w:rsidR="008006A3" w:rsidRPr="00646E6D" w:rsidRDefault="008006A3" w:rsidP="008006A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628E78A3" w14:textId="2B033BE8" w:rsidR="008006A3" w:rsidRPr="00646E6D" w:rsidRDefault="00451528" w:rsidP="008006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</w:t>
      </w:r>
      <w:r w:rsidR="008006A3" w:rsidRPr="00646E6D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>2</w:t>
      </w:r>
      <w:r w:rsidR="008006A3" w:rsidRPr="00646E6D">
        <w:rPr>
          <w:rFonts w:ascii="Times New Roman" w:hAnsi="Times New Roman"/>
          <w:sz w:val="20"/>
          <w:szCs w:val="20"/>
        </w:rPr>
        <w:t xml:space="preserve">.2013 </w:t>
      </w:r>
      <w:r w:rsidR="008006A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 w:rsidR="008006A3" w:rsidRPr="00646E6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2</w:t>
      </w:r>
      <w:r w:rsidR="008006A3" w:rsidRPr="00646E6D">
        <w:rPr>
          <w:rFonts w:ascii="Times New Roman" w:hAnsi="Times New Roman"/>
          <w:sz w:val="20"/>
          <w:szCs w:val="20"/>
        </w:rPr>
        <w:t>0</w:t>
      </w:r>
    </w:p>
    <w:p w14:paraId="0EB7014D" w14:textId="46614269" w:rsidR="008006A3" w:rsidRPr="00646E6D" w:rsidRDefault="00D329D6" w:rsidP="008006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412</w:t>
      </w:r>
    </w:p>
    <w:p w14:paraId="1DB992A9" w14:textId="77777777" w:rsidR="008006A3" w:rsidRPr="00646E6D" w:rsidRDefault="008006A3" w:rsidP="008006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Ozoliņa</w:t>
      </w:r>
    </w:p>
    <w:p w14:paraId="733C0CE5" w14:textId="77777777" w:rsidR="008006A3" w:rsidRPr="001D1F13" w:rsidRDefault="008006A3" w:rsidP="008006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67083823</w:t>
      </w:r>
      <w:r w:rsidRPr="00646E6D"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t>Liga.Ozoliņa@fm.gov.lv</w:t>
      </w:r>
    </w:p>
    <w:p w14:paraId="61C7B389" w14:textId="77777777" w:rsidR="008006A3" w:rsidRPr="001D1F13" w:rsidRDefault="008006A3" w:rsidP="008006A3">
      <w:pPr>
        <w:rPr>
          <w:sz w:val="20"/>
          <w:szCs w:val="20"/>
        </w:rPr>
      </w:pPr>
    </w:p>
    <w:bookmarkEnd w:id="5"/>
    <w:p w14:paraId="0F663F9F" w14:textId="36447D63" w:rsidR="00CA0055" w:rsidRPr="00B412DF" w:rsidRDefault="00CA0055" w:rsidP="008006A3">
      <w:pPr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CA0055" w:rsidRPr="00B412DF" w:rsidSect="00FF2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FF3D1" w14:textId="77777777" w:rsidR="0026059D" w:rsidRDefault="0026059D" w:rsidP="00D96EC0">
      <w:pPr>
        <w:spacing w:after="0" w:line="240" w:lineRule="auto"/>
      </w:pPr>
      <w:r>
        <w:separator/>
      </w:r>
    </w:p>
    <w:p w14:paraId="03195AB8" w14:textId="77777777" w:rsidR="0026059D" w:rsidRDefault="0026059D"/>
  </w:endnote>
  <w:endnote w:type="continuationSeparator" w:id="0">
    <w:p w14:paraId="3C7B95DD" w14:textId="77777777" w:rsidR="0026059D" w:rsidRDefault="0026059D" w:rsidP="00D96EC0">
      <w:pPr>
        <w:spacing w:after="0" w:line="240" w:lineRule="auto"/>
      </w:pPr>
      <w:r>
        <w:continuationSeparator/>
      </w:r>
    </w:p>
    <w:p w14:paraId="6C311F6A" w14:textId="77777777" w:rsidR="0026059D" w:rsidRDefault="0026059D"/>
  </w:endnote>
  <w:endnote w:type="continuationNotice" w:id="1">
    <w:p w14:paraId="15E8A5F8" w14:textId="77777777" w:rsidR="0026059D" w:rsidRDefault="0026059D">
      <w:pPr>
        <w:spacing w:after="0" w:line="240" w:lineRule="auto"/>
      </w:pPr>
    </w:p>
    <w:p w14:paraId="1933CA00" w14:textId="77777777" w:rsidR="0026059D" w:rsidRDefault="00260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00F3B" w14:textId="77777777" w:rsidR="00BC6199" w:rsidRDefault="00BC6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5807" w14:textId="3EF289CA" w:rsidR="005859E8" w:rsidRPr="0015586A" w:rsidRDefault="005859E8" w:rsidP="000A66FA">
    <w:pPr>
      <w:pStyle w:val="Footer"/>
      <w:jc w:val="both"/>
      <w:rPr>
        <w:rFonts w:ascii="Times New Roman" w:hAnsi="Times New Roman"/>
        <w:u w:val="single"/>
      </w:rPr>
    </w:pPr>
    <w:r w:rsidRPr="001D3403">
      <w:rPr>
        <w:rFonts w:ascii="Times New Roman" w:hAnsi="Times New Roman"/>
        <w:sz w:val="20"/>
      </w:rPr>
      <w:fldChar w:fldCharType="begin"/>
    </w:r>
    <w:r w:rsidRPr="001D3403">
      <w:rPr>
        <w:rFonts w:ascii="Times New Roman" w:hAnsi="Times New Roman"/>
        <w:sz w:val="20"/>
      </w:rPr>
      <w:instrText xml:space="preserve"> FILENAME   \* MERGEFORMAT </w:instrText>
    </w:r>
    <w:r w:rsidRPr="001D3403">
      <w:rPr>
        <w:rFonts w:ascii="Times New Roman" w:hAnsi="Times New Roman"/>
        <w:sz w:val="20"/>
      </w:rPr>
      <w:fldChar w:fldCharType="separate"/>
    </w:r>
    <w:r w:rsidR="00BC6199">
      <w:rPr>
        <w:rFonts w:ascii="Times New Roman" w:hAnsi="Times New Roman"/>
        <w:noProof/>
        <w:sz w:val="20"/>
      </w:rPr>
      <w:t>FMNot_02122013_InstKl</w:t>
    </w:r>
    <w:r w:rsidRPr="001D3403">
      <w:rPr>
        <w:rFonts w:ascii="Times New Roman" w:hAnsi="Times New Roman"/>
        <w:sz w:val="20"/>
      </w:rPr>
      <w:fldChar w:fldCharType="end"/>
    </w:r>
    <w:r w:rsidRPr="001D3403">
      <w:rPr>
        <w:rFonts w:ascii="Times New Roman" w:hAnsi="Times New Roman"/>
        <w:sz w:val="20"/>
      </w:rPr>
      <w:t>; Ministru kabineta noteikumu projekt</w:t>
    </w:r>
    <w:r w:rsidR="0015586A">
      <w:rPr>
        <w:rFonts w:ascii="Times New Roman" w:hAnsi="Times New Roman"/>
        <w:sz w:val="20"/>
      </w:rPr>
      <w:t>s</w:t>
    </w:r>
    <w:r w:rsidRPr="001D3403">
      <w:rPr>
        <w:rFonts w:ascii="Times New Roman" w:hAnsi="Times New Roman"/>
        <w:sz w:val="20"/>
      </w:rPr>
      <w:t xml:space="preserve"> „Noteikumi par institucionālo sektoru klasifikāciju”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82DE8" w14:textId="6119631D" w:rsidR="005859E8" w:rsidRPr="001D3403" w:rsidRDefault="005859E8" w:rsidP="000A66FA">
    <w:pPr>
      <w:pStyle w:val="Footer"/>
      <w:jc w:val="both"/>
      <w:rPr>
        <w:rFonts w:ascii="Times New Roman" w:hAnsi="Times New Roman"/>
      </w:rPr>
    </w:pPr>
    <w:r w:rsidRPr="001D3403">
      <w:rPr>
        <w:rFonts w:ascii="Times New Roman" w:hAnsi="Times New Roman"/>
        <w:sz w:val="20"/>
      </w:rPr>
      <w:fldChar w:fldCharType="begin"/>
    </w:r>
    <w:r w:rsidRPr="001D3403">
      <w:rPr>
        <w:rFonts w:ascii="Times New Roman" w:hAnsi="Times New Roman"/>
        <w:sz w:val="20"/>
      </w:rPr>
      <w:instrText xml:space="preserve"> FILENAME   \* MERGEFORMAT </w:instrText>
    </w:r>
    <w:r w:rsidRPr="001D3403">
      <w:rPr>
        <w:rFonts w:ascii="Times New Roman" w:hAnsi="Times New Roman"/>
        <w:sz w:val="20"/>
      </w:rPr>
      <w:fldChar w:fldCharType="separate"/>
    </w:r>
    <w:r w:rsidR="00451528">
      <w:rPr>
        <w:rFonts w:ascii="Times New Roman" w:hAnsi="Times New Roman"/>
        <w:noProof/>
        <w:sz w:val="20"/>
      </w:rPr>
      <w:t>FMNot_02122013_InstKl</w:t>
    </w:r>
    <w:r w:rsidRPr="001D3403">
      <w:rPr>
        <w:rFonts w:ascii="Times New Roman" w:hAnsi="Times New Roman"/>
        <w:sz w:val="20"/>
      </w:rPr>
      <w:fldChar w:fldCharType="end"/>
    </w:r>
    <w:r w:rsidRPr="001D3403">
      <w:rPr>
        <w:rFonts w:ascii="Times New Roman" w:hAnsi="Times New Roman"/>
        <w:sz w:val="20"/>
      </w:rPr>
      <w:t>; Mini</w:t>
    </w:r>
    <w:r w:rsidR="0015586A">
      <w:rPr>
        <w:rFonts w:ascii="Times New Roman" w:hAnsi="Times New Roman"/>
        <w:sz w:val="20"/>
      </w:rPr>
      <w:t>stru kabineta noteikumu projekts</w:t>
    </w:r>
    <w:r w:rsidRPr="001D3403">
      <w:rPr>
        <w:rFonts w:ascii="Times New Roman" w:hAnsi="Times New Roman"/>
        <w:sz w:val="20"/>
      </w:rPr>
      <w:t xml:space="preserve"> „Noteikumi par institucionālo sektoru klasifikāciju”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F306A" w14:textId="77777777" w:rsidR="0026059D" w:rsidRDefault="0026059D" w:rsidP="00D96EC0">
      <w:pPr>
        <w:spacing w:after="0" w:line="240" w:lineRule="auto"/>
      </w:pPr>
      <w:r>
        <w:separator/>
      </w:r>
    </w:p>
    <w:p w14:paraId="7D20FF29" w14:textId="77777777" w:rsidR="0026059D" w:rsidRDefault="0026059D"/>
  </w:footnote>
  <w:footnote w:type="continuationSeparator" w:id="0">
    <w:p w14:paraId="2629A7C2" w14:textId="77777777" w:rsidR="0026059D" w:rsidRDefault="0026059D" w:rsidP="00D96EC0">
      <w:pPr>
        <w:spacing w:after="0" w:line="240" w:lineRule="auto"/>
      </w:pPr>
      <w:r>
        <w:continuationSeparator/>
      </w:r>
    </w:p>
    <w:p w14:paraId="27159705" w14:textId="77777777" w:rsidR="0026059D" w:rsidRDefault="0026059D"/>
  </w:footnote>
  <w:footnote w:type="continuationNotice" w:id="1">
    <w:p w14:paraId="37D480E9" w14:textId="77777777" w:rsidR="0026059D" w:rsidRDefault="0026059D">
      <w:pPr>
        <w:spacing w:after="0" w:line="240" w:lineRule="auto"/>
      </w:pPr>
    </w:p>
    <w:p w14:paraId="6E62375F" w14:textId="77777777" w:rsidR="0026059D" w:rsidRDefault="002605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A494" w14:textId="77777777" w:rsidR="00BC6199" w:rsidRDefault="00BC6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688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C48E22" w14:textId="44A59100" w:rsidR="005859E8" w:rsidRDefault="005859E8" w:rsidP="006B3C52">
        <w:pPr>
          <w:pStyle w:val="Header"/>
          <w:jc w:val="center"/>
        </w:pPr>
        <w:r w:rsidRPr="00493E64">
          <w:rPr>
            <w:rFonts w:ascii="Times New Roman" w:hAnsi="Times New Roman"/>
            <w:sz w:val="24"/>
          </w:rPr>
          <w:fldChar w:fldCharType="begin"/>
        </w:r>
        <w:r w:rsidRPr="00493E64">
          <w:rPr>
            <w:rFonts w:ascii="Times New Roman" w:hAnsi="Times New Roman"/>
            <w:sz w:val="24"/>
          </w:rPr>
          <w:instrText xml:space="preserve"> PAGE   \* MERGEFORMAT </w:instrText>
        </w:r>
        <w:r w:rsidRPr="00493E64">
          <w:rPr>
            <w:rFonts w:ascii="Times New Roman" w:hAnsi="Times New Roman"/>
            <w:sz w:val="24"/>
          </w:rPr>
          <w:fldChar w:fldCharType="separate"/>
        </w:r>
        <w:r w:rsidR="00152EFA">
          <w:rPr>
            <w:rFonts w:ascii="Times New Roman" w:hAnsi="Times New Roman"/>
            <w:noProof/>
            <w:sz w:val="24"/>
          </w:rPr>
          <w:t>2</w:t>
        </w:r>
        <w:r w:rsidRPr="00493E64">
          <w:rPr>
            <w:rFonts w:ascii="Times New Roman" w:hAnsi="Times New Roman"/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5875" w14:textId="77777777" w:rsidR="005859E8" w:rsidRPr="00493E64" w:rsidRDefault="005859E8" w:rsidP="00010B8E">
    <w:pPr>
      <w:pStyle w:val="Header"/>
      <w:jc w:val="right"/>
      <w:rPr>
        <w:rFonts w:ascii="Times New Roman" w:hAnsi="Times New Roman"/>
        <w:i/>
        <w:sz w:val="24"/>
        <w:szCs w:val="28"/>
      </w:rPr>
    </w:pPr>
    <w:r w:rsidRPr="00493E64">
      <w:rPr>
        <w:rFonts w:ascii="Times New Roman" w:hAnsi="Times New Roman"/>
        <w:i/>
        <w:sz w:val="24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9C7"/>
    <w:multiLevelType w:val="hybridMultilevel"/>
    <w:tmpl w:val="791ED9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3C14"/>
    <w:multiLevelType w:val="hybridMultilevel"/>
    <w:tmpl w:val="9F2E3D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0C3B"/>
    <w:multiLevelType w:val="hybridMultilevel"/>
    <w:tmpl w:val="2398F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11AC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9870DD"/>
    <w:multiLevelType w:val="hybridMultilevel"/>
    <w:tmpl w:val="235E1E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C0"/>
    <w:rsid w:val="000012F3"/>
    <w:rsid w:val="00004846"/>
    <w:rsid w:val="00010B8E"/>
    <w:rsid w:val="00013463"/>
    <w:rsid w:val="00023D49"/>
    <w:rsid w:val="0002567C"/>
    <w:rsid w:val="00030B87"/>
    <w:rsid w:val="00037FEF"/>
    <w:rsid w:val="0004294E"/>
    <w:rsid w:val="0004382C"/>
    <w:rsid w:val="00046AA7"/>
    <w:rsid w:val="00054708"/>
    <w:rsid w:val="00061AA6"/>
    <w:rsid w:val="000730DD"/>
    <w:rsid w:val="00077671"/>
    <w:rsid w:val="000830DD"/>
    <w:rsid w:val="00094C4F"/>
    <w:rsid w:val="000974E4"/>
    <w:rsid w:val="000A512F"/>
    <w:rsid w:val="000A66FA"/>
    <w:rsid w:val="000D0DDC"/>
    <w:rsid w:val="000D7922"/>
    <w:rsid w:val="000E57A0"/>
    <w:rsid w:val="000E660F"/>
    <w:rsid w:val="000E71C1"/>
    <w:rsid w:val="000F6D66"/>
    <w:rsid w:val="000F6EAF"/>
    <w:rsid w:val="001107FB"/>
    <w:rsid w:val="0012143C"/>
    <w:rsid w:val="00121ED8"/>
    <w:rsid w:val="00124019"/>
    <w:rsid w:val="001242E4"/>
    <w:rsid w:val="0013083E"/>
    <w:rsid w:val="00135071"/>
    <w:rsid w:val="00147839"/>
    <w:rsid w:val="00152EFA"/>
    <w:rsid w:val="0015586A"/>
    <w:rsid w:val="00160E39"/>
    <w:rsid w:val="001625A9"/>
    <w:rsid w:val="00163AB0"/>
    <w:rsid w:val="0016778B"/>
    <w:rsid w:val="00177ED1"/>
    <w:rsid w:val="00184453"/>
    <w:rsid w:val="00191E30"/>
    <w:rsid w:val="001943B8"/>
    <w:rsid w:val="001B0524"/>
    <w:rsid w:val="001C06BC"/>
    <w:rsid w:val="001C3667"/>
    <w:rsid w:val="001C6280"/>
    <w:rsid w:val="001C731D"/>
    <w:rsid w:val="001D1F13"/>
    <w:rsid w:val="001D23B7"/>
    <w:rsid w:val="001D3403"/>
    <w:rsid w:val="001F1B0A"/>
    <w:rsid w:val="001F2921"/>
    <w:rsid w:val="001F3A71"/>
    <w:rsid w:val="001F571C"/>
    <w:rsid w:val="00202217"/>
    <w:rsid w:val="00215B7D"/>
    <w:rsid w:val="002319E9"/>
    <w:rsid w:val="002343E5"/>
    <w:rsid w:val="00241F19"/>
    <w:rsid w:val="00257393"/>
    <w:rsid w:val="00257772"/>
    <w:rsid w:val="0026059D"/>
    <w:rsid w:val="00261FA8"/>
    <w:rsid w:val="0027249A"/>
    <w:rsid w:val="00284461"/>
    <w:rsid w:val="00285B2F"/>
    <w:rsid w:val="0029310C"/>
    <w:rsid w:val="00293F3D"/>
    <w:rsid w:val="00296139"/>
    <w:rsid w:val="002A319D"/>
    <w:rsid w:val="002A456E"/>
    <w:rsid w:val="002A7B33"/>
    <w:rsid w:val="002B16A3"/>
    <w:rsid w:val="002B4CFC"/>
    <w:rsid w:val="002B68DC"/>
    <w:rsid w:val="002C0E05"/>
    <w:rsid w:val="002C2313"/>
    <w:rsid w:val="002D3AF3"/>
    <w:rsid w:val="002D581D"/>
    <w:rsid w:val="002D6468"/>
    <w:rsid w:val="002F1E76"/>
    <w:rsid w:val="002F3BA2"/>
    <w:rsid w:val="002F578A"/>
    <w:rsid w:val="00317E71"/>
    <w:rsid w:val="00322190"/>
    <w:rsid w:val="00341BA4"/>
    <w:rsid w:val="003466F3"/>
    <w:rsid w:val="003653C1"/>
    <w:rsid w:val="0037202F"/>
    <w:rsid w:val="003774D3"/>
    <w:rsid w:val="00381A6F"/>
    <w:rsid w:val="003824F5"/>
    <w:rsid w:val="00385F41"/>
    <w:rsid w:val="003C6380"/>
    <w:rsid w:val="003D5AD7"/>
    <w:rsid w:val="003E1D8E"/>
    <w:rsid w:val="003F00D4"/>
    <w:rsid w:val="003F75B7"/>
    <w:rsid w:val="00401BF6"/>
    <w:rsid w:val="00403680"/>
    <w:rsid w:val="00412DE3"/>
    <w:rsid w:val="0041675B"/>
    <w:rsid w:val="00421A9D"/>
    <w:rsid w:val="00433FA5"/>
    <w:rsid w:val="00436A9C"/>
    <w:rsid w:val="00441207"/>
    <w:rsid w:val="00451528"/>
    <w:rsid w:val="0046307C"/>
    <w:rsid w:val="004718E8"/>
    <w:rsid w:val="0047268C"/>
    <w:rsid w:val="00482CDE"/>
    <w:rsid w:val="004832F5"/>
    <w:rsid w:val="004841C2"/>
    <w:rsid w:val="00485D03"/>
    <w:rsid w:val="00487EC8"/>
    <w:rsid w:val="00491B5A"/>
    <w:rsid w:val="00493E64"/>
    <w:rsid w:val="00494546"/>
    <w:rsid w:val="004A6DF2"/>
    <w:rsid w:val="004B6B79"/>
    <w:rsid w:val="004C6D9F"/>
    <w:rsid w:val="004D267E"/>
    <w:rsid w:val="004D7AD3"/>
    <w:rsid w:val="004E3CBA"/>
    <w:rsid w:val="004E5F86"/>
    <w:rsid w:val="004F0BF7"/>
    <w:rsid w:val="004F1653"/>
    <w:rsid w:val="00504E75"/>
    <w:rsid w:val="00507380"/>
    <w:rsid w:val="00511DFC"/>
    <w:rsid w:val="00555766"/>
    <w:rsid w:val="005666F9"/>
    <w:rsid w:val="00571274"/>
    <w:rsid w:val="0057454B"/>
    <w:rsid w:val="0058443F"/>
    <w:rsid w:val="005859E8"/>
    <w:rsid w:val="00586D7D"/>
    <w:rsid w:val="005B0D2F"/>
    <w:rsid w:val="005B319D"/>
    <w:rsid w:val="005C4929"/>
    <w:rsid w:val="005E1C82"/>
    <w:rsid w:val="005F5A3C"/>
    <w:rsid w:val="00604E68"/>
    <w:rsid w:val="00646C8C"/>
    <w:rsid w:val="00646E6D"/>
    <w:rsid w:val="00647649"/>
    <w:rsid w:val="00650D45"/>
    <w:rsid w:val="00651B3D"/>
    <w:rsid w:val="00651FDA"/>
    <w:rsid w:val="006719FE"/>
    <w:rsid w:val="00686C4D"/>
    <w:rsid w:val="00690905"/>
    <w:rsid w:val="00691786"/>
    <w:rsid w:val="006944F2"/>
    <w:rsid w:val="006A2C87"/>
    <w:rsid w:val="006A3D91"/>
    <w:rsid w:val="006A709B"/>
    <w:rsid w:val="006B01D5"/>
    <w:rsid w:val="006B1C5D"/>
    <w:rsid w:val="006B2341"/>
    <w:rsid w:val="006B3C52"/>
    <w:rsid w:val="006C6430"/>
    <w:rsid w:val="006C6E95"/>
    <w:rsid w:val="006E3099"/>
    <w:rsid w:val="006F485A"/>
    <w:rsid w:val="006F593E"/>
    <w:rsid w:val="00713600"/>
    <w:rsid w:val="00716330"/>
    <w:rsid w:val="00722A04"/>
    <w:rsid w:val="00726FEF"/>
    <w:rsid w:val="0073634B"/>
    <w:rsid w:val="007378A0"/>
    <w:rsid w:val="00750696"/>
    <w:rsid w:val="00765875"/>
    <w:rsid w:val="00771626"/>
    <w:rsid w:val="007726EB"/>
    <w:rsid w:val="00784BB3"/>
    <w:rsid w:val="00785B56"/>
    <w:rsid w:val="00794016"/>
    <w:rsid w:val="00794189"/>
    <w:rsid w:val="007970B0"/>
    <w:rsid w:val="007978F6"/>
    <w:rsid w:val="007C1503"/>
    <w:rsid w:val="007C4833"/>
    <w:rsid w:val="007D64CE"/>
    <w:rsid w:val="007E0E1E"/>
    <w:rsid w:val="007E78C8"/>
    <w:rsid w:val="007F44B9"/>
    <w:rsid w:val="007F6A85"/>
    <w:rsid w:val="008006A3"/>
    <w:rsid w:val="008218B0"/>
    <w:rsid w:val="008227A2"/>
    <w:rsid w:val="008328F4"/>
    <w:rsid w:val="0085318A"/>
    <w:rsid w:val="008537E6"/>
    <w:rsid w:val="00854A9C"/>
    <w:rsid w:val="008628AB"/>
    <w:rsid w:val="00876892"/>
    <w:rsid w:val="00877418"/>
    <w:rsid w:val="0087776E"/>
    <w:rsid w:val="00883A1C"/>
    <w:rsid w:val="008939B0"/>
    <w:rsid w:val="008A1134"/>
    <w:rsid w:val="008A556D"/>
    <w:rsid w:val="008A6204"/>
    <w:rsid w:val="008A69A1"/>
    <w:rsid w:val="008B421A"/>
    <w:rsid w:val="008C01A7"/>
    <w:rsid w:val="008C0372"/>
    <w:rsid w:val="008C0792"/>
    <w:rsid w:val="008C5F05"/>
    <w:rsid w:val="008D1305"/>
    <w:rsid w:val="008D3E04"/>
    <w:rsid w:val="008E6E83"/>
    <w:rsid w:val="00904309"/>
    <w:rsid w:val="009108EE"/>
    <w:rsid w:val="00914BD5"/>
    <w:rsid w:val="00916D06"/>
    <w:rsid w:val="0093342E"/>
    <w:rsid w:val="00933776"/>
    <w:rsid w:val="00941C0F"/>
    <w:rsid w:val="0095463F"/>
    <w:rsid w:val="009566C1"/>
    <w:rsid w:val="009629E6"/>
    <w:rsid w:val="00966332"/>
    <w:rsid w:val="00973994"/>
    <w:rsid w:val="009A2485"/>
    <w:rsid w:val="009A660C"/>
    <w:rsid w:val="009B6DA0"/>
    <w:rsid w:val="009C4397"/>
    <w:rsid w:val="009E0D59"/>
    <w:rsid w:val="009E460F"/>
    <w:rsid w:val="009E5572"/>
    <w:rsid w:val="009F6593"/>
    <w:rsid w:val="00A007A4"/>
    <w:rsid w:val="00A02ECD"/>
    <w:rsid w:val="00A075DB"/>
    <w:rsid w:val="00A15E8E"/>
    <w:rsid w:val="00A26B56"/>
    <w:rsid w:val="00A314F6"/>
    <w:rsid w:val="00A45658"/>
    <w:rsid w:val="00A539BB"/>
    <w:rsid w:val="00A55564"/>
    <w:rsid w:val="00A62689"/>
    <w:rsid w:val="00A70BFA"/>
    <w:rsid w:val="00A718E2"/>
    <w:rsid w:val="00A72FCC"/>
    <w:rsid w:val="00A87F3D"/>
    <w:rsid w:val="00A9434D"/>
    <w:rsid w:val="00A96163"/>
    <w:rsid w:val="00AA2E0E"/>
    <w:rsid w:val="00AA340D"/>
    <w:rsid w:val="00AA7021"/>
    <w:rsid w:val="00AA71D5"/>
    <w:rsid w:val="00AB6E76"/>
    <w:rsid w:val="00AD70B2"/>
    <w:rsid w:val="00AE1C95"/>
    <w:rsid w:val="00AE289D"/>
    <w:rsid w:val="00AE3DBE"/>
    <w:rsid w:val="00AF7686"/>
    <w:rsid w:val="00B13D17"/>
    <w:rsid w:val="00B1721C"/>
    <w:rsid w:val="00B2322F"/>
    <w:rsid w:val="00B36F09"/>
    <w:rsid w:val="00B37854"/>
    <w:rsid w:val="00B412DF"/>
    <w:rsid w:val="00B4337B"/>
    <w:rsid w:val="00B50086"/>
    <w:rsid w:val="00B52261"/>
    <w:rsid w:val="00B606A6"/>
    <w:rsid w:val="00B72E13"/>
    <w:rsid w:val="00B73D80"/>
    <w:rsid w:val="00B75392"/>
    <w:rsid w:val="00B777E5"/>
    <w:rsid w:val="00B8336A"/>
    <w:rsid w:val="00B84CDF"/>
    <w:rsid w:val="00B85F46"/>
    <w:rsid w:val="00BA425A"/>
    <w:rsid w:val="00BA6B64"/>
    <w:rsid w:val="00BA7D0C"/>
    <w:rsid w:val="00BB16A9"/>
    <w:rsid w:val="00BB369A"/>
    <w:rsid w:val="00BC5D9A"/>
    <w:rsid w:val="00BC6199"/>
    <w:rsid w:val="00BC6285"/>
    <w:rsid w:val="00BC77B4"/>
    <w:rsid w:val="00BD7403"/>
    <w:rsid w:val="00BF37C4"/>
    <w:rsid w:val="00BF54EC"/>
    <w:rsid w:val="00BF6F45"/>
    <w:rsid w:val="00C01515"/>
    <w:rsid w:val="00C041B4"/>
    <w:rsid w:val="00C12F2B"/>
    <w:rsid w:val="00C25516"/>
    <w:rsid w:val="00C43E66"/>
    <w:rsid w:val="00C50F8F"/>
    <w:rsid w:val="00C5340D"/>
    <w:rsid w:val="00C556F3"/>
    <w:rsid w:val="00C6456D"/>
    <w:rsid w:val="00C80F5F"/>
    <w:rsid w:val="00C83D22"/>
    <w:rsid w:val="00C91413"/>
    <w:rsid w:val="00C947FF"/>
    <w:rsid w:val="00CA0055"/>
    <w:rsid w:val="00CA05FB"/>
    <w:rsid w:val="00CA208A"/>
    <w:rsid w:val="00CA60A2"/>
    <w:rsid w:val="00CA773A"/>
    <w:rsid w:val="00CB3CA9"/>
    <w:rsid w:val="00CB4AD5"/>
    <w:rsid w:val="00CC799A"/>
    <w:rsid w:val="00CD1EE4"/>
    <w:rsid w:val="00CF1BA5"/>
    <w:rsid w:val="00CF3DC8"/>
    <w:rsid w:val="00CF58C8"/>
    <w:rsid w:val="00D01FAB"/>
    <w:rsid w:val="00D329D6"/>
    <w:rsid w:val="00D33DEB"/>
    <w:rsid w:val="00D34C91"/>
    <w:rsid w:val="00D350AE"/>
    <w:rsid w:val="00D36FE9"/>
    <w:rsid w:val="00D458DC"/>
    <w:rsid w:val="00D46B86"/>
    <w:rsid w:val="00D54EC3"/>
    <w:rsid w:val="00D57E9B"/>
    <w:rsid w:val="00D616AA"/>
    <w:rsid w:val="00D72ED5"/>
    <w:rsid w:val="00D766CB"/>
    <w:rsid w:val="00D7742F"/>
    <w:rsid w:val="00D81C2B"/>
    <w:rsid w:val="00D91834"/>
    <w:rsid w:val="00D94383"/>
    <w:rsid w:val="00D94A15"/>
    <w:rsid w:val="00D96EC0"/>
    <w:rsid w:val="00DA2279"/>
    <w:rsid w:val="00DB1311"/>
    <w:rsid w:val="00DB234B"/>
    <w:rsid w:val="00DB7523"/>
    <w:rsid w:val="00DC024B"/>
    <w:rsid w:val="00DC30C0"/>
    <w:rsid w:val="00DD5EF9"/>
    <w:rsid w:val="00DD7E7C"/>
    <w:rsid w:val="00DF0C0F"/>
    <w:rsid w:val="00DF49D8"/>
    <w:rsid w:val="00E02A7F"/>
    <w:rsid w:val="00E11C87"/>
    <w:rsid w:val="00E16102"/>
    <w:rsid w:val="00E26855"/>
    <w:rsid w:val="00E33C18"/>
    <w:rsid w:val="00E36863"/>
    <w:rsid w:val="00E36FB2"/>
    <w:rsid w:val="00E37798"/>
    <w:rsid w:val="00E52E90"/>
    <w:rsid w:val="00E64FF9"/>
    <w:rsid w:val="00E700E2"/>
    <w:rsid w:val="00EA20DC"/>
    <w:rsid w:val="00EA5C74"/>
    <w:rsid w:val="00EB7149"/>
    <w:rsid w:val="00EC58E5"/>
    <w:rsid w:val="00ED4310"/>
    <w:rsid w:val="00ED46AD"/>
    <w:rsid w:val="00EE2A84"/>
    <w:rsid w:val="00EF7536"/>
    <w:rsid w:val="00F02C2A"/>
    <w:rsid w:val="00F0505B"/>
    <w:rsid w:val="00F07828"/>
    <w:rsid w:val="00F11078"/>
    <w:rsid w:val="00F11F40"/>
    <w:rsid w:val="00F25795"/>
    <w:rsid w:val="00F7229B"/>
    <w:rsid w:val="00F72CFA"/>
    <w:rsid w:val="00F81E01"/>
    <w:rsid w:val="00F86C40"/>
    <w:rsid w:val="00F86E48"/>
    <w:rsid w:val="00F94F1D"/>
    <w:rsid w:val="00FB6C28"/>
    <w:rsid w:val="00FC008F"/>
    <w:rsid w:val="00FC1ABE"/>
    <w:rsid w:val="00FD008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DEA3A"/>
  <w15:docId w15:val="{518D9FD4-2EF7-4BA1-9D0F-634C1BCF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C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6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86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6C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C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0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01B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BF6"/>
    <w:rPr>
      <w:b/>
      <w:bCs/>
      <w:lang w:eastAsia="en-US"/>
    </w:rPr>
  </w:style>
  <w:style w:type="paragraph" w:styleId="BodyText">
    <w:name w:val="Body Text"/>
    <w:basedOn w:val="Normal"/>
    <w:link w:val="BodyTextChar"/>
    <w:rsid w:val="00BA425A"/>
    <w:pPr>
      <w:spacing w:after="120" w:line="240" w:lineRule="auto"/>
      <w:jc w:val="both"/>
    </w:pPr>
  </w:style>
  <w:style w:type="character" w:customStyle="1" w:styleId="BodyTextChar">
    <w:name w:val="Body Text Char"/>
    <w:link w:val="BodyText"/>
    <w:rsid w:val="00BA425A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A425A"/>
    <w:pPr>
      <w:keepNext/>
      <w:tabs>
        <w:tab w:val="left" w:pos="6804"/>
      </w:tabs>
      <w:spacing w:after="0" w:line="240" w:lineRule="auto"/>
      <w:jc w:val="center"/>
    </w:pPr>
    <w:rPr>
      <w:rFonts w:ascii="RimTimes" w:eastAsia="Times New Roman" w:hAnsi="RimTimes"/>
      <w:sz w:val="28"/>
      <w:szCs w:val="20"/>
    </w:rPr>
  </w:style>
  <w:style w:type="character" w:customStyle="1" w:styleId="TitleChar">
    <w:name w:val="Title Char"/>
    <w:link w:val="Title"/>
    <w:rsid w:val="00BA425A"/>
    <w:rPr>
      <w:rFonts w:ascii="RimTimes" w:eastAsia="Times New Roman" w:hAnsi="RimTimes" w:cs="Times New Roman"/>
      <w:sz w:val="28"/>
      <w:szCs w:val="20"/>
    </w:rPr>
  </w:style>
  <w:style w:type="paragraph" w:customStyle="1" w:styleId="naisf">
    <w:name w:val="naisf"/>
    <w:basedOn w:val="Normal"/>
    <w:rsid w:val="00BA425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rCharCharCharChar">
    <w:name w:val="Char Char Char Char Char"/>
    <w:basedOn w:val="Normal"/>
    <w:rsid w:val="00AE289D"/>
    <w:pPr>
      <w:spacing w:after="160" w:line="240" w:lineRule="exact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F86C4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8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2">
    <w:name w:val="CM1+2"/>
    <w:basedOn w:val="Normal"/>
    <w:next w:val="Normal"/>
    <w:uiPriority w:val="99"/>
    <w:rsid w:val="004841C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2">
    <w:name w:val="CM3+2"/>
    <w:basedOn w:val="Normal"/>
    <w:next w:val="Normal"/>
    <w:uiPriority w:val="99"/>
    <w:rsid w:val="004841C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2">
    <w:name w:val="CM4+2"/>
    <w:basedOn w:val="Normal"/>
    <w:next w:val="Normal"/>
    <w:uiPriority w:val="99"/>
    <w:rsid w:val="000E71C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C4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akstzCharCharRakstzCharCharRakstz">
    <w:name w:val="Rakstz. Char Char Rakstz. Char Char Rakstz."/>
    <w:basedOn w:val="Normal"/>
    <w:rsid w:val="006B3C5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37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508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0981">
                                  <w:marLeft w:val="-6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5027">
                                          <w:marLeft w:val="6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96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12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51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1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7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24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79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7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079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33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06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22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61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9336-DE88-4C46-8EDA-399F9C5BB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FD2E26-9CBE-47EF-87E0-0BF3B972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2257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institucionālo sektoru klasifikāciju” </vt:lpstr>
    </vt:vector>
  </TitlesOfParts>
  <Company>Finanšu ministrija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institucionālo sektoru klasifikāciju” </dc:title>
  <dc:subject>MK noteikumu projekts</dc:subject>
  <dc:creator>Līga Ozoliņa</dc:creator>
  <dc:description>tālrunis 67083823
Liga.Ozolina@fm.gov.lv</dc:description>
  <cp:lastModifiedBy>Sprūģe Veronika</cp:lastModifiedBy>
  <cp:revision>38</cp:revision>
  <cp:lastPrinted>2013-10-24T10:55:00Z</cp:lastPrinted>
  <dcterms:created xsi:type="dcterms:W3CDTF">2013-10-22T12:05:00Z</dcterms:created>
  <dcterms:modified xsi:type="dcterms:W3CDTF">2013-12-04T10:38:00Z</dcterms:modified>
</cp:coreProperties>
</file>