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36" w:rsidRPr="00D96EC0" w:rsidRDefault="00BA0636" w:rsidP="00BA0636">
      <w:pPr>
        <w:spacing w:before="75" w:after="75" w:line="240" w:lineRule="auto"/>
        <w:ind w:firstLine="375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:rsidR="00BA0636" w:rsidRDefault="00BA0636" w:rsidP="00BA0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01B64">
        <w:rPr>
          <w:rFonts w:ascii="Times New Roman" w:eastAsia="Times New Roman" w:hAnsi="Times New Roman"/>
          <w:sz w:val="24"/>
          <w:szCs w:val="24"/>
          <w:lang w:eastAsia="lv-LV"/>
        </w:rPr>
        <w:t>2013. gada ______ noteikumiem Nr._____</w:t>
      </w:r>
    </w:p>
    <w:p w:rsidR="00BA0636" w:rsidRPr="00D96EC0" w:rsidRDefault="00BA0636" w:rsidP="00BA0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Pr="00A075DB">
        <w:rPr>
          <w:rFonts w:ascii="Times New Roman" w:eastAsia="Times New Roman" w:hAnsi="Times New Roman"/>
          <w:sz w:val="24"/>
          <w:szCs w:val="24"/>
          <w:lang w:eastAsia="lv-LV"/>
        </w:rPr>
        <w:t>Noteikumi par institucionālo sektoru klasifikāciju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:rsidR="00BA0636" w:rsidRDefault="00BA0636" w:rsidP="00BA0636">
      <w:pPr>
        <w:spacing w:before="75" w:after="75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bkm2"/>
    </w:p>
    <w:p w:rsidR="00BA0636" w:rsidRDefault="00BA0636" w:rsidP="00BA0636">
      <w:pPr>
        <w:spacing w:before="75" w:after="75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Instit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ucionālo sektoru kodu shēma un klasifikācija</w:t>
      </w:r>
    </w:p>
    <w:p w:rsidR="00BA0636" w:rsidRPr="007E78C8" w:rsidRDefault="00BA0636" w:rsidP="00BA0636">
      <w:pPr>
        <w:spacing w:before="75" w:after="75" w:line="240" w:lineRule="auto"/>
        <w:ind w:firstLine="375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BA0636" w:rsidRDefault="00BA0636" w:rsidP="00BA0636">
      <w:pPr>
        <w:spacing w:before="75" w:after="75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" w:name="bkm1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Kodu shēma</w:t>
      </w:r>
    </w:p>
    <w:p w:rsidR="00BA0636" w:rsidRDefault="00BA0636" w:rsidP="00BA0636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94C4F">
        <w:rPr>
          <w:rFonts w:ascii="Times New Roman" w:eastAsia="Times New Roman" w:hAnsi="Times New Roman"/>
          <w:sz w:val="24"/>
          <w:szCs w:val="24"/>
          <w:lang w:eastAsia="lv-LV"/>
        </w:rPr>
        <w:t>1. 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Klasifikācijas koda pirmā zīme apzīmē klasifi</w:t>
      </w:r>
      <w:r w:rsidRPr="00F86C40">
        <w:rPr>
          <w:rFonts w:ascii="Times New Roman" w:eastAsia="Times New Roman" w:hAnsi="Times New Roman"/>
          <w:sz w:val="24"/>
          <w:szCs w:val="24"/>
          <w:lang w:eastAsia="lv-LV"/>
        </w:rPr>
        <w:t>kācij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as veidu „S”</w:t>
      </w:r>
      <w:r w:rsidRPr="00F86C4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. Klasifikācijas koda otrā zīme nosaka institucionālo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vienību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dalījumu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E3099">
        <w:rPr>
          <w:rFonts w:ascii="Times New Roman" w:eastAsia="Times New Roman" w:hAnsi="Times New Roman"/>
          <w:sz w:val="24"/>
          <w:szCs w:val="24"/>
          <w:lang w:eastAsia="lv-LV"/>
        </w:rPr>
        <w:t>rezidentos un nerezidentos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. Klasifikācijas koda trešā zīme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3.1. rezidentiem nosaka institucionālos sektoru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dalījumu;</w:t>
      </w:r>
    </w:p>
    <w:p w:rsidR="00BA0636" w:rsidRPr="00CC799A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3.2. nerezidentiem nošķir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Eiropas Savienības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dalībvalstis, iestādes</w:t>
      </w:r>
      <w:r w:rsidRPr="00CC799A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struktūras no </w:t>
      </w:r>
      <w:r w:rsidRPr="00CC799A">
        <w:rPr>
          <w:rFonts w:ascii="Times New Roman" w:eastAsia="Times New Roman" w:hAnsi="Times New Roman"/>
          <w:sz w:val="24"/>
          <w:szCs w:val="24"/>
          <w:lang w:eastAsia="lv-LV"/>
        </w:rPr>
        <w:t>treš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ajām valstīm</w:t>
      </w:r>
      <w:r w:rsidRPr="00CC799A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starptautiskajām organizācijām, kas nav Eiropas Savienības rezidenti.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. Klasifikācijas koda ceturtā zīme nosaka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4.1. rezidentiem –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institucionālā sektora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S120000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"Finanšu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sabiedrības" apakšsektorus;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4.2. nerezidentiem –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valstu grupu un starptautisko organizāciju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dalījumu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. Klasifikācijas koda piektā zīme nosaka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5.1. rezidentiem –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institucionālā sektora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S130000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Vispārējā valdība" apakšsektoru dalījumu;</w:t>
      </w:r>
    </w:p>
    <w:p w:rsidR="00BA0636" w:rsidRPr="00D96EC0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5.2. nerezidentiem – E</w:t>
      </w:r>
      <w:r w:rsidRPr="00794016">
        <w:rPr>
          <w:rFonts w:ascii="Times New Roman" w:eastAsia="Times New Roman" w:hAnsi="Times New Roman"/>
          <w:sz w:val="24"/>
          <w:szCs w:val="24"/>
          <w:lang w:eastAsia="lv-LV"/>
        </w:rPr>
        <w:t>urozonas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dalībvalstu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un pārējo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Eiropas Savien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ības dalībvalstu grupu dalījumu.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. Klasifikācijas </w:t>
      </w:r>
      <w:r w:rsidRPr="00485D0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koda sestā zīme nosaka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:</w:t>
      </w:r>
    </w:p>
    <w:p w:rsidR="00BA0636" w:rsidRPr="00433FA5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r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ezidentiem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– apakšsektora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S130100 "</w:t>
      </w:r>
      <w:r w:rsidRPr="00493E64">
        <w:rPr>
          <w:rFonts w:ascii="Times New Roman" w:eastAsia="Times New Roman" w:hAnsi="Times New Roman"/>
          <w:sz w:val="24"/>
          <w:szCs w:val="24"/>
          <w:lang w:eastAsia="lv-LV"/>
        </w:rPr>
        <w:t>Valsts struktūras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24019">
        <w:rPr>
          <w:rFonts w:ascii="Times New Roman" w:eastAsia="Times New Roman" w:hAnsi="Times New Roman"/>
          <w:sz w:val="24"/>
          <w:szCs w:val="24"/>
          <w:lang w:eastAsia="lv-LV"/>
        </w:rPr>
        <w:t xml:space="preserve">(Centrālā valdība)"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apakšsektora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S130300 "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Pašvaldību struktūras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24019">
        <w:rPr>
          <w:rFonts w:ascii="Times New Roman" w:eastAsia="Times New Roman" w:hAnsi="Times New Roman"/>
          <w:sz w:val="24"/>
          <w:szCs w:val="24"/>
          <w:lang w:eastAsia="lv-LV"/>
        </w:rPr>
        <w:t>(Vietējā valdība)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 papildu dalījumu;</w:t>
      </w:r>
    </w:p>
    <w:p w:rsidR="00BA0636" w:rsidRPr="00D96EC0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33FA5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.2. n</w:t>
      </w:r>
      <w:r w:rsidRPr="00433FA5">
        <w:rPr>
          <w:rFonts w:ascii="Times New Roman" w:eastAsia="Times New Roman" w:hAnsi="Times New Roman"/>
          <w:sz w:val="24"/>
          <w:szCs w:val="24"/>
          <w:lang w:eastAsia="lv-LV"/>
        </w:rPr>
        <w:t>e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rezidentiem</w:t>
      </w:r>
      <w:r w:rsidRPr="00485D0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institucionāl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o sektoru dalījumu.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F02C2A">
        <w:rPr>
          <w:rFonts w:ascii="Times New Roman" w:eastAsia="Times New Roman" w:hAnsi="Times New Roman"/>
          <w:sz w:val="24"/>
          <w:szCs w:val="24"/>
          <w:lang w:eastAsia="lv-LV"/>
        </w:rPr>
        <w:t xml:space="preserve">. Klasifikācijas koda septītā zīme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nosaka: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7.1. rezidentiem –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apakšsektorā S130100 "</w:t>
      </w:r>
      <w:r w:rsidRPr="00493E64">
        <w:rPr>
          <w:rFonts w:ascii="Times New Roman" w:eastAsia="Times New Roman" w:hAnsi="Times New Roman"/>
          <w:sz w:val="24"/>
          <w:szCs w:val="24"/>
          <w:lang w:eastAsia="lv-LV"/>
        </w:rPr>
        <w:t>Valsts struktūras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24019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BB369A">
        <w:rPr>
          <w:rFonts w:ascii="Times New Roman" w:eastAsia="Times New Roman" w:hAnsi="Times New Roman"/>
          <w:sz w:val="24"/>
          <w:szCs w:val="24"/>
          <w:lang w:eastAsia="lv-LV"/>
        </w:rPr>
        <w:t>Centrālā valdība</w:t>
      </w:r>
      <w:r w:rsidRPr="00124019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un apakšsektorā S130300 "</w:t>
      </w:r>
      <w:r w:rsidRPr="00493E64">
        <w:rPr>
          <w:rFonts w:ascii="Times New Roman" w:eastAsia="Times New Roman" w:hAnsi="Times New Roman"/>
          <w:sz w:val="24"/>
          <w:szCs w:val="24"/>
          <w:lang w:eastAsia="lv-LV"/>
        </w:rPr>
        <w:t>Pašvaldību struktūras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24019">
        <w:rPr>
          <w:rFonts w:ascii="Times New Roman" w:eastAsia="Times New Roman" w:hAnsi="Times New Roman"/>
          <w:sz w:val="24"/>
          <w:szCs w:val="24"/>
          <w:lang w:eastAsia="lv-LV"/>
        </w:rPr>
        <w:t>(Vietējā valdība)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iekļauto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institucionālo vienību padotību.</w:t>
      </w:r>
      <w:r w:rsidRPr="006F593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īs klasifikācijas pozīcijas piemēro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klasificējot darījuma partneri no katras iestādes pozīcijas vispārējās valdības struktūrā;</w:t>
      </w:r>
    </w:p>
    <w:p w:rsidR="00BA0636" w:rsidRDefault="00BA0636" w:rsidP="00BA063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7.2. n</w:t>
      </w:r>
      <w:r w:rsidRPr="00F02C2A">
        <w:rPr>
          <w:rFonts w:ascii="Times New Roman" w:eastAsia="Times New Roman" w:hAnsi="Times New Roman"/>
          <w:sz w:val="24"/>
          <w:szCs w:val="24"/>
          <w:lang w:eastAsia="lv-LV"/>
        </w:rPr>
        <w:t xml:space="preserve">erezidentiem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Pr="00794016">
        <w:rPr>
          <w:rFonts w:ascii="Times New Roman" w:eastAsia="Times New Roman" w:hAnsi="Times New Roman"/>
          <w:sz w:val="24"/>
          <w:szCs w:val="24"/>
          <w:lang w:eastAsia="lv-LV"/>
        </w:rPr>
        <w:t>institucionālo apakšsektoru dalījumu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A0636" w:rsidRDefault="00BA0636" w:rsidP="00BA06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0636" w:rsidRDefault="00BA0636" w:rsidP="00BA06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0636" w:rsidRDefault="00BA0636" w:rsidP="00BA06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0636" w:rsidRPr="000012F3" w:rsidRDefault="00BA0636" w:rsidP="00BA06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II</w:t>
      </w:r>
      <w:r w:rsidRPr="000012F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Iekšzemes institucionālie sektori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7553"/>
        <w:gridCol w:w="1416"/>
      </w:tblGrid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kods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Rezidenti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S10 00 00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364"/>
              <w:jc w:val="both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Nefinanšu sabiedrības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S11 00 00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364"/>
              <w:jc w:val="both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Finanšu sabiedrības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S12 00 00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9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Centrālā banka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10 00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9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Noguldījumus pieņemošas sabiedrības, izņemot centrālo banku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20 00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9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Naudas tirgus fondi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30 00</w:t>
            </w:r>
          </w:p>
        </w:tc>
      </w:tr>
      <w:tr w:rsidR="00BA0636" w:rsidRPr="00257772" w:rsidTr="00F1203D">
        <w:trPr>
          <w:trHeight w:val="224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9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Ieguldījumu fondi, izņemot naudas tirgus fondus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40 00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left="939" w:right="113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Citi finanšu starpnieki, izņemot apdrošināšanas sabiedrības un pensiju fondus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50 00</w:t>
            </w:r>
          </w:p>
        </w:tc>
      </w:tr>
      <w:tr w:rsidR="00BA0636" w:rsidRPr="00257772" w:rsidTr="00F1203D">
        <w:trPr>
          <w:trHeight w:val="221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ind w:left="939" w:right="113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palīgsabiedrības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60 00</w:t>
            </w:r>
          </w:p>
        </w:tc>
      </w:tr>
      <w:tr w:rsidR="00BA0636" w:rsidRPr="00257772" w:rsidTr="00F1203D">
        <w:trPr>
          <w:trHeight w:val="221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ind w:left="939" w:right="113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Piesaistošās finanšu iestādes un naudas aizdevēji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70 00</w:t>
            </w:r>
          </w:p>
        </w:tc>
      </w:tr>
      <w:tr w:rsidR="00BA0636" w:rsidRPr="00257772" w:rsidTr="00F1203D">
        <w:trPr>
          <w:trHeight w:val="221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ind w:left="939" w:right="113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Apdrošināšanas sabiedrības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80 00</w:t>
            </w:r>
          </w:p>
        </w:tc>
      </w:tr>
      <w:tr w:rsidR="00BA0636" w:rsidRPr="00257772" w:rsidTr="00F1203D">
        <w:trPr>
          <w:trHeight w:val="221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ind w:left="939" w:right="113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Pensiju fondi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S12 90 00</w:t>
            </w:r>
          </w:p>
        </w:tc>
      </w:tr>
      <w:tr w:rsidR="00BA0636" w:rsidRPr="000012F3" w:rsidTr="00F1203D">
        <w:trPr>
          <w:trHeight w:val="221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right="113" w:firstLine="364"/>
              <w:jc w:val="both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Vispārējā valdība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7772">
              <w:rPr>
                <w:rFonts w:ascii="Times New Roman" w:hAnsi="Times New Roman"/>
                <w:b/>
                <w:sz w:val="24"/>
              </w:rPr>
              <w:t>S13 00 00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7D2044">
            <w:pPr>
              <w:spacing w:after="0" w:line="240" w:lineRule="auto"/>
              <w:ind w:right="113" w:firstLine="9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struktūras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 valdība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00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right="113" w:firstLine="17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Ministrijas un citas centrālās valsts iestādes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10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right="113" w:firstLine="2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 ministrija vai centrālā valsts iestāde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11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right="113" w:firstLine="2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ministrija vai centrālā valsts iestāde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12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Ministriju un centrālo valsts iestāžu padotības iestādes </w:t>
            </w:r>
            <w:r w:rsidRPr="000012F3">
              <w:rPr>
                <w:rFonts w:ascii="Times New Roman" w:hAnsi="Times New Roman"/>
                <w:color w:val="000000"/>
                <w:sz w:val="24"/>
              </w:rPr>
              <w:t>(izņemot no valsts budžeta daļēji finansētas atvasinātas publiskas personas, budžeta nefinansētas iestādes, publiskos nodibinājumus)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20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Savas ministrijas vai centrālās valsts iestādes padotības iestādes </w:t>
            </w:r>
            <w:r w:rsidRPr="000012F3">
              <w:rPr>
                <w:rFonts w:ascii="Times New Roman" w:hAnsi="Times New Roman"/>
                <w:sz w:val="24"/>
              </w:rPr>
              <w:t>(izņemot no valsts budžeta daļēji finansētas atvasinātas publiskas personas, budžeta nefinansētas iestādes, publiskos nodibinājumus)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21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ministrijas vai centrālās valsts iestādes padotības iestādes (</w:t>
            </w:r>
            <w:r w:rsidRPr="000012F3">
              <w:rPr>
                <w:rFonts w:ascii="Times New Roman" w:hAnsi="Times New Roman"/>
                <w:sz w:val="24"/>
              </w:rPr>
              <w:t>izņemot no valsts budžeta daļēji finansētas atvasinātas publiskas personas, budžeta nefinansētas iestādes, publiskos nodibinājumus)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22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hAnsi="Times New Roman"/>
                <w:sz w:val="24"/>
              </w:rPr>
              <w:t>Valsts struktūru</w:t>
            </w:r>
            <w:r w:rsid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kontrolētas un finansētas</w:t>
            </w: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522B1" w:rsidRP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komercsabiedrība</w:t>
            </w:r>
            <w:r w:rsid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30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506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Vispārējās valdības sektora sarakstā pie valsts struktūrām ietvertās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40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Savas ministrijas vai centrālās valsts iestādes padotībā esošās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41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ministrijas vai centrālās valsts iestādes padotībā esošās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42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Budžeta nefinansētas iestādes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50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26.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Savas ministrijas vai centrālās valsts iestādes padotībā esošās budžeta nefinansētas iestādes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51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ministrijas vai centrālās valsts iestādes padotībā esošās no budžeta nefinansētās iestādes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52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valsts budžeta daļēji finansētas atvasinātas publiskas personas, izņemot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60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Savas ministrijas vai centrālās valsts iestādes padotībā esošās no valsts budžeta daļēji finansētas atvasinātas publiskas personas, izņemot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61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ministrijas vai centrālās valsts iestādes padotībā esošās no valsts budžeta daļēji finansētas atvasinātas publiskas personas, izņemot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62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hAnsi="Times New Roman"/>
                <w:sz w:val="24"/>
              </w:rPr>
              <w:t>Valsts struktūru</w:t>
            </w: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veidotie publiskie nodibinājumi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70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Savas ministrijas vai centrālās valsts iestādes padotībā esošie publiskie nodibinājumi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71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ministrijas vai centrālās valsts iestādes padotībā esošie publiskie nodibinājumi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72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ind w:left="1790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budžets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01 90</w:t>
            </w:r>
          </w:p>
        </w:tc>
      </w:tr>
      <w:tr w:rsidR="00BA0636" w:rsidRPr="00257772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36" w:rsidRPr="00257772" w:rsidRDefault="00BA0636" w:rsidP="007D2044">
            <w:pPr>
              <w:spacing w:after="0" w:line="240" w:lineRule="auto"/>
              <w:ind w:left="93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hAnsi="Times New Roman"/>
                <w:sz w:val="24"/>
              </w:rPr>
              <w:t>Pašvaldību</w:t>
            </w: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struktūras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25777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Vietējā valdība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00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257772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257772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10</w:t>
            </w:r>
          </w:p>
        </w:tc>
      </w:tr>
      <w:tr w:rsidR="00BA0636" w:rsidRPr="000012F3" w:rsidTr="00F1203D">
        <w:trPr>
          <w:trHeight w:val="2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 pašvaldība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11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pašvaldība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12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Pašvaldību padotības iestādes, izņemot speciālās ekonomiskās zonas, ostu un brīvostu pārvaldes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20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Savas pašvaldības padotības iestādes, izņemot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21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pašvaldības padotības iestādes, izņemot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22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Pašvaldību struktūru kontrolēt</w:t>
            </w:r>
            <w:r w:rsid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finansēt</w:t>
            </w:r>
            <w:r w:rsid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522B1" w:rsidRP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komercsabiedrība</w:t>
            </w:r>
            <w:r w:rsidR="00F522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30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ind w:left="1782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7E7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Vispārējās valdības sektora sarakstā pie pašvaldību struktūrām ietvertās speciālās ekonomiskās zonas, ostu un brīvostu pārvaldes</w:t>
            </w: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40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Savas pašvaldības padotībā esošās speciālās ekonomiskās zonas, ostu un brīvostu pārvaldes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41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ind w:left="220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pašvaldības padotībā esošās speciālās ekonomiskās zonas, ostu un brīvostu pārvaldes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03 42</w:t>
            </w:r>
          </w:p>
        </w:tc>
      </w:tr>
      <w:tr w:rsidR="00BA0636" w:rsidRPr="000012F3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left="931" w:right="113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hAnsi="Times New Roman"/>
                <w:sz w:val="24"/>
              </w:rPr>
              <w:t>Valsts sociālās apdrošināšanas struktūras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6E6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="007D2044">
              <w:rPr>
                <w:rFonts w:ascii="Times New Roman" w:hAnsi="Times New Roman"/>
                <w:sz w:val="24"/>
              </w:rPr>
              <w:t>Sociālās nodrošināšanas fondi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0012F3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012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S13 04 00</w:t>
            </w:r>
          </w:p>
        </w:tc>
      </w:tr>
      <w:tr w:rsidR="00BA0636" w:rsidRPr="00646E6D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right="113" w:firstLine="364"/>
              <w:jc w:val="both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hAnsi="Times New Roman"/>
                <w:b/>
                <w:sz w:val="24"/>
              </w:rPr>
              <w:t>Mājsaimniecības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hAnsi="Times New Roman"/>
                <w:b/>
                <w:sz w:val="24"/>
              </w:rPr>
              <w:t>S14 00 00</w:t>
            </w:r>
          </w:p>
        </w:tc>
      </w:tr>
      <w:tr w:rsidR="00BA0636" w:rsidRPr="00646E6D" w:rsidTr="00F1203D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3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right="113" w:firstLine="364"/>
              <w:jc w:val="both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hAnsi="Times New Roman"/>
                <w:b/>
                <w:sz w:val="24"/>
              </w:rPr>
              <w:t xml:space="preserve">Mājsaimniecības apkalpojošās </w:t>
            </w:r>
            <w:r w:rsidRPr="00F3788B">
              <w:rPr>
                <w:rFonts w:ascii="Times New Roman" w:hAnsi="Times New Roman"/>
                <w:b/>
                <w:sz w:val="24"/>
              </w:rPr>
              <w:t>bezpeļņas</w:t>
            </w:r>
            <w:r w:rsidRPr="00646E6D">
              <w:rPr>
                <w:rFonts w:ascii="Times New Roman" w:hAnsi="Times New Roman"/>
                <w:sz w:val="24"/>
              </w:rPr>
              <w:t xml:space="preserve"> </w:t>
            </w:r>
            <w:r w:rsidRPr="00646E6D">
              <w:rPr>
                <w:rFonts w:ascii="Times New Roman" w:hAnsi="Times New Roman"/>
                <w:b/>
                <w:sz w:val="24"/>
              </w:rPr>
              <w:t>organizācijas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hAnsi="Times New Roman"/>
                <w:b/>
                <w:sz w:val="24"/>
              </w:rPr>
              <w:t>S15 00 00</w:t>
            </w:r>
          </w:p>
        </w:tc>
      </w:tr>
    </w:tbl>
    <w:bookmarkEnd w:id="1"/>
    <w:p w:rsidR="00BA0636" w:rsidRPr="00646E6D" w:rsidRDefault="00BA0636" w:rsidP="00BA0636">
      <w:pPr>
        <w:spacing w:before="450"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646E6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III. Ārvalstu institucionālie sektori</w:t>
      </w:r>
    </w:p>
    <w:tbl>
      <w:tblPr>
        <w:tblW w:w="9648" w:type="dxa"/>
        <w:tblCellSpacing w:w="0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484"/>
        <w:gridCol w:w="1417"/>
      </w:tblGrid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Klasifikācijas kods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Nerezidenti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S20 00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right="127" w:firstLine="3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Eiropas Savienības dalībvalstis, iestādes un struktūras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00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left="450" w:right="127" w:firstLine="3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Eiropas Savienības dalībvalstis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10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left="900" w:right="127" w:firstLine="6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Eurozonas dalībvalstis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577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11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Nefinanšu sabiedrības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11 10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Finanšu sabiedrības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11 20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Centrālās</w:t>
            </w: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bankas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21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8.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Noguldījumu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pieņemošas sabiedrības, izņemot centrālo banku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22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9.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tirgus fondi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23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10.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Ieguldījumu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fondi, izņemot naudas tirgus </w:t>
            </w: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fondus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24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finanšu starpnieki, izņemot apdrošināšanas sabiedrības un pensiju fondus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25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palīgsabiedrības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26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Piesaistošās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finanšu iestādes un naudas aizdevēji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27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Apdrošināšanas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28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Pensiju</w:t>
            </w: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fondi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11 29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Vispārējās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11 30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11 31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Pavalstu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11 32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Vietējās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11 33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20.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Sociālās nodrošināšanas fondi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11 34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Mājsaimniecības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11 40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Mājsaimniecības apkalpojošās bezpeļņas organizācijas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11 50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left="900" w:right="127" w:firstLine="6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Dalībvalstis, kas nav eurozonas dalībnieces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12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Nefinanšu 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12 10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Finanšu sabiedrības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12 20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Centrālās</w:t>
            </w: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bankas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21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Noguldījumu pieņemošas sabiedrības, izņemot centrālo banku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22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Naudas tirgus fondi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23</w:t>
            </w:r>
          </w:p>
        </w:tc>
      </w:tr>
      <w:tr w:rsidR="00BA0636" w:rsidRPr="00646E6D" w:rsidTr="004254D2">
        <w:trPr>
          <w:trHeight w:val="236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Ieguldījumu fondi, izņemot naudas tirgus fondus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24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Citi</w:t>
            </w: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finanšu starpnieki, izņemot apdrošināšanas sabiedrības un pensiju fondus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25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Finanšu palīgsabiedrības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26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Piesaistošās finanšu iestādes un naudas aizdevēji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27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Apdrošināšanas 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28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Pensiju fondi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S21 12 29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Vispārējās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12 30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12 31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Pavalstu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12 32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Vietējās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12 33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Sociālās nodrošināšanas fondi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12 34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40.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Mājsaimniecības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12 40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Mājsaimniecības apkalpojošās bezpeļņas organizācijas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12 50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left="450" w:right="127" w:firstLine="3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Eiropas Savienības iestādes un struktūras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S21 20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900" w:right="127" w:firstLine="6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Centrālā banka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21 00</w:t>
            </w:r>
          </w:p>
        </w:tc>
      </w:tr>
      <w:tr w:rsidR="00BA0636" w:rsidRPr="00646E6D" w:rsidTr="004254D2">
        <w:trPr>
          <w:trHeight w:val="341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900" w:right="127" w:firstLine="6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iestādes un struktūras, izņemot Eiropas Centrālo banku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S21 22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36" w:rsidRPr="00646E6D" w:rsidRDefault="00BA0636" w:rsidP="004254D2">
            <w:pPr>
              <w:spacing w:after="0" w:line="240" w:lineRule="auto"/>
              <w:ind w:left="381" w:right="127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Trešās valstis un starptautiskās organizācijas, kas nav Eiropas Savienības rezidenti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00 00</w:t>
            </w:r>
          </w:p>
        </w:tc>
      </w:tr>
      <w:tr w:rsidR="00BA0636" w:rsidRPr="00646E6D" w:rsidTr="004254D2">
        <w:trPr>
          <w:trHeight w:val="70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450" w:right="127" w:firstLine="3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Trešās valstis, kas nav Eiropas Savienības rezidenti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10 00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Nefinanšu 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10 10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Finanšu sabiedrības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10 20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Centrālās</w:t>
            </w: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bankas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21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Noguldījumu pieņemošas sabiedrības, izņemot centrālo banku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22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Naudas tirgus fondi</w:t>
            </w:r>
            <w:r w:rsidRPr="00646E6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23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Ieguldījumu fondi, izņemot naudas tirgus fondus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24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Citi finanšu starpnieki, izņemot apdrošināšanas sabiedrības un pensiju fondus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25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hAnsi="Times New Roman"/>
                <w:sz w:val="24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Finanšu palīgsabiedrības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26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hAnsi="Times New Roman"/>
                <w:sz w:val="24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Piesaistošās finanšu iestādes un naudas aizdevēji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27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hAnsi="Times New Roman"/>
                <w:sz w:val="24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Apdrošināšanas sabiedrības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28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hAnsi="Times New Roman"/>
                <w:sz w:val="24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Pensiju fondi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S22 10 29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Vispārējās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10 30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Centrālās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S22 10 31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Pavalstu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S22 10 32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Vietējās valdības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S22 10 33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2504" w:right="1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Sociālās nodrošināšanas fondi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S22 10 34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Mājsaimniecības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10 40</w:t>
            </w:r>
          </w:p>
        </w:tc>
      </w:tr>
      <w:tr w:rsidR="00BA0636" w:rsidRPr="00646E6D" w:rsidTr="004254D2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1937" w:right="127"/>
              <w:jc w:val="both"/>
              <w:rPr>
                <w:rFonts w:ascii="Times New Roman" w:hAnsi="Times New Roman"/>
                <w:b/>
                <w:sz w:val="24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Mājsaimniecības apkalpojošās bezpeļņas organizācijas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10 50</w:t>
            </w:r>
          </w:p>
        </w:tc>
      </w:tr>
      <w:tr w:rsidR="00BA0636" w:rsidRPr="00646E6D" w:rsidTr="004254D2">
        <w:trPr>
          <w:trHeight w:val="374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636" w:rsidRPr="00646E6D" w:rsidRDefault="00BA0636" w:rsidP="004254D2">
            <w:pPr>
              <w:spacing w:after="0" w:line="240" w:lineRule="auto"/>
              <w:ind w:left="450" w:right="127" w:firstLine="3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Starptautiskās organizācijas, kas nav Eiropas Savienības rezidenti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36" w:rsidRPr="00646E6D" w:rsidRDefault="00BA0636" w:rsidP="0042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46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S22 20 00</w:t>
            </w:r>
          </w:p>
        </w:tc>
      </w:tr>
    </w:tbl>
    <w:p w:rsidR="00BA0636" w:rsidRPr="00646E6D" w:rsidRDefault="00BA0636" w:rsidP="00BA0636">
      <w:pPr>
        <w:spacing w:before="75" w:after="75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6E6D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BA0636" w:rsidRPr="00646E6D" w:rsidRDefault="00BA0636" w:rsidP="00BA0636">
      <w:pPr>
        <w:rPr>
          <w:rFonts w:ascii="Times New Roman" w:eastAsia="Times New Roman" w:hAnsi="Times New Roman"/>
          <w:sz w:val="24"/>
          <w:szCs w:val="28"/>
          <w:lang w:eastAsia="lv-LV"/>
        </w:rPr>
      </w:pPr>
    </w:p>
    <w:p w:rsidR="00BA0636" w:rsidRPr="00646E6D" w:rsidRDefault="00BA0636" w:rsidP="00BA0636">
      <w:pPr>
        <w:rPr>
          <w:rFonts w:ascii="Times New Roman" w:eastAsia="Times New Roman" w:hAnsi="Times New Roman"/>
          <w:sz w:val="24"/>
          <w:szCs w:val="28"/>
          <w:lang w:eastAsia="lv-LV"/>
        </w:rPr>
      </w:pP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>Finanšu ministrs</w:t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  <w:t xml:space="preserve">  A.Vilks</w:t>
      </w:r>
    </w:p>
    <w:p w:rsidR="00BA0636" w:rsidRPr="00646E6D" w:rsidRDefault="00BA0636" w:rsidP="00BA06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A0636" w:rsidRPr="00646E6D" w:rsidRDefault="00BA0636" w:rsidP="00BA06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A0636" w:rsidRPr="00646E6D" w:rsidRDefault="00BA0636" w:rsidP="00BA06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A0636" w:rsidRPr="00646E6D" w:rsidRDefault="00BA0636" w:rsidP="00BA063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BA0636" w:rsidRPr="00646E6D" w:rsidRDefault="00BA0636" w:rsidP="00BA06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A0636" w:rsidRPr="00646E6D" w:rsidRDefault="00BA0636" w:rsidP="00BA06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A0636" w:rsidRPr="00646E6D" w:rsidRDefault="00073ABA" w:rsidP="00BA06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</w:t>
      </w:r>
      <w:r w:rsidR="008459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BA0636" w:rsidRPr="00646E6D">
        <w:rPr>
          <w:rFonts w:ascii="Times New Roman" w:hAnsi="Times New Roman"/>
          <w:sz w:val="20"/>
          <w:szCs w:val="20"/>
        </w:rPr>
        <w:t xml:space="preserve">.2013 </w:t>
      </w:r>
      <w:r w:rsidR="00BA063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="00BA0636" w:rsidRPr="00646E6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2</w:t>
      </w:r>
      <w:r w:rsidR="00BA0636" w:rsidRPr="00646E6D">
        <w:rPr>
          <w:rFonts w:ascii="Times New Roman" w:hAnsi="Times New Roman"/>
          <w:sz w:val="20"/>
          <w:szCs w:val="20"/>
        </w:rPr>
        <w:t>0</w:t>
      </w:r>
    </w:p>
    <w:p w:rsidR="00BA0636" w:rsidRPr="00646E6D" w:rsidRDefault="00A01B64" w:rsidP="00BA06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1303</w:t>
      </w:r>
      <w:r w:rsidR="007D2044">
        <w:rPr>
          <w:rFonts w:ascii="Times New Roman" w:hAnsi="Times New Roman"/>
          <w:sz w:val="20"/>
          <w:szCs w:val="20"/>
        </w:rPr>
        <w:t xml:space="preserve"> </w:t>
      </w:r>
      <w:r w:rsidR="00BA0636">
        <w:rPr>
          <w:rFonts w:ascii="Times New Roman" w:hAnsi="Times New Roman"/>
          <w:sz w:val="20"/>
          <w:szCs w:val="20"/>
        </w:rPr>
        <w:t>Ozoliņa</w:t>
      </w:r>
    </w:p>
    <w:p w:rsidR="00941C83" w:rsidRDefault="00BA0636" w:rsidP="00E4520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67083823</w:t>
      </w:r>
      <w:r w:rsidRPr="00646E6D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Liga.Ozoliņa@fm.gov.lv</w:t>
      </w:r>
      <w:bookmarkStart w:id="2" w:name="_GoBack"/>
      <w:bookmarkEnd w:id="2"/>
    </w:p>
    <w:sectPr w:rsidR="00941C83" w:rsidSect="00FF2C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36" w:rsidRDefault="00BA0636" w:rsidP="00BA0636">
      <w:pPr>
        <w:spacing w:after="0" w:line="240" w:lineRule="auto"/>
      </w:pPr>
      <w:r>
        <w:separator/>
      </w:r>
    </w:p>
  </w:endnote>
  <w:endnote w:type="continuationSeparator" w:id="0">
    <w:p w:rsidR="00BA0636" w:rsidRDefault="00BA0636" w:rsidP="00B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8" w:rsidRPr="0015586A" w:rsidRDefault="00BB42EB" w:rsidP="000A66FA">
    <w:pPr>
      <w:pStyle w:val="Footer"/>
      <w:jc w:val="both"/>
      <w:rPr>
        <w:rFonts w:ascii="Times New Roman" w:hAnsi="Times New Roman"/>
        <w:u w:val="single"/>
      </w:rPr>
    </w:pPr>
    <w:r w:rsidRPr="001D3403">
      <w:rPr>
        <w:rFonts w:ascii="Times New Roman" w:hAnsi="Times New Roman"/>
        <w:sz w:val="20"/>
      </w:rPr>
      <w:fldChar w:fldCharType="begin"/>
    </w:r>
    <w:r w:rsidRPr="001D3403">
      <w:rPr>
        <w:rFonts w:ascii="Times New Roman" w:hAnsi="Times New Roman"/>
        <w:sz w:val="20"/>
      </w:rPr>
      <w:instrText xml:space="preserve"> FILENAME   \* MERGEFORMAT </w:instrText>
    </w:r>
    <w:r w:rsidRPr="001D3403">
      <w:rPr>
        <w:rFonts w:ascii="Times New Roman" w:hAnsi="Times New Roman"/>
        <w:sz w:val="20"/>
      </w:rPr>
      <w:fldChar w:fldCharType="separate"/>
    </w:r>
    <w:r w:rsidR="00073ABA">
      <w:rPr>
        <w:rFonts w:ascii="Times New Roman" w:hAnsi="Times New Roman"/>
        <w:noProof/>
        <w:sz w:val="20"/>
      </w:rPr>
      <w:t>FMPiel_02122013_InstKl</w:t>
    </w:r>
    <w:r w:rsidRPr="001D3403">
      <w:rPr>
        <w:rFonts w:ascii="Times New Roman" w:hAnsi="Times New Roman"/>
        <w:sz w:val="20"/>
      </w:rPr>
      <w:fldChar w:fldCharType="end"/>
    </w:r>
    <w:r w:rsidRPr="001D3403">
      <w:rPr>
        <w:rFonts w:ascii="Times New Roman" w:hAnsi="Times New Roman"/>
        <w:sz w:val="20"/>
      </w:rPr>
      <w:t>;</w:t>
    </w:r>
    <w:r w:rsidR="00F1203D">
      <w:rPr>
        <w:rFonts w:ascii="Times New Roman" w:hAnsi="Times New Roman"/>
        <w:sz w:val="20"/>
      </w:rPr>
      <w:t xml:space="preserve"> Pielikums Nr.1</w:t>
    </w:r>
    <w:r w:rsidRPr="001D3403">
      <w:rPr>
        <w:rFonts w:ascii="Times New Roman" w:hAnsi="Times New Roman"/>
        <w:sz w:val="20"/>
      </w:rPr>
      <w:t xml:space="preserve"> Ministru kabineta noteikumu projekt</w:t>
    </w:r>
    <w:r w:rsidR="00F1203D">
      <w:rPr>
        <w:rFonts w:ascii="Times New Roman" w:hAnsi="Times New Roman"/>
        <w:sz w:val="20"/>
      </w:rPr>
      <w:t>am</w:t>
    </w:r>
    <w:r w:rsidRPr="001D3403">
      <w:rPr>
        <w:rFonts w:ascii="Times New Roman" w:hAnsi="Times New Roman"/>
        <w:sz w:val="20"/>
      </w:rPr>
      <w:t xml:space="preserve"> „Noteikumi par institucionālo sektoru klasifikāciju”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8" w:rsidRPr="001D3403" w:rsidRDefault="00BB42EB" w:rsidP="000A66FA">
    <w:pPr>
      <w:pStyle w:val="Footer"/>
      <w:jc w:val="both"/>
      <w:rPr>
        <w:rFonts w:ascii="Times New Roman" w:hAnsi="Times New Roman"/>
      </w:rPr>
    </w:pPr>
    <w:r w:rsidRPr="001D3403">
      <w:rPr>
        <w:rFonts w:ascii="Times New Roman" w:hAnsi="Times New Roman"/>
        <w:sz w:val="20"/>
      </w:rPr>
      <w:fldChar w:fldCharType="begin"/>
    </w:r>
    <w:r w:rsidRPr="001D3403">
      <w:rPr>
        <w:rFonts w:ascii="Times New Roman" w:hAnsi="Times New Roman"/>
        <w:sz w:val="20"/>
      </w:rPr>
      <w:instrText xml:space="preserve"> FILENAME   \* MERGEFORMAT </w:instrText>
    </w:r>
    <w:r w:rsidRPr="001D3403">
      <w:rPr>
        <w:rFonts w:ascii="Times New Roman" w:hAnsi="Times New Roman"/>
        <w:sz w:val="20"/>
      </w:rPr>
      <w:fldChar w:fldCharType="separate"/>
    </w:r>
    <w:r w:rsidR="00073ABA">
      <w:rPr>
        <w:rFonts w:ascii="Times New Roman" w:hAnsi="Times New Roman"/>
        <w:noProof/>
        <w:sz w:val="20"/>
      </w:rPr>
      <w:t>FMPiel_02122013_InstKl</w:t>
    </w:r>
    <w:r w:rsidRPr="001D3403">
      <w:rPr>
        <w:rFonts w:ascii="Times New Roman" w:hAnsi="Times New Roman"/>
        <w:sz w:val="20"/>
      </w:rPr>
      <w:fldChar w:fldCharType="end"/>
    </w:r>
    <w:r w:rsidRPr="001D3403">
      <w:rPr>
        <w:rFonts w:ascii="Times New Roman" w:hAnsi="Times New Roman"/>
        <w:sz w:val="20"/>
      </w:rPr>
      <w:t xml:space="preserve">; </w:t>
    </w:r>
    <w:r w:rsidR="00F1203D">
      <w:rPr>
        <w:rFonts w:ascii="Times New Roman" w:hAnsi="Times New Roman"/>
        <w:sz w:val="20"/>
      </w:rPr>
      <w:t xml:space="preserve">Pielikums Nr.1 </w:t>
    </w:r>
    <w:r w:rsidRPr="001D3403">
      <w:rPr>
        <w:rFonts w:ascii="Times New Roman" w:hAnsi="Times New Roman"/>
        <w:sz w:val="20"/>
      </w:rPr>
      <w:t>Mini</w:t>
    </w:r>
    <w:r w:rsidR="00F1203D">
      <w:rPr>
        <w:rFonts w:ascii="Times New Roman" w:hAnsi="Times New Roman"/>
        <w:sz w:val="20"/>
      </w:rPr>
      <w:t>stru kabineta noteikumu projektam</w:t>
    </w:r>
    <w:r w:rsidRPr="001D3403">
      <w:rPr>
        <w:rFonts w:ascii="Times New Roman" w:hAnsi="Times New Roman"/>
        <w:sz w:val="20"/>
      </w:rPr>
      <w:t xml:space="preserve"> „Noteikumi par institucionālo sektoru klasifikāciju”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36" w:rsidRDefault="00BA0636" w:rsidP="00BA0636">
      <w:pPr>
        <w:spacing w:after="0" w:line="240" w:lineRule="auto"/>
      </w:pPr>
      <w:r>
        <w:separator/>
      </w:r>
    </w:p>
  </w:footnote>
  <w:footnote w:type="continuationSeparator" w:id="0">
    <w:p w:rsidR="00BA0636" w:rsidRDefault="00BA0636" w:rsidP="00BA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688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9E8" w:rsidRDefault="00BB42EB" w:rsidP="006B3C52">
        <w:pPr>
          <w:pStyle w:val="Header"/>
          <w:jc w:val="center"/>
        </w:pPr>
        <w:r w:rsidRPr="00493E64">
          <w:rPr>
            <w:rFonts w:ascii="Times New Roman" w:hAnsi="Times New Roman"/>
            <w:sz w:val="24"/>
          </w:rPr>
          <w:fldChar w:fldCharType="begin"/>
        </w:r>
        <w:r w:rsidRPr="00493E64">
          <w:rPr>
            <w:rFonts w:ascii="Times New Roman" w:hAnsi="Times New Roman"/>
            <w:sz w:val="24"/>
          </w:rPr>
          <w:instrText xml:space="preserve"> PAGE   \* MERGEFORMAT </w:instrText>
        </w:r>
        <w:r w:rsidRPr="00493E64">
          <w:rPr>
            <w:rFonts w:ascii="Times New Roman" w:hAnsi="Times New Roman"/>
            <w:sz w:val="24"/>
          </w:rPr>
          <w:fldChar w:fldCharType="separate"/>
        </w:r>
        <w:r w:rsidR="00073ABA">
          <w:rPr>
            <w:rFonts w:ascii="Times New Roman" w:hAnsi="Times New Roman"/>
            <w:noProof/>
            <w:sz w:val="24"/>
          </w:rPr>
          <w:t>5</w:t>
        </w:r>
        <w:r w:rsidRPr="00493E64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8" w:rsidRPr="00493E64" w:rsidRDefault="00BB42EB" w:rsidP="00010B8E">
    <w:pPr>
      <w:pStyle w:val="Header"/>
      <w:jc w:val="right"/>
      <w:rPr>
        <w:rFonts w:ascii="Times New Roman" w:hAnsi="Times New Roman"/>
        <w:i/>
        <w:sz w:val="24"/>
        <w:szCs w:val="28"/>
      </w:rPr>
    </w:pPr>
    <w:r w:rsidRPr="00493E64">
      <w:rPr>
        <w:rFonts w:ascii="Times New Roman" w:hAnsi="Times New Roman"/>
        <w:i/>
        <w:sz w:val="24"/>
        <w:szCs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36"/>
    <w:rsid w:val="00073ABA"/>
    <w:rsid w:val="007D2044"/>
    <w:rsid w:val="008459A2"/>
    <w:rsid w:val="00941C83"/>
    <w:rsid w:val="00A01B64"/>
    <w:rsid w:val="00BA0636"/>
    <w:rsid w:val="00BB42EB"/>
    <w:rsid w:val="00E4520B"/>
    <w:rsid w:val="00F1203D"/>
    <w:rsid w:val="00F3788B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0E17-2801-4D79-B947-EE64AE5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3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0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63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A0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3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5963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institucionālo sektoru klasifikāciju” </vt:lpstr>
    </vt:vector>
  </TitlesOfParts>
  <Company>Finanšu ministrija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institucionālo sektoru klasifikāciju” </dc:title>
  <dc:subject>pielikums</dc:subject>
  <dc:creator>Līga Ozoliņa</dc:creator>
  <cp:keywords/>
  <dc:description>tālrunis 67083823
Liga.Ozolina@fm.gov.lv</dc:description>
  <cp:lastModifiedBy>Ilze Bule FPD</cp:lastModifiedBy>
  <cp:revision>10</cp:revision>
  <cp:lastPrinted>2013-11-21T09:05:00Z</cp:lastPrinted>
  <dcterms:created xsi:type="dcterms:W3CDTF">2013-10-24T10:43:00Z</dcterms:created>
  <dcterms:modified xsi:type="dcterms:W3CDTF">2013-12-02T10:12:00Z</dcterms:modified>
</cp:coreProperties>
</file>