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3.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33" w:rsidRPr="00024F33" w:rsidRDefault="00024F33" w:rsidP="00024F33">
      <w:pPr>
        <w:pStyle w:val="Heading1"/>
        <w:spacing w:before="0" w:line="240" w:lineRule="auto"/>
        <w:jc w:val="center"/>
        <w:rPr>
          <w:rFonts w:ascii="Times New Roman Bold" w:hAnsi="Times New Roman Bold" w:cs="Times New Roman"/>
          <w:smallCaps/>
          <w:color w:val="auto"/>
        </w:rPr>
      </w:pPr>
      <w:bookmarkStart w:id="0" w:name="_Toc330211748"/>
      <w:r w:rsidRPr="00024F33">
        <w:rPr>
          <w:rFonts w:ascii="Times New Roman Bold" w:hAnsi="Times New Roman Bold" w:cs="Times New Roman"/>
          <w:smallCaps/>
          <w:color w:val="auto"/>
        </w:rPr>
        <w:t>Pielikums</w:t>
      </w:r>
    </w:p>
    <w:p w:rsidR="00A83FA1" w:rsidRPr="00024F33" w:rsidRDefault="00024F33" w:rsidP="00A83FA1">
      <w:pPr>
        <w:pStyle w:val="Heading1"/>
        <w:spacing w:before="0" w:line="240" w:lineRule="auto"/>
        <w:jc w:val="center"/>
        <w:rPr>
          <w:rFonts w:ascii="Times New Roman Bold" w:hAnsi="Times New Roman Bold" w:cs="Times New Roman"/>
          <w:smallCaps/>
          <w:color w:val="auto"/>
        </w:rPr>
      </w:pPr>
      <w:r w:rsidRPr="00024F33">
        <w:rPr>
          <w:rFonts w:ascii="Times New Roman Bold" w:hAnsi="Times New Roman Bold" w:cs="Times New Roman"/>
          <w:color w:val="auto"/>
        </w:rPr>
        <w:t>Informatīva</w:t>
      </w:r>
      <w:r w:rsidR="00140741">
        <w:rPr>
          <w:rFonts w:ascii="Times New Roman Bold" w:hAnsi="Times New Roman Bold" w:cs="Times New Roman"/>
          <w:color w:val="auto"/>
        </w:rPr>
        <w:t>ja</w:t>
      </w:r>
      <w:r w:rsidRPr="00024F33">
        <w:rPr>
          <w:rFonts w:ascii="Times New Roman Bold" w:hAnsi="Times New Roman Bold" w:cs="Times New Roman"/>
          <w:color w:val="auto"/>
        </w:rPr>
        <w:t>m ziņojumam „P</w:t>
      </w:r>
      <w:r w:rsidR="00A83FA1" w:rsidRPr="00024F33">
        <w:rPr>
          <w:rFonts w:ascii="Times New Roman Bold" w:hAnsi="Times New Roman Bold" w:cs="Times New Roman"/>
          <w:color w:val="auto"/>
        </w:rPr>
        <w:t>riekšlikum</w:t>
      </w:r>
      <w:r w:rsidRPr="00024F33">
        <w:rPr>
          <w:rFonts w:ascii="Times New Roman Bold" w:hAnsi="Times New Roman Bold" w:cs="Times New Roman"/>
          <w:color w:val="auto"/>
        </w:rPr>
        <w:t>i</w:t>
      </w:r>
      <w:r w:rsidR="00A83FA1" w:rsidRPr="00024F33">
        <w:rPr>
          <w:rFonts w:ascii="Times New Roman Bold" w:hAnsi="Times New Roman Bold" w:cs="Times New Roman"/>
          <w:color w:val="auto"/>
        </w:rPr>
        <w:t xml:space="preserve"> </w:t>
      </w:r>
      <w:r w:rsidR="00140741">
        <w:rPr>
          <w:rFonts w:ascii="Times New Roman Bold" w:hAnsi="Times New Roman Bold" w:cs="Times New Roman"/>
          <w:color w:val="auto"/>
        </w:rPr>
        <w:t>ienākumu</w:t>
      </w:r>
      <w:r w:rsidR="00A83FA1" w:rsidRPr="00024F33">
        <w:rPr>
          <w:rFonts w:ascii="Times New Roman Bold" w:hAnsi="Times New Roman Bold" w:cs="Times New Roman"/>
          <w:color w:val="auto"/>
        </w:rPr>
        <w:t xml:space="preserve"> nevienlīdzības mazināšanai</w:t>
      </w:r>
      <w:r w:rsidR="00A83FA1" w:rsidRPr="00024F33">
        <w:rPr>
          <w:rFonts w:ascii="Times New Roman Bold" w:hAnsi="Times New Roman Bold" w:cs="Times New Roman"/>
          <w:smallCaps/>
          <w:color w:val="auto"/>
        </w:rPr>
        <w:t>”</w:t>
      </w:r>
    </w:p>
    <w:bookmarkEnd w:id="0"/>
    <w:p w:rsidR="0085506E" w:rsidRPr="00024F33" w:rsidRDefault="0085506E" w:rsidP="0085506E">
      <w:pPr>
        <w:rPr>
          <w:sz w:val="28"/>
          <w:szCs w:val="28"/>
        </w:rPr>
      </w:pPr>
    </w:p>
    <w:p w:rsidR="002E32FC" w:rsidRDefault="00A83FA1" w:rsidP="002E32FC">
      <w:pPr>
        <w:pStyle w:val="ListParagraph"/>
        <w:numPr>
          <w:ilvl w:val="0"/>
          <w:numId w:val="4"/>
        </w:numPr>
        <w:tabs>
          <w:tab w:val="left" w:pos="709"/>
        </w:tabs>
        <w:spacing w:before="240" w:after="240" w:line="240" w:lineRule="auto"/>
        <w:ind w:left="0" w:firstLine="0"/>
        <w:jc w:val="both"/>
        <w:rPr>
          <w:rFonts w:ascii="Times New Roman" w:hAnsi="Times New Roman" w:cs="Times New Roman"/>
          <w:b/>
          <w:i/>
          <w:sz w:val="28"/>
          <w:szCs w:val="28"/>
        </w:rPr>
      </w:pPr>
      <w:r w:rsidRPr="002E32FC">
        <w:rPr>
          <w:rFonts w:ascii="Times New Roman" w:hAnsi="Times New Roman" w:cs="Times New Roman"/>
          <w:b/>
          <w:i/>
          <w:sz w:val="28"/>
          <w:szCs w:val="28"/>
        </w:rPr>
        <w:t>Nodarbinātība</w:t>
      </w:r>
      <w:r w:rsidR="002E32FC" w:rsidRPr="002E32FC">
        <w:rPr>
          <w:rFonts w:ascii="Times New Roman" w:hAnsi="Times New Roman" w:cs="Times New Roman"/>
          <w:b/>
          <w:i/>
          <w:sz w:val="28"/>
          <w:szCs w:val="28"/>
        </w:rPr>
        <w:t xml:space="preserve">s un </w:t>
      </w:r>
      <w:r w:rsidRPr="002E32FC">
        <w:rPr>
          <w:rFonts w:ascii="Times New Roman" w:hAnsi="Times New Roman" w:cs="Times New Roman"/>
          <w:b/>
          <w:i/>
          <w:sz w:val="28"/>
          <w:szCs w:val="28"/>
        </w:rPr>
        <w:t>darba samaksas attīstība</w:t>
      </w:r>
    </w:p>
    <w:p w:rsidR="0085506E" w:rsidRPr="002E32FC" w:rsidRDefault="00A83FA1" w:rsidP="002E32FC">
      <w:pPr>
        <w:spacing w:before="120" w:after="120" w:line="240" w:lineRule="auto"/>
        <w:ind w:firstLine="709"/>
        <w:jc w:val="both"/>
        <w:rPr>
          <w:rFonts w:ascii="Times New Roman" w:hAnsi="Times New Roman" w:cs="Times New Roman"/>
          <w:b/>
          <w:i/>
          <w:sz w:val="28"/>
          <w:szCs w:val="28"/>
        </w:rPr>
      </w:pPr>
      <w:r w:rsidRPr="002E32FC">
        <w:rPr>
          <w:rFonts w:ascii="Times New Roman" w:hAnsi="Times New Roman" w:cs="Times New Roman"/>
          <w:b/>
          <w:i/>
          <w:sz w:val="28"/>
          <w:szCs w:val="28"/>
        </w:rPr>
        <w:t xml:space="preserve"> </w:t>
      </w:r>
      <w:r w:rsidR="0085506E" w:rsidRPr="002E32FC">
        <w:rPr>
          <w:rFonts w:ascii="Times New Roman" w:hAnsi="Times New Roman" w:cs="Times New Roman"/>
          <w:sz w:val="28"/>
          <w:szCs w:val="28"/>
        </w:rPr>
        <w:t xml:space="preserve">Ekonomiskas attīstības lejupslīde ir atstājusi būtisku ietekmi uz nodarbinātību un darba samaksu Latvijā. </w:t>
      </w:r>
    </w:p>
    <w:p w:rsidR="002E32FC" w:rsidRPr="009C784A" w:rsidRDefault="002E32FC" w:rsidP="002E32FC">
      <w:pPr>
        <w:autoSpaceDE w:val="0"/>
        <w:autoSpaceDN w:val="0"/>
        <w:adjustRightInd w:val="0"/>
        <w:spacing w:after="120" w:line="240" w:lineRule="auto"/>
        <w:ind w:firstLine="709"/>
        <w:jc w:val="both"/>
        <w:rPr>
          <w:rFonts w:ascii="Times New Roman" w:hAnsi="Times New Roman" w:cs="Times New Roman"/>
          <w:color w:val="000000"/>
          <w:sz w:val="28"/>
          <w:szCs w:val="28"/>
        </w:rPr>
      </w:pPr>
      <w:r w:rsidRPr="009C784A">
        <w:rPr>
          <w:rFonts w:ascii="Times New Roman" w:hAnsi="Times New Roman" w:cs="Times New Roman"/>
          <w:color w:val="000000"/>
          <w:sz w:val="28"/>
          <w:szCs w:val="28"/>
        </w:rPr>
        <w:t xml:space="preserve">Līdz ar ekonomisko lejupslīdi būtiski pasliktinājās situācija darba tirgū – strauji samazinājās nodarbināto skaits un pieauga bezdarba līmenis. Būtiski krītoties darbaspēka pieprasījumam, nodarbināto skaits 2009.gadā, salīdzinot ar 2008.gadu, samazinājās par </w:t>
      </w:r>
      <w:r>
        <w:rPr>
          <w:rFonts w:ascii="Times New Roman" w:hAnsi="Times New Roman" w:cs="Times New Roman"/>
          <w:color w:val="000000"/>
          <w:sz w:val="28"/>
          <w:szCs w:val="28"/>
        </w:rPr>
        <w:t>137,4 </w:t>
      </w:r>
      <w:r w:rsidRPr="009C784A">
        <w:rPr>
          <w:rFonts w:ascii="Times New Roman" w:hAnsi="Times New Roman" w:cs="Times New Roman"/>
          <w:color w:val="000000"/>
          <w:sz w:val="28"/>
          <w:szCs w:val="28"/>
        </w:rPr>
        <w:t xml:space="preserve">tūkst. jeb </w:t>
      </w:r>
      <w:r>
        <w:rPr>
          <w:rFonts w:ascii="Times New Roman" w:hAnsi="Times New Roman" w:cs="Times New Roman"/>
          <w:color w:val="000000"/>
          <w:sz w:val="28"/>
          <w:szCs w:val="28"/>
        </w:rPr>
        <w:t>12,2</w:t>
      </w:r>
      <w:r w:rsidRPr="009C784A">
        <w:rPr>
          <w:rFonts w:ascii="Times New Roman" w:hAnsi="Times New Roman" w:cs="Times New Roman"/>
          <w:color w:val="000000"/>
          <w:sz w:val="28"/>
          <w:szCs w:val="28"/>
        </w:rPr>
        <w:t xml:space="preserve">%, bet bezdarba līmenis pieauga par 9,4 procentpunktiem. </w:t>
      </w:r>
    </w:p>
    <w:p w:rsidR="002E32FC" w:rsidRPr="009C784A" w:rsidRDefault="002E32FC" w:rsidP="002E32FC">
      <w:pPr>
        <w:autoSpaceDE w:val="0"/>
        <w:autoSpaceDN w:val="0"/>
        <w:adjustRightInd w:val="0"/>
        <w:spacing w:after="120" w:line="240" w:lineRule="auto"/>
        <w:ind w:firstLine="709"/>
        <w:jc w:val="both"/>
        <w:rPr>
          <w:rFonts w:ascii="Times New Roman" w:hAnsi="Times New Roman" w:cs="Times New Roman"/>
          <w:color w:val="000000"/>
          <w:sz w:val="28"/>
          <w:szCs w:val="28"/>
        </w:rPr>
      </w:pPr>
      <w:r w:rsidRPr="009C784A">
        <w:rPr>
          <w:rFonts w:ascii="Times New Roman" w:hAnsi="Times New Roman" w:cs="Times New Roman"/>
          <w:color w:val="000000"/>
          <w:sz w:val="28"/>
          <w:szCs w:val="28"/>
        </w:rPr>
        <w:t xml:space="preserve">Darba tirgū zemākais punkts tika sasniegts 2010.gada 1.ceturksnī, kad nodarbinātības līmenis bija tikai 57,7%, bet bezdarba līmenis sasniedza 20,4% no ekonomiski aktīvajiem iedzīvotājiem. </w:t>
      </w:r>
    </w:p>
    <w:p w:rsidR="002E32FC" w:rsidRPr="00EB4775" w:rsidRDefault="002E32FC" w:rsidP="002E32FC">
      <w:pPr>
        <w:spacing w:after="120" w:line="240" w:lineRule="auto"/>
        <w:ind w:firstLine="709"/>
        <w:jc w:val="both"/>
        <w:rPr>
          <w:rFonts w:ascii="Times New Roman" w:hAnsi="Times New Roman" w:cs="Times New Roman"/>
          <w:sz w:val="28"/>
          <w:szCs w:val="28"/>
        </w:rPr>
      </w:pPr>
      <w:r w:rsidRPr="00EB4775">
        <w:rPr>
          <w:rFonts w:ascii="Times New Roman" w:hAnsi="Times New Roman" w:cs="Times New Roman"/>
          <w:sz w:val="28"/>
          <w:szCs w:val="28"/>
        </w:rPr>
        <w:t>Pakāpeniska ekonomisko aktivitāšu palielināšanās pozitīvi ietekmē situāciju darba tirgū – pieaug nodarbinātība un mazinās krīzes izraisītais augstais bezdarbs. Tajā pašā laikā atsevišķas iedzīvotāju grupas, īpaši personas ar zemu izglītības līmeni un kvalifikāciju, gados vecāki cilvēki, kā arī jaunieši, situācijas uzlabošanos izjūt vājāk.</w:t>
      </w:r>
    </w:p>
    <w:p w:rsidR="0085506E" w:rsidRPr="009C784A" w:rsidRDefault="0085506E" w:rsidP="0085506E">
      <w:pPr>
        <w:pStyle w:val="ListParagraph"/>
        <w:spacing w:after="240" w:line="240" w:lineRule="auto"/>
        <w:ind w:left="0" w:firstLine="709"/>
        <w:jc w:val="both"/>
        <w:rPr>
          <w:rFonts w:ascii="Times New Roman" w:hAnsi="Times New Roman" w:cs="Times New Roman"/>
          <w:color w:val="000000"/>
          <w:sz w:val="28"/>
          <w:szCs w:val="28"/>
        </w:rPr>
      </w:pPr>
    </w:p>
    <w:p w:rsidR="0085506E" w:rsidRDefault="0085506E" w:rsidP="0085506E">
      <w:pPr>
        <w:pStyle w:val="ListParagraph"/>
        <w:spacing w:before="120" w:after="120" w:line="240" w:lineRule="auto"/>
        <w:ind w:left="0"/>
        <w:jc w:val="both"/>
        <w:rPr>
          <w:rFonts w:ascii="Times New Roman" w:hAnsi="Times New Roman" w:cs="Times New Roman"/>
          <w:b/>
          <w:sz w:val="24"/>
          <w:szCs w:val="24"/>
        </w:rPr>
      </w:pPr>
      <w:r>
        <w:rPr>
          <w:noProof/>
          <w:lang w:eastAsia="lv-LV"/>
        </w:rPr>
        <w:drawing>
          <wp:inline distT="0" distB="0" distL="0" distR="0" wp14:anchorId="5ECEECD5" wp14:editId="4360900E">
            <wp:extent cx="2639683" cy="2527540"/>
            <wp:effectExtent l="0" t="0" r="889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lv-LV"/>
        </w:rPr>
        <w:drawing>
          <wp:inline distT="0" distB="0" distL="0" distR="0" wp14:anchorId="6A833968" wp14:editId="473E4032">
            <wp:extent cx="2907102" cy="250166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506E" w:rsidRPr="00055DE4" w:rsidRDefault="0085506E" w:rsidP="0085506E">
      <w:pPr>
        <w:pStyle w:val="ListParagraph"/>
        <w:spacing w:before="120" w:after="120" w:line="240" w:lineRule="auto"/>
        <w:ind w:left="0"/>
        <w:jc w:val="both"/>
        <w:rPr>
          <w:rFonts w:ascii="Times New Roman" w:hAnsi="Times New Roman" w:cs="Times New Roman"/>
          <w:b/>
          <w:sz w:val="6"/>
          <w:szCs w:val="6"/>
        </w:rPr>
      </w:pPr>
    </w:p>
    <w:p w:rsidR="0085506E" w:rsidRPr="009C784A" w:rsidRDefault="0085506E" w:rsidP="0085506E">
      <w:pPr>
        <w:pStyle w:val="ListParagraph"/>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Pr="009C784A">
        <w:rPr>
          <w:rFonts w:ascii="Times New Roman" w:hAnsi="Times New Roman" w:cs="Times New Roman"/>
          <w:b/>
          <w:sz w:val="24"/>
          <w:szCs w:val="24"/>
        </w:rPr>
        <w:t>.att. Nodarbinātība un bezdarbs</w:t>
      </w:r>
    </w:p>
    <w:p w:rsidR="0085506E" w:rsidRPr="00FC6EC5" w:rsidRDefault="0085506E" w:rsidP="0085506E">
      <w:pPr>
        <w:pStyle w:val="ListParagraph"/>
        <w:tabs>
          <w:tab w:val="left" w:pos="709"/>
        </w:tabs>
        <w:spacing w:after="60" w:line="240" w:lineRule="auto"/>
        <w:ind w:left="709" w:hanging="709"/>
        <w:jc w:val="both"/>
        <w:rPr>
          <w:rFonts w:ascii="Times New Roman" w:hAnsi="Times New Roman" w:cs="Times New Roman"/>
          <w:i/>
          <w:sz w:val="24"/>
          <w:szCs w:val="24"/>
        </w:rPr>
      </w:pPr>
      <w:r w:rsidRPr="009C784A">
        <w:rPr>
          <w:rFonts w:ascii="Times New Roman" w:hAnsi="Times New Roman" w:cs="Times New Roman"/>
          <w:b/>
          <w:i/>
          <w:sz w:val="24"/>
          <w:szCs w:val="24"/>
        </w:rPr>
        <w:t>Avots:</w:t>
      </w:r>
      <w:r w:rsidRPr="009C784A">
        <w:rPr>
          <w:rFonts w:ascii="Times New Roman" w:hAnsi="Times New Roman" w:cs="Times New Roman"/>
          <w:sz w:val="24"/>
          <w:szCs w:val="24"/>
        </w:rPr>
        <w:t xml:space="preserve"> CSP</w:t>
      </w:r>
    </w:p>
    <w:p w:rsidR="0085506E" w:rsidRDefault="0085506E" w:rsidP="0085506E">
      <w:pPr>
        <w:pStyle w:val="ListParagraph"/>
        <w:spacing w:after="120" w:line="240" w:lineRule="auto"/>
        <w:ind w:left="0" w:firstLine="709"/>
        <w:jc w:val="both"/>
        <w:rPr>
          <w:rFonts w:ascii="Times New Roman" w:hAnsi="Times New Roman" w:cs="Times New Roman"/>
          <w:sz w:val="8"/>
          <w:szCs w:val="8"/>
        </w:rPr>
      </w:pPr>
    </w:p>
    <w:p w:rsidR="00A83FA1" w:rsidRDefault="00A83FA1" w:rsidP="0085506E">
      <w:pPr>
        <w:pStyle w:val="ListParagraph"/>
        <w:spacing w:after="120" w:line="240" w:lineRule="auto"/>
        <w:ind w:left="0" w:firstLine="709"/>
        <w:jc w:val="both"/>
        <w:rPr>
          <w:rFonts w:ascii="Times New Roman" w:hAnsi="Times New Roman" w:cs="Times New Roman"/>
          <w:sz w:val="28"/>
          <w:szCs w:val="28"/>
        </w:rPr>
      </w:pPr>
    </w:p>
    <w:p w:rsidR="0034552F" w:rsidRDefault="0085506E" w:rsidP="0034552F">
      <w:pPr>
        <w:pStyle w:val="ListParagraph"/>
        <w:spacing w:after="120" w:line="240" w:lineRule="auto"/>
        <w:ind w:left="0" w:firstLine="709"/>
        <w:jc w:val="both"/>
        <w:rPr>
          <w:rFonts w:ascii="Times New Roman" w:hAnsi="Times New Roman"/>
          <w:sz w:val="28"/>
          <w:szCs w:val="28"/>
        </w:rPr>
      </w:pPr>
      <w:r w:rsidRPr="00DD00C5">
        <w:rPr>
          <w:rFonts w:ascii="Times New Roman" w:hAnsi="Times New Roman" w:cs="Times New Roman"/>
          <w:sz w:val="28"/>
          <w:szCs w:val="28"/>
        </w:rPr>
        <w:t xml:space="preserve">2012.gada decembra beigās </w:t>
      </w:r>
      <w:r>
        <w:rPr>
          <w:rFonts w:ascii="Times New Roman" w:hAnsi="Times New Roman" w:cs="Times New Roman"/>
          <w:sz w:val="28"/>
          <w:szCs w:val="28"/>
        </w:rPr>
        <w:t>r</w:t>
      </w:r>
      <w:r w:rsidRPr="00DD00C5">
        <w:rPr>
          <w:rFonts w:ascii="Times New Roman" w:hAnsi="Times New Roman" w:cs="Times New Roman"/>
          <w:sz w:val="28"/>
          <w:szCs w:val="28"/>
        </w:rPr>
        <w:t xml:space="preserve">eģistrētā bezdarba līmenis valstī bija 10,5%. Salīdzinot ar 2012.gada </w:t>
      </w:r>
      <w:r w:rsidR="0034552F">
        <w:rPr>
          <w:rFonts w:ascii="Times New Roman" w:hAnsi="Times New Roman" w:cs="Times New Roman"/>
          <w:sz w:val="28"/>
          <w:szCs w:val="28"/>
        </w:rPr>
        <w:t>sākumu</w:t>
      </w:r>
      <w:r>
        <w:rPr>
          <w:rFonts w:ascii="Times New Roman" w:hAnsi="Times New Roman" w:cs="Times New Roman"/>
          <w:sz w:val="28"/>
          <w:szCs w:val="28"/>
        </w:rPr>
        <w:t>,</w:t>
      </w:r>
      <w:r w:rsidRPr="00DD00C5">
        <w:rPr>
          <w:rFonts w:ascii="Times New Roman" w:hAnsi="Times New Roman" w:cs="Times New Roman"/>
          <w:sz w:val="28"/>
          <w:szCs w:val="28"/>
        </w:rPr>
        <w:t xml:space="preserve"> reģistrētā bezdarba līmenis samazinājies par 1</w:t>
      </w:r>
      <w:r w:rsidR="0034552F">
        <w:rPr>
          <w:rFonts w:ascii="Times New Roman" w:hAnsi="Times New Roman" w:cs="Times New Roman"/>
          <w:sz w:val="28"/>
          <w:szCs w:val="28"/>
        </w:rPr>
        <w:t>,2</w:t>
      </w:r>
      <w:r w:rsidRPr="00DD00C5">
        <w:rPr>
          <w:rFonts w:ascii="Times New Roman" w:hAnsi="Times New Roman" w:cs="Times New Roman"/>
          <w:sz w:val="28"/>
          <w:szCs w:val="28"/>
        </w:rPr>
        <w:t xml:space="preserve"> </w:t>
      </w:r>
      <w:r>
        <w:rPr>
          <w:rFonts w:ascii="Times New Roman" w:hAnsi="Times New Roman" w:cs="Times New Roman"/>
          <w:sz w:val="28"/>
          <w:szCs w:val="28"/>
        </w:rPr>
        <w:t>procent</w:t>
      </w:r>
      <w:r w:rsidRPr="00DD00C5">
        <w:rPr>
          <w:rFonts w:ascii="Times New Roman" w:hAnsi="Times New Roman" w:cs="Times New Roman"/>
          <w:sz w:val="28"/>
          <w:szCs w:val="28"/>
        </w:rPr>
        <w:t>punktiem</w:t>
      </w:r>
      <w:r w:rsidR="0034552F" w:rsidRPr="0034552F">
        <w:rPr>
          <w:sz w:val="28"/>
          <w:szCs w:val="28"/>
        </w:rPr>
        <w:t xml:space="preserve"> </w:t>
      </w:r>
      <w:r w:rsidR="0034552F">
        <w:rPr>
          <w:rFonts w:ascii="Times New Roman" w:hAnsi="Times New Roman"/>
          <w:sz w:val="28"/>
          <w:szCs w:val="28"/>
        </w:rPr>
        <w:t xml:space="preserve">bet salīdzinājumā ar 2010.gada martu, </w:t>
      </w:r>
      <w:r w:rsidR="0034552F">
        <w:rPr>
          <w:rFonts w:ascii="Times New Roman" w:hAnsi="Times New Roman"/>
          <w:sz w:val="28"/>
          <w:szCs w:val="28"/>
        </w:rPr>
        <w:lastRenderedPageBreak/>
        <w:t>kad tas bija vislielākais valstī, par 6.8%</w:t>
      </w:r>
      <w:r w:rsidR="0034552F" w:rsidRPr="00DD00C5">
        <w:rPr>
          <w:rFonts w:ascii="Times New Roman" w:hAnsi="Times New Roman"/>
          <w:sz w:val="28"/>
          <w:szCs w:val="28"/>
        </w:rPr>
        <w:t xml:space="preserve">. </w:t>
      </w:r>
      <w:r w:rsidR="0034552F">
        <w:rPr>
          <w:rFonts w:ascii="Times New Roman" w:hAnsi="Times New Roman"/>
          <w:sz w:val="28"/>
          <w:szCs w:val="28"/>
        </w:rPr>
        <w:t xml:space="preserve">2012.gadā reģistrēto bezdarbnieku vidū tikai 24% saņēma bezdarbnieka pabalstu, savukārt ilgstošo bezdarbnieku (kas atrodas bezdarba situācijā ilgāk par gadu) īpatsvars pieauga līdz 44%. </w:t>
      </w:r>
    </w:p>
    <w:p w:rsidR="0085506E" w:rsidRPr="00DD00C5" w:rsidRDefault="0085506E" w:rsidP="0085506E">
      <w:pPr>
        <w:pStyle w:val="ListParagraph"/>
        <w:spacing w:after="120" w:line="240" w:lineRule="auto"/>
        <w:ind w:left="0" w:firstLine="709"/>
        <w:jc w:val="both"/>
        <w:rPr>
          <w:rFonts w:ascii="Times New Roman" w:hAnsi="Times New Roman" w:cs="Times New Roman"/>
          <w:sz w:val="8"/>
          <w:szCs w:val="8"/>
        </w:rPr>
      </w:pPr>
    </w:p>
    <w:p w:rsidR="0085506E" w:rsidRPr="009C784A" w:rsidRDefault="0085506E" w:rsidP="0085506E">
      <w:pPr>
        <w:pStyle w:val="ListParagraph"/>
        <w:spacing w:after="0" w:line="240" w:lineRule="auto"/>
        <w:ind w:left="0" w:firstLine="709"/>
        <w:jc w:val="both"/>
        <w:rPr>
          <w:rFonts w:ascii="Times New Roman" w:hAnsi="Times New Roman"/>
          <w:sz w:val="28"/>
          <w:szCs w:val="28"/>
        </w:rPr>
      </w:pPr>
      <w:r w:rsidRPr="009C784A">
        <w:rPr>
          <w:rFonts w:ascii="Times New Roman" w:hAnsi="Times New Roman" w:cs="Times New Roman"/>
          <w:sz w:val="28"/>
          <w:szCs w:val="28"/>
        </w:rPr>
        <w:t xml:space="preserve">Papildus jāatzīmē arī lielās izmaiņas nodarbinātībā starp nozarēm </w:t>
      </w:r>
      <w:r w:rsidR="0034552F" w:rsidRPr="004D52E8">
        <w:rPr>
          <w:rFonts w:ascii="Times New Roman" w:hAnsi="Times New Roman"/>
          <w:sz w:val="28"/>
          <w:szCs w:val="28"/>
        </w:rPr>
        <w:t>bija saistītas ar ekonomiskās un finanšu krīzes ietekmi uz atsevišķām tautsaimniecības nozarēm.</w:t>
      </w:r>
      <w:r w:rsidR="0034552F">
        <w:rPr>
          <w:rFonts w:ascii="Times New Roman" w:hAnsi="Times New Roman"/>
          <w:sz w:val="28"/>
          <w:szCs w:val="28"/>
        </w:rPr>
        <w:t xml:space="preserve"> Kā redzams no 1.tabulas, vislielākais nodarbināto samazinājums 2010.gadā bija vērojams būvniecībā un apstrādes rūpniecībā. Jāatzīmē, ka tik straujas izmaiņas atsevišķās nozarēs </w:t>
      </w:r>
      <w:r w:rsidRPr="009C784A">
        <w:rPr>
          <w:rFonts w:ascii="Times New Roman" w:hAnsi="Times New Roman" w:cs="Times New Roman"/>
          <w:sz w:val="28"/>
          <w:szCs w:val="28"/>
        </w:rPr>
        <w:t xml:space="preserve">var būt par pamatu </w:t>
      </w:r>
      <w:r w:rsidRPr="00E5684C">
        <w:rPr>
          <w:rFonts w:ascii="Times New Roman" w:hAnsi="Times New Roman" w:cs="Times New Roman"/>
          <w:sz w:val="28"/>
          <w:szCs w:val="28"/>
        </w:rPr>
        <w:t>struktu</w:t>
      </w:r>
      <w:r w:rsidRPr="00E5684C">
        <w:rPr>
          <w:rFonts w:ascii="Times New Roman" w:hAnsi="Times New Roman" w:cs="Times New Roman"/>
          <w:sz w:val="28"/>
          <w:szCs w:val="28"/>
        </w:rPr>
        <w:softHyphen/>
        <w:t>rālām bezdarba</w:t>
      </w:r>
      <w:r w:rsidRPr="009C784A">
        <w:rPr>
          <w:rFonts w:ascii="Times New Roman" w:hAnsi="Times New Roman" w:cs="Times New Roman"/>
          <w:sz w:val="28"/>
          <w:szCs w:val="28"/>
        </w:rPr>
        <w:t xml:space="preserve"> problēmām</w:t>
      </w:r>
      <w:r w:rsidR="0034552F">
        <w:rPr>
          <w:rFonts w:ascii="Times New Roman" w:hAnsi="Times New Roman" w:cs="Times New Roman"/>
          <w:sz w:val="28"/>
          <w:szCs w:val="28"/>
        </w:rPr>
        <w:t>, j</w:t>
      </w:r>
      <w:r w:rsidR="0034552F">
        <w:rPr>
          <w:rFonts w:ascii="Times New Roman" w:hAnsi="Times New Roman"/>
          <w:sz w:val="28"/>
          <w:szCs w:val="28"/>
        </w:rPr>
        <w:t>o vidēji un augsti kvalificēto speciālistu p</w:t>
      </w:r>
      <w:r w:rsidRPr="009C784A">
        <w:rPr>
          <w:rFonts w:ascii="Times New Roman" w:hAnsi="Times New Roman" w:cs="Times New Roman"/>
          <w:sz w:val="28"/>
          <w:szCs w:val="28"/>
        </w:rPr>
        <w:t xml:space="preserve">āreja uz citu nozari bieži prasa jaunas prasmes un iemaņas, </w:t>
      </w:r>
      <w:r w:rsidR="0034552F">
        <w:rPr>
          <w:rFonts w:ascii="Times New Roman" w:hAnsi="Times New Roman" w:cs="Times New Roman"/>
          <w:sz w:val="28"/>
          <w:szCs w:val="28"/>
        </w:rPr>
        <w:t xml:space="preserve">kas savukārt var </w:t>
      </w:r>
      <w:r w:rsidRPr="009C784A">
        <w:rPr>
          <w:rFonts w:ascii="Times New Roman" w:hAnsi="Times New Roman" w:cs="Times New Roman"/>
          <w:sz w:val="28"/>
          <w:szCs w:val="28"/>
        </w:rPr>
        <w:t>rad</w:t>
      </w:r>
      <w:r w:rsidR="0034552F">
        <w:rPr>
          <w:rFonts w:ascii="Times New Roman" w:hAnsi="Times New Roman" w:cs="Times New Roman"/>
          <w:sz w:val="28"/>
          <w:szCs w:val="28"/>
        </w:rPr>
        <w:t>ī</w:t>
      </w:r>
      <w:r w:rsidRPr="009C784A">
        <w:rPr>
          <w:rFonts w:ascii="Times New Roman" w:hAnsi="Times New Roman" w:cs="Times New Roman"/>
          <w:sz w:val="28"/>
          <w:szCs w:val="28"/>
        </w:rPr>
        <w:t xml:space="preserve">t </w:t>
      </w:r>
      <w:r w:rsidR="0034552F">
        <w:rPr>
          <w:rFonts w:ascii="Times New Roman" w:hAnsi="Times New Roman" w:cs="Times New Roman"/>
          <w:sz w:val="28"/>
          <w:szCs w:val="28"/>
        </w:rPr>
        <w:t xml:space="preserve">prasmju </w:t>
      </w:r>
      <w:r w:rsidRPr="009C784A">
        <w:rPr>
          <w:rFonts w:ascii="Times New Roman" w:hAnsi="Times New Roman" w:cs="Times New Roman"/>
          <w:sz w:val="28"/>
          <w:szCs w:val="28"/>
        </w:rPr>
        <w:t>piedāvājuma un pieprasījuma nesakritību. Jo ilgāk notiek šī pielāgošanās, jo lielāka ir strukturā</w:t>
      </w:r>
      <w:r w:rsidRPr="009C784A">
        <w:rPr>
          <w:rFonts w:ascii="Times New Roman" w:hAnsi="Times New Roman" w:cs="Times New Roman"/>
          <w:sz w:val="28"/>
          <w:szCs w:val="28"/>
        </w:rPr>
        <w:softHyphen/>
        <w:t>lā bezdarba nostiprināšanās</w:t>
      </w:r>
      <w:r>
        <w:rPr>
          <w:rFonts w:ascii="Times New Roman" w:hAnsi="Times New Roman" w:cs="Times New Roman"/>
          <w:sz w:val="28"/>
          <w:szCs w:val="28"/>
        </w:rPr>
        <w:t xml:space="preserve"> un</w:t>
      </w:r>
      <w:r w:rsidRPr="009C784A">
        <w:rPr>
          <w:rFonts w:ascii="Times New Roman" w:hAnsi="Times New Roman" w:cs="Times New Roman"/>
          <w:sz w:val="28"/>
          <w:szCs w:val="28"/>
        </w:rPr>
        <w:t xml:space="preserve"> ilglaicīgi nestrādājot, cilvēku atgriešanās darba tirgū kļūst aizvien grūtāka.</w:t>
      </w:r>
    </w:p>
    <w:p w:rsidR="0085506E" w:rsidRPr="008E0260" w:rsidRDefault="0085506E" w:rsidP="0085506E">
      <w:pPr>
        <w:pStyle w:val="ListParagraph"/>
        <w:spacing w:after="0" w:line="240" w:lineRule="auto"/>
        <w:ind w:left="0" w:firstLine="709"/>
        <w:jc w:val="both"/>
        <w:rPr>
          <w:rFonts w:ascii="Times New Roman" w:hAnsi="Times New Roman" w:cs="Times New Roman"/>
          <w:sz w:val="24"/>
          <w:szCs w:val="24"/>
        </w:rPr>
      </w:pPr>
    </w:p>
    <w:p w:rsidR="0085506E" w:rsidRPr="009B5FD1" w:rsidRDefault="0085506E" w:rsidP="0085506E">
      <w:pPr>
        <w:spacing w:after="120" w:line="240" w:lineRule="auto"/>
        <w:jc w:val="center"/>
        <w:rPr>
          <w:rFonts w:ascii="Times New Roman" w:hAnsi="Times New Roman" w:cs="Times New Roman"/>
          <w:b/>
          <w:sz w:val="24"/>
        </w:rPr>
      </w:pPr>
      <w:r>
        <w:rPr>
          <w:rFonts w:ascii="Times New Roman" w:hAnsi="Times New Roman" w:cs="Times New Roman"/>
          <w:b/>
          <w:sz w:val="24"/>
        </w:rPr>
        <w:t>1.tab</w:t>
      </w:r>
      <w:r>
        <w:rPr>
          <w:rFonts w:ascii="Times New Roman" w:hAnsi="Times New Roman" w:cs="Times New Roman"/>
          <w:b/>
          <w:sz w:val="24"/>
        </w:rPr>
        <w:tab/>
      </w:r>
      <w:r w:rsidRPr="009B5FD1">
        <w:rPr>
          <w:rFonts w:ascii="Times New Roman" w:hAnsi="Times New Roman" w:cs="Times New Roman"/>
          <w:b/>
          <w:sz w:val="24"/>
        </w:rPr>
        <w:t>Nodarbinātība pa tautsaimniecības nozarēm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28"/>
        <w:gridCol w:w="1842"/>
        <w:gridCol w:w="2410"/>
      </w:tblGrid>
      <w:tr w:rsidR="0085506E" w:rsidRPr="001D12F5" w:rsidTr="009C3F03">
        <w:trPr>
          <w:trHeight w:val="312"/>
          <w:jc w:val="center"/>
        </w:trPr>
        <w:tc>
          <w:tcPr>
            <w:tcW w:w="3828" w:type="dxa"/>
            <w:tcBorders>
              <w:right w:val="single" w:sz="6" w:space="0" w:color="FFFFFF" w:themeColor="background1"/>
            </w:tcBorders>
            <w:shd w:val="clear" w:color="auto" w:fill="002060"/>
          </w:tcPr>
          <w:p w:rsidR="0085506E" w:rsidRPr="001D12F5" w:rsidRDefault="0085506E" w:rsidP="009C3F03">
            <w:pPr>
              <w:spacing w:after="0" w:line="240" w:lineRule="auto"/>
              <w:jc w:val="center"/>
              <w:rPr>
                <w:rFonts w:ascii="Times New Roman" w:eastAsia="Calibri" w:hAnsi="Times New Roman" w:cs="Times New Roman"/>
                <w:b/>
                <w:color w:val="F2F2F2" w:themeColor="background1" w:themeShade="F2"/>
              </w:rPr>
            </w:pPr>
          </w:p>
        </w:tc>
        <w:tc>
          <w:tcPr>
            <w:tcW w:w="1842" w:type="dxa"/>
            <w:tcBorders>
              <w:left w:val="single" w:sz="6" w:space="0" w:color="FFFFFF" w:themeColor="background1"/>
              <w:right w:val="single" w:sz="6" w:space="0" w:color="FFFFFF" w:themeColor="background1"/>
            </w:tcBorders>
            <w:shd w:val="clear" w:color="auto" w:fill="002060"/>
          </w:tcPr>
          <w:p w:rsidR="0085506E" w:rsidRPr="001D12F5" w:rsidRDefault="0085506E" w:rsidP="009C3F03">
            <w:pPr>
              <w:pStyle w:val="Default"/>
              <w:jc w:val="center"/>
              <w:rPr>
                <w:color w:val="F2F2F2" w:themeColor="background1" w:themeShade="F2"/>
                <w:sz w:val="22"/>
                <w:szCs w:val="22"/>
              </w:rPr>
            </w:pPr>
            <w:r w:rsidRPr="001D12F5">
              <w:rPr>
                <w:b/>
                <w:bCs/>
                <w:color w:val="F2F2F2" w:themeColor="background1" w:themeShade="F2"/>
                <w:sz w:val="22"/>
                <w:szCs w:val="22"/>
              </w:rPr>
              <w:t xml:space="preserve">Struktūra </w:t>
            </w:r>
            <w:r w:rsidRPr="001D12F5">
              <w:rPr>
                <w:color w:val="F2F2F2" w:themeColor="background1" w:themeShade="F2"/>
                <w:sz w:val="22"/>
                <w:szCs w:val="22"/>
              </w:rPr>
              <w:t>(%)</w:t>
            </w:r>
          </w:p>
          <w:p w:rsidR="0085506E" w:rsidRPr="001D12F5" w:rsidRDefault="0085506E" w:rsidP="009C3F03">
            <w:pPr>
              <w:pStyle w:val="Default"/>
              <w:jc w:val="center"/>
              <w:rPr>
                <w:rFonts w:eastAsia="Calibri"/>
                <w:color w:val="F2F2F2" w:themeColor="background1" w:themeShade="F2"/>
                <w:sz w:val="22"/>
                <w:szCs w:val="22"/>
              </w:rPr>
            </w:pPr>
            <w:r w:rsidRPr="001D12F5">
              <w:rPr>
                <w:rFonts w:eastAsia="Calibri"/>
                <w:b/>
                <w:color w:val="F2F2F2" w:themeColor="background1" w:themeShade="F2"/>
                <w:sz w:val="22"/>
                <w:szCs w:val="22"/>
                <w:lang w:val="en-GB"/>
              </w:rPr>
              <w:t>2010</w:t>
            </w:r>
          </w:p>
        </w:tc>
        <w:tc>
          <w:tcPr>
            <w:tcW w:w="2410" w:type="dxa"/>
            <w:tcBorders>
              <w:left w:val="single" w:sz="6" w:space="0" w:color="FFFFFF" w:themeColor="background1"/>
            </w:tcBorders>
            <w:shd w:val="clear" w:color="auto" w:fill="002060"/>
          </w:tcPr>
          <w:p w:rsidR="0085506E" w:rsidRPr="001D12F5" w:rsidRDefault="0085506E" w:rsidP="009C3F03">
            <w:pPr>
              <w:pStyle w:val="Default"/>
              <w:jc w:val="center"/>
              <w:rPr>
                <w:color w:val="F2F2F2" w:themeColor="background1" w:themeShade="F2"/>
                <w:sz w:val="22"/>
                <w:szCs w:val="22"/>
              </w:rPr>
            </w:pPr>
            <w:r>
              <w:rPr>
                <w:b/>
                <w:bCs/>
                <w:color w:val="F2F2F2" w:themeColor="background1" w:themeShade="F2"/>
                <w:sz w:val="22"/>
                <w:szCs w:val="22"/>
              </w:rPr>
              <w:t>Nodarbināto skaita i</w:t>
            </w:r>
            <w:r w:rsidRPr="001D12F5">
              <w:rPr>
                <w:b/>
                <w:bCs/>
                <w:color w:val="F2F2F2" w:themeColor="background1" w:themeShade="F2"/>
                <w:sz w:val="22"/>
                <w:szCs w:val="22"/>
              </w:rPr>
              <w:t xml:space="preserve">zmaiņas </w:t>
            </w:r>
            <w:r w:rsidRPr="001D12F5">
              <w:rPr>
                <w:color w:val="F2F2F2" w:themeColor="background1" w:themeShade="F2"/>
                <w:sz w:val="22"/>
                <w:szCs w:val="22"/>
              </w:rPr>
              <w:t>(%)</w:t>
            </w:r>
          </w:p>
          <w:p w:rsidR="0085506E" w:rsidRPr="001D12F5" w:rsidRDefault="0085506E" w:rsidP="009C3F03">
            <w:pPr>
              <w:pStyle w:val="Default"/>
              <w:jc w:val="center"/>
              <w:rPr>
                <w:rFonts w:eastAsia="Calibri"/>
                <w:color w:val="F2F2F2" w:themeColor="background1" w:themeShade="F2"/>
                <w:sz w:val="22"/>
                <w:szCs w:val="22"/>
              </w:rPr>
            </w:pPr>
            <w:r w:rsidRPr="001D12F5">
              <w:rPr>
                <w:rFonts w:eastAsia="Calibri"/>
                <w:b/>
                <w:color w:val="F2F2F2" w:themeColor="background1" w:themeShade="F2"/>
                <w:sz w:val="22"/>
                <w:szCs w:val="22"/>
                <w:lang w:val="en-GB"/>
              </w:rPr>
              <w:t>2010/2008</w:t>
            </w:r>
          </w:p>
        </w:tc>
      </w:tr>
      <w:tr w:rsidR="0085506E" w:rsidRPr="00617BE7" w:rsidTr="009C3F03">
        <w:trPr>
          <w:trHeight w:val="217"/>
          <w:jc w:val="center"/>
        </w:trPr>
        <w:tc>
          <w:tcPr>
            <w:tcW w:w="3828" w:type="dxa"/>
            <w:shd w:val="clear" w:color="auto" w:fill="auto"/>
          </w:tcPr>
          <w:p w:rsidR="0085506E" w:rsidRPr="00617BE7" w:rsidRDefault="0085506E" w:rsidP="009C3F03">
            <w:pPr>
              <w:pStyle w:val="Default"/>
              <w:rPr>
                <w:rFonts w:eastAsia="Calibri"/>
                <w:lang w:val="en-GB"/>
              </w:rPr>
            </w:pPr>
            <w:r w:rsidRPr="00617BE7">
              <w:rPr>
                <w:sz w:val="22"/>
                <w:szCs w:val="22"/>
              </w:rPr>
              <w:t>Primārās nozares</w:t>
            </w:r>
          </w:p>
        </w:tc>
        <w:tc>
          <w:tcPr>
            <w:tcW w:w="1842"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9</w:t>
            </w:r>
            <w:r>
              <w:rPr>
                <w:rFonts w:ascii="Times New Roman" w:hAnsi="Times New Roman" w:cs="Times New Roman"/>
                <w:lang w:val="en-GB"/>
              </w:rPr>
              <w:t>,</w:t>
            </w:r>
            <w:r w:rsidRPr="00617BE7">
              <w:rPr>
                <w:rFonts w:ascii="Times New Roman" w:eastAsia="Calibri" w:hAnsi="Times New Roman" w:cs="Times New Roman"/>
                <w:lang w:val="en-GB"/>
              </w:rPr>
              <w:t>8</w:t>
            </w:r>
          </w:p>
        </w:tc>
        <w:tc>
          <w:tcPr>
            <w:tcW w:w="2410"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0</w:t>
            </w:r>
            <w:r>
              <w:rPr>
                <w:rFonts w:ascii="Times New Roman" w:hAnsi="Times New Roman" w:cs="Times New Roman"/>
                <w:lang w:val="en-GB"/>
              </w:rPr>
              <w:t>,</w:t>
            </w:r>
            <w:r w:rsidRPr="00617BE7">
              <w:rPr>
                <w:rFonts w:ascii="Times New Roman" w:eastAsia="Calibri" w:hAnsi="Times New Roman" w:cs="Times New Roman"/>
                <w:lang w:val="en-GB"/>
              </w:rPr>
              <w:t>0</w:t>
            </w:r>
          </w:p>
        </w:tc>
      </w:tr>
      <w:tr w:rsidR="0085506E" w:rsidRPr="00617BE7" w:rsidTr="009C3F03">
        <w:trPr>
          <w:trHeight w:val="20"/>
          <w:jc w:val="center"/>
        </w:trPr>
        <w:tc>
          <w:tcPr>
            <w:tcW w:w="3828" w:type="dxa"/>
            <w:shd w:val="clear" w:color="auto" w:fill="auto"/>
          </w:tcPr>
          <w:p w:rsidR="0085506E" w:rsidRPr="00617BE7" w:rsidRDefault="0085506E" w:rsidP="009C3F03">
            <w:pPr>
              <w:pStyle w:val="Default"/>
              <w:rPr>
                <w:rFonts w:eastAsia="Calibri"/>
                <w:lang w:val="en-GB"/>
              </w:rPr>
            </w:pPr>
            <w:r w:rsidRPr="00617BE7">
              <w:rPr>
                <w:sz w:val="22"/>
                <w:szCs w:val="22"/>
              </w:rPr>
              <w:t>Apstrādes rūpniecība</w:t>
            </w:r>
          </w:p>
        </w:tc>
        <w:tc>
          <w:tcPr>
            <w:tcW w:w="1842"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14</w:t>
            </w:r>
            <w:r>
              <w:rPr>
                <w:rFonts w:ascii="Times New Roman" w:hAnsi="Times New Roman" w:cs="Times New Roman"/>
                <w:lang w:val="en-GB"/>
              </w:rPr>
              <w:t>,</w:t>
            </w:r>
            <w:r w:rsidRPr="00617BE7">
              <w:rPr>
                <w:rFonts w:ascii="Times New Roman" w:eastAsia="Calibri" w:hAnsi="Times New Roman" w:cs="Times New Roman"/>
                <w:lang w:val="en-GB"/>
              </w:rPr>
              <w:t>3</w:t>
            </w:r>
          </w:p>
        </w:tc>
        <w:tc>
          <w:tcPr>
            <w:tcW w:w="2410"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-21</w:t>
            </w:r>
            <w:r>
              <w:rPr>
                <w:rFonts w:ascii="Times New Roman" w:hAnsi="Times New Roman" w:cs="Times New Roman"/>
                <w:lang w:val="en-GB"/>
              </w:rPr>
              <w:t>,</w:t>
            </w:r>
            <w:r w:rsidRPr="00617BE7">
              <w:rPr>
                <w:rFonts w:ascii="Times New Roman" w:eastAsia="Calibri" w:hAnsi="Times New Roman" w:cs="Times New Roman"/>
                <w:lang w:val="en-GB"/>
              </w:rPr>
              <w:t>6</w:t>
            </w:r>
          </w:p>
        </w:tc>
      </w:tr>
      <w:tr w:rsidR="0085506E" w:rsidRPr="00617BE7" w:rsidTr="009C3F03">
        <w:trPr>
          <w:trHeight w:val="20"/>
          <w:jc w:val="center"/>
        </w:trPr>
        <w:tc>
          <w:tcPr>
            <w:tcW w:w="3828" w:type="dxa"/>
            <w:shd w:val="clear" w:color="auto" w:fill="auto"/>
          </w:tcPr>
          <w:p w:rsidR="0085506E" w:rsidRPr="00617BE7" w:rsidRDefault="0085506E" w:rsidP="009C3F03">
            <w:pPr>
              <w:pStyle w:val="Default"/>
              <w:rPr>
                <w:rFonts w:eastAsia="Calibri"/>
                <w:lang w:val="en-GB"/>
              </w:rPr>
            </w:pPr>
            <w:r w:rsidRPr="00617BE7">
              <w:rPr>
                <w:sz w:val="22"/>
                <w:szCs w:val="22"/>
              </w:rPr>
              <w:t>Elektroenerģija, gāze, ūdens apgāde</w:t>
            </w:r>
          </w:p>
        </w:tc>
        <w:tc>
          <w:tcPr>
            <w:tcW w:w="1842"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1</w:t>
            </w:r>
            <w:r>
              <w:rPr>
                <w:rFonts w:ascii="Times New Roman" w:hAnsi="Times New Roman" w:cs="Times New Roman"/>
                <w:lang w:val="en-GB"/>
              </w:rPr>
              <w:t>,</w:t>
            </w:r>
            <w:r w:rsidRPr="00617BE7">
              <w:rPr>
                <w:rFonts w:ascii="Times New Roman" w:eastAsia="Calibri" w:hAnsi="Times New Roman" w:cs="Times New Roman"/>
                <w:lang w:val="en-GB"/>
              </w:rPr>
              <w:t>9</w:t>
            </w:r>
          </w:p>
        </w:tc>
        <w:tc>
          <w:tcPr>
            <w:tcW w:w="2410"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-16</w:t>
            </w:r>
            <w:r>
              <w:rPr>
                <w:rFonts w:ascii="Times New Roman" w:hAnsi="Times New Roman" w:cs="Times New Roman"/>
                <w:lang w:val="en-GB"/>
              </w:rPr>
              <w:t>,</w:t>
            </w:r>
            <w:r w:rsidRPr="00617BE7">
              <w:rPr>
                <w:rFonts w:ascii="Times New Roman" w:eastAsia="Calibri" w:hAnsi="Times New Roman" w:cs="Times New Roman"/>
                <w:lang w:val="en-GB"/>
              </w:rPr>
              <w:t>1</w:t>
            </w:r>
          </w:p>
        </w:tc>
      </w:tr>
      <w:tr w:rsidR="0085506E" w:rsidRPr="00617BE7" w:rsidTr="009C3F03">
        <w:trPr>
          <w:trHeight w:val="20"/>
          <w:jc w:val="center"/>
        </w:trPr>
        <w:tc>
          <w:tcPr>
            <w:tcW w:w="3828" w:type="dxa"/>
            <w:shd w:val="clear" w:color="auto" w:fill="auto"/>
          </w:tcPr>
          <w:p w:rsidR="0085506E" w:rsidRPr="00617BE7" w:rsidRDefault="0085506E" w:rsidP="009C3F03">
            <w:pPr>
              <w:pStyle w:val="Default"/>
              <w:rPr>
                <w:rFonts w:eastAsia="Calibri"/>
                <w:lang w:val="en-GB"/>
              </w:rPr>
            </w:pPr>
            <w:r w:rsidRPr="00617BE7">
              <w:rPr>
                <w:sz w:val="22"/>
                <w:szCs w:val="22"/>
              </w:rPr>
              <w:t>Būvniecība</w:t>
            </w:r>
          </w:p>
        </w:tc>
        <w:tc>
          <w:tcPr>
            <w:tcW w:w="1842"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7</w:t>
            </w:r>
            <w:r>
              <w:rPr>
                <w:rFonts w:ascii="Times New Roman" w:hAnsi="Times New Roman" w:cs="Times New Roman"/>
                <w:lang w:val="en-GB"/>
              </w:rPr>
              <w:t>,</w:t>
            </w:r>
            <w:r w:rsidRPr="00617BE7">
              <w:rPr>
                <w:rFonts w:ascii="Times New Roman" w:eastAsia="Calibri" w:hAnsi="Times New Roman" w:cs="Times New Roman"/>
                <w:lang w:val="en-GB"/>
              </w:rPr>
              <w:t>0</w:t>
            </w:r>
          </w:p>
        </w:tc>
        <w:tc>
          <w:tcPr>
            <w:tcW w:w="2410"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-47</w:t>
            </w:r>
            <w:r>
              <w:rPr>
                <w:rFonts w:ascii="Times New Roman" w:hAnsi="Times New Roman" w:cs="Times New Roman"/>
                <w:lang w:val="en-GB"/>
              </w:rPr>
              <w:t>,</w:t>
            </w:r>
            <w:r w:rsidRPr="00617BE7">
              <w:rPr>
                <w:rFonts w:ascii="Times New Roman" w:eastAsia="Calibri" w:hAnsi="Times New Roman" w:cs="Times New Roman"/>
                <w:lang w:val="en-GB"/>
              </w:rPr>
              <w:t>6</w:t>
            </w:r>
          </w:p>
        </w:tc>
      </w:tr>
      <w:tr w:rsidR="0085506E" w:rsidRPr="00617BE7" w:rsidTr="009C3F03">
        <w:trPr>
          <w:trHeight w:val="20"/>
          <w:jc w:val="center"/>
        </w:trPr>
        <w:tc>
          <w:tcPr>
            <w:tcW w:w="3828" w:type="dxa"/>
            <w:shd w:val="clear" w:color="auto" w:fill="auto"/>
          </w:tcPr>
          <w:p w:rsidR="0085506E" w:rsidRPr="00617BE7" w:rsidRDefault="0085506E" w:rsidP="009C3F03">
            <w:pPr>
              <w:pStyle w:val="Default"/>
              <w:rPr>
                <w:rFonts w:eastAsia="Calibri"/>
                <w:lang w:val="en-GB"/>
              </w:rPr>
            </w:pPr>
            <w:r w:rsidRPr="00617BE7">
              <w:rPr>
                <w:sz w:val="22"/>
                <w:szCs w:val="22"/>
              </w:rPr>
              <w:t>Tirdzniecība, viesnīcas, restorāni</w:t>
            </w:r>
          </w:p>
        </w:tc>
        <w:tc>
          <w:tcPr>
            <w:tcW w:w="1842"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19</w:t>
            </w:r>
            <w:r>
              <w:rPr>
                <w:rFonts w:ascii="Times New Roman" w:hAnsi="Times New Roman" w:cs="Times New Roman"/>
                <w:lang w:val="en-GB"/>
              </w:rPr>
              <w:t>,</w:t>
            </w:r>
            <w:r w:rsidRPr="00617BE7">
              <w:rPr>
                <w:rFonts w:ascii="Times New Roman" w:eastAsia="Calibri" w:hAnsi="Times New Roman" w:cs="Times New Roman"/>
                <w:lang w:val="en-GB"/>
              </w:rPr>
              <w:t>3</w:t>
            </w:r>
          </w:p>
        </w:tc>
        <w:tc>
          <w:tcPr>
            <w:tcW w:w="2410"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-16</w:t>
            </w:r>
            <w:r>
              <w:rPr>
                <w:rFonts w:ascii="Times New Roman" w:hAnsi="Times New Roman" w:cs="Times New Roman"/>
                <w:lang w:val="en-GB"/>
              </w:rPr>
              <w:t>,</w:t>
            </w:r>
            <w:r w:rsidRPr="00617BE7">
              <w:rPr>
                <w:rFonts w:ascii="Times New Roman" w:eastAsia="Calibri" w:hAnsi="Times New Roman" w:cs="Times New Roman"/>
                <w:lang w:val="en-GB"/>
              </w:rPr>
              <w:t>1</w:t>
            </w:r>
          </w:p>
        </w:tc>
      </w:tr>
      <w:tr w:rsidR="0085506E" w:rsidRPr="00617BE7" w:rsidTr="009C3F03">
        <w:trPr>
          <w:trHeight w:val="20"/>
          <w:jc w:val="center"/>
        </w:trPr>
        <w:tc>
          <w:tcPr>
            <w:tcW w:w="3828" w:type="dxa"/>
            <w:shd w:val="clear" w:color="auto" w:fill="auto"/>
          </w:tcPr>
          <w:p w:rsidR="0085506E" w:rsidRPr="00617BE7" w:rsidRDefault="0085506E" w:rsidP="009C3F03">
            <w:pPr>
              <w:pStyle w:val="Default"/>
              <w:rPr>
                <w:rFonts w:eastAsia="Calibri"/>
                <w:lang w:val="en-GB"/>
              </w:rPr>
            </w:pPr>
            <w:r w:rsidRPr="00617BE7">
              <w:rPr>
                <w:sz w:val="22"/>
                <w:szCs w:val="22"/>
              </w:rPr>
              <w:t>Transports un sakari</w:t>
            </w:r>
          </w:p>
        </w:tc>
        <w:tc>
          <w:tcPr>
            <w:tcW w:w="1842"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9</w:t>
            </w:r>
            <w:r>
              <w:rPr>
                <w:rFonts w:ascii="Times New Roman" w:hAnsi="Times New Roman" w:cs="Times New Roman"/>
                <w:lang w:val="en-GB"/>
              </w:rPr>
              <w:t>,</w:t>
            </w:r>
            <w:r w:rsidRPr="00617BE7">
              <w:rPr>
                <w:rFonts w:ascii="Times New Roman" w:eastAsia="Calibri" w:hAnsi="Times New Roman" w:cs="Times New Roman"/>
                <w:lang w:val="en-GB"/>
              </w:rPr>
              <w:t>9</w:t>
            </w:r>
          </w:p>
        </w:tc>
        <w:tc>
          <w:tcPr>
            <w:tcW w:w="2410"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-12</w:t>
            </w:r>
            <w:r>
              <w:rPr>
                <w:rFonts w:ascii="Times New Roman" w:hAnsi="Times New Roman" w:cs="Times New Roman"/>
                <w:lang w:val="en-GB"/>
              </w:rPr>
              <w:t>,</w:t>
            </w:r>
            <w:r w:rsidRPr="00617BE7">
              <w:rPr>
                <w:rFonts w:ascii="Times New Roman" w:eastAsia="Calibri" w:hAnsi="Times New Roman" w:cs="Times New Roman"/>
                <w:lang w:val="en-GB"/>
              </w:rPr>
              <w:t>2</w:t>
            </w:r>
          </w:p>
        </w:tc>
      </w:tr>
      <w:tr w:rsidR="0085506E" w:rsidRPr="00617BE7" w:rsidTr="009C3F03">
        <w:trPr>
          <w:trHeight w:val="20"/>
          <w:jc w:val="center"/>
        </w:trPr>
        <w:tc>
          <w:tcPr>
            <w:tcW w:w="3828" w:type="dxa"/>
            <w:shd w:val="clear" w:color="auto" w:fill="auto"/>
          </w:tcPr>
          <w:p w:rsidR="0085506E" w:rsidRPr="00617BE7" w:rsidRDefault="0085506E" w:rsidP="009C3F03">
            <w:pPr>
              <w:pStyle w:val="Default"/>
              <w:rPr>
                <w:rFonts w:eastAsia="Calibri"/>
                <w:lang w:val="en-GB"/>
              </w:rPr>
            </w:pPr>
            <w:r w:rsidRPr="00617BE7">
              <w:rPr>
                <w:sz w:val="22"/>
                <w:szCs w:val="22"/>
              </w:rPr>
              <w:t>Pārējie komercpakalpojumi</w:t>
            </w:r>
          </w:p>
        </w:tc>
        <w:tc>
          <w:tcPr>
            <w:tcW w:w="1842"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16</w:t>
            </w:r>
            <w:r>
              <w:rPr>
                <w:rFonts w:ascii="Times New Roman" w:hAnsi="Times New Roman" w:cs="Times New Roman"/>
                <w:lang w:val="en-GB"/>
              </w:rPr>
              <w:t>,</w:t>
            </w:r>
            <w:r w:rsidRPr="00617BE7">
              <w:rPr>
                <w:rFonts w:ascii="Times New Roman" w:eastAsia="Calibri" w:hAnsi="Times New Roman" w:cs="Times New Roman"/>
                <w:lang w:val="en-GB"/>
              </w:rPr>
              <w:t>1</w:t>
            </w:r>
          </w:p>
        </w:tc>
        <w:tc>
          <w:tcPr>
            <w:tcW w:w="2410"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-5</w:t>
            </w:r>
            <w:r>
              <w:rPr>
                <w:rFonts w:ascii="Times New Roman" w:hAnsi="Times New Roman" w:cs="Times New Roman"/>
                <w:lang w:val="en-GB"/>
              </w:rPr>
              <w:t>,</w:t>
            </w:r>
            <w:r w:rsidRPr="00617BE7">
              <w:rPr>
                <w:rFonts w:ascii="Times New Roman" w:eastAsia="Calibri" w:hAnsi="Times New Roman" w:cs="Times New Roman"/>
                <w:lang w:val="en-GB"/>
              </w:rPr>
              <w:t>3</w:t>
            </w:r>
          </w:p>
        </w:tc>
      </w:tr>
      <w:tr w:rsidR="0085506E" w:rsidRPr="00617BE7" w:rsidTr="009C3F03">
        <w:trPr>
          <w:trHeight w:val="20"/>
          <w:jc w:val="center"/>
        </w:trPr>
        <w:tc>
          <w:tcPr>
            <w:tcW w:w="3828" w:type="dxa"/>
            <w:shd w:val="clear" w:color="auto" w:fill="auto"/>
          </w:tcPr>
          <w:p w:rsidR="0085506E" w:rsidRPr="00617BE7" w:rsidRDefault="0085506E" w:rsidP="009C3F03">
            <w:pPr>
              <w:pStyle w:val="Default"/>
              <w:rPr>
                <w:rFonts w:eastAsia="Calibri"/>
                <w:lang w:val="en-GB"/>
              </w:rPr>
            </w:pPr>
            <w:r w:rsidRPr="00617BE7">
              <w:rPr>
                <w:sz w:val="22"/>
                <w:szCs w:val="22"/>
              </w:rPr>
              <w:t>Sabiedriskie pakalpojumi</w:t>
            </w:r>
          </w:p>
        </w:tc>
        <w:tc>
          <w:tcPr>
            <w:tcW w:w="1842"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21</w:t>
            </w:r>
            <w:r>
              <w:rPr>
                <w:rFonts w:ascii="Times New Roman" w:hAnsi="Times New Roman" w:cs="Times New Roman"/>
                <w:lang w:val="en-GB"/>
              </w:rPr>
              <w:t>,</w:t>
            </w:r>
            <w:r w:rsidRPr="00617BE7">
              <w:rPr>
                <w:rFonts w:ascii="Times New Roman" w:eastAsia="Calibri" w:hAnsi="Times New Roman" w:cs="Times New Roman"/>
                <w:lang w:val="en-GB"/>
              </w:rPr>
              <w:t>8</w:t>
            </w:r>
          </w:p>
        </w:tc>
        <w:tc>
          <w:tcPr>
            <w:tcW w:w="2410" w:type="dxa"/>
            <w:shd w:val="clear" w:color="auto" w:fill="auto"/>
          </w:tcPr>
          <w:p w:rsidR="0085506E" w:rsidRPr="00617BE7" w:rsidRDefault="0085506E" w:rsidP="009C3F03">
            <w:pPr>
              <w:spacing w:after="0" w:line="240" w:lineRule="auto"/>
              <w:jc w:val="center"/>
              <w:rPr>
                <w:rFonts w:ascii="Times New Roman" w:eastAsia="Calibri" w:hAnsi="Times New Roman" w:cs="Times New Roman"/>
                <w:lang w:val="en-GB"/>
              </w:rPr>
            </w:pPr>
            <w:r w:rsidRPr="00617BE7">
              <w:rPr>
                <w:rFonts w:ascii="Times New Roman" w:eastAsia="Calibri" w:hAnsi="Times New Roman" w:cs="Times New Roman"/>
                <w:lang w:val="en-GB"/>
              </w:rPr>
              <w:t>-11</w:t>
            </w:r>
            <w:r>
              <w:rPr>
                <w:rFonts w:ascii="Times New Roman" w:hAnsi="Times New Roman" w:cs="Times New Roman"/>
                <w:lang w:val="en-GB"/>
              </w:rPr>
              <w:t>,</w:t>
            </w:r>
            <w:r w:rsidRPr="00617BE7">
              <w:rPr>
                <w:rFonts w:ascii="Times New Roman" w:eastAsia="Calibri" w:hAnsi="Times New Roman" w:cs="Times New Roman"/>
                <w:lang w:val="en-GB"/>
              </w:rPr>
              <w:t>5</w:t>
            </w:r>
          </w:p>
        </w:tc>
      </w:tr>
    </w:tbl>
    <w:p w:rsidR="0085506E" w:rsidRPr="000F144F" w:rsidRDefault="0085506E" w:rsidP="0085506E">
      <w:pPr>
        <w:pStyle w:val="ListParagraph"/>
        <w:spacing w:before="120" w:after="120" w:line="240" w:lineRule="auto"/>
        <w:ind w:left="0" w:right="107"/>
        <w:jc w:val="both"/>
        <w:rPr>
          <w:rFonts w:ascii="Times New Roman" w:hAnsi="Times New Roman" w:cs="Times New Roman"/>
          <w:sz w:val="24"/>
          <w:szCs w:val="24"/>
        </w:rPr>
      </w:pPr>
      <w:r w:rsidRPr="000F144F">
        <w:rPr>
          <w:rFonts w:ascii="Times New Roman" w:hAnsi="Times New Roman" w:cs="Times New Roman"/>
          <w:b/>
          <w:i/>
          <w:sz w:val="24"/>
          <w:szCs w:val="24"/>
        </w:rPr>
        <w:t>Avots</w:t>
      </w:r>
      <w:r w:rsidRPr="000F144F">
        <w:rPr>
          <w:rFonts w:ascii="Times New Roman" w:eastAsia="Calibri" w:hAnsi="Times New Roman" w:cs="Times New Roman"/>
          <w:b/>
          <w:i/>
          <w:sz w:val="24"/>
          <w:szCs w:val="24"/>
        </w:rPr>
        <w:t>:</w:t>
      </w:r>
      <w:r w:rsidRPr="000F144F">
        <w:rPr>
          <w:rFonts w:ascii="Times New Roman" w:eastAsia="Calibri" w:hAnsi="Times New Roman" w:cs="Times New Roman"/>
          <w:sz w:val="24"/>
          <w:szCs w:val="24"/>
        </w:rPr>
        <w:t xml:space="preserve"> </w:t>
      </w:r>
      <w:r w:rsidRPr="000F144F">
        <w:rPr>
          <w:rFonts w:ascii="Times New Roman" w:hAnsi="Times New Roman" w:cs="Times New Roman"/>
          <w:sz w:val="24"/>
          <w:szCs w:val="24"/>
        </w:rPr>
        <w:t>Ekonomikas ministrijas Informatīvais ziņojums par prognozēm darbaspēka pieprasījuma un piedāvājuma atbilstībai vidējā termiņā, 2011.</w:t>
      </w:r>
    </w:p>
    <w:p w:rsidR="0085506E" w:rsidRDefault="0085506E" w:rsidP="0085506E">
      <w:pPr>
        <w:pStyle w:val="ListParagraph"/>
        <w:spacing w:after="120" w:line="240" w:lineRule="auto"/>
        <w:ind w:left="0"/>
        <w:jc w:val="both"/>
        <w:rPr>
          <w:rFonts w:ascii="Times New Roman" w:hAnsi="Times New Roman" w:cs="Times New Roman"/>
          <w:sz w:val="28"/>
          <w:szCs w:val="28"/>
        </w:rPr>
      </w:pPr>
    </w:p>
    <w:p w:rsidR="0085506E" w:rsidRDefault="0085506E" w:rsidP="0085506E">
      <w:pPr>
        <w:pStyle w:val="ListParagraph"/>
        <w:spacing w:after="120" w:line="240" w:lineRule="auto"/>
        <w:ind w:left="0" w:firstLine="709"/>
        <w:jc w:val="both"/>
        <w:rPr>
          <w:rFonts w:ascii="Times New Roman" w:hAnsi="Times New Roman" w:cs="Times New Roman"/>
          <w:sz w:val="28"/>
          <w:szCs w:val="28"/>
        </w:rPr>
      </w:pPr>
      <w:r w:rsidRPr="000F144F">
        <w:rPr>
          <w:rFonts w:ascii="Times New Roman" w:hAnsi="Times New Roman" w:cs="Times New Roman"/>
          <w:sz w:val="28"/>
          <w:szCs w:val="28"/>
        </w:rPr>
        <w:t xml:space="preserve">Krīze ietekmēja arī darba samaksas attīstību. Minimālā darba alga krīzes laikā </w:t>
      </w:r>
      <w:r>
        <w:rPr>
          <w:rFonts w:ascii="Times New Roman" w:hAnsi="Times New Roman" w:cs="Times New Roman"/>
          <w:sz w:val="28"/>
          <w:szCs w:val="28"/>
        </w:rPr>
        <w:t>ko</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pumā ir </w:t>
      </w:r>
      <w:r w:rsidRPr="000F144F">
        <w:rPr>
          <w:rFonts w:ascii="Times New Roman" w:hAnsi="Times New Roman" w:cs="Times New Roman"/>
          <w:sz w:val="28"/>
          <w:szCs w:val="28"/>
        </w:rPr>
        <w:t>pieaug</w:t>
      </w:r>
      <w:r>
        <w:rPr>
          <w:rFonts w:ascii="Times New Roman" w:hAnsi="Times New Roman" w:cs="Times New Roman"/>
          <w:sz w:val="28"/>
          <w:szCs w:val="28"/>
        </w:rPr>
        <w:t>usi par 25%</w:t>
      </w:r>
      <w:r w:rsidRPr="000F144F">
        <w:rPr>
          <w:rFonts w:ascii="Times New Roman" w:hAnsi="Times New Roman" w:cs="Times New Roman"/>
          <w:sz w:val="28"/>
          <w:szCs w:val="28"/>
        </w:rPr>
        <w:t xml:space="preserve"> – </w:t>
      </w:r>
      <w:r>
        <w:rPr>
          <w:rFonts w:ascii="Times New Roman" w:hAnsi="Times New Roman" w:cs="Times New Roman"/>
          <w:sz w:val="28"/>
          <w:szCs w:val="28"/>
        </w:rPr>
        <w:t xml:space="preserve">no 2009.gada </w:t>
      </w:r>
      <w:r w:rsidRPr="000F144F">
        <w:rPr>
          <w:rFonts w:ascii="Times New Roman" w:hAnsi="Times New Roman" w:cs="Times New Roman"/>
          <w:sz w:val="28"/>
          <w:szCs w:val="28"/>
        </w:rPr>
        <w:t>1.</w:t>
      </w:r>
      <w:r>
        <w:rPr>
          <w:rFonts w:ascii="Times New Roman" w:hAnsi="Times New Roman" w:cs="Times New Roman"/>
          <w:sz w:val="28"/>
          <w:szCs w:val="28"/>
        </w:rPr>
        <w:t>janvāra</w:t>
      </w:r>
      <w:r w:rsidRPr="000F144F">
        <w:rPr>
          <w:rFonts w:ascii="Times New Roman" w:hAnsi="Times New Roman" w:cs="Times New Roman"/>
          <w:sz w:val="28"/>
          <w:szCs w:val="28"/>
        </w:rPr>
        <w:t xml:space="preserve"> no 160</w:t>
      </w:r>
      <w:r>
        <w:rPr>
          <w:rFonts w:ascii="Times New Roman" w:hAnsi="Times New Roman" w:cs="Times New Roman"/>
          <w:sz w:val="28"/>
          <w:szCs w:val="28"/>
        </w:rPr>
        <w:t> latiem</w:t>
      </w:r>
      <w:r w:rsidRPr="000F144F">
        <w:rPr>
          <w:rFonts w:ascii="Times New Roman" w:hAnsi="Times New Roman" w:cs="Times New Roman"/>
          <w:sz w:val="28"/>
          <w:szCs w:val="28"/>
        </w:rPr>
        <w:t xml:space="preserve"> mēnesī uz 180</w:t>
      </w:r>
      <w:r>
        <w:rPr>
          <w:rFonts w:ascii="Times New Roman" w:hAnsi="Times New Roman" w:cs="Times New Roman"/>
          <w:sz w:val="28"/>
          <w:szCs w:val="28"/>
        </w:rPr>
        <w:t> latiem</w:t>
      </w:r>
      <w:r w:rsidRPr="000F144F">
        <w:rPr>
          <w:rFonts w:ascii="Times New Roman" w:hAnsi="Times New Roman" w:cs="Times New Roman"/>
          <w:sz w:val="28"/>
          <w:szCs w:val="28"/>
        </w:rPr>
        <w:t xml:space="preserve"> mēnesī, bet no </w:t>
      </w:r>
      <w:r>
        <w:rPr>
          <w:rFonts w:ascii="Times New Roman" w:hAnsi="Times New Roman" w:cs="Times New Roman"/>
          <w:sz w:val="28"/>
          <w:szCs w:val="28"/>
        </w:rPr>
        <w:t xml:space="preserve">2011.gada </w:t>
      </w:r>
      <w:r w:rsidRPr="000F144F">
        <w:rPr>
          <w:rFonts w:ascii="Times New Roman" w:hAnsi="Times New Roman" w:cs="Times New Roman"/>
          <w:sz w:val="28"/>
          <w:szCs w:val="28"/>
        </w:rPr>
        <w:t>1.</w:t>
      </w:r>
      <w:r>
        <w:rPr>
          <w:rFonts w:ascii="Times New Roman" w:hAnsi="Times New Roman" w:cs="Times New Roman"/>
          <w:sz w:val="28"/>
          <w:szCs w:val="28"/>
        </w:rPr>
        <w:t>janvāra</w:t>
      </w:r>
      <w:r w:rsidRPr="000F144F">
        <w:rPr>
          <w:rFonts w:ascii="Times New Roman" w:hAnsi="Times New Roman" w:cs="Times New Roman"/>
          <w:sz w:val="28"/>
          <w:szCs w:val="28"/>
        </w:rPr>
        <w:t xml:space="preserve"> uz 200</w:t>
      </w:r>
      <w:r>
        <w:rPr>
          <w:rFonts w:ascii="Times New Roman" w:hAnsi="Times New Roman" w:cs="Times New Roman"/>
          <w:sz w:val="28"/>
          <w:szCs w:val="28"/>
        </w:rPr>
        <w:t> latiem</w:t>
      </w:r>
      <w:r w:rsidRPr="000F144F">
        <w:rPr>
          <w:rFonts w:ascii="Times New Roman" w:hAnsi="Times New Roman" w:cs="Times New Roman"/>
          <w:sz w:val="28"/>
          <w:szCs w:val="28"/>
        </w:rPr>
        <w:t xml:space="preserve"> mēnesī</w:t>
      </w:r>
      <w:r>
        <w:rPr>
          <w:rFonts w:ascii="Times New Roman" w:hAnsi="Times New Roman" w:cs="Times New Roman"/>
          <w:sz w:val="28"/>
          <w:szCs w:val="28"/>
        </w:rPr>
        <w:t>.</w:t>
      </w:r>
      <w:r w:rsidRPr="00BD7D66">
        <w:rPr>
          <w:rFonts w:ascii="Times New Roman" w:hAnsi="Times New Roman"/>
          <w:sz w:val="28"/>
          <w:szCs w:val="28"/>
        </w:rPr>
        <w:t xml:space="preserve"> </w:t>
      </w:r>
      <w:r>
        <w:rPr>
          <w:rFonts w:ascii="Times New Roman" w:hAnsi="Times New Roman"/>
          <w:sz w:val="28"/>
          <w:szCs w:val="28"/>
        </w:rPr>
        <w:t>S</w:t>
      </w:r>
      <w:r w:rsidRPr="000F144F">
        <w:rPr>
          <w:rFonts w:ascii="Times New Roman" w:hAnsi="Times New Roman"/>
          <w:sz w:val="28"/>
          <w:szCs w:val="28"/>
        </w:rPr>
        <w:t>avukārt vidējā darba alga</w:t>
      </w:r>
      <w:r>
        <w:rPr>
          <w:rFonts w:ascii="Times New Roman" w:hAnsi="Times New Roman"/>
          <w:sz w:val="28"/>
          <w:szCs w:val="28"/>
        </w:rPr>
        <w:t xml:space="preserve"> 2009.gadā</w:t>
      </w:r>
      <w:r w:rsidRPr="000F144F">
        <w:rPr>
          <w:rFonts w:ascii="Times New Roman" w:hAnsi="Times New Roman"/>
          <w:sz w:val="28"/>
          <w:szCs w:val="28"/>
        </w:rPr>
        <w:t xml:space="preserve">, salīdzinot ar </w:t>
      </w:r>
      <w:r>
        <w:rPr>
          <w:rFonts w:ascii="Times New Roman" w:hAnsi="Times New Roman"/>
          <w:sz w:val="28"/>
          <w:szCs w:val="28"/>
        </w:rPr>
        <w:t>iepriekšējo gadu</w:t>
      </w:r>
      <w:r w:rsidRPr="000F144F">
        <w:rPr>
          <w:rFonts w:ascii="Times New Roman" w:hAnsi="Times New Roman"/>
          <w:sz w:val="28"/>
          <w:szCs w:val="28"/>
        </w:rPr>
        <w:t>, samazināj</w:t>
      </w:r>
      <w:r>
        <w:rPr>
          <w:rFonts w:ascii="Times New Roman" w:hAnsi="Times New Roman"/>
          <w:sz w:val="28"/>
          <w:szCs w:val="28"/>
        </w:rPr>
        <w:t>ā</w:t>
      </w:r>
      <w:r w:rsidRPr="000F144F">
        <w:rPr>
          <w:rFonts w:ascii="Times New Roman" w:hAnsi="Times New Roman"/>
          <w:sz w:val="28"/>
          <w:szCs w:val="28"/>
        </w:rPr>
        <w:t xml:space="preserve">s par aptuveni </w:t>
      </w:r>
      <w:r>
        <w:rPr>
          <w:rFonts w:ascii="Times New Roman" w:hAnsi="Times New Roman"/>
          <w:sz w:val="28"/>
          <w:szCs w:val="28"/>
        </w:rPr>
        <w:t>4,0%, 2010.gadā par 3,3%, 2011.gadā par 3,2%, bet</w:t>
      </w:r>
      <w:r w:rsidRPr="000F144F">
        <w:rPr>
          <w:rFonts w:ascii="Times New Roman" w:hAnsi="Times New Roman" w:cs="Times New Roman"/>
          <w:sz w:val="28"/>
          <w:szCs w:val="28"/>
        </w:rPr>
        <w:t xml:space="preserve"> </w:t>
      </w:r>
      <w:r>
        <w:rPr>
          <w:rFonts w:ascii="Times New Roman" w:hAnsi="Times New Roman" w:cs="Times New Roman"/>
          <w:sz w:val="28"/>
          <w:szCs w:val="28"/>
        </w:rPr>
        <w:t xml:space="preserve">2012.gadā par 3,8%. </w:t>
      </w:r>
    </w:p>
    <w:p w:rsidR="0085506E" w:rsidRPr="00326DBC" w:rsidRDefault="0085506E" w:rsidP="0085506E">
      <w:pPr>
        <w:pStyle w:val="ListParagraph"/>
        <w:spacing w:after="120" w:line="240" w:lineRule="auto"/>
        <w:ind w:left="0" w:firstLine="709"/>
        <w:jc w:val="both"/>
        <w:rPr>
          <w:rFonts w:ascii="Times New Roman" w:hAnsi="Times New Roman" w:cs="Times New Roman"/>
          <w:sz w:val="6"/>
          <w:szCs w:val="6"/>
        </w:rPr>
      </w:pPr>
    </w:p>
    <w:p w:rsidR="0085506E" w:rsidRPr="000F144F" w:rsidRDefault="0085506E" w:rsidP="0085506E">
      <w:pPr>
        <w:pStyle w:val="ListParagraph"/>
        <w:spacing w:after="120" w:line="240" w:lineRule="auto"/>
        <w:ind w:left="0" w:firstLine="709"/>
        <w:jc w:val="both"/>
        <w:rPr>
          <w:rFonts w:ascii="Times New Roman" w:hAnsi="Times New Roman" w:cs="Times New Roman"/>
          <w:sz w:val="28"/>
          <w:szCs w:val="28"/>
        </w:rPr>
      </w:pPr>
      <w:r w:rsidRPr="000F144F">
        <w:rPr>
          <w:rFonts w:ascii="Times New Roman" w:hAnsi="Times New Roman" w:cs="Times New Roman"/>
          <w:sz w:val="28"/>
          <w:szCs w:val="28"/>
        </w:rPr>
        <w:t>Pēdējos trijos gados bū</w:t>
      </w:r>
      <w:r>
        <w:rPr>
          <w:rFonts w:ascii="Times New Roman" w:hAnsi="Times New Roman" w:cs="Times New Roman"/>
          <w:sz w:val="28"/>
          <w:szCs w:val="28"/>
        </w:rPr>
        <w:softHyphen/>
      </w:r>
      <w:r w:rsidRPr="000F144F">
        <w:rPr>
          <w:rFonts w:ascii="Times New Roman" w:hAnsi="Times New Roman" w:cs="Times New Roman"/>
          <w:sz w:val="28"/>
          <w:szCs w:val="28"/>
        </w:rPr>
        <w:t>tiski ir pieaudzis to darba ņēmēju skaits, kas saņem minimālo algu un mazāk, bet sa</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Pr="000F144F">
        <w:rPr>
          <w:rFonts w:ascii="Times New Roman" w:hAnsi="Times New Roman" w:cs="Times New Roman"/>
          <w:sz w:val="28"/>
          <w:szCs w:val="28"/>
        </w:rPr>
        <w:t>mazinājies darba ņēmēju skaits, kas saņem algu no 300</w:t>
      </w:r>
      <w:r>
        <w:rPr>
          <w:rFonts w:ascii="Times New Roman" w:hAnsi="Times New Roman" w:cs="Times New Roman"/>
          <w:sz w:val="28"/>
          <w:szCs w:val="28"/>
        </w:rPr>
        <w:t> </w:t>
      </w:r>
      <w:r w:rsidRPr="000F144F">
        <w:rPr>
          <w:rFonts w:ascii="Times New Roman" w:hAnsi="Times New Roman" w:cs="Times New Roman"/>
          <w:sz w:val="28"/>
          <w:szCs w:val="28"/>
        </w:rPr>
        <w:t>līdz 500</w:t>
      </w:r>
      <w:r>
        <w:rPr>
          <w:rFonts w:ascii="Times New Roman" w:hAnsi="Times New Roman" w:cs="Times New Roman"/>
          <w:sz w:val="28"/>
          <w:szCs w:val="28"/>
        </w:rPr>
        <w:t> latiem</w:t>
      </w:r>
      <w:r w:rsidRPr="000F144F">
        <w:rPr>
          <w:rFonts w:ascii="Times New Roman" w:hAnsi="Times New Roman" w:cs="Times New Roman"/>
          <w:sz w:val="28"/>
          <w:szCs w:val="28"/>
        </w:rPr>
        <w:t xml:space="preserve"> mēnesī.</w:t>
      </w:r>
    </w:p>
    <w:p w:rsidR="0085506E" w:rsidRPr="008E0260" w:rsidRDefault="0085506E" w:rsidP="0085506E">
      <w:pPr>
        <w:pStyle w:val="ListParagraph"/>
        <w:spacing w:after="120" w:line="240" w:lineRule="auto"/>
        <w:ind w:left="0" w:firstLine="709"/>
        <w:jc w:val="both"/>
        <w:rPr>
          <w:rFonts w:ascii="Times New Roman" w:hAnsi="Times New Roman" w:cs="Times New Roman"/>
          <w:sz w:val="20"/>
          <w:szCs w:val="20"/>
        </w:rPr>
      </w:pPr>
    </w:p>
    <w:p w:rsidR="0085506E" w:rsidRPr="00617BE7" w:rsidRDefault="0085506E" w:rsidP="0085506E">
      <w:pPr>
        <w:pStyle w:val="ListParagraph"/>
        <w:spacing w:after="120" w:line="240" w:lineRule="auto"/>
        <w:ind w:left="0"/>
        <w:jc w:val="both"/>
        <w:rPr>
          <w:rFonts w:ascii="Times New Roman" w:hAnsi="Times New Roman" w:cs="Times New Roman"/>
          <w:sz w:val="24"/>
        </w:rPr>
      </w:pPr>
      <w:r>
        <w:rPr>
          <w:noProof/>
          <w:lang w:eastAsia="lv-LV"/>
        </w:rPr>
        <w:lastRenderedPageBreak/>
        <w:drawing>
          <wp:inline distT="0" distB="0" distL="0" distR="0" wp14:anchorId="02F901B9" wp14:editId="25C3BF7F">
            <wp:extent cx="2648310" cy="217385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lv-LV"/>
        </w:rPr>
        <w:drawing>
          <wp:inline distT="0" distB="0" distL="0" distR="0" wp14:anchorId="619621D6" wp14:editId="579CF026">
            <wp:extent cx="2941608" cy="217385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506E" w:rsidRPr="00995D03" w:rsidRDefault="0085506E" w:rsidP="0085506E">
      <w:pPr>
        <w:tabs>
          <w:tab w:val="left" w:pos="709"/>
        </w:tabs>
        <w:spacing w:after="60" w:line="240" w:lineRule="auto"/>
        <w:jc w:val="both"/>
        <w:rPr>
          <w:rFonts w:ascii="Times New Roman" w:hAnsi="Times New Roman" w:cs="Times New Roman"/>
          <w:b/>
          <w:sz w:val="24"/>
          <w:szCs w:val="24"/>
        </w:rPr>
      </w:pPr>
      <w:r w:rsidRPr="00995D03">
        <w:rPr>
          <w:rFonts w:ascii="Times New Roman" w:hAnsi="Times New Roman" w:cs="Times New Roman"/>
          <w:b/>
          <w:sz w:val="24"/>
          <w:szCs w:val="24"/>
        </w:rPr>
        <w:t>2.att. Darba samaksas rādītāji</w:t>
      </w:r>
    </w:p>
    <w:p w:rsidR="0085506E" w:rsidRDefault="0085506E" w:rsidP="0085506E">
      <w:pPr>
        <w:pStyle w:val="ListParagraph"/>
        <w:spacing w:after="0" w:line="240" w:lineRule="auto"/>
        <w:ind w:left="0"/>
        <w:jc w:val="both"/>
        <w:rPr>
          <w:rFonts w:ascii="Times New Roman" w:hAnsi="Times New Roman" w:cs="Times New Roman"/>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CSP</w:t>
      </w:r>
    </w:p>
    <w:p w:rsidR="003828FB" w:rsidRDefault="003828FB" w:rsidP="00D434CC">
      <w:pPr>
        <w:autoSpaceDE w:val="0"/>
        <w:autoSpaceDN w:val="0"/>
        <w:adjustRightInd w:val="0"/>
        <w:spacing w:after="120" w:line="240" w:lineRule="auto"/>
        <w:ind w:firstLine="720"/>
        <w:jc w:val="both"/>
        <w:rPr>
          <w:rFonts w:ascii="Times New Roman" w:hAnsi="Times New Roman" w:cs="Times New Roman"/>
          <w:sz w:val="28"/>
          <w:szCs w:val="28"/>
        </w:rPr>
      </w:pPr>
    </w:p>
    <w:p w:rsidR="00D434CC" w:rsidRPr="00512E1B" w:rsidRDefault="00D434CC" w:rsidP="00D434CC">
      <w:pPr>
        <w:autoSpaceDE w:val="0"/>
        <w:autoSpaceDN w:val="0"/>
        <w:adjustRightInd w:val="0"/>
        <w:spacing w:after="120" w:line="240" w:lineRule="auto"/>
        <w:ind w:firstLine="720"/>
        <w:jc w:val="both"/>
        <w:rPr>
          <w:rFonts w:ascii="Times New Roman" w:hAnsi="Times New Roman" w:cs="Times New Roman"/>
          <w:sz w:val="28"/>
          <w:szCs w:val="28"/>
        </w:rPr>
      </w:pPr>
      <w:r w:rsidRPr="00512E1B">
        <w:rPr>
          <w:rFonts w:ascii="Times New Roman" w:hAnsi="Times New Roman" w:cs="Times New Roman"/>
          <w:sz w:val="28"/>
          <w:szCs w:val="28"/>
        </w:rPr>
        <w:t>Saskaņā ar CSP datiem 2012.gada decembrī darba ņēmēju skaits, kuriem darba ienākumi ir līdz un minimālās mēneša darba algas apmērā (200 latiem)</w:t>
      </w:r>
      <w:r>
        <w:rPr>
          <w:rFonts w:ascii="Times New Roman" w:hAnsi="Times New Roman" w:cs="Times New Roman"/>
          <w:sz w:val="28"/>
          <w:szCs w:val="28"/>
        </w:rPr>
        <w:t>,</w:t>
      </w:r>
      <w:r w:rsidRPr="00512E1B">
        <w:rPr>
          <w:rFonts w:ascii="Times New Roman" w:hAnsi="Times New Roman" w:cs="Times New Roman"/>
          <w:sz w:val="28"/>
          <w:szCs w:val="28"/>
        </w:rPr>
        <w:t xml:space="preserve"> bija 198,6 </w:t>
      </w:r>
      <w:proofErr w:type="spellStart"/>
      <w:r w:rsidRPr="00512E1B">
        <w:rPr>
          <w:rFonts w:ascii="Times New Roman" w:hAnsi="Times New Roman" w:cs="Times New Roman"/>
          <w:sz w:val="28"/>
          <w:szCs w:val="28"/>
        </w:rPr>
        <w:t>tūkst</w:t>
      </w:r>
      <w:proofErr w:type="spellEnd"/>
      <w:r w:rsidRPr="00512E1B">
        <w:rPr>
          <w:rFonts w:ascii="Times New Roman" w:hAnsi="Times New Roman" w:cs="Times New Roman"/>
          <w:sz w:val="28"/>
          <w:szCs w:val="28"/>
        </w:rPr>
        <w:t xml:space="preserve">. cilvēku </w:t>
      </w:r>
      <w:r>
        <w:rPr>
          <w:rFonts w:ascii="Times New Roman" w:hAnsi="Times New Roman" w:cs="Times New Roman"/>
          <w:sz w:val="28"/>
          <w:szCs w:val="28"/>
        </w:rPr>
        <w:t xml:space="preserve">jeb </w:t>
      </w:r>
      <w:r w:rsidRPr="00512E1B">
        <w:rPr>
          <w:rFonts w:ascii="Times New Roman" w:hAnsi="Times New Roman" w:cs="Times New Roman"/>
          <w:sz w:val="28"/>
          <w:szCs w:val="28"/>
        </w:rPr>
        <w:t>26,2%</w:t>
      </w:r>
      <w:r w:rsidR="00C106AF">
        <w:rPr>
          <w:rFonts w:ascii="Times New Roman" w:hAnsi="Times New Roman" w:cs="Times New Roman"/>
          <w:sz w:val="28"/>
          <w:szCs w:val="28"/>
        </w:rPr>
        <w:t xml:space="preserve"> </w:t>
      </w:r>
      <w:r>
        <w:rPr>
          <w:rFonts w:ascii="Times New Roman" w:hAnsi="Times New Roman" w:cs="Times New Roman"/>
          <w:bCs/>
          <w:sz w:val="28"/>
          <w:szCs w:val="28"/>
        </w:rPr>
        <w:t>no darba ņēmēju kopskaita</w:t>
      </w:r>
      <w:r w:rsidRPr="00512E1B">
        <w:rPr>
          <w:rFonts w:ascii="Times New Roman" w:hAnsi="Times New Roman" w:cs="Times New Roman"/>
          <w:sz w:val="28"/>
          <w:szCs w:val="28"/>
        </w:rPr>
        <w:t xml:space="preserve">, tai skaitā privātajā sektorā – 172,7 </w:t>
      </w:r>
      <w:proofErr w:type="spellStart"/>
      <w:r w:rsidRPr="00512E1B">
        <w:rPr>
          <w:rFonts w:ascii="Times New Roman" w:hAnsi="Times New Roman" w:cs="Times New Roman"/>
          <w:sz w:val="28"/>
          <w:szCs w:val="28"/>
        </w:rPr>
        <w:t>tūkst</w:t>
      </w:r>
      <w:proofErr w:type="spellEnd"/>
      <w:r w:rsidRPr="00512E1B">
        <w:rPr>
          <w:rFonts w:ascii="Times New Roman" w:hAnsi="Times New Roman" w:cs="Times New Roman"/>
          <w:sz w:val="28"/>
          <w:szCs w:val="28"/>
        </w:rPr>
        <w:t xml:space="preserve">. cilvēku no privātā sektorā nodarbinātajiem jeb 33,8% un sabiedriskajā sektorā – 23,7 </w:t>
      </w:r>
      <w:proofErr w:type="spellStart"/>
      <w:r w:rsidRPr="00512E1B">
        <w:rPr>
          <w:rFonts w:ascii="Times New Roman" w:hAnsi="Times New Roman" w:cs="Times New Roman"/>
          <w:sz w:val="28"/>
          <w:szCs w:val="28"/>
        </w:rPr>
        <w:t>tūkst</w:t>
      </w:r>
      <w:proofErr w:type="spellEnd"/>
      <w:r w:rsidRPr="00512E1B">
        <w:rPr>
          <w:rFonts w:ascii="Times New Roman" w:hAnsi="Times New Roman" w:cs="Times New Roman"/>
          <w:sz w:val="28"/>
          <w:szCs w:val="28"/>
        </w:rPr>
        <w:t>. cilvēku no sabiedriskā sektorā nodarbinātajiem jeb 9,8% (CSP sabiedriskajā sektorā neiekļauj sabiedriskās organizācijas – nodibinājumus, biedrības, fondus, politiskās un reliģiskās organizācijas).</w:t>
      </w:r>
    </w:p>
    <w:p w:rsidR="00D434CC" w:rsidRDefault="00D434CC" w:rsidP="00D434CC">
      <w:pPr>
        <w:pStyle w:val="ListParagraph"/>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Jāatzīmē, ka Latvij</w:t>
      </w:r>
      <w:r w:rsidR="0034552F">
        <w:rPr>
          <w:rFonts w:ascii="Times New Roman" w:hAnsi="Times New Roman" w:cs="Times New Roman"/>
          <w:sz w:val="28"/>
          <w:szCs w:val="28"/>
        </w:rPr>
        <w:t>a</w:t>
      </w:r>
      <w:r>
        <w:rPr>
          <w:rFonts w:ascii="Times New Roman" w:hAnsi="Times New Roman" w:cs="Times New Roman"/>
          <w:sz w:val="28"/>
          <w:szCs w:val="28"/>
        </w:rPr>
        <w:t xml:space="preserve"> ir </w:t>
      </w:r>
      <w:r w:rsidR="0034552F">
        <w:rPr>
          <w:rFonts w:ascii="Times New Roman" w:hAnsi="Times New Roman" w:cs="Times New Roman"/>
          <w:sz w:val="28"/>
          <w:szCs w:val="28"/>
        </w:rPr>
        <w:t>to 9 ES dalībvalstu vidū, kur ir</w:t>
      </w:r>
      <w:r>
        <w:rPr>
          <w:rFonts w:ascii="Times New Roman" w:hAnsi="Times New Roman" w:cs="Times New Roman"/>
          <w:sz w:val="28"/>
          <w:szCs w:val="28"/>
        </w:rPr>
        <w:t xml:space="preserve"> zem</w:t>
      </w:r>
      <w:r w:rsidR="0034552F">
        <w:rPr>
          <w:rFonts w:ascii="Times New Roman" w:hAnsi="Times New Roman" w:cs="Times New Roman"/>
          <w:sz w:val="28"/>
          <w:szCs w:val="28"/>
        </w:rPr>
        <w:t>s</w:t>
      </w:r>
      <w:r>
        <w:rPr>
          <w:rFonts w:ascii="Times New Roman" w:hAnsi="Times New Roman" w:cs="Times New Roman"/>
          <w:sz w:val="28"/>
          <w:szCs w:val="28"/>
        </w:rPr>
        <w:t xml:space="preserve"> minimālā</w:t>
      </w:r>
      <w:r w:rsidR="00C106AF">
        <w:rPr>
          <w:rFonts w:ascii="Times New Roman" w:hAnsi="Times New Roman" w:cs="Times New Roman"/>
          <w:sz w:val="28"/>
          <w:szCs w:val="28"/>
        </w:rPr>
        <w:t>s</w:t>
      </w:r>
      <w:r>
        <w:rPr>
          <w:rFonts w:ascii="Times New Roman" w:hAnsi="Times New Roman" w:cs="Times New Roman"/>
          <w:sz w:val="28"/>
          <w:szCs w:val="28"/>
        </w:rPr>
        <w:t xml:space="preserve"> darba algas </w:t>
      </w:r>
      <w:r w:rsidR="0034552F">
        <w:rPr>
          <w:rFonts w:ascii="Times New Roman" w:hAnsi="Times New Roman" w:cs="Times New Roman"/>
          <w:sz w:val="28"/>
          <w:szCs w:val="28"/>
        </w:rPr>
        <w:t>apmērs</w:t>
      </w:r>
      <w:r>
        <w:rPr>
          <w:rFonts w:ascii="Times New Roman" w:hAnsi="Times New Roman" w:cs="Times New Roman"/>
          <w:sz w:val="28"/>
          <w:szCs w:val="28"/>
        </w:rPr>
        <w:t xml:space="preserve">. </w:t>
      </w:r>
    </w:p>
    <w:p w:rsidR="00D434CC" w:rsidRDefault="00D434CC" w:rsidP="00D434CC">
      <w:pPr>
        <w:pStyle w:val="ListParagraph"/>
        <w:spacing w:after="120" w:line="240" w:lineRule="auto"/>
        <w:ind w:left="0" w:firstLine="709"/>
        <w:jc w:val="both"/>
        <w:rPr>
          <w:rFonts w:ascii="Times New Roman" w:hAnsi="Times New Roman" w:cs="Times New Roman"/>
          <w:sz w:val="28"/>
          <w:szCs w:val="28"/>
        </w:rPr>
      </w:pPr>
    </w:p>
    <w:p w:rsidR="00D434CC" w:rsidRDefault="00D434CC" w:rsidP="00D434CC">
      <w:pPr>
        <w:pStyle w:val="ListParagraph"/>
        <w:spacing w:after="120" w:line="240" w:lineRule="auto"/>
        <w:ind w:left="0"/>
        <w:jc w:val="both"/>
        <w:rPr>
          <w:rFonts w:ascii="Times New Roman" w:hAnsi="Times New Roman" w:cs="Times New Roman"/>
          <w:sz w:val="28"/>
          <w:szCs w:val="28"/>
        </w:rPr>
      </w:pPr>
      <w:r>
        <w:rPr>
          <w:noProof/>
          <w:lang w:eastAsia="lv-LV"/>
        </w:rPr>
        <w:drawing>
          <wp:inline distT="0" distB="0" distL="0" distR="0" wp14:anchorId="5376B747" wp14:editId="0C620B84">
            <wp:extent cx="5244861" cy="3036498"/>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34CC" w:rsidRPr="00995D03" w:rsidRDefault="00D434CC" w:rsidP="00D434CC">
      <w:pPr>
        <w:tabs>
          <w:tab w:val="left" w:pos="709"/>
        </w:tabs>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995D03">
        <w:rPr>
          <w:rFonts w:ascii="Times New Roman" w:hAnsi="Times New Roman" w:cs="Times New Roman"/>
          <w:b/>
          <w:sz w:val="24"/>
          <w:szCs w:val="24"/>
        </w:rPr>
        <w:t xml:space="preserve">.att. </w:t>
      </w:r>
      <w:r>
        <w:rPr>
          <w:rFonts w:ascii="Times New Roman" w:hAnsi="Times New Roman" w:cs="Times New Roman"/>
          <w:b/>
          <w:sz w:val="24"/>
          <w:szCs w:val="24"/>
        </w:rPr>
        <w:t xml:space="preserve">Minimālā darba alga ES 2013.gadā </w:t>
      </w:r>
    </w:p>
    <w:p w:rsidR="00D434CC" w:rsidRDefault="00D434CC" w:rsidP="00D434CC">
      <w:pPr>
        <w:pStyle w:val="ListParagraph"/>
        <w:spacing w:after="60" w:line="240" w:lineRule="auto"/>
        <w:ind w:left="0"/>
        <w:rPr>
          <w:rFonts w:ascii="Times New Roman" w:hAnsi="Times New Roman" w:cs="Times New Roman"/>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proofErr w:type="spellStart"/>
      <w:r>
        <w:rPr>
          <w:rFonts w:ascii="Times New Roman" w:hAnsi="Times New Roman" w:cs="Times New Roman"/>
          <w:sz w:val="24"/>
          <w:szCs w:val="24"/>
        </w:rPr>
        <w:t>Eurostat</w:t>
      </w:r>
      <w:proofErr w:type="spellEnd"/>
    </w:p>
    <w:p w:rsidR="00D434CC" w:rsidRDefault="00D434CC" w:rsidP="00D434CC">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Turklāt no 2013.gada 1.janvāra gan Lietuva, gan Igaunija ir paaugstinājusi minimālo darba algu, kā rezultātā Latvijā pašreiz ir zemākais minimālās darba algas līmenis starp Baltijas valstīm.</w:t>
      </w:r>
    </w:p>
    <w:p w:rsidR="00D434CC" w:rsidRDefault="00D434CC" w:rsidP="00D434CC">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434CC" w:rsidRDefault="00D434CC" w:rsidP="00D434CC">
      <w:pPr>
        <w:pStyle w:val="ListParagraph"/>
        <w:spacing w:after="120" w:line="240" w:lineRule="auto"/>
        <w:ind w:left="0"/>
        <w:jc w:val="both"/>
        <w:rPr>
          <w:rFonts w:ascii="Times New Roman" w:hAnsi="Times New Roman" w:cs="Times New Roman"/>
          <w:sz w:val="28"/>
          <w:szCs w:val="28"/>
        </w:rPr>
      </w:pPr>
      <w:r>
        <w:rPr>
          <w:noProof/>
          <w:lang w:eastAsia="lv-LV"/>
        </w:rPr>
        <w:drawing>
          <wp:inline distT="0" distB="0" distL="0" distR="0" wp14:anchorId="04CAD81B" wp14:editId="74D12C44">
            <wp:extent cx="4753155" cy="2794958"/>
            <wp:effectExtent l="0" t="0" r="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34CC" w:rsidRDefault="00D434CC" w:rsidP="00D434CC">
      <w:pPr>
        <w:tabs>
          <w:tab w:val="left" w:pos="709"/>
        </w:tabs>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995D03">
        <w:rPr>
          <w:rFonts w:ascii="Times New Roman" w:hAnsi="Times New Roman" w:cs="Times New Roman"/>
          <w:b/>
          <w:sz w:val="24"/>
          <w:szCs w:val="24"/>
        </w:rPr>
        <w:t xml:space="preserve">.att. </w:t>
      </w:r>
      <w:r>
        <w:rPr>
          <w:rFonts w:ascii="Times New Roman" w:hAnsi="Times New Roman" w:cs="Times New Roman"/>
          <w:b/>
          <w:sz w:val="24"/>
          <w:szCs w:val="24"/>
        </w:rPr>
        <w:t xml:space="preserve">Minimālās darba algas izmaiņas Baltijas valstīs </w:t>
      </w:r>
    </w:p>
    <w:p w:rsidR="00D434CC" w:rsidRDefault="00D434CC" w:rsidP="00D434CC">
      <w:pPr>
        <w:pStyle w:val="ListParagraph"/>
        <w:spacing w:after="60" w:line="240" w:lineRule="auto"/>
        <w:ind w:left="0"/>
        <w:rPr>
          <w:rFonts w:ascii="Times New Roman" w:hAnsi="Times New Roman" w:cs="Times New Roman"/>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proofErr w:type="spellStart"/>
      <w:r>
        <w:rPr>
          <w:rFonts w:ascii="Times New Roman" w:hAnsi="Times New Roman" w:cs="Times New Roman"/>
          <w:sz w:val="24"/>
          <w:szCs w:val="24"/>
        </w:rPr>
        <w:t>Eurostat</w:t>
      </w:r>
      <w:proofErr w:type="spellEnd"/>
    </w:p>
    <w:p w:rsidR="00D434CC" w:rsidRDefault="00D434CC" w:rsidP="0085506E">
      <w:pPr>
        <w:pStyle w:val="ListParagraph"/>
        <w:spacing w:after="0" w:line="240" w:lineRule="auto"/>
        <w:ind w:left="0"/>
        <w:jc w:val="both"/>
        <w:rPr>
          <w:rFonts w:ascii="Times New Roman" w:hAnsi="Times New Roman" w:cs="Times New Roman"/>
          <w:sz w:val="24"/>
          <w:szCs w:val="24"/>
        </w:rPr>
      </w:pPr>
    </w:p>
    <w:p w:rsidR="00D434CC" w:rsidRDefault="00D434CC" w:rsidP="0085506E">
      <w:pPr>
        <w:pStyle w:val="ListParagraph"/>
        <w:spacing w:after="0" w:line="240" w:lineRule="auto"/>
        <w:ind w:left="0"/>
        <w:jc w:val="both"/>
        <w:rPr>
          <w:rFonts w:ascii="Times New Roman" w:hAnsi="Times New Roman" w:cs="Times New Roman"/>
          <w:sz w:val="24"/>
          <w:szCs w:val="24"/>
        </w:rPr>
      </w:pPr>
    </w:p>
    <w:p w:rsidR="002E32FC" w:rsidRDefault="002E32FC" w:rsidP="00D434CC">
      <w:pPr>
        <w:pStyle w:val="ListParagraph"/>
        <w:numPr>
          <w:ilvl w:val="0"/>
          <w:numId w:val="4"/>
        </w:numPr>
        <w:tabs>
          <w:tab w:val="left" w:pos="709"/>
        </w:tabs>
        <w:spacing w:before="240" w:after="240" w:line="240" w:lineRule="auto"/>
        <w:ind w:left="0" w:firstLine="0"/>
        <w:jc w:val="both"/>
        <w:rPr>
          <w:rFonts w:ascii="Times New Roman" w:hAnsi="Times New Roman" w:cs="Times New Roman"/>
          <w:b/>
          <w:i/>
          <w:sz w:val="28"/>
          <w:szCs w:val="28"/>
        </w:rPr>
      </w:pPr>
      <w:r>
        <w:rPr>
          <w:rFonts w:ascii="Times New Roman" w:hAnsi="Times New Roman" w:cs="Times New Roman"/>
          <w:b/>
          <w:i/>
          <w:sz w:val="28"/>
          <w:szCs w:val="28"/>
        </w:rPr>
        <w:t>Nabadzības risks un darba tirgus slazdi</w:t>
      </w:r>
    </w:p>
    <w:p w:rsidR="001A5729" w:rsidRPr="001A5729" w:rsidRDefault="001A5729" w:rsidP="001A5729">
      <w:pPr>
        <w:pStyle w:val="NormalWeb"/>
        <w:spacing w:before="0" w:beforeAutospacing="0" w:after="120" w:afterAutospacing="0"/>
        <w:ind w:firstLine="720"/>
        <w:jc w:val="both"/>
        <w:rPr>
          <w:sz w:val="28"/>
          <w:szCs w:val="28"/>
        </w:rPr>
      </w:pPr>
      <w:r w:rsidRPr="001A5729">
        <w:rPr>
          <w:sz w:val="28"/>
          <w:szCs w:val="28"/>
        </w:rPr>
        <w:t>2011.gadā, pieaugot ekonomi</w:t>
      </w:r>
      <w:r>
        <w:rPr>
          <w:sz w:val="28"/>
          <w:szCs w:val="28"/>
        </w:rPr>
        <w:t>s</w:t>
      </w:r>
      <w:r w:rsidRPr="001A5729">
        <w:rPr>
          <w:sz w:val="28"/>
          <w:szCs w:val="28"/>
        </w:rPr>
        <w:t>kai</w:t>
      </w:r>
      <w:r>
        <w:rPr>
          <w:sz w:val="28"/>
          <w:szCs w:val="28"/>
        </w:rPr>
        <w:t xml:space="preserve"> aktivitātei</w:t>
      </w:r>
      <w:r w:rsidRPr="001A5729">
        <w:rPr>
          <w:sz w:val="28"/>
          <w:szCs w:val="28"/>
        </w:rPr>
        <w:t xml:space="preserve">, ieguvēji bija ekonomiski aktīvie iedzīvotāji, kuru ienākumi auga samērojamā tempā ar ekonomikas izaugsmi (analogi ar pirmskrīzes situāciju), kā rezultātā to </w:t>
      </w:r>
      <w:r w:rsidRPr="001A5729">
        <w:rPr>
          <w:i/>
          <w:sz w:val="28"/>
          <w:szCs w:val="28"/>
        </w:rPr>
        <w:t>nabadzības riska indekss</w:t>
      </w:r>
      <w:r w:rsidRPr="001A5729">
        <w:rPr>
          <w:rStyle w:val="FootnoteReference"/>
          <w:sz w:val="28"/>
          <w:szCs w:val="28"/>
        </w:rPr>
        <w:footnoteReference w:id="1"/>
      </w:r>
      <w:r w:rsidRPr="001A5729">
        <w:rPr>
          <w:sz w:val="28"/>
          <w:szCs w:val="28"/>
          <w:vertAlign w:val="superscript"/>
        </w:rPr>
        <w:t xml:space="preserve"> </w:t>
      </w:r>
      <w:r w:rsidRPr="001A5729">
        <w:rPr>
          <w:sz w:val="28"/>
          <w:szCs w:val="28"/>
        </w:rPr>
        <w:t>samazinājās. Tiem, kuru ienākumi bija tuv</w:t>
      </w:r>
      <w:r w:rsidR="00C106AF">
        <w:rPr>
          <w:sz w:val="28"/>
          <w:szCs w:val="28"/>
        </w:rPr>
        <w:t>u</w:t>
      </w:r>
      <w:r w:rsidRPr="001A5729">
        <w:rPr>
          <w:sz w:val="28"/>
          <w:szCs w:val="28"/>
        </w:rPr>
        <w:t xml:space="preserve"> </w:t>
      </w:r>
      <w:r w:rsidRPr="001A5729">
        <w:rPr>
          <w:i/>
          <w:sz w:val="28"/>
          <w:szCs w:val="28"/>
        </w:rPr>
        <w:t>nabadzības riska slieksnim</w:t>
      </w:r>
      <w:r w:rsidRPr="001A5729">
        <w:rPr>
          <w:rStyle w:val="FootnoteReference"/>
          <w:i/>
          <w:sz w:val="28"/>
          <w:szCs w:val="28"/>
        </w:rPr>
        <w:footnoteReference w:id="2"/>
      </w:r>
      <w:r w:rsidRPr="001A5729">
        <w:rPr>
          <w:sz w:val="28"/>
          <w:szCs w:val="28"/>
        </w:rPr>
        <w:t xml:space="preserve">, ienākumi auga lēnāk, nekā vidējais ienākumu līmenis. Šo cilvēku risks nokļūt zem pieaugušā nabadzības riska sliekšņa palielinājās. Tas lielā mērā attiecās uz mazo un nelielo pensiju saņēmējiem un citām personām ar zemiem ienākumiem, īpaši ģimenēm ar bērniem. CSP dati </w:t>
      </w:r>
      <w:r w:rsidR="003828FB">
        <w:rPr>
          <w:sz w:val="28"/>
          <w:szCs w:val="28"/>
        </w:rPr>
        <w:t>ap</w:t>
      </w:r>
      <w:r w:rsidRPr="001A5729">
        <w:rPr>
          <w:sz w:val="28"/>
          <w:szCs w:val="28"/>
        </w:rPr>
        <w:t>liecina</w:t>
      </w:r>
      <w:r w:rsidR="003828FB">
        <w:rPr>
          <w:sz w:val="28"/>
          <w:szCs w:val="28"/>
        </w:rPr>
        <w:t xml:space="preserve"> tendenci</w:t>
      </w:r>
      <w:r w:rsidRPr="001A5729">
        <w:rPr>
          <w:sz w:val="28"/>
          <w:szCs w:val="28"/>
        </w:rPr>
        <w:t>, ka pieaugot iedzīvotāju ienākumiem, no tiem atvasinātais nabadzības riska slieksnis pieaug.</w:t>
      </w:r>
    </w:p>
    <w:p w:rsidR="0085506E" w:rsidRDefault="0085506E" w:rsidP="0085506E">
      <w:pPr>
        <w:pStyle w:val="ListParagraph"/>
        <w:spacing w:after="120" w:line="240" w:lineRule="auto"/>
        <w:ind w:left="0" w:firstLine="709"/>
        <w:jc w:val="both"/>
        <w:rPr>
          <w:rFonts w:ascii="Times New Roman" w:hAnsi="Times New Roman" w:cs="Times New Roman"/>
          <w:sz w:val="28"/>
          <w:szCs w:val="28"/>
        </w:rPr>
      </w:pPr>
    </w:p>
    <w:p w:rsidR="0085506E" w:rsidRDefault="003D61A0" w:rsidP="0085506E">
      <w:pPr>
        <w:pStyle w:val="ListParagraph"/>
        <w:spacing w:after="120" w:line="240" w:lineRule="auto"/>
        <w:ind w:left="0"/>
        <w:rPr>
          <w:rFonts w:ascii="Times New Roman" w:hAnsi="Times New Roman" w:cs="Times New Roman"/>
          <w:b/>
          <w:sz w:val="24"/>
          <w:szCs w:val="24"/>
        </w:rPr>
      </w:pPr>
      <w:r>
        <w:rPr>
          <w:noProof/>
          <w:lang w:eastAsia="lv-LV"/>
        </w:rPr>
        <w:lastRenderedPageBreak/>
        <w:drawing>
          <wp:inline distT="0" distB="0" distL="0" distR="0" wp14:anchorId="68B2EF88" wp14:editId="339C15E4">
            <wp:extent cx="2786332" cy="229462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27781">
        <w:rPr>
          <w:noProof/>
          <w:lang w:eastAsia="lv-LV"/>
        </w:rPr>
        <w:drawing>
          <wp:inline distT="0" distB="0" distL="0" distR="0" wp14:anchorId="06008B5F" wp14:editId="5DEF702F">
            <wp:extent cx="2786332" cy="2294626"/>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506E" w:rsidRPr="00F72B6A" w:rsidRDefault="0085506E" w:rsidP="0085506E">
      <w:pPr>
        <w:pStyle w:val="ListParagraph"/>
        <w:spacing w:after="120" w:line="240" w:lineRule="auto"/>
        <w:ind w:left="0"/>
        <w:rPr>
          <w:rFonts w:ascii="Times New Roman" w:hAnsi="Times New Roman" w:cs="Times New Roman"/>
          <w:b/>
          <w:sz w:val="16"/>
          <w:szCs w:val="16"/>
        </w:rPr>
      </w:pPr>
    </w:p>
    <w:p w:rsidR="0085506E" w:rsidRPr="00F72B6A" w:rsidRDefault="00D434CC" w:rsidP="0085506E">
      <w:pPr>
        <w:pStyle w:val="ListParagraph"/>
        <w:spacing w:after="120" w:line="240" w:lineRule="auto"/>
        <w:ind w:left="0"/>
        <w:rPr>
          <w:rFonts w:ascii="Times New Roman" w:hAnsi="Times New Roman" w:cs="Times New Roman"/>
          <w:b/>
          <w:sz w:val="24"/>
          <w:szCs w:val="24"/>
        </w:rPr>
      </w:pPr>
      <w:r>
        <w:rPr>
          <w:rFonts w:ascii="Times New Roman" w:hAnsi="Times New Roman" w:cs="Times New Roman"/>
          <w:b/>
          <w:sz w:val="24"/>
          <w:szCs w:val="24"/>
        </w:rPr>
        <w:t>5</w:t>
      </w:r>
      <w:r w:rsidR="0085506E" w:rsidRPr="00995D03">
        <w:rPr>
          <w:rFonts w:ascii="Times New Roman" w:hAnsi="Times New Roman" w:cs="Times New Roman"/>
          <w:b/>
          <w:sz w:val="24"/>
          <w:szCs w:val="24"/>
        </w:rPr>
        <w:t xml:space="preserve">.att. </w:t>
      </w:r>
      <w:r w:rsidR="0085506E">
        <w:rPr>
          <w:rFonts w:ascii="Times New Roman" w:hAnsi="Times New Roman" w:cs="Times New Roman"/>
          <w:b/>
          <w:sz w:val="24"/>
          <w:szCs w:val="24"/>
        </w:rPr>
        <w:t>Nabadzības riska slieksnis un nabadzības riska indekss</w:t>
      </w:r>
    </w:p>
    <w:p w:rsidR="0085506E" w:rsidRPr="00F72B6A" w:rsidRDefault="0085506E" w:rsidP="0085506E">
      <w:pPr>
        <w:pStyle w:val="ListParagraph"/>
        <w:spacing w:after="0" w:line="240" w:lineRule="auto"/>
        <w:ind w:left="0"/>
        <w:rPr>
          <w:rFonts w:ascii="Calibri" w:hAnsi="Calibri" w:cs="Calibri"/>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r w:rsidR="00140741">
        <w:rPr>
          <w:rFonts w:ascii="Times New Roman" w:hAnsi="Times New Roman" w:cs="Times New Roman"/>
          <w:sz w:val="24"/>
          <w:szCs w:val="24"/>
        </w:rPr>
        <w:t>Centrālās statistikas pārvalde</w:t>
      </w:r>
    </w:p>
    <w:p w:rsidR="001A5729" w:rsidRDefault="001A5729" w:rsidP="0085506E">
      <w:pPr>
        <w:spacing w:after="120" w:line="240" w:lineRule="auto"/>
        <w:ind w:firstLine="709"/>
        <w:jc w:val="both"/>
        <w:rPr>
          <w:rFonts w:ascii="Times New Roman" w:hAnsi="Times New Roman" w:cs="Times New Roman"/>
          <w:sz w:val="28"/>
          <w:szCs w:val="28"/>
        </w:rPr>
      </w:pPr>
    </w:p>
    <w:p w:rsidR="00427781" w:rsidRPr="00427781" w:rsidRDefault="00427781" w:rsidP="00427781">
      <w:pPr>
        <w:pStyle w:val="ListParagraph"/>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Ienākumu samazināšanās rezultātā, samazinājās arī nabadzības riskam pa</w:t>
      </w:r>
      <w:r>
        <w:rPr>
          <w:rFonts w:ascii="Times New Roman" w:hAnsi="Times New Roman" w:cs="Times New Roman"/>
          <w:sz w:val="28"/>
          <w:szCs w:val="28"/>
        </w:rPr>
        <w:softHyphen/>
        <w:t xml:space="preserve">kļauto iedzīvotāju skaits no 21,3% 2009.gadā līdz 19,3% 2010.gadā, kas </w:t>
      </w:r>
      <w:r w:rsidR="00281990">
        <w:rPr>
          <w:rFonts w:ascii="Times New Roman" w:hAnsi="Times New Roman" w:cs="Times New Roman"/>
          <w:sz w:val="28"/>
          <w:szCs w:val="28"/>
        </w:rPr>
        <w:t>bija</w:t>
      </w:r>
      <w:r>
        <w:rPr>
          <w:rFonts w:ascii="Times New Roman" w:hAnsi="Times New Roman" w:cs="Times New Roman"/>
          <w:sz w:val="28"/>
          <w:szCs w:val="28"/>
        </w:rPr>
        <w:t xml:space="preserve"> ze</w:t>
      </w:r>
      <w:r>
        <w:rPr>
          <w:rFonts w:ascii="Times New Roman" w:hAnsi="Times New Roman" w:cs="Times New Roman"/>
          <w:sz w:val="28"/>
          <w:szCs w:val="28"/>
        </w:rPr>
        <w:softHyphen/>
        <w:t>mākais rādītājs kopš 2004.gada. Tomēr jāņem vērā, ka tas ir relatīvs rā</w:t>
      </w:r>
      <w:r>
        <w:rPr>
          <w:rFonts w:ascii="Times New Roman" w:hAnsi="Times New Roman" w:cs="Times New Roman"/>
          <w:sz w:val="28"/>
          <w:szCs w:val="28"/>
        </w:rPr>
        <w:softHyphen/>
        <w:t>dī</w:t>
      </w:r>
      <w:r>
        <w:rPr>
          <w:rFonts w:ascii="Times New Roman" w:hAnsi="Times New Roman" w:cs="Times New Roman"/>
          <w:sz w:val="28"/>
          <w:szCs w:val="28"/>
        </w:rPr>
        <w:softHyphen/>
        <w:t xml:space="preserve">tājs, un ienākumu samazināšanās rezultātā kritās arī nabadzības riska slieksnis </w:t>
      </w:r>
      <w:r w:rsidRPr="00427781">
        <w:rPr>
          <w:rFonts w:ascii="Times New Roman" w:hAnsi="Times New Roman" w:cs="Times New Roman"/>
          <w:sz w:val="28"/>
          <w:szCs w:val="28"/>
        </w:rPr>
        <w:t xml:space="preserve">– attiecīgi arī iedzīvotāju īpatsvars, kuru ienākumi ir zem minētā sliekšņa.  </w:t>
      </w:r>
    </w:p>
    <w:p w:rsidR="00427781" w:rsidRPr="00281990" w:rsidRDefault="00427781" w:rsidP="00427781">
      <w:pPr>
        <w:spacing w:after="120" w:line="240" w:lineRule="auto"/>
        <w:ind w:firstLine="709"/>
        <w:jc w:val="both"/>
        <w:rPr>
          <w:rFonts w:ascii="Times New Roman" w:hAnsi="Times New Roman" w:cs="Times New Roman"/>
          <w:sz w:val="28"/>
          <w:szCs w:val="28"/>
        </w:rPr>
      </w:pPr>
      <w:r w:rsidRPr="00427781">
        <w:rPr>
          <w:rFonts w:ascii="Times New Roman" w:hAnsi="Times New Roman" w:cs="Times New Roman"/>
          <w:sz w:val="28"/>
          <w:szCs w:val="28"/>
        </w:rPr>
        <w:t xml:space="preserve">2011.gadā </w:t>
      </w:r>
      <w:r w:rsidR="00C106AF">
        <w:rPr>
          <w:rFonts w:ascii="Times New Roman" w:hAnsi="Times New Roman" w:cs="Times New Roman"/>
          <w:sz w:val="28"/>
          <w:szCs w:val="28"/>
        </w:rPr>
        <w:t xml:space="preserve">kopējais </w:t>
      </w:r>
      <w:r w:rsidRPr="00427781">
        <w:rPr>
          <w:rFonts w:ascii="Times New Roman" w:hAnsi="Times New Roman" w:cs="Times New Roman"/>
          <w:sz w:val="28"/>
          <w:szCs w:val="28"/>
        </w:rPr>
        <w:t>nabadzības riska indekss atkal sācis pieaugt, sasniedzot 19,4</w:t>
      </w:r>
      <w:r w:rsidR="004222E3">
        <w:rPr>
          <w:rFonts w:ascii="Times New Roman" w:hAnsi="Times New Roman" w:cs="Times New Roman"/>
          <w:sz w:val="28"/>
          <w:szCs w:val="28"/>
        </w:rPr>
        <w:t> procentus</w:t>
      </w:r>
      <w:r w:rsidRPr="00427781">
        <w:rPr>
          <w:rFonts w:ascii="Times New Roman" w:hAnsi="Times New Roman" w:cs="Times New Roman"/>
          <w:sz w:val="28"/>
          <w:szCs w:val="28"/>
        </w:rPr>
        <w:t>. Nabadzības riskam 2011.gadā bija pakļauts katrs piektais iedzīvotājs un to kopskaits sasniedza 394,5</w:t>
      </w:r>
      <w:r w:rsidR="00281990">
        <w:rPr>
          <w:rFonts w:ascii="Times New Roman" w:hAnsi="Times New Roman" w:cs="Times New Roman"/>
          <w:sz w:val="28"/>
          <w:szCs w:val="28"/>
        </w:rPr>
        <w:t> </w:t>
      </w:r>
      <w:r w:rsidRPr="00427781">
        <w:rPr>
          <w:rFonts w:ascii="Times New Roman" w:hAnsi="Times New Roman" w:cs="Times New Roman"/>
          <w:sz w:val="28"/>
          <w:szCs w:val="28"/>
        </w:rPr>
        <w:t xml:space="preserve">tūkstošus. Ekonomikas izaugsme un nodarbinātības pieaugums ir atstājuši pozitīvu ietekmi uz nodarbināto materiālo situāciju </w:t>
      </w:r>
      <w:r w:rsidR="00281990">
        <w:rPr>
          <w:rFonts w:ascii="Times New Roman" w:hAnsi="Times New Roman" w:cs="Times New Roman"/>
          <w:sz w:val="28"/>
          <w:szCs w:val="28"/>
        </w:rPr>
        <w:t>–</w:t>
      </w:r>
      <w:r w:rsidRPr="00427781">
        <w:rPr>
          <w:rFonts w:ascii="Times New Roman" w:hAnsi="Times New Roman" w:cs="Times New Roman"/>
          <w:sz w:val="28"/>
          <w:szCs w:val="28"/>
        </w:rPr>
        <w:t xml:space="preserve"> to nabadzības riska indekss ir samazinājies no 9,4% 2010.gadā līdz 8,8% 2011.gadā. </w:t>
      </w:r>
    </w:p>
    <w:p w:rsidR="00281990" w:rsidRPr="00281990" w:rsidRDefault="00281990" w:rsidP="00281990">
      <w:pPr>
        <w:spacing w:after="120" w:line="240" w:lineRule="auto"/>
        <w:ind w:firstLine="720"/>
        <w:jc w:val="both"/>
        <w:rPr>
          <w:rFonts w:ascii="Times New Roman" w:hAnsi="Times New Roman" w:cs="Times New Roman"/>
          <w:sz w:val="28"/>
          <w:szCs w:val="28"/>
        </w:rPr>
      </w:pPr>
      <w:r w:rsidRPr="00281990">
        <w:rPr>
          <w:rFonts w:ascii="Times New Roman" w:hAnsi="Times New Roman" w:cs="Times New Roman"/>
          <w:sz w:val="28"/>
          <w:szCs w:val="28"/>
        </w:rPr>
        <w:t xml:space="preserve">Vienlaikus svarīgi ņemt vērā, ka ienākumi no algotā darba </w:t>
      </w:r>
      <w:r w:rsidR="00C106AF" w:rsidRPr="00281990">
        <w:rPr>
          <w:rFonts w:ascii="Times New Roman" w:hAnsi="Times New Roman" w:cs="Times New Roman"/>
          <w:sz w:val="28"/>
          <w:szCs w:val="28"/>
        </w:rPr>
        <w:t xml:space="preserve">ir tikai viens no elementiem </w:t>
      </w:r>
      <w:r w:rsidRPr="00281990">
        <w:rPr>
          <w:rFonts w:ascii="Times New Roman" w:hAnsi="Times New Roman" w:cs="Times New Roman"/>
          <w:sz w:val="28"/>
          <w:szCs w:val="28"/>
        </w:rPr>
        <w:t>mājsaimniecību rīcībā esošo ienākumu struktūrā un sastāvā</w:t>
      </w:r>
      <w:r w:rsidR="00C106AF">
        <w:rPr>
          <w:rFonts w:ascii="Times New Roman" w:hAnsi="Times New Roman" w:cs="Times New Roman"/>
          <w:sz w:val="28"/>
          <w:szCs w:val="28"/>
        </w:rPr>
        <w:t>.</w:t>
      </w:r>
      <w:r w:rsidRPr="00281990">
        <w:rPr>
          <w:rFonts w:ascii="Times New Roman" w:hAnsi="Times New Roman" w:cs="Times New Roman"/>
          <w:sz w:val="28"/>
          <w:szCs w:val="28"/>
        </w:rPr>
        <w:t xml:space="preserve"> </w:t>
      </w:r>
      <w:r w:rsidR="00C106AF">
        <w:rPr>
          <w:rFonts w:ascii="Times New Roman" w:hAnsi="Times New Roman" w:cs="Times New Roman"/>
          <w:sz w:val="28"/>
          <w:szCs w:val="28"/>
        </w:rPr>
        <w:t>B</w:t>
      </w:r>
      <w:r w:rsidRPr="00281990">
        <w:rPr>
          <w:rFonts w:ascii="Times New Roman" w:hAnsi="Times New Roman" w:cs="Times New Roman"/>
          <w:sz w:val="28"/>
          <w:szCs w:val="28"/>
        </w:rPr>
        <w:t>ūtiska nozīme ir arī saņemtajiem transfertiem</w:t>
      </w:r>
      <w:r w:rsidR="00E367B4">
        <w:rPr>
          <w:rFonts w:ascii="Times New Roman" w:hAnsi="Times New Roman" w:cs="Times New Roman"/>
          <w:sz w:val="28"/>
          <w:szCs w:val="28"/>
        </w:rPr>
        <w:t>,</w:t>
      </w:r>
      <w:r w:rsidRPr="00281990">
        <w:rPr>
          <w:rFonts w:ascii="Times New Roman" w:hAnsi="Times New Roman" w:cs="Times New Roman"/>
          <w:sz w:val="28"/>
          <w:szCs w:val="28"/>
        </w:rPr>
        <w:t xml:space="preserve"> </w:t>
      </w:r>
      <w:r w:rsidR="00E367B4">
        <w:rPr>
          <w:rFonts w:ascii="Times New Roman" w:hAnsi="Times New Roman" w:cs="Times New Roman"/>
          <w:sz w:val="28"/>
          <w:szCs w:val="28"/>
        </w:rPr>
        <w:t>p</w:t>
      </w:r>
      <w:r w:rsidRPr="00281990">
        <w:rPr>
          <w:rFonts w:ascii="Times New Roman" w:hAnsi="Times New Roman" w:cs="Times New Roman"/>
          <w:sz w:val="28"/>
          <w:szCs w:val="28"/>
        </w:rPr>
        <w:t>iemēram, 2011.gadā uz vienu mājsaimniecības locekli ienākumi no algota darba veidoja lielāko da</w:t>
      </w:r>
      <w:r w:rsidR="004222E3">
        <w:rPr>
          <w:rFonts w:ascii="Times New Roman" w:hAnsi="Times New Roman" w:cs="Times New Roman"/>
          <w:sz w:val="28"/>
          <w:szCs w:val="28"/>
        </w:rPr>
        <w:t>ļu mājsaimniecību ienākumus (66</w:t>
      </w:r>
      <w:r w:rsidRPr="00281990">
        <w:rPr>
          <w:rFonts w:ascii="Times New Roman" w:hAnsi="Times New Roman" w:cs="Times New Roman"/>
          <w:sz w:val="28"/>
          <w:szCs w:val="28"/>
        </w:rPr>
        <w:t>%), kam sekoja transferti (galvenokārt sociālie transferti) – 30</w:t>
      </w:r>
      <w:r w:rsidR="004222E3">
        <w:rPr>
          <w:rFonts w:ascii="Times New Roman" w:hAnsi="Times New Roman" w:cs="Times New Roman"/>
          <w:sz w:val="28"/>
          <w:szCs w:val="28"/>
        </w:rPr>
        <w:t> procenti</w:t>
      </w:r>
      <w:r w:rsidRPr="00281990">
        <w:rPr>
          <w:rFonts w:ascii="Times New Roman" w:hAnsi="Times New Roman" w:cs="Times New Roman"/>
          <w:sz w:val="28"/>
          <w:szCs w:val="28"/>
        </w:rPr>
        <w:t>.</w:t>
      </w:r>
    </w:p>
    <w:p w:rsidR="0085506E" w:rsidRDefault="0085506E" w:rsidP="0085506E">
      <w:pPr>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Nabadzības rādītāji pēc mājsaimniecību veida liecina, ka ģimenes</w:t>
      </w:r>
      <w:r w:rsidR="003828FB">
        <w:rPr>
          <w:rFonts w:ascii="Times New Roman" w:hAnsi="Times New Roman" w:cs="Times New Roman"/>
          <w:sz w:val="28"/>
          <w:szCs w:val="28"/>
        </w:rPr>
        <w:t xml:space="preserve"> ar bērniem</w:t>
      </w:r>
      <w:r>
        <w:rPr>
          <w:rFonts w:ascii="Times New Roman" w:hAnsi="Times New Roman" w:cs="Times New Roman"/>
          <w:sz w:val="28"/>
          <w:szCs w:val="28"/>
        </w:rPr>
        <w:t xml:space="preserve">, īpaši daudzbērnu un viena vecāka, aizvien ir pakļautas nabadzības riskam visvairāk. </w:t>
      </w:r>
    </w:p>
    <w:p w:rsidR="0085506E" w:rsidRDefault="0085506E" w:rsidP="0085506E">
      <w:pPr>
        <w:pStyle w:val="ListParagraph"/>
        <w:spacing w:after="120" w:line="240" w:lineRule="auto"/>
        <w:ind w:left="0"/>
        <w:jc w:val="both"/>
        <w:rPr>
          <w:rFonts w:ascii="Times New Roman" w:hAnsi="Times New Roman" w:cs="Times New Roman"/>
          <w:sz w:val="28"/>
          <w:szCs w:val="28"/>
        </w:rPr>
      </w:pPr>
      <w:r>
        <w:rPr>
          <w:noProof/>
          <w:lang w:eastAsia="lv-LV"/>
        </w:rPr>
        <w:lastRenderedPageBreak/>
        <w:drawing>
          <wp:inline distT="0" distB="0" distL="0" distR="0" wp14:anchorId="091FA7AF" wp14:editId="1E709655">
            <wp:extent cx="6086475" cy="30003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506E" w:rsidRDefault="00D434CC" w:rsidP="0085506E">
      <w:pPr>
        <w:pStyle w:val="ListParagraph"/>
        <w:spacing w:after="120" w:line="240" w:lineRule="auto"/>
        <w:ind w:left="0"/>
        <w:jc w:val="both"/>
        <w:rPr>
          <w:rFonts w:ascii="Times New Roman" w:hAnsi="Times New Roman" w:cs="Times New Roman"/>
          <w:sz w:val="28"/>
          <w:szCs w:val="28"/>
        </w:rPr>
      </w:pPr>
      <w:r>
        <w:rPr>
          <w:rFonts w:ascii="Times New Roman" w:hAnsi="Times New Roman" w:cs="Times New Roman"/>
          <w:b/>
          <w:sz w:val="24"/>
          <w:szCs w:val="24"/>
        </w:rPr>
        <w:t>6</w:t>
      </w:r>
      <w:r w:rsidR="0085506E" w:rsidRPr="00995D03">
        <w:rPr>
          <w:rFonts w:ascii="Times New Roman" w:hAnsi="Times New Roman" w:cs="Times New Roman"/>
          <w:b/>
          <w:sz w:val="24"/>
          <w:szCs w:val="24"/>
        </w:rPr>
        <w:t xml:space="preserve">.att. </w:t>
      </w:r>
      <w:r w:rsidR="0085506E">
        <w:rPr>
          <w:rFonts w:ascii="Times New Roman" w:hAnsi="Times New Roman" w:cs="Times New Roman"/>
          <w:b/>
          <w:sz w:val="24"/>
          <w:szCs w:val="24"/>
        </w:rPr>
        <w:t>Nabadzības riska indekss pēc mājsaimniecību veida 2010.gadā,</w:t>
      </w:r>
      <w:r w:rsidR="0085506E" w:rsidRPr="00521D04">
        <w:rPr>
          <w:rFonts w:ascii="Times New Roman" w:hAnsi="Times New Roman" w:cs="Times New Roman"/>
          <w:i/>
          <w:sz w:val="24"/>
          <w:szCs w:val="24"/>
        </w:rPr>
        <w:t>%</w:t>
      </w:r>
    </w:p>
    <w:p w:rsidR="002E32FC" w:rsidRDefault="0085506E" w:rsidP="002E32FC">
      <w:pPr>
        <w:pStyle w:val="ListParagraph"/>
        <w:spacing w:after="120" w:line="240" w:lineRule="auto"/>
        <w:ind w:left="0"/>
        <w:jc w:val="both"/>
        <w:rPr>
          <w:rFonts w:ascii="Times New Roman" w:hAnsi="Times New Roman" w:cs="Times New Roman"/>
          <w:sz w:val="28"/>
          <w:szCs w:val="28"/>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r w:rsidR="00140741">
        <w:rPr>
          <w:rFonts w:ascii="Times New Roman" w:hAnsi="Times New Roman" w:cs="Times New Roman"/>
          <w:sz w:val="24"/>
          <w:szCs w:val="24"/>
        </w:rPr>
        <w:t>Centrālās statistikas pārvalde</w:t>
      </w:r>
    </w:p>
    <w:p w:rsidR="002E32FC" w:rsidRDefault="002E32FC" w:rsidP="002E32FC">
      <w:pPr>
        <w:pStyle w:val="ListParagraph"/>
        <w:spacing w:after="120" w:line="240" w:lineRule="auto"/>
        <w:ind w:left="0"/>
        <w:jc w:val="both"/>
        <w:rPr>
          <w:rFonts w:ascii="Times New Roman" w:hAnsi="Times New Roman" w:cs="Times New Roman"/>
          <w:sz w:val="28"/>
          <w:szCs w:val="28"/>
        </w:rPr>
      </w:pPr>
    </w:p>
    <w:p w:rsidR="002E32FC" w:rsidRDefault="0085506E" w:rsidP="002E32FC">
      <w:pPr>
        <w:pStyle w:val="ListParagraph"/>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Vecāku darba zaudēšanas un ienākumu samazināšanās rezultātā bērni ir grupa, kura pēc vecuma nabadzība</w:t>
      </w:r>
      <w:r w:rsidR="002E32FC">
        <w:rPr>
          <w:rFonts w:ascii="Times New Roman" w:hAnsi="Times New Roman" w:cs="Times New Roman"/>
          <w:sz w:val="28"/>
          <w:szCs w:val="28"/>
        </w:rPr>
        <w:t>s riskam ir pakļauta visvairāk.</w:t>
      </w:r>
    </w:p>
    <w:p w:rsidR="002E32FC" w:rsidRPr="003A1A90" w:rsidRDefault="002E32FC" w:rsidP="002E32FC">
      <w:pPr>
        <w:pStyle w:val="ListParagraph"/>
        <w:spacing w:after="120" w:line="240" w:lineRule="auto"/>
        <w:ind w:left="0" w:firstLine="709"/>
        <w:jc w:val="both"/>
        <w:rPr>
          <w:rFonts w:ascii="Times New Roman" w:hAnsi="Times New Roman" w:cs="Times New Roman"/>
          <w:sz w:val="6"/>
          <w:szCs w:val="6"/>
        </w:rPr>
      </w:pPr>
    </w:p>
    <w:p w:rsidR="003A1A90" w:rsidRDefault="0085506E" w:rsidP="003A1A90">
      <w:pPr>
        <w:pStyle w:val="ListParagraph"/>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Vērtējot situāciju 2004.-201</w:t>
      </w:r>
      <w:r w:rsidR="003828FB">
        <w:rPr>
          <w:rFonts w:ascii="Times New Roman" w:hAnsi="Times New Roman" w:cs="Times New Roman"/>
          <w:sz w:val="28"/>
          <w:szCs w:val="28"/>
        </w:rPr>
        <w:t>1</w:t>
      </w:r>
      <w:r>
        <w:rPr>
          <w:rFonts w:ascii="Times New Roman" w:hAnsi="Times New Roman" w:cs="Times New Roman"/>
          <w:sz w:val="28"/>
          <w:szCs w:val="28"/>
        </w:rPr>
        <w:t>.gad</w:t>
      </w:r>
      <w:r w:rsidR="002E32FC">
        <w:rPr>
          <w:rFonts w:ascii="Times New Roman" w:hAnsi="Times New Roman" w:cs="Times New Roman"/>
          <w:sz w:val="28"/>
          <w:szCs w:val="28"/>
        </w:rPr>
        <w:t>os</w:t>
      </w:r>
      <w:r>
        <w:rPr>
          <w:rFonts w:ascii="Times New Roman" w:hAnsi="Times New Roman" w:cs="Times New Roman"/>
          <w:sz w:val="28"/>
          <w:szCs w:val="28"/>
        </w:rPr>
        <w:t xml:space="preserve"> (</w:t>
      </w:r>
      <w:proofErr w:type="spellStart"/>
      <w:r>
        <w:rPr>
          <w:rFonts w:ascii="Times New Roman" w:hAnsi="Times New Roman" w:cs="Times New Roman"/>
          <w:sz w:val="28"/>
          <w:szCs w:val="28"/>
        </w:rPr>
        <w:t>skat</w:t>
      </w:r>
      <w:proofErr w:type="spellEnd"/>
      <w:r w:rsidR="00C106AF">
        <w:rPr>
          <w:rFonts w:ascii="Times New Roman" w:hAnsi="Times New Roman" w:cs="Times New Roman"/>
          <w:sz w:val="28"/>
          <w:szCs w:val="28"/>
        </w:rPr>
        <w:t>.</w:t>
      </w:r>
      <w:r>
        <w:rPr>
          <w:rFonts w:ascii="Times New Roman" w:hAnsi="Times New Roman" w:cs="Times New Roman"/>
          <w:sz w:val="28"/>
          <w:szCs w:val="28"/>
        </w:rPr>
        <w:t xml:space="preserve"> </w:t>
      </w:r>
      <w:r w:rsidR="00C106AF">
        <w:rPr>
          <w:rFonts w:ascii="Times New Roman" w:hAnsi="Times New Roman" w:cs="Times New Roman"/>
          <w:sz w:val="28"/>
          <w:szCs w:val="28"/>
        </w:rPr>
        <w:t>2.</w:t>
      </w:r>
      <w:r>
        <w:rPr>
          <w:rFonts w:ascii="Times New Roman" w:hAnsi="Times New Roman" w:cs="Times New Roman"/>
          <w:sz w:val="28"/>
          <w:szCs w:val="28"/>
        </w:rPr>
        <w:t>tab</w:t>
      </w:r>
      <w:r w:rsidR="00C106AF">
        <w:rPr>
          <w:rFonts w:ascii="Times New Roman" w:hAnsi="Times New Roman" w:cs="Times New Roman"/>
          <w:sz w:val="28"/>
          <w:szCs w:val="28"/>
        </w:rPr>
        <w:t>.</w:t>
      </w:r>
      <w:r>
        <w:rPr>
          <w:rFonts w:ascii="Times New Roman" w:hAnsi="Times New Roman" w:cs="Times New Roman"/>
          <w:sz w:val="28"/>
          <w:szCs w:val="28"/>
        </w:rPr>
        <w:t>), secināms, ka krīze ir veicinājusi jaunas tendences rašanos. Ja līdz 2008.gadam (ieskaitot) pensijas vecuma cilvēki bija visvairāk pakļauti nabadzības riskam, savukārt bērni un jaunieši vismazāk, tad krīzes ietekmē ir izveidojusies pretēja</w:t>
      </w:r>
      <w:r w:rsidR="003A1A90" w:rsidRPr="003A1A90">
        <w:rPr>
          <w:rFonts w:ascii="Times New Roman" w:hAnsi="Times New Roman" w:cs="Times New Roman"/>
          <w:sz w:val="28"/>
          <w:szCs w:val="28"/>
        </w:rPr>
        <w:t xml:space="preserve"> </w:t>
      </w:r>
      <w:r w:rsidR="003A1A90">
        <w:rPr>
          <w:rFonts w:ascii="Times New Roman" w:hAnsi="Times New Roman" w:cs="Times New Roman"/>
          <w:sz w:val="28"/>
          <w:szCs w:val="28"/>
        </w:rPr>
        <w:t>situācija.</w:t>
      </w:r>
      <w:r>
        <w:rPr>
          <w:rFonts w:ascii="Times New Roman" w:hAnsi="Times New Roman" w:cs="Times New Roman"/>
          <w:sz w:val="28"/>
          <w:szCs w:val="28"/>
        </w:rPr>
        <w:t xml:space="preserve"> 2007. un 2008.gadā pensijas vecuma cilvēku nabadzības riska indekss bija divas reizes lielāks nekā bērniem un jauniešiem. Savukārt pēc krīzes bērniem un jauniešiem nabadzības risks bija divas un pat trīs reizes lielāks nekā pensijas vecuma cilvēkiem. </w:t>
      </w:r>
      <w:r w:rsidR="003828FB">
        <w:rPr>
          <w:rFonts w:ascii="Times New Roman" w:hAnsi="Times New Roman"/>
          <w:sz w:val="28"/>
          <w:szCs w:val="28"/>
        </w:rPr>
        <w:t>Šādu situāciju veicināja vairāku apstākļu sakritība, bet pamatā straujais ienākumu samazinājums darbspējas vecuma cilvēkiem, kā rezultātā pensiju apmēri relatīvi bija augstāki nekā ienākumi no algota darba vai transfertiem, kas lielu daļu pensijas vecuma cilvēkus „pacēla” virs nabadzības riska sliekšņa.</w:t>
      </w:r>
    </w:p>
    <w:p w:rsidR="0085506E" w:rsidRPr="009B5FD1" w:rsidRDefault="0085506E" w:rsidP="0085506E">
      <w:pPr>
        <w:spacing w:after="120" w:line="240" w:lineRule="auto"/>
        <w:jc w:val="center"/>
        <w:rPr>
          <w:rFonts w:ascii="Times New Roman" w:hAnsi="Times New Roman" w:cs="Times New Roman"/>
          <w:b/>
          <w:sz w:val="24"/>
        </w:rPr>
      </w:pPr>
      <w:r>
        <w:rPr>
          <w:rFonts w:ascii="Times New Roman" w:hAnsi="Times New Roman" w:cs="Times New Roman"/>
          <w:b/>
          <w:sz w:val="24"/>
        </w:rPr>
        <w:t>2.tab</w:t>
      </w:r>
      <w:r>
        <w:rPr>
          <w:rFonts w:ascii="Times New Roman" w:hAnsi="Times New Roman" w:cs="Times New Roman"/>
          <w:b/>
          <w:sz w:val="24"/>
        </w:rPr>
        <w:tab/>
      </w:r>
      <w:r w:rsidR="008657E0" w:rsidRPr="009B5FD1">
        <w:rPr>
          <w:rFonts w:ascii="Times New Roman" w:hAnsi="Times New Roman" w:cs="Times New Roman"/>
          <w:b/>
          <w:sz w:val="24"/>
        </w:rPr>
        <w:t>N</w:t>
      </w:r>
      <w:r w:rsidR="008657E0">
        <w:rPr>
          <w:rFonts w:ascii="Times New Roman" w:hAnsi="Times New Roman" w:cs="Times New Roman"/>
          <w:b/>
          <w:sz w:val="24"/>
        </w:rPr>
        <w:t>abadzības risks</w:t>
      </w:r>
      <w:r w:rsidR="008657E0" w:rsidRPr="009B5FD1">
        <w:rPr>
          <w:rFonts w:ascii="Times New Roman" w:hAnsi="Times New Roman" w:cs="Times New Roman"/>
          <w:b/>
          <w:sz w:val="24"/>
        </w:rPr>
        <w:t xml:space="preserve"> </w:t>
      </w:r>
      <w:r w:rsidRPr="009B5FD1">
        <w:rPr>
          <w:rFonts w:ascii="Times New Roman" w:hAnsi="Times New Roman" w:cs="Times New Roman"/>
          <w:b/>
          <w:sz w:val="24"/>
        </w:rPr>
        <w:t xml:space="preserve">pa </w:t>
      </w:r>
      <w:r>
        <w:rPr>
          <w:rFonts w:ascii="Times New Roman" w:hAnsi="Times New Roman" w:cs="Times New Roman"/>
          <w:b/>
          <w:sz w:val="24"/>
        </w:rPr>
        <w:t>vecuma grupām</w:t>
      </w:r>
      <w:r w:rsidR="00C106AF">
        <w:rPr>
          <w:rFonts w:ascii="Times New Roman" w:hAnsi="Times New Roman" w:cs="Times New Roman"/>
          <w:b/>
          <w:sz w:val="24"/>
        </w:rPr>
        <w:t xml:space="preserve">, </w:t>
      </w:r>
      <w:r w:rsidR="00C106AF" w:rsidRPr="00EF530A">
        <w:rPr>
          <w:rFonts w:ascii="Times New Roman" w:hAnsi="Times New Roman" w:cs="Times New Roman"/>
          <w:i/>
          <w:sz w:val="24"/>
        </w:rPr>
        <w:t xml:space="preserve">% </w:t>
      </w:r>
    </w:p>
    <w:tbl>
      <w:tblPr>
        <w:tblStyle w:val="TableGrid"/>
        <w:tblW w:w="0" w:type="auto"/>
        <w:jc w:val="center"/>
        <w:tblInd w:w="-725" w:type="dxa"/>
        <w:tblLook w:val="04A0" w:firstRow="1" w:lastRow="0" w:firstColumn="1" w:lastColumn="0" w:noHBand="0" w:noVBand="1"/>
      </w:tblPr>
      <w:tblGrid>
        <w:gridCol w:w="1985"/>
        <w:gridCol w:w="1134"/>
        <w:gridCol w:w="1134"/>
        <w:gridCol w:w="1134"/>
        <w:gridCol w:w="1134"/>
        <w:gridCol w:w="1134"/>
        <w:gridCol w:w="1015"/>
      </w:tblGrid>
      <w:tr w:rsidR="008657E0" w:rsidRPr="00F72B6A" w:rsidTr="00EF530A">
        <w:trPr>
          <w:jc w:val="center"/>
        </w:trPr>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657E0" w:rsidRPr="00F72B6A" w:rsidRDefault="008657E0" w:rsidP="009C3F03">
            <w:pPr>
              <w:pStyle w:val="ListParagraph"/>
              <w:spacing w:before="120" w:after="0"/>
              <w:ind w:left="0"/>
              <w:jc w:val="center"/>
              <w:rPr>
                <w:rFonts w:ascii="Times New Roman" w:hAnsi="Times New Roman" w:cs="Times New Roman"/>
                <w:b/>
                <w:color w:val="FFFFFF" w:themeColor="background1"/>
              </w:rPr>
            </w:pPr>
            <w:r w:rsidRPr="00F72B6A">
              <w:rPr>
                <w:rFonts w:ascii="Times New Roman" w:hAnsi="Times New Roman" w:cs="Times New Roman"/>
                <w:b/>
                <w:color w:val="FFFFFF" w:themeColor="background1"/>
              </w:rPr>
              <w:t>Gads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657E0" w:rsidRPr="00F72B6A" w:rsidRDefault="008657E0" w:rsidP="009C3F03">
            <w:pPr>
              <w:pStyle w:val="ListParagraph"/>
              <w:spacing w:before="120" w:after="0"/>
              <w:ind w:left="0"/>
              <w:jc w:val="center"/>
              <w:rPr>
                <w:rFonts w:ascii="Times New Roman" w:hAnsi="Times New Roman" w:cs="Times New Roman"/>
                <w:b/>
                <w:color w:val="FFFFFF" w:themeColor="background1"/>
              </w:rPr>
            </w:pPr>
            <w:r w:rsidRPr="00F72B6A">
              <w:rPr>
                <w:rFonts w:ascii="Times New Roman" w:hAnsi="Times New Roman" w:cs="Times New Roman"/>
                <w:b/>
                <w:color w:val="FFFFFF" w:themeColor="background1"/>
              </w:rPr>
              <w:t>0-17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657E0" w:rsidRPr="00F72B6A" w:rsidRDefault="008657E0" w:rsidP="009C3F03">
            <w:pPr>
              <w:pStyle w:val="ListParagraph"/>
              <w:spacing w:before="120" w:after="0"/>
              <w:ind w:left="0"/>
              <w:jc w:val="center"/>
              <w:rPr>
                <w:rFonts w:ascii="Times New Roman" w:hAnsi="Times New Roman" w:cs="Times New Roman"/>
                <w:b/>
                <w:color w:val="FFFFFF" w:themeColor="background1"/>
              </w:rPr>
            </w:pPr>
            <w:r w:rsidRPr="00F72B6A">
              <w:rPr>
                <w:rFonts w:ascii="Times New Roman" w:hAnsi="Times New Roman" w:cs="Times New Roman"/>
                <w:b/>
                <w:color w:val="FFFFFF" w:themeColor="background1"/>
              </w:rPr>
              <w:t>18-24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657E0" w:rsidRPr="00F72B6A" w:rsidRDefault="008657E0" w:rsidP="009C3F03">
            <w:pPr>
              <w:pStyle w:val="ListParagraph"/>
              <w:spacing w:before="120" w:after="0"/>
              <w:ind w:left="0"/>
              <w:jc w:val="center"/>
              <w:rPr>
                <w:rFonts w:ascii="Times New Roman" w:hAnsi="Times New Roman" w:cs="Times New Roman"/>
                <w:b/>
                <w:color w:val="FFFFFF" w:themeColor="background1"/>
              </w:rPr>
            </w:pPr>
            <w:r w:rsidRPr="00F72B6A">
              <w:rPr>
                <w:rFonts w:ascii="Times New Roman" w:hAnsi="Times New Roman" w:cs="Times New Roman"/>
                <w:b/>
                <w:color w:val="FFFFFF" w:themeColor="background1"/>
              </w:rPr>
              <w:t>25-49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657E0" w:rsidRPr="00F72B6A" w:rsidRDefault="008657E0" w:rsidP="009C3F03">
            <w:pPr>
              <w:pStyle w:val="ListParagraph"/>
              <w:spacing w:before="120" w:after="0"/>
              <w:ind w:left="0"/>
              <w:jc w:val="center"/>
              <w:rPr>
                <w:rFonts w:ascii="Times New Roman" w:hAnsi="Times New Roman" w:cs="Times New Roman"/>
                <w:b/>
                <w:color w:val="FFFFFF" w:themeColor="background1"/>
              </w:rPr>
            </w:pPr>
            <w:r w:rsidRPr="00F72B6A">
              <w:rPr>
                <w:rFonts w:ascii="Times New Roman" w:hAnsi="Times New Roman" w:cs="Times New Roman"/>
                <w:b/>
                <w:color w:val="FFFFFF" w:themeColor="background1"/>
              </w:rPr>
              <w:t>50-64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657E0" w:rsidRPr="00F72B6A" w:rsidRDefault="008657E0" w:rsidP="009C3F03">
            <w:pPr>
              <w:pStyle w:val="ListParagraph"/>
              <w:spacing w:before="120" w:after="0"/>
              <w:ind w:left="0"/>
              <w:jc w:val="center"/>
              <w:rPr>
                <w:rFonts w:ascii="Times New Roman" w:hAnsi="Times New Roman" w:cs="Times New Roman"/>
                <w:b/>
                <w:color w:val="FFFFFF" w:themeColor="background1"/>
              </w:rPr>
            </w:pPr>
            <w:r w:rsidRPr="00F72B6A">
              <w:rPr>
                <w:rFonts w:ascii="Times New Roman" w:hAnsi="Times New Roman" w:cs="Times New Roman"/>
                <w:b/>
                <w:color w:val="FFFFFF" w:themeColor="background1"/>
              </w:rPr>
              <w:t>65+</w:t>
            </w:r>
          </w:p>
        </w:tc>
        <w:tc>
          <w:tcPr>
            <w:tcW w:w="1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657E0" w:rsidRPr="00F72B6A" w:rsidRDefault="008657E0" w:rsidP="009C3F03">
            <w:pPr>
              <w:pStyle w:val="ListParagraph"/>
              <w:spacing w:before="120" w:after="0"/>
              <w:ind w:left="0"/>
              <w:jc w:val="center"/>
              <w:rPr>
                <w:rFonts w:ascii="Times New Roman" w:hAnsi="Times New Roman" w:cs="Times New Roman"/>
                <w:b/>
                <w:color w:val="FFFFFF" w:themeColor="background1"/>
              </w:rPr>
            </w:pPr>
            <w:r w:rsidRPr="00F72B6A">
              <w:rPr>
                <w:rFonts w:ascii="Times New Roman" w:hAnsi="Times New Roman" w:cs="Times New Roman"/>
                <w:b/>
                <w:color w:val="FFFFFF" w:themeColor="background1"/>
              </w:rPr>
              <w:t>75+</w:t>
            </w:r>
          </w:p>
        </w:tc>
      </w:tr>
      <w:tr w:rsidR="008657E0" w:rsidRPr="00F72B6A" w:rsidTr="00EF530A">
        <w:trPr>
          <w:jc w:val="center"/>
        </w:trPr>
        <w:tc>
          <w:tcPr>
            <w:tcW w:w="1985" w:type="dxa"/>
            <w:tcBorders>
              <w:top w:val="single" w:sz="4" w:space="0" w:color="FFFFFF" w:themeColor="background1"/>
            </w:tcBorders>
          </w:tcPr>
          <w:p w:rsidR="008657E0" w:rsidRPr="00F72B6A" w:rsidRDefault="008657E0" w:rsidP="009C3F03">
            <w:pPr>
              <w:pStyle w:val="ListParagraph"/>
              <w:spacing w:after="0"/>
              <w:ind w:left="0"/>
              <w:jc w:val="center"/>
              <w:rPr>
                <w:rFonts w:ascii="Times New Roman" w:hAnsi="Times New Roman" w:cs="Times New Roman"/>
                <w:b/>
              </w:rPr>
            </w:pPr>
            <w:r w:rsidRPr="00F72B6A">
              <w:rPr>
                <w:rFonts w:ascii="Times New Roman" w:hAnsi="Times New Roman" w:cs="Times New Roman"/>
                <w:b/>
              </w:rPr>
              <w:t>2004</w:t>
            </w:r>
          </w:p>
        </w:tc>
        <w:tc>
          <w:tcPr>
            <w:tcW w:w="1134" w:type="dxa"/>
            <w:tcBorders>
              <w:top w:val="single" w:sz="4" w:space="0" w:color="FFFFFF" w:themeColor="background1"/>
            </w:tcBorders>
          </w:tcPr>
          <w:p w:rsidR="008657E0" w:rsidRPr="0083648C"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21,5</w:t>
            </w:r>
          </w:p>
        </w:tc>
        <w:tc>
          <w:tcPr>
            <w:tcW w:w="1134" w:type="dxa"/>
            <w:tcBorders>
              <w:top w:val="single" w:sz="4" w:space="0" w:color="FFFFFF" w:themeColor="background1"/>
            </w:tcBorders>
          </w:tcPr>
          <w:p w:rsidR="008657E0" w:rsidRPr="0083648C"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16,9</w:t>
            </w:r>
          </w:p>
        </w:tc>
        <w:tc>
          <w:tcPr>
            <w:tcW w:w="1134" w:type="dxa"/>
            <w:tcBorders>
              <w:top w:val="single" w:sz="4" w:space="0" w:color="FFFFFF" w:themeColor="background1"/>
            </w:tcBorders>
          </w:tcPr>
          <w:p w:rsidR="008657E0" w:rsidRPr="0083648C"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17,1</w:t>
            </w:r>
          </w:p>
        </w:tc>
        <w:tc>
          <w:tcPr>
            <w:tcW w:w="1134" w:type="dxa"/>
            <w:tcBorders>
              <w:top w:val="single" w:sz="4" w:space="0" w:color="FFFFFF" w:themeColor="background1"/>
            </w:tcBorders>
          </w:tcPr>
          <w:p w:rsidR="008657E0" w:rsidRPr="0083648C" w:rsidRDefault="008657E0" w:rsidP="00202DA3">
            <w:pPr>
              <w:pStyle w:val="ListParagraph"/>
              <w:spacing w:after="0"/>
              <w:ind w:left="0"/>
              <w:jc w:val="center"/>
              <w:rPr>
                <w:rFonts w:ascii="Times New Roman" w:hAnsi="Times New Roman" w:cs="Times New Roman"/>
              </w:rPr>
            </w:pPr>
            <w:r w:rsidRPr="00631E94">
              <w:rPr>
                <w:rFonts w:ascii="Times New Roman" w:hAnsi="Times New Roman" w:cs="Times New Roman"/>
              </w:rPr>
              <w:t>20,3</w:t>
            </w:r>
          </w:p>
        </w:tc>
        <w:tc>
          <w:tcPr>
            <w:tcW w:w="1134" w:type="dxa"/>
            <w:tcBorders>
              <w:top w:val="single" w:sz="4" w:space="0" w:color="FFFFFF" w:themeColor="background1"/>
            </w:tcBorders>
          </w:tcPr>
          <w:p w:rsidR="008657E0" w:rsidRPr="0083648C"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21,2</w:t>
            </w:r>
          </w:p>
        </w:tc>
        <w:tc>
          <w:tcPr>
            <w:tcW w:w="1015" w:type="dxa"/>
            <w:tcBorders>
              <w:top w:val="single" w:sz="4" w:space="0" w:color="FFFFFF" w:themeColor="background1"/>
            </w:tcBorders>
          </w:tcPr>
          <w:p w:rsidR="008657E0" w:rsidRPr="0083648C"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22,1</w:t>
            </w:r>
          </w:p>
        </w:tc>
      </w:tr>
      <w:tr w:rsidR="008657E0" w:rsidRPr="00F72B6A" w:rsidTr="00EF530A">
        <w:trPr>
          <w:jc w:val="center"/>
        </w:trPr>
        <w:tc>
          <w:tcPr>
            <w:tcW w:w="1985" w:type="dxa"/>
          </w:tcPr>
          <w:p w:rsidR="008657E0" w:rsidRPr="00F72B6A" w:rsidRDefault="008657E0" w:rsidP="009C3F03">
            <w:pPr>
              <w:pStyle w:val="ListParagraph"/>
              <w:spacing w:after="0"/>
              <w:ind w:left="0"/>
              <w:jc w:val="center"/>
              <w:rPr>
                <w:rFonts w:ascii="Times New Roman" w:hAnsi="Times New Roman" w:cs="Times New Roman"/>
                <w:b/>
              </w:rPr>
            </w:pPr>
            <w:r w:rsidRPr="00F72B6A">
              <w:rPr>
                <w:rFonts w:ascii="Times New Roman" w:hAnsi="Times New Roman" w:cs="Times New Roman"/>
                <w:b/>
              </w:rPr>
              <w:t>2005</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25,8</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18,3</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18,5</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26,2</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29,8</w:t>
            </w:r>
          </w:p>
        </w:tc>
        <w:tc>
          <w:tcPr>
            <w:tcW w:w="1015"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32</w:t>
            </w:r>
            <w:r>
              <w:rPr>
                <w:rFonts w:ascii="Times New Roman" w:hAnsi="Times New Roman" w:cs="Times New Roman"/>
              </w:rPr>
              <w:t>,0</w:t>
            </w:r>
          </w:p>
        </w:tc>
      </w:tr>
      <w:tr w:rsidR="008657E0" w:rsidRPr="00F72B6A" w:rsidTr="00EF530A">
        <w:trPr>
          <w:jc w:val="center"/>
        </w:trPr>
        <w:tc>
          <w:tcPr>
            <w:tcW w:w="1985" w:type="dxa"/>
          </w:tcPr>
          <w:p w:rsidR="008657E0" w:rsidRPr="00F72B6A" w:rsidRDefault="008657E0" w:rsidP="009C3F03">
            <w:pPr>
              <w:pStyle w:val="ListParagraph"/>
              <w:spacing w:after="0"/>
              <w:ind w:left="0"/>
              <w:jc w:val="center"/>
              <w:rPr>
                <w:rFonts w:ascii="Times New Roman" w:hAnsi="Times New Roman" w:cs="Times New Roman"/>
                <w:b/>
              </w:rPr>
            </w:pPr>
            <w:r>
              <w:rPr>
                <w:rFonts w:ascii="Times New Roman" w:hAnsi="Times New Roman" w:cs="Times New Roman"/>
                <w:b/>
              </w:rPr>
              <w:t>2006</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20,5</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17,2</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16,3</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23,2</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33,3</w:t>
            </w:r>
          </w:p>
        </w:tc>
        <w:tc>
          <w:tcPr>
            <w:tcW w:w="1015"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35,9</w:t>
            </w:r>
          </w:p>
        </w:tc>
      </w:tr>
      <w:tr w:rsidR="008657E0" w:rsidRPr="00F72B6A" w:rsidTr="00EF530A">
        <w:trPr>
          <w:jc w:val="center"/>
        </w:trPr>
        <w:tc>
          <w:tcPr>
            <w:tcW w:w="1985" w:type="dxa"/>
          </w:tcPr>
          <w:p w:rsidR="008657E0" w:rsidRDefault="008657E0" w:rsidP="009C3F03">
            <w:pPr>
              <w:pStyle w:val="ListParagraph"/>
              <w:spacing w:after="0"/>
              <w:ind w:left="0"/>
              <w:jc w:val="center"/>
              <w:rPr>
                <w:rFonts w:ascii="Times New Roman" w:hAnsi="Times New Roman" w:cs="Times New Roman"/>
                <w:b/>
              </w:rPr>
            </w:pPr>
            <w:r>
              <w:rPr>
                <w:rFonts w:ascii="Times New Roman" w:hAnsi="Times New Roman" w:cs="Times New Roman"/>
                <w:b/>
              </w:rPr>
              <w:t>2007</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24,6</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17,1</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17,7</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25,1</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51,2</w:t>
            </w:r>
          </w:p>
        </w:tc>
        <w:tc>
          <w:tcPr>
            <w:tcW w:w="1015"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57,9</w:t>
            </w:r>
          </w:p>
        </w:tc>
      </w:tr>
      <w:tr w:rsidR="008657E0" w:rsidRPr="00F72B6A" w:rsidTr="00EF530A">
        <w:trPr>
          <w:jc w:val="center"/>
        </w:trPr>
        <w:tc>
          <w:tcPr>
            <w:tcW w:w="1985" w:type="dxa"/>
          </w:tcPr>
          <w:p w:rsidR="008657E0" w:rsidRDefault="008657E0" w:rsidP="009C3F03">
            <w:pPr>
              <w:pStyle w:val="ListParagraph"/>
              <w:spacing w:after="0"/>
              <w:ind w:left="0"/>
              <w:jc w:val="center"/>
              <w:rPr>
                <w:rFonts w:ascii="Times New Roman" w:hAnsi="Times New Roman" w:cs="Times New Roman"/>
                <w:b/>
              </w:rPr>
            </w:pPr>
            <w:r>
              <w:rPr>
                <w:rFonts w:ascii="Times New Roman" w:hAnsi="Times New Roman" w:cs="Times New Roman"/>
                <w:b/>
              </w:rPr>
              <w:t>2008</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25,7</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19,2</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19,2</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23,3</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47,5</w:t>
            </w:r>
          </w:p>
        </w:tc>
        <w:tc>
          <w:tcPr>
            <w:tcW w:w="1015"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54,3</w:t>
            </w:r>
          </w:p>
        </w:tc>
      </w:tr>
      <w:tr w:rsidR="008657E0" w:rsidRPr="00F72B6A" w:rsidTr="00EF530A">
        <w:trPr>
          <w:jc w:val="center"/>
        </w:trPr>
        <w:tc>
          <w:tcPr>
            <w:tcW w:w="1985" w:type="dxa"/>
          </w:tcPr>
          <w:p w:rsidR="008657E0" w:rsidRDefault="008657E0" w:rsidP="009C3F03">
            <w:pPr>
              <w:pStyle w:val="ListParagraph"/>
              <w:spacing w:after="0"/>
              <w:ind w:left="0"/>
              <w:jc w:val="center"/>
              <w:rPr>
                <w:rFonts w:ascii="Times New Roman" w:hAnsi="Times New Roman" w:cs="Times New Roman"/>
                <w:b/>
              </w:rPr>
            </w:pPr>
            <w:r>
              <w:rPr>
                <w:rFonts w:ascii="Times New Roman" w:hAnsi="Times New Roman" w:cs="Times New Roman"/>
                <w:b/>
              </w:rPr>
              <w:t>2009</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26,6</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21,2</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19,9</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21,1</w:t>
            </w:r>
          </w:p>
        </w:tc>
        <w:tc>
          <w:tcPr>
            <w:tcW w:w="1134"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18,8</w:t>
            </w:r>
          </w:p>
        </w:tc>
        <w:tc>
          <w:tcPr>
            <w:tcW w:w="1015" w:type="dxa"/>
          </w:tcPr>
          <w:p w:rsidR="008657E0" w:rsidRPr="00631E94" w:rsidRDefault="008657E0" w:rsidP="009C3F03">
            <w:pPr>
              <w:pStyle w:val="ListParagraph"/>
              <w:spacing w:after="0"/>
              <w:ind w:left="0"/>
              <w:jc w:val="center"/>
              <w:rPr>
                <w:rFonts w:ascii="Times New Roman" w:hAnsi="Times New Roman" w:cs="Times New Roman"/>
              </w:rPr>
            </w:pPr>
            <w:r w:rsidRPr="00631E94">
              <w:rPr>
                <w:rFonts w:ascii="Times New Roman" w:hAnsi="Times New Roman" w:cs="Times New Roman"/>
              </w:rPr>
              <w:t>19</w:t>
            </w:r>
            <w:r>
              <w:rPr>
                <w:rFonts w:ascii="Times New Roman" w:hAnsi="Times New Roman" w:cs="Times New Roman"/>
              </w:rPr>
              <w:t>,0</w:t>
            </w:r>
          </w:p>
        </w:tc>
      </w:tr>
      <w:tr w:rsidR="008657E0" w:rsidRPr="00F72B6A" w:rsidTr="00EF530A">
        <w:trPr>
          <w:jc w:val="center"/>
        </w:trPr>
        <w:tc>
          <w:tcPr>
            <w:tcW w:w="1985" w:type="dxa"/>
          </w:tcPr>
          <w:p w:rsidR="008657E0" w:rsidRDefault="008657E0" w:rsidP="009C3F03">
            <w:pPr>
              <w:pStyle w:val="ListParagraph"/>
              <w:spacing w:after="0"/>
              <w:ind w:left="0"/>
              <w:jc w:val="center"/>
              <w:rPr>
                <w:rFonts w:ascii="Times New Roman" w:hAnsi="Times New Roman" w:cs="Times New Roman"/>
                <w:b/>
              </w:rPr>
            </w:pPr>
            <w:r>
              <w:rPr>
                <w:rFonts w:ascii="Times New Roman" w:hAnsi="Times New Roman" w:cs="Times New Roman"/>
                <w:b/>
              </w:rPr>
              <w:t>2010</w:t>
            </w:r>
          </w:p>
        </w:tc>
        <w:tc>
          <w:tcPr>
            <w:tcW w:w="1134" w:type="dxa"/>
          </w:tcPr>
          <w:p w:rsidR="008657E0" w:rsidRPr="00631E94" w:rsidRDefault="008657E0" w:rsidP="008657E0">
            <w:pPr>
              <w:pStyle w:val="ListParagraph"/>
              <w:spacing w:after="0"/>
              <w:ind w:left="0"/>
              <w:jc w:val="center"/>
              <w:rPr>
                <w:rFonts w:ascii="Times New Roman" w:hAnsi="Times New Roman" w:cs="Times New Roman"/>
              </w:rPr>
            </w:pPr>
            <w:r w:rsidRPr="00631E94">
              <w:rPr>
                <w:rFonts w:ascii="Times New Roman" w:hAnsi="Times New Roman" w:cs="Times New Roman"/>
              </w:rPr>
              <w:t>2</w:t>
            </w:r>
            <w:r>
              <w:rPr>
                <w:rFonts w:ascii="Times New Roman" w:hAnsi="Times New Roman" w:cs="Times New Roman"/>
              </w:rPr>
              <w:t>5,0</w:t>
            </w:r>
          </w:p>
        </w:tc>
        <w:tc>
          <w:tcPr>
            <w:tcW w:w="1134" w:type="dxa"/>
          </w:tcPr>
          <w:p w:rsidR="008657E0" w:rsidRPr="00631E94" w:rsidRDefault="008657E0" w:rsidP="008657E0">
            <w:pPr>
              <w:pStyle w:val="ListParagraph"/>
              <w:spacing w:after="0"/>
              <w:ind w:left="0"/>
              <w:jc w:val="center"/>
              <w:rPr>
                <w:rFonts w:ascii="Times New Roman" w:hAnsi="Times New Roman" w:cs="Times New Roman"/>
              </w:rPr>
            </w:pPr>
            <w:r w:rsidRPr="00631E94">
              <w:rPr>
                <w:rFonts w:ascii="Times New Roman" w:hAnsi="Times New Roman" w:cs="Times New Roman"/>
              </w:rPr>
              <w:t>22,</w:t>
            </w:r>
            <w:r>
              <w:rPr>
                <w:rFonts w:ascii="Times New Roman" w:hAnsi="Times New Roman" w:cs="Times New Roman"/>
              </w:rPr>
              <w:t>2</w:t>
            </w:r>
          </w:p>
        </w:tc>
        <w:tc>
          <w:tcPr>
            <w:tcW w:w="1134" w:type="dxa"/>
          </w:tcPr>
          <w:p w:rsidR="008657E0" w:rsidRPr="00631E94" w:rsidRDefault="008657E0" w:rsidP="008657E0">
            <w:pPr>
              <w:pStyle w:val="ListParagraph"/>
              <w:spacing w:after="0"/>
              <w:ind w:left="0"/>
              <w:jc w:val="center"/>
              <w:rPr>
                <w:rFonts w:ascii="Times New Roman" w:hAnsi="Times New Roman" w:cs="Times New Roman"/>
              </w:rPr>
            </w:pPr>
            <w:r w:rsidRPr="00631E94">
              <w:rPr>
                <w:rFonts w:ascii="Times New Roman" w:hAnsi="Times New Roman" w:cs="Times New Roman"/>
              </w:rPr>
              <w:t>19,</w:t>
            </w:r>
            <w:r>
              <w:rPr>
                <w:rFonts w:ascii="Times New Roman" w:hAnsi="Times New Roman" w:cs="Times New Roman"/>
              </w:rPr>
              <w:t>3</w:t>
            </w:r>
          </w:p>
        </w:tc>
        <w:tc>
          <w:tcPr>
            <w:tcW w:w="1134" w:type="dxa"/>
          </w:tcPr>
          <w:p w:rsidR="008657E0" w:rsidRPr="00631E94" w:rsidRDefault="008657E0" w:rsidP="008657E0">
            <w:pPr>
              <w:pStyle w:val="ListParagraph"/>
              <w:spacing w:after="0"/>
              <w:ind w:left="0"/>
              <w:jc w:val="center"/>
              <w:rPr>
                <w:rFonts w:ascii="Times New Roman" w:hAnsi="Times New Roman" w:cs="Times New Roman"/>
              </w:rPr>
            </w:pPr>
            <w:r w:rsidRPr="00631E94">
              <w:rPr>
                <w:rFonts w:ascii="Times New Roman" w:hAnsi="Times New Roman" w:cs="Times New Roman"/>
              </w:rPr>
              <w:t>2</w:t>
            </w:r>
            <w:r>
              <w:rPr>
                <w:rFonts w:ascii="Times New Roman" w:hAnsi="Times New Roman" w:cs="Times New Roman"/>
              </w:rPr>
              <w:t>0,8</w:t>
            </w:r>
          </w:p>
        </w:tc>
        <w:tc>
          <w:tcPr>
            <w:tcW w:w="1134" w:type="dxa"/>
          </w:tcPr>
          <w:p w:rsidR="008657E0" w:rsidRPr="00631E94" w:rsidRDefault="008657E0" w:rsidP="008657E0">
            <w:pPr>
              <w:pStyle w:val="ListParagraph"/>
              <w:spacing w:after="0"/>
              <w:ind w:left="0"/>
              <w:jc w:val="center"/>
              <w:rPr>
                <w:rFonts w:ascii="Times New Roman" w:hAnsi="Times New Roman" w:cs="Times New Roman"/>
              </w:rPr>
            </w:pPr>
            <w:r>
              <w:rPr>
                <w:rFonts w:ascii="Times New Roman" w:hAnsi="Times New Roman" w:cs="Times New Roman"/>
              </w:rPr>
              <w:t>8</w:t>
            </w:r>
            <w:r w:rsidRPr="00631E94">
              <w:rPr>
                <w:rFonts w:ascii="Times New Roman" w:hAnsi="Times New Roman" w:cs="Times New Roman"/>
              </w:rPr>
              <w:t>,</w:t>
            </w:r>
            <w:r>
              <w:rPr>
                <w:rFonts w:ascii="Times New Roman" w:hAnsi="Times New Roman" w:cs="Times New Roman"/>
              </w:rPr>
              <w:t>9</w:t>
            </w:r>
          </w:p>
        </w:tc>
        <w:tc>
          <w:tcPr>
            <w:tcW w:w="1015" w:type="dxa"/>
          </w:tcPr>
          <w:p w:rsidR="008657E0" w:rsidRPr="00631E94" w:rsidRDefault="008657E0" w:rsidP="008657E0">
            <w:pPr>
              <w:pStyle w:val="ListParagraph"/>
              <w:spacing w:after="0"/>
              <w:ind w:left="0"/>
              <w:jc w:val="center"/>
              <w:rPr>
                <w:rFonts w:ascii="Times New Roman" w:hAnsi="Times New Roman" w:cs="Times New Roman"/>
              </w:rPr>
            </w:pPr>
            <w:r w:rsidRPr="00631E94">
              <w:rPr>
                <w:rFonts w:ascii="Times New Roman" w:hAnsi="Times New Roman" w:cs="Times New Roman"/>
              </w:rPr>
              <w:t>8,</w:t>
            </w:r>
            <w:r>
              <w:rPr>
                <w:rFonts w:ascii="Times New Roman" w:hAnsi="Times New Roman" w:cs="Times New Roman"/>
              </w:rPr>
              <w:t>5</w:t>
            </w:r>
          </w:p>
        </w:tc>
      </w:tr>
      <w:tr w:rsidR="008657E0" w:rsidRPr="00F72B6A" w:rsidTr="00EF530A">
        <w:trPr>
          <w:jc w:val="center"/>
        </w:trPr>
        <w:tc>
          <w:tcPr>
            <w:tcW w:w="1985" w:type="dxa"/>
          </w:tcPr>
          <w:p w:rsidR="008657E0" w:rsidRDefault="008657E0" w:rsidP="009C3F03">
            <w:pPr>
              <w:pStyle w:val="ListParagraph"/>
              <w:spacing w:after="0"/>
              <w:ind w:left="0"/>
              <w:jc w:val="center"/>
              <w:rPr>
                <w:rFonts w:ascii="Times New Roman" w:hAnsi="Times New Roman" w:cs="Times New Roman"/>
                <w:b/>
              </w:rPr>
            </w:pPr>
            <w:r>
              <w:rPr>
                <w:rFonts w:ascii="Times New Roman" w:hAnsi="Times New Roman" w:cs="Times New Roman"/>
                <w:b/>
              </w:rPr>
              <w:t>2011</w:t>
            </w:r>
          </w:p>
        </w:tc>
        <w:tc>
          <w:tcPr>
            <w:tcW w:w="1134" w:type="dxa"/>
          </w:tcPr>
          <w:p w:rsidR="008657E0" w:rsidRPr="00631E94" w:rsidRDefault="008657E0" w:rsidP="008657E0">
            <w:pPr>
              <w:pStyle w:val="ListParagraph"/>
              <w:spacing w:after="0"/>
              <w:ind w:left="0"/>
              <w:jc w:val="center"/>
              <w:rPr>
                <w:rFonts w:ascii="Times New Roman" w:hAnsi="Times New Roman" w:cs="Times New Roman"/>
              </w:rPr>
            </w:pPr>
            <w:r>
              <w:rPr>
                <w:rFonts w:ascii="Times New Roman" w:hAnsi="Times New Roman" w:cs="Times New Roman"/>
              </w:rPr>
              <w:t>24,7</w:t>
            </w:r>
          </w:p>
        </w:tc>
        <w:tc>
          <w:tcPr>
            <w:tcW w:w="1134" w:type="dxa"/>
          </w:tcPr>
          <w:p w:rsidR="008657E0" w:rsidRPr="00631E94" w:rsidRDefault="008657E0" w:rsidP="008657E0">
            <w:pPr>
              <w:pStyle w:val="ListParagraph"/>
              <w:spacing w:after="0"/>
              <w:ind w:left="0"/>
              <w:jc w:val="center"/>
              <w:rPr>
                <w:rFonts w:ascii="Times New Roman" w:hAnsi="Times New Roman" w:cs="Times New Roman"/>
              </w:rPr>
            </w:pPr>
            <w:r>
              <w:rPr>
                <w:rFonts w:ascii="Times New Roman" w:hAnsi="Times New Roman" w:cs="Times New Roman"/>
              </w:rPr>
              <w:t>20,0</w:t>
            </w:r>
          </w:p>
        </w:tc>
        <w:tc>
          <w:tcPr>
            <w:tcW w:w="1134" w:type="dxa"/>
          </w:tcPr>
          <w:p w:rsidR="008657E0" w:rsidRPr="00631E94" w:rsidRDefault="008657E0" w:rsidP="008657E0">
            <w:pPr>
              <w:pStyle w:val="ListParagraph"/>
              <w:spacing w:after="0"/>
              <w:ind w:left="0"/>
              <w:jc w:val="center"/>
              <w:rPr>
                <w:rFonts w:ascii="Times New Roman" w:hAnsi="Times New Roman" w:cs="Times New Roman"/>
              </w:rPr>
            </w:pPr>
            <w:r>
              <w:rPr>
                <w:rFonts w:ascii="Times New Roman" w:hAnsi="Times New Roman" w:cs="Times New Roman"/>
              </w:rPr>
              <w:t>18,7</w:t>
            </w:r>
          </w:p>
        </w:tc>
        <w:tc>
          <w:tcPr>
            <w:tcW w:w="1134" w:type="dxa"/>
          </w:tcPr>
          <w:p w:rsidR="008657E0" w:rsidRPr="00631E94" w:rsidRDefault="008657E0" w:rsidP="008657E0">
            <w:pPr>
              <w:pStyle w:val="ListParagraph"/>
              <w:spacing w:after="0"/>
              <w:ind w:left="0"/>
              <w:jc w:val="center"/>
              <w:rPr>
                <w:rFonts w:ascii="Times New Roman" w:hAnsi="Times New Roman" w:cs="Times New Roman"/>
              </w:rPr>
            </w:pPr>
            <w:r>
              <w:rPr>
                <w:rFonts w:ascii="Times New Roman" w:hAnsi="Times New Roman" w:cs="Times New Roman"/>
              </w:rPr>
              <w:t>20,2</w:t>
            </w:r>
          </w:p>
        </w:tc>
        <w:tc>
          <w:tcPr>
            <w:tcW w:w="1134" w:type="dxa"/>
          </w:tcPr>
          <w:p w:rsidR="008657E0" w:rsidRPr="00631E94" w:rsidDel="008657E0" w:rsidRDefault="008657E0" w:rsidP="008657E0">
            <w:pPr>
              <w:pStyle w:val="ListParagraph"/>
              <w:spacing w:after="0"/>
              <w:ind w:left="0"/>
              <w:jc w:val="center"/>
              <w:rPr>
                <w:rFonts w:ascii="Times New Roman" w:hAnsi="Times New Roman" w:cs="Times New Roman"/>
              </w:rPr>
            </w:pPr>
            <w:r>
              <w:rPr>
                <w:rFonts w:ascii="Times New Roman" w:hAnsi="Times New Roman" w:cs="Times New Roman"/>
              </w:rPr>
              <w:t>14,0</w:t>
            </w:r>
          </w:p>
        </w:tc>
        <w:tc>
          <w:tcPr>
            <w:tcW w:w="1015" w:type="dxa"/>
          </w:tcPr>
          <w:p w:rsidR="008657E0" w:rsidRPr="00631E94" w:rsidRDefault="008657E0" w:rsidP="008657E0">
            <w:pPr>
              <w:pStyle w:val="ListParagraph"/>
              <w:spacing w:after="0"/>
              <w:ind w:left="0"/>
              <w:jc w:val="center"/>
              <w:rPr>
                <w:rFonts w:ascii="Times New Roman" w:hAnsi="Times New Roman" w:cs="Times New Roman"/>
              </w:rPr>
            </w:pPr>
            <w:r>
              <w:rPr>
                <w:rFonts w:ascii="Times New Roman" w:hAnsi="Times New Roman" w:cs="Times New Roman"/>
              </w:rPr>
              <w:t>12,2</w:t>
            </w:r>
          </w:p>
        </w:tc>
      </w:tr>
    </w:tbl>
    <w:p w:rsidR="00BC2DC1" w:rsidRDefault="0085506E" w:rsidP="00EF530A">
      <w:pPr>
        <w:pStyle w:val="ListParagraph"/>
        <w:spacing w:before="120" w:after="120" w:line="240" w:lineRule="auto"/>
        <w:ind w:left="0"/>
        <w:jc w:val="both"/>
        <w:rPr>
          <w:rFonts w:ascii="Times New Roman" w:hAnsi="Times New Roman" w:cs="Times New Roman"/>
          <w:sz w:val="28"/>
          <w:szCs w:val="28"/>
        </w:rPr>
      </w:pPr>
      <w:r w:rsidRPr="000F144F">
        <w:rPr>
          <w:rFonts w:ascii="Times New Roman" w:hAnsi="Times New Roman" w:cs="Times New Roman"/>
          <w:b/>
          <w:i/>
          <w:sz w:val="24"/>
          <w:szCs w:val="24"/>
        </w:rPr>
        <w:t>Avots</w:t>
      </w:r>
      <w:r w:rsidRPr="000F144F">
        <w:rPr>
          <w:rFonts w:ascii="Times New Roman" w:eastAsia="Calibri" w:hAnsi="Times New Roman" w:cs="Times New Roman"/>
          <w:b/>
          <w:i/>
          <w:sz w:val="24"/>
          <w:szCs w:val="24"/>
        </w:rPr>
        <w:t>:</w:t>
      </w:r>
      <w:r w:rsidRPr="000F144F">
        <w:rPr>
          <w:rFonts w:ascii="Times New Roman" w:eastAsia="Calibri" w:hAnsi="Times New Roman" w:cs="Times New Roman"/>
          <w:sz w:val="24"/>
          <w:szCs w:val="24"/>
        </w:rPr>
        <w:t xml:space="preserve"> </w:t>
      </w:r>
      <w:r w:rsidR="008657E0">
        <w:rPr>
          <w:rFonts w:ascii="Times New Roman" w:hAnsi="Times New Roman"/>
          <w:sz w:val="24"/>
          <w:szCs w:val="28"/>
        </w:rPr>
        <w:t>Centrālā statistikas pārvalde</w:t>
      </w:r>
    </w:p>
    <w:p w:rsidR="003828FB" w:rsidRDefault="003828FB" w:rsidP="00EF530A">
      <w:pPr>
        <w:pStyle w:val="ListParagraph"/>
        <w:spacing w:before="120" w:after="120" w:line="240" w:lineRule="auto"/>
        <w:ind w:left="0" w:firstLine="709"/>
        <w:jc w:val="both"/>
        <w:rPr>
          <w:rFonts w:ascii="Times New Roman" w:hAnsi="Times New Roman"/>
          <w:sz w:val="28"/>
          <w:szCs w:val="28"/>
        </w:rPr>
      </w:pPr>
      <w:r>
        <w:rPr>
          <w:rFonts w:ascii="Times New Roman" w:hAnsi="Times New Roman"/>
          <w:sz w:val="28"/>
          <w:szCs w:val="28"/>
        </w:rPr>
        <w:lastRenderedPageBreak/>
        <w:t>Tendences</w:t>
      </w:r>
      <w:r w:rsidR="00E367B4">
        <w:rPr>
          <w:rFonts w:ascii="Times New Roman" w:hAnsi="Times New Roman"/>
          <w:sz w:val="28"/>
          <w:szCs w:val="28"/>
        </w:rPr>
        <w:t>, ka</w:t>
      </w:r>
      <w:r w:rsidR="00E367B4" w:rsidRPr="00E367B4">
        <w:rPr>
          <w:rFonts w:ascii="Times New Roman" w:hAnsi="Times New Roman" w:cs="Times New Roman"/>
          <w:sz w:val="28"/>
          <w:szCs w:val="28"/>
        </w:rPr>
        <w:t xml:space="preserve"> </w:t>
      </w:r>
      <w:r w:rsidR="00E367B4">
        <w:rPr>
          <w:rFonts w:ascii="Times New Roman" w:hAnsi="Times New Roman" w:cs="Times New Roman"/>
          <w:sz w:val="28"/>
          <w:szCs w:val="28"/>
        </w:rPr>
        <w:t>pēc krīzes bērniem un jauniešiem nabadzības risks bija divas un pat trīs reizes lielāks nekā pensijas vecuma cilvēkiem,</w:t>
      </w:r>
      <w:r>
        <w:rPr>
          <w:rFonts w:ascii="Times New Roman" w:hAnsi="Times New Roman"/>
          <w:sz w:val="28"/>
          <w:szCs w:val="28"/>
        </w:rPr>
        <w:t xml:space="preserve"> sakarā</w:t>
      </w:r>
      <w:r w:rsidRPr="002C2D5D">
        <w:rPr>
          <w:rFonts w:ascii="Times New Roman" w:hAnsi="Times New Roman"/>
          <w:sz w:val="28"/>
          <w:szCs w:val="28"/>
        </w:rPr>
        <w:t xml:space="preserve"> jāuzsver, ka ekonomikas stabilizācijai un atjaunošanai valdība budžeta grozījumu izstrādes laikā akceptēja vairākas izmaiņas sociālās apdrošināšanas pabalstu un valsts sociālo pabalstu ģimenēm ar bērniem jomā, kas stājās spēkā 2009.-2010.gadā un ietekmēja valsts sniedzamā sociālā atbalsta apjomu strauju samazināšanos un ietekmēja ģimeņu ar bērniem nabadzības riska paaugstināšanu. </w:t>
      </w:r>
      <w:r>
        <w:rPr>
          <w:rFonts w:ascii="Times New Roman" w:hAnsi="Times New Roman"/>
          <w:sz w:val="28"/>
          <w:szCs w:val="28"/>
        </w:rPr>
        <w:t>K</w:t>
      </w:r>
      <w:r w:rsidRPr="002C2D5D">
        <w:rPr>
          <w:rFonts w:ascii="Times New Roman" w:hAnsi="Times New Roman"/>
          <w:sz w:val="28"/>
          <w:szCs w:val="28"/>
        </w:rPr>
        <w:t xml:space="preserve">opš 2008.gada ir strauji samazinājies arī bērnu materiālās nodrošinātības līmenis </w:t>
      </w:r>
      <w:r>
        <w:rPr>
          <w:rFonts w:ascii="Times New Roman" w:hAnsi="Times New Roman"/>
          <w:sz w:val="28"/>
          <w:szCs w:val="28"/>
        </w:rPr>
        <w:t>–</w:t>
      </w:r>
      <w:r w:rsidRPr="002C2D5D">
        <w:rPr>
          <w:rFonts w:ascii="Times New Roman" w:hAnsi="Times New Roman"/>
          <w:sz w:val="28"/>
          <w:szCs w:val="28"/>
        </w:rPr>
        <w:t xml:space="preserve"> ja 2008.gadā tādu bērnu, kuriem netika nodrošināts viss nepieciešamais, kas bērnam vajadzīgs veiksmīgai dzīves gaitu uzsākšanai, bija aptuveni trešā daļa (36%), tad 2010.gadā šādu bērnu bija jau nepilna puse (48,5%). Šāda materiālā nenodrošinātība savukārt vairoja bērnu nabadzību un sociālo atstumtību, kā arī veicina nabadzības un atstumtības pārmantošanos nākamajās paaudzēs.</w:t>
      </w:r>
    </w:p>
    <w:p w:rsidR="003828FB" w:rsidRPr="002C2D5D" w:rsidRDefault="003828FB" w:rsidP="00EF530A">
      <w:pPr>
        <w:pStyle w:val="ListParagraph"/>
        <w:spacing w:before="120" w:after="120" w:line="240" w:lineRule="auto"/>
        <w:ind w:left="0" w:firstLine="709"/>
        <w:jc w:val="both"/>
        <w:rPr>
          <w:rFonts w:ascii="Times New Roman" w:hAnsi="Times New Roman"/>
          <w:sz w:val="28"/>
          <w:szCs w:val="28"/>
        </w:rPr>
      </w:pPr>
      <w:r w:rsidRPr="002C2D5D">
        <w:rPr>
          <w:rFonts w:ascii="Times New Roman" w:hAnsi="Times New Roman"/>
          <w:sz w:val="28"/>
          <w:szCs w:val="28"/>
        </w:rPr>
        <w:t xml:space="preserve">Vienlaikus analizējot trūcīgo personu sadalījumu pa iedzīvotāju grupām: 2011.gadā bērni bija otra lielākā grupa starp trūcīgajām personām valstī, bet 2012.gadā bērni kļuva par pirmo lielāko grupu starp trūcīgajām personām valstī </w:t>
      </w:r>
      <w:r>
        <w:rPr>
          <w:rFonts w:ascii="Times New Roman" w:hAnsi="Times New Roman"/>
          <w:sz w:val="28"/>
          <w:szCs w:val="28"/>
        </w:rPr>
        <w:t>(34,4%).</w:t>
      </w:r>
    </w:p>
    <w:p w:rsidR="003A1A90" w:rsidRDefault="003A1A90" w:rsidP="00EF530A">
      <w:pPr>
        <w:pStyle w:val="ListParagraph"/>
        <w:spacing w:after="24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Jaunieši ir otra lielākā iedzīvotāju grupa, kurai ir visaugstākais nabadzības risks. Bez tam kopš 2008.gada tas pastāvīgi pieaug. Aiz jauniešiem seko darbaspējas un pirmspensijas vecuma cilvēki vecumā 50-64 gadi, kuriem kopš 2008.gada nabadzības risks samazinās, tomēr ir salīdzinoši augsts. Iedzīvotājiem vecumā no 25-49 gadiem situācija nedaudz mainās un nabadzības risks saglabājās 19,2% robežās. Pirmspensijas (60+) un pensijas vecuma cilvēkiem (65+, 75+) nabadzības risks ir viszemākais. </w:t>
      </w:r>
    </w:p>
    <w:p w:rsidR="003A1A90" w:rsidRPr="003A1A90" w:rsidRDefault="003A1A90" w:rsidP="003A1A90">
      <w:pPr>
        <w:pStyle w:val="ListParagraph"/>
        <w:spacing w:after="120" w:line="240" w:lineRule="auto"/>
        <w:ind w:left="0" w:firstLine="709"/>
        <w:jc w:val="both"/>
        <w:rPr>
          <w:rFonts w:ascii="Times New Roman" w:hAnsi="Times New Roman" w:cs="Times New Roman"/>
          <w:sz w:val="6"/>
          <w:szCs w:val="6"/>
        </w:rPr>
      </w:pPr>
    </w:p>
    <w:p w:rsidR="0085506E" w:rsidRDefault="0085506E" w:rsidP="003A1A90">
      <w:pPr>
        <w:pStyle w:val="ListParagraph"/>
        <w:spacing w:after="120" w:line="240" w:lineRule="auto"/>
        <w:ind w:left="0" w:firstLine="709"/>
        <w:jc w:val="both"/>
        <w:rPr>
          <w:rFonts w:ascii="Times New Roman" w:hAnsi="Times New Roman" w:cs="Times New Roman"/>
          <w:sz w:val="28"/>
          <w:szCs w:val="28"/>
        </w:rPr>
      </w:pPr>
      <w:r w:rsidRPr="000F144F">
        <w:rPr>
          <w:rFonts w:ascii="Times New Roman" w:hAnsi="Times New Roman" w:cs="Times New Roman"/>
          <w:sz w:val="28"/>
          <w:szCs w:val="28"/>
        </w:rPr>
        <w:t>Darba</w:t>
      </w:r>
      <w:r>
        <w:rPr>
          <w:rFonts w:ascii="Times New Roman" w:hAnsi="Times New Roman" w:cs="Times New Roman"/>
          <w:sz w:val="28"/>
          <w:szCs w:val="28"/>
        </w:rPr>
        <w:t>spēka</w:t>
      </w:r>
      <w:r w:rsidRPr="000F144F">
        <w:rPr>
          <w:rFonts w:ascii="Times New Roman" w:hAnsi="Times New Roman" w:cs="Times New Roman"/>
          <w:sz w:val="28"/>
          <w:szCs w:val="28"/>
        </w:rPr>
        <w:t xml:space="preserve"> nodokļi mijiedarbībā ar </w:t>
      </w:r>
      <w:r w:rsidR="00BC2DC1" w:rsidRPr="000F144F">
        <w:rPr>
          <w:rFonts w:ascii="Times New Roman" w:hAnsi="Times New Roman" w:cs="Times New Roman"/>
          <w:sz w:val="28"/>
          <w:szCs w:val="28"/>
        </w:rPr>
        <w:t>pabalst</w:t>
      </w:r>
      <w:r w:rsidR="00BC2DC1">
        <w:rPr>
          <w:rFonts w:ascii="Times New Roman" w:hAnsi="Times New Roman" w:cs="Times New Roman"/>
          <w:sz w:val="28"/>
          <w:szCs w:val="28"/>
        </w:rPr>
        <w:t>u</w:t>
      </w:r>
      <w:r w:rsidR="00BC2DC1" w:rsidRPr="000F144F">
        <w:rPr>
          <w:rFonts w:ascii="Times New Roman" w:hAnsi="Times New Roman" w:cs="Times New Roman"/>
          <w:sz w:val="28"/>
          <w:szCs w:val="28"/>
        </w:rPr>
        <w:t xml:space="preserve"> </w:t>
      </w:r>
      <w:r w:rsidRPr="000F144F">
        <w:rPr>
          <w:rFonts w:ascii="Times New Roman" w:hAnsi="Times New Roman" w:cs="Times New Roman"/>
          <w:sz w:val="28"/>
          <w:szCs w:val="28"/>
        </w:rPr>
        <w:t xml:space="preserve">sistēmu </w:t>
      </w:r>
      <w:r>
        <w:rPr>
          <w:rFonts w:ascii="Times New Roman" w:hAnsi="Times New Roman" w:cs="Times New Roman"/>
          <w:sz w:val="28"/>
          <w:szCs w:val="28"/>
        </w:rPr>
        <w:t xml:space="preserve">var </w:t>
      </w:r>
      <w:r w:rsidRPr="000F144F">
        <w:rPr>
          <w:rFonts w:ascii="Times New Roman" w:hAnsi="Times New Roman" w:cs="Times New Roman"/>
          <w:sz w:val="28"/>
          <w:szCs w:val="28"/>
        </w:rPr>
        <w:t>rad</w:t>
      </w:r>
      <w:r>
        <w:rPr>
          <w:rFonts w:ascii="Times New Roman" w:hAnsi="Times New Roman" w:cs="Times New Roman"/>
          <w:sz w:val="28"/>
          <w:szCs w:val="28"/>
        </w:rPr>
        <w:t>īt</w:t>
      </w:r>
      <w:r w:rsidRPr="000F144F">
        <w:rPr>
          <w:rFonts w:ascii="Times New Roman" w:hAnsi="Times New Roman" w:cs="Times New Roman"/>
          <w:sz w:val="28"/>
          <w:szCs w:val="28"/>
        </w:rPr>
        <w:t xml:space="preserve"> šķēršļus cilvēku integrācijai darba tirgū, j</w:t>
      </w:r>
      <w:r>
        <w:rPr>
          <w:rFonts w:ascii="Times New Roman" w:hAnsi="Times New Roman" w:cs="Times New Roman"/>
          <w:sz w:val="28"/>
          <w:szCs w:val="28"/>
        </w:rPr>
        <w:t>a</w:t>
      </w:r>
      <w:r w:rsidRPr="000F144F">
        <w:rPr>
          <w:rFonts w:ascii="Times New Roman" w:hAnsi="Times New Roman" w:cs="Times New Roman"/>
          <w:sz w:val="28"/>
          <w:szCs w:val="28"/>
        </w:rPr>
        <w:t xml:space="preserve"> zemo algu grupā ieguvums no darba nav </w:t>
      </w:r>
      <w:r>
        <w:rPr>
          <w:rFonts w:ascii="Times New Roman" w:hAnsi="Times New Roman" w:cs="Times New Roman"/>
          <w:sz w:val="28"/>
          <w:szCs w:val="28"/>
        </w:rPr>
        <w:t>pietiekam</w:t>
      </w:r>
      <w:r w:rsidRPr="000F144F">
        <w:rPr>
          <w:rFonts w:ascii="Times New Roman" w:hAnsi="Times New Roman" w:cs="Times New Roman"/>
          <w:sz w:val="28"/>
          <w:szCs w:val="28"/>
        </w:rPr>
        <w:t>s, salīdzinot ar ieguvumiem no pabalstiem. Tāpat arī zemas algas saņēmēji bieži vien var pretendēt uz kādiem papildu pabalstiem, bet neliels algas kāpums var samazināt to iespējas kvalificēties to saņemšanai. Tāpēc darba tirgus analīzē plaši tiek izmantoti tādi rādītāji kā bezdarba un zemas samaksas slazdi</w:t>
      </w:r>
      <w:r>
        <w:rPr>
          <w:rFonts w:ascii="Times New Roman" w:hAnsi="Times New Roman" w:cs="Times New Roman"/>
          <w:sz w:val="28"/>
          <w:szCs w:val="28"/>
        </w:rPr>
        <w:t>. Bezdarba slazds</w:t>
      </w:r>
      <w:r w:rsidRPr="000F144F">
        <w:rPr>
          <w:rFonts w:ascii="Times New Roman" w:hAnsi="Times New Roman" w:cs="Times New Roman"/>
          <w:sz w:val="28"/>
          <w:szCs w:val="28"/>
        </w:rPr>
        <w:t xml:space="preserve"> raksturo</w:t>
      </w:r>
      <w:r>
        <w:rPr>
          <w:rFonts w:ascii="Times New Roman" w:hAnsi="Times New Roman" w:cs="Times New Roman"/>
          <w:sz w:val="28"/>
          <w:szCs w:val="28"/>
        </w:rPr>
        <w:t xml:space="preserve"> nodokļos un nesaņemtajos pabalstos zaudēto ienākumu apjomu</w:t>
      </w:r>
      <w:r w:rsidRPr="000F144F">
        <w:rPr>
          <w:rFonts w:ascii="Times New Roman" w:hAnsi="Times New Roman" w:cs="Times New Roman"/>
          <w:sz w:val="28"/>
          <w:szCs w:val="28"/>
        </w:rPr>
        <w:t>, pārejot no bezdarb</w:t>
      </w:r>
      <w:r w:rsidR="00BC2DC1">
        <w:rPr>
          <w:rFonts w:ascii="Times New Roman" w:hAnsi="Times New Roman" w:cs="Times New Roman"/>
          <w:sz w:val="28"/>
          <w:szCs w:val="28"/>
        </w:rPr>
        <w:t>nieka</w:t>
      </w:r>
      <w:r w:rsidRPr="000F144F">
        <w:rPr>
          <w:rFonts w:ascii="Times New Roman" w:hAnsi="Times New Roman" w:cs="Times New Roman"/>
          <w:sz w:val="28"/>
          <w:szCs w:val="28"/>
        </w:rPr>
        <w:t xml:space="preserve"> </w:t>
      </w:r>
      <w:r w:rsidR="00BC2DC1">
        <w:rPr>
          <w:rFonts w:ascii="Times New Roman" w:hAnsi="Times New Roman" w:cs="Times New Roman"/>
          <w:sz w:val="28"/>
          <w:szCs w:val="28"/>
        </w:rPr>
        <w:t xml:space="preserve">pabalstiem </w:t>
      </w:r>
      <w:r w:rsidRPr="000F144F">
        <w:rPr>
          <w:rFonts w:ascii="Times New Roman" w:hAnsi="Times New Roman" w:cs="Times New Roman"/>
          <w:sz w:val="28"/>
          <w:szCs w:val="28"/>
        </w:rPr>
        <w:t>uz darba samaksu 67% apmērā no vidējās</w:t>
      </w:r>
      <w:r>
        <w:rPr>
          <w:rFonts w:ascii="Times New Roman" w:hAnsi="Times New Roman" w:cs="Times New Roman"/>
          <w:sz w:val="28"/>
          <w:szCs w:val="28"/>
        </w:rPr>
        <w:t xml:space="preserve"> algas</w:t>
      </w:r>
      <w:r w:rsidRPr="000F144F">
        <w:rPr>
          <w:rFonts w:ascii="Times New Roman" w:hAnsi="Times New Roman" w:cs="Times New Roman"/>
          <w:sz w:val="28"/>
          <w:szCs w:val="28"/>
        </w:rPr>
        <w:t xml:space="preserve">. Zemas algas slazds apskata šo pašu attīstību, </w:t>
      </w:r>
      <w:r>
        <w:rPr>
          <w:rFonts w:ascii="Times New Roman" w:hAnsi="Times New Roman" w:cs="Times New Roman"/>
          <w:sz w:val="28"/>
          <w:szCs w:val="28"/>
        </w:rPr>
        <w:t xml:space="preserve">gūstot ienākumu palielinājumu </w:t>
      </w:r>
      <w:r w:rsidRPr="000F144F">
        <w:rPr>
          <w:rFonts w:ascii="Times New Roman" w:hAnsi="Times New Roman" w:cs="Times New Roman"/>
          <w:sz w:val="28"/>
          <w:szCs w:val="28"/>
        </w:rPr>
        <w:t xml:space="preserve">no 33% </w:t>
      </w:r>
      <w:r>
        <w:rPr>
          <w:rFonts w:ascii="Times New Roman" w:hAnsi="Times New Roman" w:cs="Times New Roman"/>
          <w:sz w:val="28"/>
          <w:szCs w:val="28"/>
        </w:rPr>
        <w:t xml:space="preserve">vidējas algas </w:t>
      </w:r>
      <w:r w:rsidRPr="000F144F">
        <w:rPr>
          <w:rFonts w:ascii="Times New Roman" w:hAnsi="Times New Roman" w:cs="Times New Roman"/>
          <w:sz w:val="28"/>
          <w:szCs w:val="28"/>
        </w:rPr>
        <w:t xml:space="preserve">uz 67% no vidējās </w:t>
      </w:r>
      <w:r>
        <w:rPr>
          <w:rFonts w:ascii="Times New Roman" w:hAnsi="Times New Roman" w:cs="Times New Roman"/>
          <w:sz w:val="28"/>
          <w:szCs w:val="28"/>
        </w:rPr>
        <w:t>algas</w:t>
      </w:r>
      <w:r w:rsidRPr="000F144F">
        <w:rPr>
          <w:rFonts w:ascii="Times New Roman" w:hAnsi="Times New Roman" w:cs="Times New Roman"/>
          <w:sz w:val="28"/>
          <w:szCs w:val="28"/>
        </w:rPr>
        <w:t>.</w:t>
      </w:r>
    </w:p>
    <w:p w:rsidR="0085506E" w:rsidRPr="00055DE4" w:rsidRDefault="0085506E" w:rsidP="0085506E">
      <w:pPr>
        <w:pStyle w:val="ListParagraph"/>
        <w:spacing w:after="120" w:line="240" w:lineRule="auto"/>
        <w:ind w:left="0" w:firstLine="709"/>
        <w:jc w:val="both"/>
        <w:rPr>
          <w:rFonts w:ascii="Times New Roman" w:hAnsi="Times New Roman" w:cs="Times New Roman"/>
          <w:sz w:val="6"/>
          <w:szCs w:val="6"/>
        </w:rPr>
      </w:pPr>
    </w:p>
    <w:p w:rsidR="0085506E" w:rsidRPr="000F144F" w:rsidRDefault="0085506E" w:rsidP="0085506E">
      <w:pPr>
        <w:pStyle w:val="ListParagraph"/>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Saskaņā ar </w:t>
      </w:r>
      <w:proofErr w:type="spellStart"/>
      <w:r>
        <w:rPr>
          <w:rFonts w:ascii="Times New Roman" w:hAnsi="Times New Roman" w:cs="Times New Roman"/>
          <w:sz w:val="28"/>
          <w:szCs w:val="28"/>
        </w:rPr>
        <w:t>Eurostat</w:t>
      </w:r>
      <w:proofErr w:type="spellEnd"/>
      <w:r>
        <w:rPr>
          <w:rFonts w:ascii="Times New Roman" w:hAnsi="Times New Roman" w:cs="Times New Roman"/>
          <w:sz w:val="28"/>
          <w:szCs w:val="28"/>
        </w:rPr>
        <w:t xml:space="preserve"> datiem, 2011.gadā Latvijā bezdarba slazds pārsniedz ES vidējo</w:t>
      </w:r>
      <w:r w:rsidR="00C106AF">
        <w:rPr>
          <w:rFonts w:ascii="Times New Roman" w:hAnsi="Times New Roman" w:cs="Times New Roman"/>
          <w:sz w:val="28"/>
          <w:szCs w:val="28"/>
        </w:rPr>
        <w:t xml:space="preserve"> rādītāju</w:t>
      </w:r>
      <w:r>
        <w:rPr>
          <w:rFonts w:ascii="Times New Roman" w:hAnsi="Times New Roman" w:cs="Times New Roman"/>
          <w:sz w:val="28"/>
          <w:szCs w:val="28"/>
        </w:rPr>
        <w:t>, savukārt zemas algas slazds Latvijā ir ievērojami mazāks nekā ES vidējais rādītājs. Daļēji tas skaidrojams ar bezdarba statusu kā izplatītu pabalstu saņemšanas kritēriju</w:t>
      </w:r>
      <w:r w:rsidR="00BC2DC1">
        <w:rPr>
          <w:rFonts w:ascii="Times New Roman" w:hAnsi="Times New Roman" w:cs="Times New Roman"/>
          <w:sz w:val="28"/>
          <w:szCs w:val="28"/>
        </w:rPr>
        <w:t>, kā arī izmaiņām nodokļu likumdošanā</w:t>
      </w:r>
      <w:r>
        <w:rPr>
          <w:rFonts w:ascii="Times New Roman" w:hAnsi="Times New Roman" w:cs="Times New Roman"/>
          <w:sz w:val="28"/>
          <w:szCs w:val="28"/>
        </w:rPr>
        <w:t>.</w:t>
      </w:r>
    </w:p>
    <w:p w:rsidR="0085506E" w:rsidRDefault="0085506E" w:rsidP="0085506E">
      <w:pPr>
        <w:tabs>
          <w:tab w:val="left" w:pos="709"/>
        </w:tabs>
        <w:spacing w:after="60" w:line="240" w:lineRule="auto"/>
        <w:jc w:val="both"/>
        <w:rPr>
          <w:rFonts w:ascii="Times New Roman" w:hAnsi="Times New Roman" w:cs="Times New Roman"/>
          <w:b/>
          <w:sz w:val="24"/>
          <w:szCs w:val="24"/>
        </w:rPr>
      </w:pPr>
      <w:r>
        <w:rPr>
          <w:noProof/>
          <w:lang w:eastAsia="lv-LV"/>
        </w:rPr>
        <w:lastRenderedPageBreak/>
        <w:drawing>
          <wp:inline distT="0" distB="0" distL="0" distR="0" wp14:anchorId="2905E2CE" wp14:editId="61DAAF9C">
            <wp:extent cx="4055165" cy="2743200"/>
            <wp:effectExtent l="0" t="0" r="254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5506E" w:rsidRPr="00995D03" w:rsidRDefault="00D434CC" w:rsidP="0085506E">
      <w:pPr>
        <w:tabs>
          <w:tab w:val="left" w:pos="709"/>
        </w:tabs>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85506E" w:rsidRPr="00995D03">
        <w:rPr>
          <w:rFonts w:ascii="Times New Roman" w:hAnsi="Times New Roman" w:cs="Times New Roman"/>
          <w:b/>
          <w:sz w:val="24"/>
          <w:szCs w:val="24"/>
        </w:rPr>
        <w:t>.att. Darba tirgus slazdi 201</w:t>
      </w:r>
      <w:r w:rsidR="0085506E">
        <w:rPr>
          <w:rFonts w:ascii="Times New Roman" w:hAnsi="Times New Roman" w:cs="Times New Roman"/>
          <w:b/>
          <w:sz w:val="24"/>
          <w:szCs w:val="24"/>
        </w:rPr>
        <w:t>1</w:t>
      </w:r>
      <w:r w:rsidR="0085506E" w:rsidRPr="00995D03">
        <w:rPr>
          <w:rFonts w:ascii="Times New Roman" w:hAnsi="Times New Roman" w:cs="Times New Roman"/>
          <w:b/>
          <w:sz w:val="24"/>
          <w:szCs w:val="24"/>
        </w:rPr>
        <w:t>.gadā</w:t>
      </w:r>
    </w:p>
    <w:p w:rsidR="0085506E" w:rsidRPr="000F144F" w:rsidRDefault="0085506E" w:rsidP="0085506E">
      <w:pPr>
        <w:pStyle w:val="ListParagraph"/>
        <w:spacing w:after="0" w:line="240" w:lineRule="auto"/>
        <w:ind w:left="0"/>
        <w:jc w:val="both"/>
        <w:rPr>
          <w:rFonts w:ascii="Times New Roman" w:hAnsi="Times New Roman" w:cs="Times New Roman"/>
          <w:sz w:val="24"/>
          <w:szCs w:val="24"/>
        </w:rPr>
      </w:pPr>
      <w:r w:rsidRPr="000F144F">
        <w:rPr>
          <w:rFonts w:ascii="Times New Roman" w:hAnsi="Times New Roman" w:cs="Times New Roman"/>
          <w:b/>
          <w:i/>
          <w:sz w:val="24"/>
          <w:szCs w:val="24"/>
        </w:rPr>
        <w:t>Avots:</w:t>
      </w:r>
      <w:r w:rsidRPr="000F144F">
        <w:rPr>
          <w:rFonts w:ascii="Times New Roman" w:hAnsi="Times New Roman" w:cs="Times New Roman"/>
          <w:sz w:val="24"/>
          <w:szCs w:val="24"/>
        </w:rPr>
        <w:t xml:space="preserve"> </w:t>
      </w:r>
      <w:proofErr w:type="spellStart"/>
      <w:r w:rsidRPr="000F144F">
        <w:rPr>
          <w:rFonts w:ascii="Times New Roman" w:hAnsi="Times New Roman" w:cs="Times New Roman"/>
          <w:sz w:val="24"/>
          <w:szCs w:val="24"/>
        </w:rPr>
        <w:t>Eurostat</w:t>
      </w:r>
      <w:proofErr w:type="spellEnd"/>
    </w:p>
    <w:p w:rsidR="0085506E" w:rsidRPr="008D2076" w:rsidRDefault="0085506E" w:rsidP="0085506E">
      <w:pPr>
        <w:pStyle w:val="ListParagraph"/>
        <w:spacing w:after="0" w:line="240" w:lineRule="auto"/>
        <w:ind w:left="0" w:firstLine="709"/>
        <w:jc w:val="both"/>
        <w:rPr>
          <w:rFonts w:ascii="Times New Roman" w:hAnsi="Times New Roman" w:cs="Times New Roman"/>
          <w:sz w:val="8"/>
          <w:szCs w:val="8"/>
        </w:rPr>
      </w:pPr>
    </w:p>
    <w:p w:rsidR="0085506E" w:rsidRDefault="0085506E" w:rsidP="0085506E">
      <w:pPr>
        <w:pStyle w:val="ListParagraph"/>
        <w:spacing w:before="240" w:after="120" w:line="240" w:lineRule="auto"/>
        <w:ind w:left="0" w:firstLine="709"/>
        <w:jc w:val="both"/>
        <w:rPr>
          <w:rFonts w:ascii="Times New Roman" w:hAnsi="Times New Roman" w:cs="Times New Roman"/>
          <w:sz w:val="24"/>
          <w:szCs w:val="24"/>
        </w:rPr>
      </w:pPr>
    </w:p>
    <w:p w:rsidR="003A1A90" w:rsidRDefault="003A1A90" w:rsidP="0085506E">
      <w:pPr>
        <w:pStyle w:val="ListParagraph"/>
        <w:spacing w:before="240" w:after="120" w:line="240" w:lineRule="auto"/>
        <w:ind w:left="0" w:firstLine="709"/>
        <w:jc w:val="both"/>
        <w:rPr>
          <w:rFonts w:ascii="Times New Roman" w:hAnsi="Times New Roman" w:cs="Times New Roman"/>
          <w:sz w:val="24"/>
          <w:szCs w:val="24"/>
        </w:rPr>
      </w:pPr>
    </w:p>
    <w:p w:rsidR="0085506E" w:rsidRPr="00A072E2" w:rsidRDefault="0085506E" w:rsidP="00A072E2">
      <w:pPr>
        <w:pStyle w:val="ListParagraph"/>
        <w:numPr>
          <w:ilvl w:val="0"/>
          <w:numId w:val="4"/>
        </w:numPr>
        <w:spacing w:before="120" w:after="240" w:line="240" w:lineRule="auto"/>
        <w:ind w:left="709" w:hanging="709"/>
        <w:jc w:val="both"/>
        <w:rPr>
          <w:rFonts w:ascii="Times New Roman" w:hAnsi="Times New Roman" w:cs="Times New Roman"/>
          <w:b/>
          <w:i/>
          <w:sz w:val="28"/>
          <w:szCs w:val="28"/>
        </w:rPr>
      </w:pPr>
      <w:bookmarkStart w:id="1" w:name="_Toc323394083"/>
      <w:bookmarkStart w:id="2" w:name="_Toc330211750"/>
      <w:r w:rsidRPr="00A072E2">
        <w:rPr>
          <w:rFonts w:ascii="Times New Roman" w:hAnsi="Times New Roman" w:cs="Times New Roman"/>
          <w:b/>
          <w:i/>
          <w:sz w:val="28"/>
          <w:szCs w:val="28"/>
        </w:rPr>
        <w:t>Darbaspēka nodokļu slogs</w:t>
      </w:r>
      <w:bookmarkEnd w:id="1"/>
      <w:bookmarkEnd w:id="2"/>
      <w:r w:rsidRPr="00A072E2">
        <w:rPr>
          <w:rFonts w:ascii="Times New Roman" w:hAnsi="Times New Roman" w:cs="Times New Roman"/>
          <w:b/>
          <w:i/>
          <w:sz w:val="28"/>
          <w:szCs w:val="28"/>
        </w:rPr>
        <w:t xml:space="preserve"> </w:t>
      </w:r>
    </w:p>
    <w:p w:rsidR="0085506E" w:rsidRPr="00532644" w:rsidRDefault="0085506E" w:rsidP="0085506E">
      <w:pPr>
        <w:spacing w:after="120" w:line="240" w:lineRule="auto"/>
        <w:ind w:firstLine="709"/>
        <w:contextualSpacing/>
        <w:jc w:val="both"/>
        <w:rPr>
          <w:rFonts w:ascii="Times New Roman" w:hAnsi="Times New Roman" w:cs="Times New Roman"/>
          <w:sz w:val="28"/>
          <w:szCs w:val="28"/>
        </w:rPr>
      </w:pPr>
      <w:r w:rsidRPr="00532644">
        <w:rPr>
          <w:rFonts w:ascii="Times New Roman" w:hAnsi="Times New Roman" w:cs="Times New Roman"/>
          <w:sz w:val="28"/>
          <w:szCs w:val="28"/>
        </w:rPr>
        <w:t>Darba</w:t>
      </w:r>
      <w:r>
        <w:rPr>
          <w:rFonts w:ascii="Times New Roman" w:hAnsi="Times New Roman" w:cs="Times New Roman"/>
          <w:sz w:val="28"/>
          <w:szCs w:val="28"/>
        </w:rPr>
        <w:t>spēka</w:t>
      </w:r>
      <w:r w:rsidRPr="00532644">
        <w:rPr>
          <w:rFonts w:ascii="Times New Roman" w:hAnsi="Times New Roman" w:cs="Times New Roman"/>
          <w:sz w:val="28"/>
          <w:szCs w:val="28"/>
        </w:rPr>
        <w:t xml:space="preserve"> nodokļi ir nozīmīgs valsts budžeta ieņēmumu avots. Darba</w:t>
      </w:r>
      <w:r>
        <w:rPr>
          <w:rFonts w:ascii="Times New Roman" w:hAnsi="Times New Roman" w:cs="Times New Roman"/>
          <w:sz w:val="28"/>
          <w:szCs w:val="28"/>
        </w:rPr>
        <w:t>spēka</w:t>
      </w:r>
      <w:r w:rsidRPr="00532644">
        <w:rPr>
          <w:rFonts w:ascii="Times New Roman" w:hAnsi="Times New Roman" w:cs="Times New Roman"/>
          <w:sz w:val="28"/>
          <w:szCs w:val="28"/>
        </w:rPr>
        <w:t xml:space="preserve"> nodokļi</w:t>
      </w:r>
      <w:r>
        <w:rPr>
          <w:rFonts w:ascii="Times New Roman" w:hAnsi="Times New Roman" w:cs="Times New Roman"/>
          <w:sz w:val="28"/>
          <w:szCs w:val="28"/>
        </w:rPr>
        <w:t>, ieskaitot iemaksas valsts fondēto pensiju shēmā,</w:t>
      </w:r>
      <w:r w:rsidRPr="00532644">
        <w:rPr>
          <w:rFonts w:ascii="Times New Roman" w:hAnsi="Times New Roman" w:cs="Times New Roman"/>
          <w:sz w:val="28"/>
          <w:szCs w:val="28"/>
        </w:rPr>
        <w:t xml:space="preserve"> </w:t>
      </w:r>
      <w:r>
        <w:rPr>
          <w:rFonts w:ascii="Times New Roman" w:hAnsi="Times New Roman" w:cs="Times New Roman"/>
          <w:sz w:val="28"/>
          <w:szCs w:val="28"/>
        </w:rPr>
        <w:t xml:space="preserve">2012.gadā </w:t>
      </w:r>
      <w:r w:rsidRPr="00532644">
        <w:rPr>
          <w:rFonts w:ascii="Times New Roman" w:hAnsi="Times New Roman" w:cs="Times New Roman"/>
          <w:sz w:val="28"/>
          <w:szCs w:val="28"/>
        </w:rPr>
        <w:t>sastād</w:t>
      </w:r>
      <w:r>
        <w:rPr>
          <w:rFonts w:ascii="Times New Roman" w:hAnsi="Times New Roman" w:cs="Times New Roman"/>
          <w:sz w:val="28"/>
          <w:szCs w:val="28"/>
        </w:rPr>
        <w:t>īj</w:t>
      </w:r>
      <w:r w:rsidRPr="00532644">
        <w:rPr>
          <w:rFonts w:ascii="Times New Roman" w:hAnsi="Times New Roman" w:cs="Times New Roman"/>
          <w:sz w:val="28"/>
          <w:szCs w:val="28"/>
        </w:rPr>
        <w:t xml:space="preserve">a aptuveni </w:t>
      </w:r>
      <w:r w:rsidRPr="00417150">
        <w:rPr>
          <w:rFonts w:ascii="Times New Roman" w:hAnsi="Times New Roman" w:cs="Times New Roman"/>
          <w:b/>
          <w:sz w:val="28"/>
          <w:szCs w:val="28"/>
        </w:rPr>
        <w:t>5</w:t>
      </w:r>
      <w:r>
        <w:rPr>
          <w:rFonts w:ascii="Times New Roman" w:hAnsi="Times New Roman" w:cs="Times New Roman"/>
          <w:b/>
          <w:sz w:val="28"/>
          <w:szCs w:val="28"/>
        </w:rPr>
        <w:t>2,0</w:t>
      </w:r>
      <w:r w:rsidRPr="00417150">
        <w:rPr>
          <w:rFonts w:ascii="Times New Roman" w:hAnsi="Times New Roman" w:cs="Times New Roman"/>
          <w:b/>
          <w:sz w:val="28"/>
          <w:szCs w:val="28"/>
        </w:rPr>
        <w:t>%</w:t>
      </w:r>
      <w:r w:rsidRPr="00532644">
        <w:rPr>
          <w:rFonts w:ascii="Times New Roman" w:hAnsi="Times New Roman" w:cs="Times New Roman"/>
          <w:sz w:val="28"/>
          <w:szCs w:val="28"/>
        </w:rPr>
        <w:t xml:space="preserve"> no kopējiem nodokļu ieņēmumiem. </w:t>
      </w:r>
    </w:p>
    <w:p w:rsidR="0085506E" w:rsidRPr="00532644" w:rsidRDefault="0085506E" w:rsidP="0085506E">
      <w:pPr>
        <w:pStyle w:val="ListParagraph"/>
        <w:spacing w:after="120" w:line="240" w:lineRule="auto"/>
        <w:ind w:left="0" w:firstLine="709"/>
        <w:jc w:val="both"/>
        <w:rPr>
          <w:rFonts w:ascii="Times New Roman" w:hAnsi="Times New Roman" w:cs="Times New Roman"/>
          <w:sz w:val="28"/>
          <w:szCs w:val="28"/>
        </w:rPr>
      </w:pPr>
      <w:r w:rsidRPr="00532644">
        <w:rPr>
          <w:rFonts w:ascii="Times New Roman" w:hAnsi="Times New Roman" w:cs="Times New Roman"/>
          <w:sz w:val="28"/>
          <w:szCs w:val="28"/>
        </w:rPr>
        <w:t>201</w:t>
      </w:r>
      <w:r>
        <w:rPr>
          <w:rFonts w:ascii="Times New Roman" w:hAnsi="Times New Roman" w:cs="Times New Roman"/>
          <w:sz w:val="28"/>
          <w:szCs w:val="28"/>
        </w:rPr>
        <w:t>2</w:t>
      </w:r>
      <w:r w:rsidRPr="00532644">
        <w:rPr>
          <w:rFonts w:ascii="Times New Roman" w:hAnsi="Times New Roman" w:cs="Times New Roman"/>
          <w:sz w:val="28"/>
          <w:szCs w:val="28"/>
        </w:rPr>
        <w:t xml:space="preserve">.gadā VSAOI </w:t>
      </w:r>
      <w:r>
        <w:rPr>
          <w:rFonts w:ascii="Times New Roman" w:hAnsi="Times New Roman" w:cs="Times New Roman"/>
          <w:sz w:val="28"/>
          <w:szCs w:val="28"/>
        </w:rPr>
        <w:t xml:space="preserve">(ieskaitot iemaksas valsts fondēto pensiju shēmā) </w:t>
      </w:r>
      <w:r w:rsidRPr="00532644">
        <w:rPr>
          <w:rFonts w:ascii="Times New Roman" w:hAnsi="Times New Roman" w:cs="Times New Roman"/>
          <w:sz w:val="28"/>
          <w:szCs w:val="28"/>
        </w:rPr>
        <w:t>ieņēmumi sasniedza 1 </w:t>
      </w:r>
      <w:r>
        <w:rPr>
          <w:rFonts w:ascii="Times New Roman" w:hAnsi="Times New Roman" w:cs="Times New Roman"/>
          <w:sz w:val="28"/>
          <w:szCs w:val="28"/>
        </w:rPr>
        <w:t>3</w:t>
      </w:r>
      <w:r w:rsidRPr="00532644">
        <w:rPr>
          <w:rFonts w:ascii="Times New Roman" w:hAnsi="Times New Roman" w:cs="Times New Roman"/>
          <w:sz w:val="28"/>
          <w:szCs w:val="28"/>
        </w:rPr>
        <w:t>9</w:t>
      </w:r>
      <w:r>
        <w:rPr>
          <w:rFonts w:ascii="Times New Roman" w:hAnsi="Times New Roman" w:cs="Times New Roman"/>
          <w:sz w:val="28"/>
          <w:szCs w:val="28"/>
        </w:rPr>
        <w:t>9</w:t>
      </w:r>
      <w:r w:rsidRPr="00532644">
        <w:rPr>
          <w:rFonts w:ascii="Times New Roman" w:hAnsi="Times New Roman" w:cs="Times New Roman"/>
          <w:sz w:val="28"/>
          <w:szCs w:val="28"/>
        </w:rPr>
        <w:t>,</w:t>
      </w:r>
      <w:r>
        <w:rPr>
          <w:rFonts w:ascii="Times New Roman" w:hAnsi="Times New Roman" w:cs="Times New Roman"/>
          <w:sz w:val="28"/>
          <w:szCs w:val="28"/>
        </w:rPr>
        <w:t>4 </w:t>
      </w:r>
      <w:r w:rsidRPr="00532644">
        <w:rPr>
          <w:rFonts w:ascii="Times New Roman" w:hAnsi="Times New Roman" w:cs="Times New Roman"/>
          <w:sz w:val="28"/>
          <w:szCs w:val="28"/>
        </w:rPr>
        <w:t>milj. latu jeb 9,</w:t>
      </w:r>
      <w:r w:rsidR="00C548D6">
        <w:rPr>
          <w:rFonts w:ascii="Times New Roman" w:hAnsi="Times New Roman" w:cs="Times New Roman"/>
          <w:sz w:val="28"/>
          <w:szCs w:val="28"/>
        </w:rPr>
        <w:t>0</w:t>
      </w:r>
      <w:r w:rsidRPr="00532644">
        <w:rPr>
          <w:rFonts w:ascii="Times New Roman" w:hAnsi="Times New Roman" w:cs="Times New Roman"/>
          <w:sz w:val="28"/>
          <w:szCs w:val="28"/>
        </w:rPr>
        <w:t xml:space="preserve">% no IKP, bet IIN ieņēmumi – </w:t>
      </w:r>
      <w:r>
        <w:rPr>
          <w:rFonts w:ascii="Times New Roman" w:hAnsi="Times New Roman" w:cs="Times New Roman"/>
          <w:sz w:val="28"/>
          <w:szCs w:val="28"/>
        </w:rPr>
        <w:t>871</w:t>
      </w:r>
      <w:r w:rsidRPr="00532644">
        <w:rPr>
          <w:rFonts w:ascii="Times New Roman" w:hAnsi="Times New Roman" w:cs="Times New Roman"/>
          <w:sz w:val="28"/>
          <w:szCs w:val="28"/>
        </w:rPr>
        <w:t>,</w:t>
      </w:r>
      <w:r>
        <w:rPr>
          <w:rFonts w:ascii="Times New Roman" w:hAnsi="Times New Roman" w:cs="Times New Roman"/>
          <w:sz w:val="28"/>
          <w:szCs w:val="28"/>
        </w:rPr>
        <w:t>6 </w:t>
      </w:r>
      <w:r w:rsidRPr="00532644">
        <w:rPr>
          <w:rFonts w:ascii="Times New Roman" w:hAnsi="Times New Roman" w:cs="Times New Roman"/>
          <w:sz w:val="28"/>
          <w:szCs w:val="28"/>
        </w:rPr>
        <w:t xml:space="preserve">milj. latu jeb </w:t>
      </w:r>
      <w:r w:rsidR="00C548D6">
        <w:rPr>
          <w:rFonts w:ascii="Times New Roman" w:hAnsi="Times New Roman" w:cs="Times New Roman"/>
          <w:sz w:val="28"/>
          <w:szCs w:val="28"/>
        </w:rPr>
        <w:t>5,</w:t>
      </w:r>
      <w:r>
        <w:rPr>
          <w:rFonts w:ascii="Times New Roman" w:hAnsi="Times New Roman" w:cs="Times New Roman"/>
          <w:sz w:val="28"/>
          <w:szCs w:val="28"/>
        </w:rPr>
        <w:t>6</w:t>
      </w:r>
      <w:r w:rsidRPr="00532644">
        <w:rPr>
          <w:rFonts w:ascii="Times New Roman" w:hAnsi="Times New Roman" w:cs="Times New Roman"/>
          <w:sz w:val="28"/>
          <w:szCs w:val="28"/>
        </w:rPr>
        <w:t xml:space="preserve">% no IKP. </w:t>
      </w:r>
    </w:p>
    <w:p w:rsidR="0085506E" w:rsidRDefault="0085506E" w:rsidP="0085506E">
      <w:pPr>
        <w:pStyle w:val="ListParagraph"/>
        <w:spacing w:after="120" w:line="240" w:lineRule="auto"/>
        <w:ind w:left="0" w:firstLine="709"/>
        <w:jc w:val="both"/>
        <w:rPr>
          <w:rFonts w:ascii="Times New Roman" w:hAnsi="Times New Roman" w:cs="Times New Roman"/>
          <w:sz w:val="24"/>
        </w:rPr>
      </w:pPr>
    </w:p>
    <w:p w:rsidR="0085506E" w:rsidRPr="00C46A09" w:rsidRDefault="0085506E" w:rsidP="0085506E">
      <w:pPr>
        <w:pStyle w:val="ListParagraph"/>
        <w:spacing w:after="120" w:line="240" w:lineRule="auto"/>
        <w:ind w:left="0"/>
        <w:jc w:val="both"/>
        <w:rPr>
          <w:rFonts w:ascii="Times New Roman" w:hAnsi="Times New Roman" w:cs="Times New Roman"/>
          <w:b/>
          <w:sz w:val="8"/>
          <w:szCs w:val="8"/>
        </w:rPr>
      </w:pPr>
      <w:r>
        <w:rPr>
          <w:noProof/>
          <w:lang w:eastAsia="lv-LV"/>
        </w:rPr>
        <w:drawing>
          <wp:inline distT="0" distB="0" distL="0" distR="0" wp14:anchorId="20D2B098" wp14:editId="4DCD69DF">
            <wp:extent cx="2734574" cy="2510287"/>
            <wp:effectExtent l="0" t="0" r="8890" b="44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C548D6">
        <w:rPr>
          <w:noProof/>
          <w:lang w:eastAsia="lv-LV"/>
        </w:rPr>
        <w:drawing>
          <wp:inline distT="0" distB="0" distL="0" distR="0" wp14:anchorId="5C6361C2" wp14:editId="6BAA2FD5">
            <wp:extent cx="2734574" cy="2493034"/>
            <wp:effectExtent l="0" t="0" r="889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506E" w:rsidRPr="00532644" w:rsidRDefault="00D434CC" w:rsidP="0085506E">
      <w:pPr>
        <w:tabs>
          <w:tab w:val="left" w:pos="709"/>
        </w:tabs>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85506E" w:rsidRPr="00532644">
        <w:rPr>
          <w:rFonts w:ascii="Times New Roman" w:hAnsi="Times New Roman" w:cs="Times New Roman"/>
          <w:b/>
          <w:sz w:val="24"/>
          <w:szCs w:val="24"/>
        </w:rPr>
        <w:t>.att. Darba</w:t>
      </w:r>
      <w:r w:rsidR="0085506E">
        <w:rPr>
          <w:rFonts w:ascii="Times New Roman" w:hAnsi="Times New Roman" w:cs="Times New Roman"/>
          <w:b/>
          <w:sz w:val="24"/>
          <w:szCs w:val="24"/>
        </w:rPr>
        <w:t>spēka</w:t>
      </w:r>
      <w:r w:rsidR="0085506E" w:rsidRPr="00532644">
        <w:rPr>
          <w:rFonts w:ascii="Times New Roman" w:hAnsi="Times New Roman" w:cs="Times New Roman"/>
          <w:b/>
          <w:sz w:val="24"/>
          <w:szCs w:val="24"/>
        </w:rPr>
        <w:t xml:space="preserve"> nodokļu ieņēmumi Latvijā</w:t>
      </w:r>
    </w:p>
    <w:p w:rsidR="0085506E" w:rsidRPr="00532644" w:rsidRDefault="0085506E" w:rsidP="0085506E">
      <w:pPr>
        <w:pStyle w:val="ListParagraph"/>
        <w:tabs>
          <w:tab w:val="left" w:pos="709"/>
        </w:tabs>
        <w:spacing w:after="0" w:line="240" w:lineRule="auto"/>
        <w:ind w:left="709" w:hanging="709"/>
        <w:jc w:val="both"/>
        <w:rPr>
          <w:rFonts w:ascii="Times New Roman" w:hAnsi="Times New Roman" w:cs="Times New Roman"/>
          <w:b/>
          <w:sz w:val="24"/>
          <w:szCs w:val="24"/>
        </w:rPr>
      </w:pPr>
      <w:r w:rsidRPr="00532644">
        <w:rPr>
          <w:rFonts w:ascii="Times New Roman" w:hAnsi="Times New Roman" w:cs="Times New Roman"/>
          <w:b/>
          <w:i/>
          <w:sz w:val="24"/>
          <w:szCs w:val="24"/>
        </w:rPr>
        <w:t>Avots:</w:t>
      </w:r>
      <w:r w:rsidRPr="00532644">
        <w:rPr>
          <w:rFonts w:ascii="Times New Roman" w:hAnsi="Times New Roman" w:cs="Times New Roman"/>
          <w:sz w:val="24"/>
          <w:szCs w:val="24"/>
        </w:rPr>
        <w:t xml:space="preserve"> </w:t>
      </w:r>
      <w:r>
        <w:rPr>
          <w:rFonts w:ascii="Times New Roman" w:hAnsi="Times New Roman" w:cs="Times New Roman"/>
          <w:sz w:val="24"/>
          <w:szCs w:val="24"/>
        </w:rPr>
        <w:t>FM</w:t>
      </w:r>
    </w:p>
    <w:p w:rsidR="0085506E" w:rsidRDefault="0085506E" w:rsidP="0085506E">
      <w:pPr>
        <w:pStyle w:val="ListParagraph"/>
        <w:ind w:left="0" w:firstLine="709"/>
        <w:jc w:val="both"/>
        <w:rPr>
          <w:rFonts w:ascii="Times New Roman" w:hAnsi="Times New Roman" w:cs="Times New Roman"/>
          <w:sz w:val="24"/>
          <w:szCs w:val="24"/>
        </w:rPr>
      </w:pPr>
    </w:p>
    <w:p w:rsidR="0085506E" w:rsidRPr="00532644" w:rsidRDefault="0085506E" w:rsidP="0085506E">
      <w:pPr>
        <w:pStyle w:val="ListParagraph"/>
        <w:spacing w:line="240" w:lineRule="auto"/>
        <w:ind w:left="0" w:firstLine="709"/>
        <w:jc w:val="both"/>
        <w:rPr>
          <w:rFonts w:ascii="Times New Roman" w:hAnsi="Times New Roman" w:cs="Times New Roman"/>
          <w:sz w:val="28"/>
          <w:szCs w:val="28"/>
        </w:rPr>
      </w:pPr>
      <w:r w:rsidRPr="00532644">
        <w:rPr>
          <w:rFonts w:ascii="Times New Roman" w:hAnsi="Times New Roman" w:cs="Times New Roman"/>
          <w:sz w:val="28"/>
          <w:szCs w:val="28"/>
        </w:rPr>
        <w:lastRenderedPageBreak/>
        <w:t>Salīdzinot ar pārējā</w:t>
      </w:r>
      <w:r>
        <w:rPr>
          <w:rFonts w:ascii="Times New Roman" w:hAnsi="Times New Roman" w:cs="Times New Roman"/>
          <w:sz w:val="28"/>
          <w:szCs w:val="28"/>
        </w:rPr>
        <w:t>m Baltijas valstīm, Latvijā 2012</w:t>
      </w:r>
      <w:r w:rsidRPr="00532644">
        <w:rPr>
          <w:rFonts w:ascii="Times New Roman" w:hAnsi="Times New Roman" w:cs="Times New Roman"/>
          <w:sz w:val="28"/>
          <w:szCs w:val="28"/>
        </w:rPr>
        <w:t>.gadā darba</w:t>
      </w:r>
      <w:r>
        <w:rPr>
          <w:rFonts w:ascii="Times New Roman" w:hAnsi="Times New Roman" w:cs="Times New Roman"/>
          <w:sz w:val="28"/>
          <w:szCs w:val="28"/>
        </w:rPr>
        <w:t>spēka</w:t>
      </w:r>
      <w:r w:rsidRPr="00532644">
        <w:rPr>
          <w:rFonts w:ascii="Times New Roman" w:hAnsi="Times New Roman" w:cs="Times New Roman"/>
          <w:sz w:val="28"/>
          <w:szCs w:val="28"/>
        </w:rPr>
        <w:t xml:space="preserve"> nodokļu ieņēmumi veidoja 1</w:t>
      </w:r>
      <w:r>
        <w:rPr>
          <w:rFonts w:ascii="Times New Roman" w:hAnsi="Times New Roman" w:cs="Times New Roman"/>
          <w:sz w:val="28"/>
          <w:szCs w:val="28"/>
        </w:rPr>
        <w:t>4</w:t>
      </w:r>
      <w:r w:rsidRPr="00532644">
        <w:rPr>
          <w:rFonts w:ascii="Times New Roman" w:hAnsi="Times New Roman" w:cs="Times New Roman"/>
          <w:sz w:val="28"/>
          <w:szCs w:val="28"/>
        </w:rPr>
        <w:t>,</w:t>
      </w:r>
      <w:r>
        <w:rPr>
          <w:rFonts w:ascii="Times New Roman" w:hAnsi="Times New Roman" w:cs="Times New Roman"/>
          <w:sz w:val="28"/>
          <w:szCs w:val="28"/>
        </w:rPr>
        <w:t>6</w:t>
      </w:r>
      <w:r w:rsidRPr="00532644">
        <w:rPr>
          <w:rFonts w:ascii="Times New Roman" w:hAnsi="Times New Roman" w:cs="Times New Roman"/>
          <w:sz w:val="28"/>
          <w:szCs w:val="28"/>
        </w:rPr>
        <w:t>% no IKP (IIN ieņēmumi – 5,</w:t>
      </w:r>
      <w:r>
        <w:rPr>
          <w:rFonts w:ascii="Times New Roman" w:hAnsi="Times New Roman" w:cs="Times New Roman"/>
          <w:sz w:val="28"/>
          <w:szCs w:val="28"/>
        </w:rPr>
        <w:t>6</w:t>
      </w:r>
      <w:r w:rsidRPr="00532644">
        <w:rPr>
          <w:rFonts w:ascii="Times New Roman" w:hAnsi="Times New Roman" w:cs="Times New Roman"/>
          <w:sz w:val="28"/>
          <w:szCs w:val="28"/>
        </w:rPr>
        <w:t>% un VSAOI ieņēmumi – 9,</w:t>
      </w:r>
      <w:r>
        <w:rPr>
          <w:rFonts w:ascii="Times New Roman" w:hAnsi="Times New Roman" w:cs="Times New Roman"/>
          <w:sz w:val="28"/>
          <w:szCs w:val="28"/>
        </w:rPr>
        <w:t>0</w:t>
      </w:r>
      <w:r w:rsidRPr="00532644">
        <w:rPr>
          <w:rFonts w:ascii="Times New Roman" w:hAnsi="Times New Roman" w:cs="Times New Roman"/>
          <w:sz w:val="28"/>
          <w:szCs w:val="28"/>
        </w:rPr>
        <w:t>%), Lietuvā šis rādītājs bija – 13,</w:t>
      </w:r>
      <w:r>
        <w:rPr>
          <w:rFonts w:ascii="Times New Roman" w:hAnsi="Times New Roman" w:cs="Times New Roman"/>
          <w:sz w:val="28"/>
          <w:szCs w:val="28"/>
        </w:rPr>
        <w:t>8</w:t>
      </w:r>
      <w:r w:rsidRPr="00532644">
        <w:rPr>
          <w:rFonts w:ascii="Times New Roman" w:hAnsi="Times New Roman" w:cs="Times New Roman"/>
          <w:sz w:val="28"/>
          <w:szCs w:val="28"/>
        </w:rPr>
        <w:t xml:space="preserve">% no IKP (IIN – 3,6% un VSAOI – </w:t>
      </w:r>
      <w:r>
        <w:rPr>
          <w:rFonts w:ascii="Times New Roman" w:hAnsi="Times New Roman" w:cs="Times New Roman"/>
          <w:sz w:val="28"/>
          <w:szCs w:val="28"/>
        </w:rPr>
        <w:t>10</w:t>
      </w:r>
      <w:r w:rsidRPr="00532644">
        <w:rPr>
          <w:rFonts w:ascii="Times New Roman" w:hAnsi="Times New Roman" w:cs="Times New Roman"/>
          <w:sz w:val="28"/>
          <w:szCs w:val="28"/>
        </w:rPr>
        <w:t>,</w:t>
      </w:r>
      <w:r>
        <w:rPr>
          <w:rFonts w:ascii="Times New Roman" w:hAnsi="Times New Roman" w:cs="Times New Roman"/>
          <w:sz w:val="28"/>
          <w:szCs w:val="28"/>
        </w:rPr>
        <w:t>2</w:t>
      </w:r>
      <w:r w:rsidRPr="00532644">
        <w:rPr>
          <w:rFonts w:ascii="Times New Roman" w:hAnsi="Times New Roman" w:cs="Times New Roman"/>
          <w:sz w:val="28"/>
          <w:szCs w:val="28"/>
        </w:rPr>
        <w:t>%), bet Igaunijā – 16,8% no IKP (IIN – 5,</w:t>
      </w:r>
      <w:r>
        <w:rPr>
          <w:rFonts w:ascii="Times New Roman" w:hAnsi="Times New Roman" w:cs="Times New Roman"/>
          <w:sz w:val="28"/>
          <w:szCs w:val="28"/>
        </w:rPr>
        <w:t>5</w:t>
      </w:r>
      <w:r w:rsidRPr="00532644">
        <w:rPr>
          <w:rFonts w:ascii="Times New Roman" w:hAnsi="Times New Roman" w:cs="Times New Roman"/>
          <w:sz w:val="28"/>
          <w:szCs w:val="28"/>
        </w:rPr>
        <w:t>% un VSAOI – 11,</w:t>
      </w:r>
      <w:r>
        <w:rPr>
          <w:rFonts w:ascii="Times New Roman" w:hAnsi="Times New Roman" w:cs="Times New Roman"/>
          <w:sz w:val="28"/>
          <w:szCs w:val="28"/>
        </w:rPr>
        <w:t>4</w:t>
      </w:r>
      <w:r w:rsidRPr="00532644">
        <w:rPr>
          <w:rFonts w:ascii="Times New Roman" w:hAnsi="Times New Roman" w:cs="Times New Roman"/>
          <w:sz w:val="28"/>
          <w:szCs w:val="28"/>
        </w:rPr>
        <w:t xml:space="preserve">%). </w:t>
      </w:r>
    </w:p>
    <w:p w:rsidR="0085506E" w:rsidRDefault="0085506E" w:rsidP="0085506E">
      <w:pPr>
        <w:spacing w:after="120" w:line="240" w:lineRule="auto"/>
        <w:jc w:val="both"/>
        <w:rPr>
          <w:rFonts w:ascii="Times New Roman" w:hAnsi="Times New Roman" w:cs="Times New Roman"/>
          <w:b/>
          <w:sz w:val="24"/>
          <w:szCs w:val="24"/>
        </w:rPr>
      </w:pPr>
      <w:r>
        <w:rPr>
          <w:noProof/>
          <w:lang w:eastAsia="lv-LV"/>
        </w:rPr>
        <w:drawing>
          <wp:inline distT="0" distB="0" distL="0" distR="0" wp14:anchorId="4C9A5B42" wp14:editId="58ABBE21">
            <wp:extent cx="4735902" cy="2587925"/>
            <wp:effectExtent l="0" t="0" r="762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506E" w:rsidRPr="00532644" w:rsidRDefault="00D434CC" w:rsidP="0085506E">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85506E" w:rsidRPr="00532644">
        <w:rPr>
          <w:rFonts w:ascii="Times New Roman" w:hAnsi="Times New Roman" w:cs="Times New Roman"/>
          <w:b/>
          <w:sz w:val="24"/>
          <w:szCs w:val="24"/>
        </w:rPr>
        <w:t xml:space="preserve">.att. </w:t>
      </w:r>
      <w:r w:rsidR="0085506E" w:rsidRPr="00532644">
        <w:rPr>
          <w:rFonts w:ascii="Times New Roman" w:hAnsi="Times New Roman" w:cs="Times New Roman"/>
          <w:b/>
          <w:sz w:val="24"/>
          <w:szCs w:val="24"/>
        </w:rPr>
        <w:tab/>
        <w:t>Darba</w:t>
      </w:r>
      <w:r w:rsidR="0085506E">
        <w:rPr>
          <w:rFonts w:ascii="Times New Roman" w:hAnsi="Times New Roman" w:cs="Times New Roman"/>
          <w:b/>
          <w:sz w:val="24"/>
          <w:szCs w:val="24"/>
        </w:rPr>
        <w:t>spēka</w:t>
      </w:r>
      <w:r w:rsidR="0085506E" w:rsidRPr="00532644">
        <w:rPr>
          <w:rFonts w:ascii="Times New Roman" w:hAnsi="Times New Roman" w:cs="Times New Roman"/>
          <w:b/>
          <w:sz w:val="24"/>
          <w:szCs w:val="24"/>
        </w:rPr>
        <w:t xml:space="preserve"> nodokļu ieņēmumi 201</w:t>
      </w:r>
      <w:r w:rsidR="0085506E">
        <w:rPr>
          <w:rFonts w:ascii="Times New Roman" w:hAnsi="Times New Roman" w:cs="Times New Roman"/>
          <w:b/>
          <w:sz w:val="24"/>
          <w:szCs w:val="24"/>
        </w:rPr>
        <w:t>2</w:t>
      </w:r>
      <w:r w:rsidR="0085506E" w:rsidRPr="00532644">
        <w:rPr>
          <w:rFonts w:ascii="Times New Roman" w:hAnsi="Times New Roman" w:cs="Times New Roman"/>
          <w:b/>
          <w:sz w:val="24"/>
          <w:szCs w:val="24"/>
        </w:rPr>
        <w:t xml:space="preserve">.gadā Baltijas valstīs, </w:t>
      </w:r>
      <w:r w:rsidR="0085506E" w:rsidRPr="00521D04">
        <w:rPr>
          <w:rFonts w:ascii="Times New Roman" w:hAnsi="Times New Roman" w:cs="Times New Roman"/>
          <w:i/>
          <w:sz w:val="24"/>
          <w:szCs w:val="24"/>
        </w:rPr>
        <w:t>% no IKP</w:t>
      </w:r>
      <w:r w:rsidR="0085506E" w:rsidRPr="00532644">
        <w:rPr>
          <w:rFonts w:ascii="Times New Roman" w:hAnsi="Times New Roman" w:cs="Times New Roman"/>
          <w:b/>
          <w:sz w:val="24"/>
          <w:szCs w:val="24"/>
        </w:rPr>
        <w:t xml:space="preserve"> </w:t>
      </w:r>
    </w:p>
    <w:p w:rsidR="0085506E" w:rsidRPr="00532644" w:rsidRDefault="0085506E" w:rsidP="0085506E">
      <w:pPr>
        <w:pStyle w:val="ListParagraph"/>
        <w:tabs>
          <w:tab w:val="left" w:pos="709"/>
        </w:tabs>
        <w:spacing w:after="0" w:line="240" w:lineRule="auto"/>
        <w:ind w:left="709" w:hanging="709"/>
        <w:jc w:val="both"/>
        <w:rPr>
          <w:rFonts w:ascii="Times New Roman" w:hAnsi="Times New Roman" w:cs="Times New Roman"/>
          <w:b/>
          <w:sz w:val="24"/>
          <w:szCs w:val="24"/>
        </w:rPr>
      </w:pPr>
      <w:r w:rsidRPr="00532644">
        <w:rPr>
          <w:rFonts w:ascii="Times New Roman" w:hAnsi="Times New Roman" w:cs="Times New Roman"/>
          <w:b/>
          <w:i/>
          <w:sz w:val="24"/>
          <w:szCs w:val="24"/>
        </w:rPr>
        <w:t>Avots:</w:t>
      </w:r>
      <w:r w:rsidRPr="00532644">
        <w:rPr>
          <w:rFonts w:ascii="Times New Roman" w:hAnsi="Times New Roman" w:cs="Times New Roman"/>
          <w:sz w:val="24"/>
          <w:szCs w:val="24"/>
        </w:rPr>
        <w:t xml:space="preserve"> Latvijas, Lietuvas un Igaunijas statistikas pārvaldes un Finanšu ministrijas</w:t>
      </w:r>
      <w:r>
        <w:rPr>
          <w:rFonts w:ascii="Times New Roman" w:hAnsi="Times New Roman" w:cs="Times New Roman"/>
          <w:sz w:val="24"/>
          <w:szCs w:val="24"/>
        </w:rPr>
        <w:t xml:space="preserve"> dati</w:t>
      </w:r>
      <w:r w:rsidRPr="00532644">
        <w:rPr>
          <w:rFonts w:ascii="Times New Roman" w:hAnsi="Times New Roman" w:cs="Times New Roman"/>
          <w:sz w:val="24"/>
          <w:szCs w:val="24"/>
        </w:rPr>
        <w:t xml:space="preserve"> </w:t>
      </w:r>
    </w:p>
    <w:p w:rsidR="0085506E" w:rsidRDefault="0085506E" w:rsidP="0085506E">
      <w:pPr>
        <w:pStyle w:val="ListParagraph"/>
        <w:spacing w:after="120" w:line="240" w:lineRule="auto"/>
        <w:ind w:left="0"/>
        <w:jc w:val="both"/>
        <w:rPr>
          <w:rFonts w:ascii="Times New Roman" w:hAnsi="Times New Roman" w:cs="Times New Roman"/>
          <w:sz w:val="24"/>
          <w:szCs w:val="24"/>
        </w:rPr>
      </w:pPr>
    </w:p>
    <w:p w:rsidR="0085506E" w:rsidRDefault="0085506E" w:rsidP="0085506E">
      <w:pPr>
        <w:pStyle w:val="ListParagraph"/>
        <w:spacing w:after="120" w:line="240" w:lineRule="auto"/>
        <w:ind w:left="0" w:firstLine="709"/>
        <w:jc w:val="both"/>
        <w:rPr>
          <w:rFonts w:ascii="Times New Roman" w:hAnsi="Times New Roman" w:cs="Times New Roman"/>
          <w:sz w:val="28"/>
          <w:szCs w:val="28"/>
        </w:rPr>
      </w:pPr>
      <w:r w:rsidRPr="00532644">
        <w:rPr>
          <w:rFonts w:ascii="Times New Roman" w:hAnsi="Times New Roman" w:cs="Times New Roman"/>
          <w:sz w:val="28"/>
          <w:szCs w:val="28"/>
        </w:rPr>
        <w:t>Lai gan, Latvijā starp pārējām Baltijas valstīm nav augstākais darba</w:t>
      </w:r>
      <w:r>
        <w:rPr>
          <w:rFonts w:ascii="Times New Roman" w:hAnsi="Times New Roman" w:cs="Times New Roman"/>
          <w:sz w:val="28"/>
          <w:szCs w:val="28"/>
        </w:rPr>
        <w:t>spēka</w:t>
      </w:r>
      <w:r w:rsidRPr="00532644">
        <w:rPr>
          <w:rFonts w:ascii="Times New Roman" w:hAnsi="Times New Roman" w:cs="Times New Roman"/>
          <w:sz w:val="28"/>
          <w:szCs w:val="28"/>
        </w:rPr>
        <w:t xml:space="preserve"> nodokļu slogs, tomēr uzskatāmi redzams, ka atšķiras darba</w:t>
      </w:r>
      <w:r>
        <w:rPr>
          <w:rFonts w:ascii="Times New Roman" w:hAnsi="Times New Roman" w:cs="Times New Roman"/>
          <w:sz w:val="28"/>
          <w:szCs w:val="28"/>
        </w:rPr>
        <w:t>spēka</w:t>
      </w:r>
      <w:r w:rsidRPr="00532644">
        <w:rPr>
          <w:rFonts w:ascii="Times New Roman" w:hAnsi="Times New Roman" w:cs="Times New Roman"/>
          <w:sz w:val="28"/>
          <w:szCs w:val="28"/>
        </w:rPr>
        <w:t xml:space="preserve"> nodokļu sadalījums, proti, Latvijā ir augstākais IIN slogs, bet zemākais VSAOI slogs.  </w:t>
      </w:r>
    </w:p>
    <w:p w:rsidR="0085506E" w:rsidRPr="00626CE3" w:rsidRDefault="00A072E2" w:rsidP="008550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85506E" w:rsidRPr="00626CE3">
        <w:rPr>
          <w:rFonts w:ascii="Times New Roman" w:hAnsi="Times New Roman" w:cs="Times New Roman"/>
          <w:sz w:val="28"/>
          <w:szCs w:val="28"/>
        </w:rPr>
        <w:t>arba</w:t>
      </w:r>
      <w:r w:rsidR="0085506E">
        <w:rPr>
          <w:rFonts w:ascii="Times New Roman" w:hAnsi="Times New Roman" w:cs="Times New Roman"/>
          <w:sz w:val="28"/>
          <w:szCs w:val="28"/>
        </w:rPr>
        <w:t>spēka</w:t>
      </w:r>
      <w:r w:rsidR="0085506E" w:rsidRPr="00626CE3">
        <w:rPr>
          <w:rFonts w:ascii="Times New Roman" w:hAnsi="Times New Roman" w:cs="Times New Roman"/>
          <w:sz w:val="28"/>
          <w:szCs w:val="28"/>
        </w:rPr>
        <w:t xml:space="preserve"> nodokļu netiešā likme Latvijā 2010.gadā bija 32,5</w:t>
      </w:r>
      <w:r w:rsidR="0085506E">
        <w:rPr>
          <w:rFonts w:ascii="Times New Roman" w:hAnsi="Times New Roman" w:cs="Times New Roman"/>
          <w:sz w:val="28"/>
          <w:szCs w:val="28"/>
        </w:rPr>
        <w:t>%</w:t>
      </w:r>
      <w:r>
        <w:rPr>
          <w:rFonts w:ascii="Times New Roman" w:hAnsi="Times New Roman" w:cs="Times New Roman"/>
          <w:sz w:val="28"/>
          <w:szCs w:val="28"/>
        </w:rPr>
        <w:t xml:space="preserve">, kas </w:t>
      </w:r>
      <w:r w:rsidR="0085506E" w:rsidRPr="00626CE3">
        <w:rPr>
          <w:rFonts w:ascii="Times New Roman" w:hAnsi="Times New Roman" w:cs="Times New Roman"/>
          <w:sz w:val="28"/>
          <w:szCs w:val="28"/>
        </w:rPr>
        <w:t xml:space="preserve"> ir aptuveni pārējo Baltijas valstu līmenī</w:t>
      </w:r>
      <w:r>
        <w:rPr>
          <w:rFonts w:ascii="Times New Roman" w:hAnsi="Times New Roman" w:cs="Times New Roman"/>
          <w:sz w:val="28"/>
          <w:szCs w:val="28"/>
        </w:rPr>
        <w:t xml:space="preserve">, </w:t>
      </w:r>
      <w:r w:rsidR="0085506E" w:rsidRPr="00626CE3">
        <w:rPr>
          <w:rFonts w:ascii="Times New Roman" w:hAnsi="Times New Roman" w:cs="Times New Roman"/>
          <w:sz w:val="28"/>
          <w:szCs w:val="28"/>
        </w:rPr>
        <w:t>zemāk</w:t>
      </w:r>
      <w:r>
        <w:rPr>
          <w:rFonts w:ascii="Times New Roman" w:hAnsi="Times New Roman" w:cs="Times New Roman"/>
          <w:sz w:val="28"/>
          <w:szCs w:val="28"/>
        </w:rPr>
        <w:t>a</w:t>
      </w:r>
      <w:r w:rsidR="0085506E" w:rsidRPr="00626CE3">
        <w:rPr>
          <w:rFonts w:ascii="Times New Roman" w:hAnsi="Times New Roman" w:cs="Times New Roman"/>
          <w:sz w:val="28"/>
          <w:szCs w:val="28"/>
        </w:rPr>
        <w:t xml:space="preserve"> kā vidēji </w:t>
      </w:r>
      <w:proofErr w:type="spellStart"/>
      <w:r w:rsidR="0085506E">
        <w:rPr>
          <w:rFonts w:ascii="Times New Roman" w:hAnsi="Times New Roman" w:cs="Times New Roman"/>
          <w:sz w:val="28"/>
          <w:szCs w:val="28"/>
        </w:rPr>
        <w:t>e</w:t>
      </w:r>
      <w:r w:rsidR="0085506E" w:rsidRPr="00626CE3">
        <w:rPr>
          <w:rFonts w:ascii="Times New Roman" w:hAnsi="Times New Roman" w:cs="Times New Roman"/>
          <w:sz w:val="28"/>
          <w:szCs w:val="28"/>
        </w:rPr>
        <w:t>irozonā</w:t>
      </w:r>
      <w:proofErr w:type="spellEnd"/>
      <w:r w:rsidR="0085506E" w:rsidRPr="00626CE3">
        <w:rPr>
          <w:rFonts w:ascii="Times New Roman" w:hAnsi="Times New Roman" w:cs="Times New Roman"/>
          <w:sz w:val="28"/>
          <w:szCs w:val="28"/>
        </w:rPr>
        <w:t>, bet augstāk</w:t>
      </w:r>
      <w:r>
        <w:rPr>
          <w:rFonts w:ascii="Times New Roman" w:hAnsi="Times New Roman" w:cs="Times New Roman"/>
          <w:sz w:val="28"/>
          <w:szCs w:val="28"/>
        </w:rPr>
        <w:t>a</w:t>
      </w:r>
      <w:r w:rsidR="0085506E" w:rsidRPr="00626CE3">
        <w:rPr>
          <w:rFonts w:ascii="Times New Roman" w:hAnsi="Times New Roman" w:cs="Times New Roman"/>
          <w:sz w:val="28"/>
          <w:szCs w:val="28"/>
        </w:rPr>
        <w:t xml:space="preserve"> nekā, piemēram, Lielbritānijā.  </w:t>
      </w:r>
    </w:p>
    <w:p w:rsidR="0085506E" w:rsidRPr="00995D03" w:rsidRDefault="0085506E" w:rsidP="0085506E">
      <w:pPr>
        <w:pStyle w:val="ListParagraph"/>
        <w:spacing w:after="0" w:line="240" w:lineRule="auto"/>
        <w:ind w:left="0" w:firstLine="709"/>
        <w:jc w:val="both"/>
        <w:rPr>
          <w:rFonts w:ascii="Times New Roman" w:hAnsi="Times New Roman" w:cs="Times New Roman"/>
          <w:sz w:val="20"/>
          <w:szCs w:val="20"/>
        </w:rPr>
      </w:pPr>
    </w:p>
    <w:p w:rsidR="0085506E" w:rsidRPr="003835EA" w:rsidRDefault="0085506E" w:rsidP="0085506E">
      <w:pPr>
        <w:pStyle w:val="ListParagraph"/>
        <w:ind w:left="0"/>
        <w:jc w:val="both"/>
        <w:rPr>
          <w:rFonts w:ascii="Times New Roman" w:hAnsi="Times New Roman" w:cs="Times New Roman"/>
          <w:b/>
          <w:sz w:val="8"/>
          <w:szCs w:val="8"/>
        </w:rPr>
      </w:pPr>
      <w:r>
        <w:rPr>
          <w:noProof/>
          <w:lang w:eastAsia="lv-LV"/>
        </w:rPr>
        <w:drawing>
          <wp:inline distT="0" distB="0" distL="0" distR="0" wp14:anchorId="4FA9D8F2" wp14:editId="41F49767">
            <wp:extent cx="4865298" cy="2337759"/>
            <wp:effectExtent l="0" t="0" r="0" b="57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506E" w:rsidRPr="00090D30" w:rsidRDefault="00D434CC" w:rsidP="0085506E">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85506E" w:rsidRPr="00090D30">
        <w:rPr>
          <w:rFonts w:ascii="Times New Roman" w:hAnsi="Times New Roman" w:cs="Times New Roman"/>
          <w:b/>
          <w:sz w:val="24"/>
          <w:szCs w:val="24"/>
        </w:rPr>
        <w:t xml:space="preserve">.att. </w:t>
      </w:r>
      <w:r w:rsidR="0085506E">
        <w:rPr>
          <w:rFonts w:ascii="Times New Roman" w:hAnsi="Times New Roman" w:cs="Times New Roman"/>
          <w:b/>
          <w:sz w:val="24"/>
          <w:szCs w:val="24"/>
        </w:rPr>
        <w:t>D</w:t>
      </w:r>
      <w:r w:rsidR="0085506E" w:rsidRPr="00090D30">
        <w:rPr>
          <w:rFonts w:ascii="Times New Roman" w:hAnsi="Times New Roman" w:cs="Times New Roman"/>
          <w:b/>
          <w:sz w:val="24"/>
          <w:szCs w:val="24"/>
        </w:rPr>
        <w:t xml:space="preserve">arbaspēka nodokļu </w:t>
      </w:r>
      <w:r w:rsidR="0085506E">
        <w:rPr>
          <w:rFonts w:ascii="Times New Roman" w:hAnsi="Times New Roman" w:cs="Times New Roman"/>
          <w:b/>
          <w:sz w:val="24"/>
          <w:szCs w:val="24"/>
        </w:rPr>
        <w:t>n</w:t>
      </w:r>
      <w:r w:rsidR="0085506E" w:rsidRPr="00090D30">
        <w:rPr>
          <w:rFonts w:ascii="Times New Roman" w:hAnsi="Times New Roman" w:cs="Times New Roman"/>
          <w:b/>
          <w:sz w:val="24"/>
          <w:szCs w:val="24"/>
        </w:rPr>
        <w:t>etiešā likme</w:t>
      </w:r>
    </w:p>
    <w:p w:rsidR="0085506E" w:rsidRDefault="0085506E" w:rsidP="0085506E">
      <w:pPr>
        <w:pStyle w:val="ListParagraph"/>
        <w:spacing w:after="120" w:line="240" w:lineRule="auto"/>
        <w:ind w:left="0"/>
        <w:jc w:val="both"/>
        <w:rPr>
          <w:rFonts w:ascii="Times New Roman" w:hAnsi="Times New Roman" w:cs="Times New Roman"/>
          <w:sz w:val="24"/>
          <w:szCs w:val="24"/>
        </w:rPr>
      </w:pPr>
      <w:r w:rsidRPr="00626CE3">
        <w:rPr>
          <w:rFonts w:ascii="Times New Roman" w:hAnsi="Times New Roman" w:cs="Times New Roman"/>
          <w:b/>
          <w:i/>
          <w:sz w:val="24"/>
          <w:szCs w:val="24"/>
        </w:rPr>
        <w:t xml:space="preserve">Avots: </w:t>
      </w:r>
      <w:proofErr w:type="spellStart"/>
      <w:r>
        <w:rPr>
          <w:rFonts w:ascii="Times New Roman" w:hAnsi="Times New Roman" w:cs="Times New Roman"/>
          <w:sz w:val="24"/>
          <w:szCs w:val="24"/>
        </w:rPr>
        <w:t>Eurostat</w:t>
      </w:r>
      <w:proofErr w:type="spellEnd"/>
    </w:p>
    <w:p w:rsidR="00D434CC" w:rsidRPr="00EF530A" w:rsidRDefault="00D434CC" w:rsidP="00EF530A">
      <w:pPr>
        <w:pStyle w:val="ListParagraph"/>
        <w:spacing w:after="0" w:line="240" w:lineRule="auto"/>
        <w:ind w:left="0" w:firstLine="709"/>
        <w:jc w:val="both"/>
        <w:rPr>
          <w:rFonts w:ascii="Times New Roman" w:hAnsi="Times New Roman" w:cs="Times New Roman"/>
          <w:sz w:val="20"/>
          <w:szCs w:val="20"/>
        </w:rPr>
      </w:pPr>
      <w:bookmarkStart w:id="3" w:name="_Toc329179657"/>
      <w:bookmarkEnd w:id="3"/>
    </w:p>
    <w:p w:rsidR="0085506E" w:rsidRPr="00626CE3" w:rsidRDefault="00A072E2" w:rsidP="0085506E">
      <w:pPr>
        <w:pStyle w:val="ListParagraph"/>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Savukārt </w:t>
      </w:r>
      <w:r w:rsidRPr="00626CE3">
        <w:rPr>
          <w:rFonts w:ascii="Times New Roman" w:hAnsi="Times New Roman" w:cs="Times New Roman"/>
          <w:sz w:val="28"/>
          <w:szCs w:val="28"/>
        </w:rPr>
        <w:t xml:space="preserve">nodokļu plaisa </w:t>
      </w:r>
      <w:r>
        <w:rPr>
          <w:rFonts w:ascii="Times New Roman" w:hAnsi="Times New Roman" w:cs="Times New Roman"/>
          <w:sz w:val="28"/>
          <w:szCs w:val="28"/>
        </w:rPr>
        <w:t>z</w:t>
      </w:r>
      <w:r w:rsidR="0085506E" w:rsidRPr="00626CE3">
        <w:rPr>
          <w:rFonts w:ascii="Times New Roman" w:hAnsi="Times New Roman" w:cs="Times New Roman"/>
          <w:sz w:val="28"/>
          <w:szCs w:val="28"/>
        </w:rPr>
        <w:t>emo algu grupā (67% no vidējās algas) Latvij</w:t>
      </w:r>
      <w:r>
        <w:rPr>
          <w:rFonts w:ascii="Times New Roman" w:hAnsi="Times New Roman" w:cs="Times New Roman"/>
          <w:sz w:val="28"/>
          <w:szCs w:val="28"/>
        </w:rPr>
        <w:t>ā</w:t>
      </w:r>
      <w:r w:rsidR="0085506E" w:rsidRPr="00626CE3">
        <w:rPr>
          <w:rFonts w:ascii="Times New Roman" w:hAnsi="Times New Roman" w:cs="Times New Roman"/>
          <w:sz w:val="28"/>
          <w:szCs w:val="28"/>
        </w:rPr>
        <w:t xml:space="preserve"> ir viena no augstākajām ES, atpaliekot tikai no Vācijas, Francijas, Itālijas un Beļģijas. Pārējās Baltijas valstīs šis rādītājs ir tuvs ES vidējam </w:t>
      </w:r>
      <w:r w:rsidR="00C548D6">
        <w:rPr>
          <w:rFonts w:ascii="Times New Roman" w:hAnsi="Times New Roman" w:cs="Times New Roman"/>
          <w:sz w:val="28"/>
          <w:szCs w:val="28"/>
        </w:rPr>
        <w:t xml:space="preserve">rādītājam </w:t>
      </w:r>
      <w:r w:rsidR="0085506E" w:rsidRPr="00626CE3">
        <w:rPr>
          <w:rFonts w:ascii="Times New Roman" w:hAnsi="Times New Roman" w:cs="Times New Roman"/>
          <w:sz w:val="28"/>
          <w:szCs w:val="28"/>
        </w:rPr>
        <w:t>jeb par 3-5 procentpunktiem zemāks kā Latvijā. Bet, piemēram, Īrijā un Lielbritānijā šis rādītājs ir par attiecīgi 20 un 14 procentpunktiem zemāks</w:t>
      </w:r>
      <w:r w:rsidR="00C548D6">
        <w:rPr>
          <w:rFonts w:ascii="Times New Roman" w:hAnsi="Times New Roman" w:cs="Times New Roman"/>
          <w:sz w:val="28"/>
          <w:szCs w:val="28"/>
        </w:rPr>
        <w:t xml:space="preserve"> nekā Latvijā</w:t>
      </w:r>
      <w:r w:rsidR="0085506E" w:rsidRPr="00626CE3">
        <w:rPr>
          <w:rFonts w:ascii="Times New Roman" w:hAnsi="Times New Roman" w:cs="Times New Roman"/>
          <w:sz w:val="28"/>
          <w:szCs w:val="28"/>
        </w:rPr>
        <w:t>.</w:t>
      </w:r>
    </w:p>
    <w:p w:rsidR="0085506E" w:rsidRPr="00EF530A" w:rsidRDefault="0085506E" w:rsidP="00EF530A">
      <w:pPr>
        <w:pStyle w:val="ListParagraph"/>
        <w:spacing w:after="0" w:line="240" w:lineRule="auto"/>
        <w:ind w:left="0" w:firstLine="709"/>
        <w:jc w:val="both"/>
        <w:rPr>
          <w:rFonts w:ascii="Times New Roman" w:hAnsi="Times New Roman" w:cs="Times New Roman"/>
          <w:sz w:val="20"/>
          <w:szCs w:val="20"/>
        </w:rPr>
      </w:pPr>
    </w:p>
    <w:p w:rsidR="0085506E" w:rsidRDefault="0085506E" w:rsidP="0085506E">
      <w:pPr>
        <w:pStyle w:val="ListParagraph"/>
        <w:spacing w:after="120" w:line="240" w:lineRule="auto"/>
        <w:ind w:left="0"/>
        <w:jc w:val="both"/>
        <w:rPr>
          <w:rFonts w:ascii="Times New Roman" w:hAnsi="Times New Roman" w:cs="Times New Roman"/>
          <w:sz w:val="24"/>
        </w:rPr>
      </w:pPr>
      <w:r w:rsidRPr="00F70F0A">
        <w:rPr>
          <w:rFonts w:ascii="Times New Roman" w:hAnsi="Times New Roman" w:cs="Times New Roman"/>
          <w:noProof/>
          <w:sz w:val="24"/>
          <w:lang w:eastAsia="lv-LV"/>
        </w:rPr>
        <w:drawing>
          <wp:inline distT="0" distB="0" distL="0" distR="0" wp14:anchorId="68564B6F" wp14:editId="5198DA8F">
            <wp:extent cx="5227608" cy="2829464"/>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F70F0A" w:rsidDel="00F70F0A">
        <w:rPr>
          <w:rFonts w:ascii="Times New Roman" w:hAnsi="Times New Roman" w:cs="Times New Roman"/>
          <w:sz w:val="24"/>
        </w:rPr>
        <w:t xml:space="preserve"> </w:t>
      </w:r>
    </w:p>
    <w:p w:rsidR="0085506E" w:rsidRPr="00626CE3" w:rsidRDefault="00D434CC" w:rsidP="0085506E">
      <w:pPr>
        <w:pStyle w:val="ListParagraph"/>
        <w:spacing w:after="60" w:line="240" w:lineRule="auto"/>
        <w:ind w:left="0"/>
        <w:jc w:val="both"/>
        <w:rPr>
          <w:rFonts w:ascii="Times New Roman" w:hAnsi="Times New Roman" w:cs="Times New Roman"/>
          <w:b/>
          <w:sz w:val="24"/>
          <w:szCs w:val="24"/>
        </w:rPr>
      </w:pPr>
      <w:r>
        <w:rPr>
          <w:rFonts w:ascii="Times New Roman" w:hAnsi="Times New Roman" w:cs="Times New Roman"/>
          <w:b/>
          <w:sz w:val="24"/>
          <w:szCs w:val="24"/>
        </w:rPr>
        <w:t>11</w:t>
      </w:r>
      <w:r w:rsidR="0085506E" w:rsidRPr="00626CE3">
        <w:rPr>
          <w:rFonts w:ascii="Times New Roman" w:hAnsi="Times New Roman" w:cs="Times New Roman"/>
          <w:b/>
          <w:sz w:val="24"/>
          <w:szCs w:val="24"/>
        </w:rPr>
        <w:t>.att. Nodokļu plaisa zemo algu grupās strādājošam ES 2011.gadā (*2010.gadā)</w:t>
      </w:r>
      <w:r w:rsidR="001A4561">
        <w:rPr>
          <w:rFonts w:ascii="Times New Roman" w:hAnsi="Times New Roman" w:cs="Times New Roman"/>
          <w:b/>
          <w:sz w:val="24"/>
          <w:szCs w:val="24"/>
        </w:rPr>
        <w:t xml:space="preserve">, </w:t>
      </w:r>
      <w:r w:rsidR="001A4561" w:rsidRPr="00EF530A">
        <w:rPr>
          <w:rFonts w:ascii="Times New Roman" w:hAnsi="Times New Roman" w:cs="Times New Roman"/>
          <w:i/>
          <w:sz w:val="24"/>
          <w:szCs w:val="24"/>
        </w:rPr>
        <w:t>%</w:t>
      </w:r>
    </w:p>
    <w:p w:rsidR="0085506E" w:rsidRPr="00995D03" w:rsidRDefault="0085506E" w:rsidP="0085506E">
      <w:pPr>
        <w:tabs>
          <w:tab w:val="left" w:pos="709"/>
        </w:tabs>
        <w:spacing w:after="60" w:line="240" w:lineRule="auto"/>
        <w:jc w:val="both"/>
        <w:rPr>
          <w:rFonts w:ascii="Times New Roman" w:hAnsi="Times New Roman" w:cs="Times New Roman"/>
          <w:sz w:val="24"/>
          <w:szCs w:val="24"/>
        </w:rPr>
      </w:pPr>
      <w:r w:rsidRPr="00995D03">
        <w:rPr>
          <w:rFonts w:ascii="Times New Roman" w:hAnsi="Times New Roman" w:cs="Times New Roman"/>
          <w:b/>
          <w:i/>
          <w:sz w:val="24"/>
          <w:szCs w:val="24"/>
        </w:rPr>
        <w:t>Avots:</w:t>
      </w:r>
      <w:r w:rsidRPr="00995D03">
        <w:rPr>
          <w:rFonts w:ascii="Times New Roman" w:hAnsi="Times New Roman" w:cs="Times New Roman"/>
          <w:sz w:val="24"/>
          <w:szCs w:val="24"/>
        </w:rPr>
        <w:t xml:space="preserve"> </w:t>
      </w:r>
      <w:proofErr w:type="spellStart"/>
      <w:r w:rsidRPr="00995D03">
        <w:rPr>
          <w:rFonts w:ascii="Times New Roman" w:hAnsi="Times New Roman" w:cs="Times New Roman"/>
          <w:sz w:val="24"/>
          <w:szCs w:val="24"/>
        </w:rPr>
        <w:t>Eurostat</w:t>
      </w:r>
      <w:proofErr w:type="spellEnd"/>
    </w:p>
    <w:p w:rsidR="0085506E" w:rsidRDefault="0085506E" w:rsidP="0085506E">
      <w:pPr>
        <w:pStyle w:val="ListParagraph"/>
        <w:spacing w:after="120" w:line="240" w:lineRule="auto"/>
        <w:ind w:left="0" w:firstLine="709"/>
        <w:jc w:val="both"/>
        <w:rPr>
          <w:rFonts w:ascii="Times New Roman" w:hAnsi="Times New Roman" w:cs="Times New Roman"/>
          <w:sz w:val="24"/>
        </w:rPr>
      </w:pPr>
    </w:p>
    <w:p w:rsidR="0085506E" w:rsidRPr="00626CE3" w:rsidRDefault="00024F33" w:rsidP="0085506E">
      <w:pPr>
        <w:pStyle w:val="ListParagraph"/>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Jāatzīmē, ka p</w:t>
      </w:r>
      <w:r w:rsidR="0085506E" w:rsidRPr="00626CE3">
        <w:rPr>
          <w:rFonts w:ascii="Times New Roman" w:hAnsi="Times New Roman" w:cs="Times New Roman"/>
          <w:sz w:val="28"/>
          <w:szCs w:val="28"/>
        </w:rPr>
        <w:t>ārējās Baltijas valstīs ir augstāki sociālās apdrošināšanas maksājumi, bet zemāki ienākuma nodokļi no algas, tāpat augstāki neapliekamie minimumi nodrošina nedaudz augstāku kopējo algas nodokļu progresivitāti.</w:t>
      </w:r>
    </w:p>
    <w:p w:rsidR="0085506E" w:rsidRDefault="0085506E" w:rsidP="0085506E">
      <w:pPr>
        <w:pStyle w:val="ListParagraph"/>
        <w:spacing w:after="120" w:line="240" w:lineRule="auto"/>
        <w:ind w:left="0"/>
        <w:jc w:val="both"/>
        <w:rPr>
          <w:rFonts w:ascii="Times New Roman" w:hAnsi="Times New Roman" w:cs="Times New Roman"/>
          <w:sz w:val="24"/>
        </w:rPr>
      </w:pPr>
    </w:p>
    <w:p w:rsidR="0085506E" w:rsidRPr="003835EA" w:rsidRDefault="0085506E" w:rsidP="0085506E">
      <w:pPr>
        <w:pStyle w:val="ListParagraph"/>
        <w:ind w:left="0"/>
        <w:jc w:val="both"/>
        <w:rPr>
          <w:rFonts w:ascii="Times New Roman" w:hAnsi="Times New Roman" w:cs="Times New Roman"/>
          <w:b/>
          <w:sz w:val="8"/>
          <w:szCs w:val="8"/>
        </w:rPr>
      </w:pPr>
      <w:r w:rsidRPr="00EB0FE8">
        <w:rPr>
          <w:noProof/>
          <w:lang w:eastAsia="lv-LV"/>
        </w:rPr>
        <w:t xml:space="preserve"> </w:t>
      </w:r>
    </w:p>
    <w:p w:rsidR="00776020" w:rsidRDefault="00776020" w:rsidP="00776020">
      <w:pPr>
        <w:pStyle w:val="Header"/>
        <w:tabs>
          <w:tab w:val="left" w:pos="1080"/>
          <w:tab w:val="left" w:pos="6840"/>
        </w:tabs>
        <w:jc w:val="both"/>
        <w:rPr>
          <w:rFonts w:ascii="Times New Roman" w:hAnsi="Times New Roman" w:cs="Times New Roman"/>
          <w:sz w:val="28"/>
          <w:szCs w:val="28"/>
        </w:rPr>
      </w:pPr>
    </w:p>
    <w:p w:rsidR="00776020" w:rsidRPr="00776020" w:rsidRDefault="00776020" w:rsidP="00776020">
      <w:pPr>
        <w:pStyle w:val="Header"/>
        <w:tabs>
          <w:tab w:val="left" w:pos="1080"/>
          <w:tab w:val="left" w:pos="6840"/>
        </w:tabs>
        <w:jc w:val="both"/>
        <w:rPr>
          <w:rFonts w:ascii="Times New Roman" w:hAnsi="Times New Roman" w:cs="Times New Roman"/>
          <w:sz w:val="28"/>
          <w:szCs w:val="28"/>
        </w:rPr>
      </w:pPr>
      <w:r>
        <w:rPr>
          <w:rFonts w:ascii="Times New Roman" w:hAnsi="Times New Roman" w:cs="Times New Roman"/>
          <w:sz w:val="28"/>
          <w:szCs w:val="28"/>
        </w:rPr>
        <w:t>F</w:t>
      </w:r>
      <w:r w:rsidRPr="00776020">
        <w:rPr>
          <w:rFonts w:ascii="Times New Roman" w:hAnsi="Times New Roman" w:cs="Times New Roman"/>
          <w:sz w:val="28"/>
          <w:szCs w:val="28"/>
        </w:rPr>
        <w:t>inanšu ministrs</w:t>
      </w:r>
      <w:r w:rsidRPr="00776020">
        <w:rPr>
          <w:rFonts w:ascii="Times New Roman" w:hAnsi="Times New Roman" w:cs="Times New Roman"/>
          <w:sz w:val="28"/>
          <w:szCs w:val="28"/>
        </w:rPr>
        <w:tab/>
      </w:r>
      <w:r w:rsidRPr="00776020">
        <w:rPr>
          <w:rFonts w:ascii="Times New Roman" w:hAnsi="Times New Roman" w:cs="Times New Roman"/>
          <w:sz w:val="28"/>
          <w:szCs w:val="28"/>
        </w:rPr>
        <w:tab/>
        <w:t xml:space="preserve">          A.Vilks</w:t>
      </w:r>
    </w:p>
    <w:p w:rsidR="00776020" w:rsidRPr="00776020" w:rsidRDefault="00776020" w:rsidP="00776020">
      <w:pPr>
        <w:pStyle w:val="Header"/>
        <w:tabs>
          <w:tab w:val="left" w:pos="1080"/>
          <w:tab w:val="left" w:pos="6840"/>
        </w:tabs>
        <w:jc w:val="both"/>
        <w:rPr>
          <w:rFonts w:ascii="Times New Roman" w:hAnsi="Times New Roman" w:cs="Times New Roman"/>
          <w:sz w:val="28"/>
          <w:szCs w:val="28"/>
        </w:rPr>
      </w:pPr>
    </w:p>
    <w:p w:rsidR="00776020" w:rsidRDefault="00776020" w:rsidP="00776020">
      <w:pPr>
        <w:rPr>
          <w:rFonts w:ascii="Times New Roman" w:hAnsi="Times New Roman" w:cs="Times New Roman"/>
          <w:bCs/>
          <w:sz w:val="28"/>
          <w:szCs w:val="28"/>
        </w:rPr>
      </w:pPr>
    </w:p>
    <w:p w:rsidR="00DB231A" w:rsidRDefault="00DB231A" w:rsidP="00776020">
      <w:pPr>
        <w:rPr>
          <w:rFonts w:ascii="Times New Roman" w:hAnsi="Times New Roman" w:cs="Times New Roman"/>
          <w:bCs/>
          <w:sz w:val="28"/>
          <w:szCs w:val="28"/>
        </w:rPr>
      </w:pPr>
      <w:bookmarkStart w:id="4" w:name="_GoBack"/>
      <w:bookmarkEnd w:id="4"/>
    </w:p>
    <w:p w:rsidR="00DB231A" w:rsidRPr="00776020" w:rsidRDefault="00DB231A" w:rsidP="00776020">
      <w:pPr>
        <w:rPr>
          <w:rFonts w:ascii="Times New Roman" w:hAnsi="Times New Roman" w:cs="Times New Roman"/>
          <w:bCs/>
          <w:sz w:val="28"/>
          <w:szCs w:val="28"/>
        </w:rPr>
      </w:pPr>
    </w:p>
    <w:p w:rsidR="00776020" w:rsidRPr="00776020" w:rsidRDefault="00874976" w:rsidP="00776020">
      <w:pPr>
        <w:spacing w:after="0" w:line="240" w:lineRule="auto"/>
        <w:contextualSpacing/>
        <w:rPr>
          <w:rFonts w:ascii="Times New Roman" w:hAnsi="Times New Roman" w:cs="Times New Roman"/>
          <w:sz w:val="20"/>
        </w:rPr>
      </w:pPr>
      <w:r>
        <w:rPr>
          <w:rFonts w:ascii="Times New Roman" w:hAnsi="Times New Roman" w:cs="Times New Roman"/>
          <w:sz w:val="20"/>
        </w:rPr>
        <w:t>2013.05.22.</w:t>
      </w:r>
    </w:p>
    <w:p w:rsidR="00776020" w:rsidRPr="00776020" w:rsidRDefault="00776020" w:rsidP="00776020">
      <w:pPr>
        <w:spacing w:after="0" w:line="240" w:lineRule="auto"/>
        <w:contextualSpacing/>
        <w:rPr>
          <w:rFonts w:ascii="Times New Roman" w:hAnsi="Times New Roman" w:cs="Times New Roman"/>
          <w:sz w:val="20"/>
        </w:rPr>
      </w:pPr>
      <w:r w:rsidRPr="00776020">
        <w:rPr>
          <w:rFonts w:ascii="Times New Roman" w:hAnsi="Times New Roman" w:cs="Times New Roman"/>
          <w:sz w:val="20"/>
        </w:rPr>
        <w:fldChar w:fldCharType="begin"/>
      </w:r>
      <w:r w:rsidRPr="00776020">
        <w:rPr>
          <w:rFonts w:ascii="Times New Roman" w:hAnsi="Times New Roman" w:cs="Times New Roman"/>
          <w:sz w:val="20"/>
        </w:rPr>
        <w:instrText xml:space="preserve"> NUMWORDS  \# "0"  \* MERGEFORMAT </w:instrText>
      </w:r>
      <w:r w:rsidRPr="00776020">
        <w:rPr>
          <w:rFonts w:ascii="Times New Roman" w:hAnsi="Times New Roman" w:cs="Times New Roman"/>
          <w:sz w:val="20"/>
        </w:rPr>
        <w:fldChar w:fldCharType="separate"/>
      </w:r>
      <w:r w:rsidR="00874976">
        <w:rPr>
          <w:rFonts w:ascii="Times New Roman" w:hAnsi="Times New Roman" w:cs="Times New Roman"/>
          <w:noProof/>
          <w:sz w:val="20"/>
        </w:rPr>
        <w:t>1749</w:t>
      </w:r>
      <w:r w:rsidRPr="00776020">
        <w:rPr>
          <w:rFonts w:ascii="Times New Roman" w:hAnsi="Times New Roman" w:cs="Times New Roman"/>
          <w:sz w:val="20"/>
        </w:rPr>
        <w:fldChar w:fldCharType="end"/>
      </w:r>
    </w:p>
    <w:p w:rsidR="00140741" w:rsidRPr="00140741" w:rsidRDefault="00140741" w:rsidP="00140741">
      <w:pPr>
        <w:spacing w:after="0" w:line="240" w:lineRule="auto"/>
        <w:contextualSpacing/>
        <w:rPr>
          <w:rFonts w:ascii="Times New Roman" w:hAnsi="Times New Roman" w:cs="Times New Roman"/>
          <w:sz w:val="20"/>
        </w:rPr>
      </w:pPr>
      <w:r w:rsidRPr="00140741">
        <w:rPr>
          <w:rFonts w:ascii="Times New Roman" w:hAnsi="Times New Roman" w:cs="Times New Roman"/>
          <w:sz w:val="20"/>
        </w:rPr>
        <w:t>Finanšu ministrijas Nodokļu analīzes departamenta</w:t>
      </w:r>
    </w:p>
    <w:p w:rsidR="00140741" w:rsidRPr="00140741" w:rsidRDefault="00140741" w:rsidP="00140741">
      <w:pPr>
        <w:spacing w:after="0" w:line="240" w:lineRule="auto"/>
        <w:contextualSpacing/>
        <w:rPr>
          <w:rFonts w:ascii="Times New Roman" w:hAnsi="Times New Roman" w:cs="Times New Roman"/>
          <w:sz w:val="20"/>
        </w:rPr>
      </w:pPr>
      <w:r w:rsidRPr="00140741">
        <w:rPr>
          <w:rFonts w:ascii="Times New Roman" w:hAnsi="Times New Roman" w:cs="Times New Roman"/>
          <w:sz w:val="20"/>
        </w:rPr>
        <w:t>Nodokļu analīzes un prognozēšanas nodaļas vadītāja</w:t>
      </w:r>
    </w:p>
    <w:p w:rsidR="00140741" w:rsidRPr="00140741" w:rsidRDefault="00140741" w:rsidP="00140741">
      <w:pPr>
        <w:spacing w:after="0" w:line="240" w:lineRule="auto"/>
        <w:contextualSpacing/>
        <w:rPr>
          <w:rFonts w:ascii="Times New Roman" w:hAnsi="Times New Roman" w:cs="Times New Roman"/>
          <w:sz w:val="20"/>
        </w:rPr>
      </w:pPr>
      <w:r w:rsidRPr="00140741">
        <w:rPr>
          <w:rFonts w:ascii="Times New Roman" w:hAnsi="Times New Roman" w:cs="Times New Roman"/>
          <w:sz w:val="20"/>
        </w:rPr>
        <w:t>D.Avotiņa 67 083 920</w:t>
      </w:r>
    </w:p>
    <w:p w:rsidR="00560546" w:rsidRPr="00776020" w:rsidRDefault="00140741" w:rsidP="00140741">
      <w:pPr>
        <w:spacing w:after="0" w:line="240" w:lineRule="auto"/>
        <w:contextualSpacing/>
        <w:rPr>
          <w:rFonts w:ascii="Times New Roman" w:hAnsi="Times New Roman" w:cs="Times New Roman"/>
        </w:rPr>
      </w:pPr>
      <w:r w:rsidRPr="00140741">
        <w:rPr>
          <w:rFonts w:ascii="Times New Roman" w:hAnsi="Times New Roman" w:cs="Times New Roman"/>
          <w:sz w:val="20"/>
        </w:rPr>
        <w:t>Dace.Avotina@fm.gov.lv</w:t>
      </w:r>
    </w:p>
    <w:sectPr w:rsidR="00560546" w:rsidRPr="00776020" w:rsidSect="00DB231A">
      <w:headerReference w:type="default" r:id="rId24"/>
      <w:footerReference w:type="default" r:id="rId25"/>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C1" w:rsidRDefault="00BC2DC1" w:rsidP="0085506E">
      <w:pPr>
        <w:spacing w:after="0" w:line="240" w:lineRule="auto"/>
      </w:pPr>
      <w:r>
        <w:separator/>
      </w:r>
    </w:p>
  </w:endnote>
  <w:endnote w:type="continuationSeparator" w:id="0">
    <w:p w:rsidR="00BC2DC1" w:rsidRDefault="00BC2DC1" w:rsidP="0085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C1" w:rsidRPr="00D434CC" w:rsidRDefault="00BC2DC1" w:rsidP="00D434CC">
    <w:pPr>
      <w:pStyle w:val="Footer"/>
      <w:jc w:val="both"/>
      <w:rPr>
        <w:rFonts w:ascii="Times New Roman" w:hAnsi="Times New Roman" w:cs="Times New Roman"/>
        <w:color w:val="595959" w:themeColor="text1" w:themeTint="A6"/>
        <w:sz w:val="16"/>
        <w:szCs w:val="16"/>
      </w:rPr>
    </w:pPr>
    <w:r w:rsidRPr="00321ABF">
      <w:rPr>
        <w:rFonts w:ascii="Times New Roman" w:hAnsi="Times New Roman" w:cs="Times New Roman"/>
        <w:color w:val="595959" w:themeColor="text1" w:themeTint="A6"/>
        <w:sz w:val="16"/>
        <w:szCs w:val="16"/>
      </w:rPr>
      <w:t>FM</w:t>
    </w:r>
    <w:r>
      <w:rPr>
        <w:rFonts w:ascii="Times New Roman" w:hAnsi="Times New Roman" w:cs="Times New Roman"/>
        <w:color w:val="595959" w:themeColor="text1" w:themeTint="A6"/>
        <w:sz w:val="16"/>
        <w:szCs w:val="16"/>
      </w:rPr>
      <w:t>Piel</w:t>
    </w:r>
    <w:r w:rsidRPr="00321ABF">
      <w:rPr>
        <w:rFonts w:ascii="Times New Roman" w:hAnsi="Times New Roman" w:cs="Times New Roman"/>
        <w:color w:val="595959" w:themeColor="text1" w:themeTint="A6"/>
        <w:sz w:val="16"/>
        <w:szCs w:val="16"/>
      </w:rPr>
      <w:t>_</w:t>
    </w:r>
    <w:r w:rsidR="00140741">
      <w:rPr>
        <w:rFonts w:ascii="Times New Roman" w:hAnsi="Times New Roman" w:cs="Times New Roman"/>
        <w:color w:val="595959" w:themeColor="text1" w:themeTint="A6"/>
        <w:sz w:val="16"/>
        <w:szCs w:val="16"/>
      </w:rPr>
      <w:t>22</w:t>
    </w:r>
    <w:r>
      <w:rPr>
        <w:rFonts w:ascii="Times New Roman" w:hAnsi="Times New Roman" w:cs="Times New Roman"/>
        <w:color w:val="595959" w:themeColor="text1" w:themeTint="A6"/>
        <w:sz w:val="16"/>
        <w:szCs w:val="16"/>
      </w:rPr>
      <w:t>0</w:t>
    </w:r>
    <w:r w:rsidR="00DB231A">
      <w:rPr>
        <w:rFonts w:ascii="Times New Roman" w:hAnsi="Times New Roman" w:cs="Times New Roman"/>
        <w:color w:val="595959" w:themeColor="text1" w:themeTint="A6"/>
        <w:sz w:val="16"/>
        <w:szCs w:val="16"/>
      </w:rPr>
      <w:t>5</w:t>
    </w:r>
    <w:r w:rsidRPr="00321ABF">
      <w:rPr>
        <w:rFonts w:ascii="Times New Roman" w:hAnsi="Times New Roman" w:cs="Times New Roman"/>
        <w:color w:val="595959" w:themeColor="text1" w:themeTint="A6"/>
        <w:sz w:val="16"/>
        <w:szCs w:val="16"/>
      </w:rPr>
      <w:t>1</w:t>
    </w:r>
    <w:r>
      <w:rPr>
        <w:rFonts w:ascii="Times New Roman" w:hAnsi="Times New Roman" w:cs="Times New Roman"/>
        <w:color w:val="595959" w:themeColor="text1" w:themeTint="A6"/>
        <w:sz w:val="16"/>
        <w:szCs w:val="16"/>
      </w:rPr>
      <w:t>3</w:t>
    </w:r>
    <w:r w:rsidRPr="00321ABF">
      <w:rPr>
        <w:rFonts w:ascii="Times New Roman" w:hAnsi="Times New Roman" w:cs="Times New Roman"/>
        <w:color w:val="595959" w:themeColor="text1" w:themeTint="A6"/>
        <w:sz w:val="16"/>
        <w:szCs w:val="16"/>
      </w:rPr>
      <w:t xml:space="preserve">_IIN; </w:t>
    </w:r>
    <w:r>
      <w:rPr>
        <w:rFonts w:ascii="Times New Roman" w:hAnsi="Times New Roman" w:cs="Times New Roman"/>
        <w:color w:val="595959" w:themeColor="text1" w:themeTint="A6"/>
        <w:sz w:val="16"/>
        <w:szCs w:val="16"/>
      </w:rPr>
      <w:t>Pielikums i</w:t>
    </w:r>
    <w:r w:rsidRPr="00321ABF">
      <w:rPr>
        <w:rFonts w:ascii="Times New Roman" w:hAnsi="Times New Roman" w:cs="Times New Roman"/>
        <w:color w:val="595959" w:themeColor="text1" w:themeTint="A6"/>
        <w:sz w:val="16"/>
        <w:szCs w:val="16"/>
      </w:rPr>
      <w:t>nformatīv</w:t>
    </w:r>
    <w:r w:rsidR="00140741">
      <w:rPr>
        <w:rFonts w:ascii="Times New Roman" w:hAnsi="Times New Roman" w:cs="Times New Roman"/>
        <w:color w:val="595959" w:themeColor="text1" w:themeTint="A6"/>
        <w:sz w:val="16"/>
        <w:szCs w:val="16"/>
      </w:rPr>
      <w:t>aj</w:t>
    </w:r>
    <w:r w:rsidRPr="00321ABF">
      <w:rPr>
        <w:rFonts w:ascii="Times New Roman" w:hAnsi="Times New Roman" w:cs="Times New Roman"/>
        <w:color w:val="595959" w:themeColor="text1" w:themeTint="A6"/>
        <w:sz w:val="16"/>
        <w:szCs w:val="16"/>
      </w:rPr>
      <w:t>a</w:t>
    </w:r>
    <w:r>
      <w:rPr>
        <w:rFonts w:ascii="Times New Roman" w:hAnsi="Times New Roman" w:cs="Times New Roman"/>
        <w:color w:val="595959" w:themeColor="text1" w:themeTint="A6"/>
        <w:sz w:val="16"/>
        <w:szCs w:val="16"/>
      </w:rPr>
      <w:t>m</w:t>
    </w:r>
    <w:r w:rsidRPr="00321ABF">
      <w:rPr>
        <w:rFonts w:ascii="Times New Roman" w:hAnsi="Times New Roman" w:cs="Times New Roman"/>
        <w:color w:val="595959" w:themeColor="text1" w:themeTint="A6"/>
        <w:sz w:val="16"/>
        <w:szCs w:val="16"/>
      </w:rPr>
      <w:t xml:space="preserve"> ziņojum</w:t>
    </w:r>
    <w:r>
      <w:rPr>
        <w:rFonts w:ascii="Times New Roman" w:hAnsi="Times New Roman" w:cs="Times New Roman"/>
        <w:color w:val="595959" w:themeColor="text1" w:themeTint="A6"/>
        <w:sz w:val="16"/>
        <w:szCs w:val="16"/>
      </w:rPr>
      <w:t>am</w:t>
    </w:r>
    <w:r w:rsidRPr="00321ABF">
      <w:rPr>
        <w:rFonts w:ascii="Times New Roman" w:hAnsi="Times New Roman" w:cs="Times New Roman"/>
        <w:color w:val="595959" w:themeColor="text1" w:themeTint="A6"/>
        <w:sz w:val="16"/>
        <w:szCs w:val="16"/>
      </w:rPr>
      <w:t xml:space="preserve"> </w:t>
    </w:r>
    <w:r>
      <w:rPr>
        <w:rFonts w:ascii="Times New Roman" w:hAnsi="Times New Roman" w:cs="Times New Roman"/>
        <w:color w:val="595959" w:themeColor="text1" w:themeTint="A6"/>
        <w:sz w:val="16"/>
        <w:szCs w:val="16"/>
      </w:rPr>
      <w:t xml:space="preserve">„Priekšlikumi </w:t>
    </w:r>
    <w:r w:rsidR="00140741">
      <w:rPr>
        <w:rFonts w:ascii="Times New Roman" w:hAnsi="Times New Roman" w:cs="Times New Roman"/>
        <w:color w:val="595959" w:themeColor="text1" w:themeTint="A6"/>
        <w:sz w:val="16"/>
        <w:szCs w:val="16"/>
      </w:rPr>
      <w:t>ienākumu</w:t>
    </w:r>
    <w:r>
      <w:rPr>
        <w:rFonts w:ascii="Times New Roman" w:hAnsi="Times New Roman" w:cs="Times New Roman"/>
        <w:color w:val="595959" w:themeColor="text1" w:themeTint="A6"/>
        <w:sz w:val="16"/>
        <w:szCs w:val="16"/>
      </w:rPr>
      <w:t xml:space="preserve"> nevienlīdzības mazināšanai”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C1" w:rsidRDefault="00BC2DC1" w:rsidP="0085506E">
      <w:pPr>
        <w:spacing w:after="0" w:line="240" w:lineRule="auto"/>
      </w:pPr>
      <w:r>
        <w:separator/>
      </w:r>
    </w:p>
  </w:footnote>
  <w:footnote w:type="continuationSeparator" w:id="0">
    <w:p w:rsidR="00BC2DC1" w:rsidRDefault="00BC2DC1" w:rsidP="0085506E">
      <w:pPr>
        <w:spacing w:after="0" w:line="240" w:lineRule="auto"/>
      </w:pPr>
      <w:r>
        <w:continuationSeparator/>
      </w:r>
    </w:p>
  </w:footnote>
  <w:footnote w:id="1">
    <w:p w:rsidR="00BC2DC1" w:rsidRDefault="00BC2DC1" w:rsidP="001A5729">
      <w:pPr>
        <w:pStyle w:val="FootnoteText"/>
        <w:tabs>
          <w:tab w:val="left" w:pos="284"/>
        </w:tabs>
        <w:spacing w:after="120"/>
        <w:ind w:left="284" w:hanging="284"/>
        <w:jc w:val="both"/>
      </w:pPr>
      <w:r>
        <w:rPr>
          <w:rStyle w:val="FootnoteReference"/>
        </w:rPr>
        <w:footnoteRef/>
      </w:r>
      <w:r>
        <w:t xml:space="preserve"> </w:t>
      </w:r>
      <w:r>
        <w:tab/>
        <w:t>I</w:t>
      </w:r>
      <w:r w:rsidRPr="005D6C27">
        <w:rPr>
          <w:lang w:eastAsia="en-US"/>
        </w:rPr>
        <w:t xml:space="preserve">edzīvotāju īpatsvars (procentos), kuru ekvivalentais rīcība esošais ienākums ir zem nabadzība riska sliekšņa. </w:t>
      </w:r>
      <w:r w:rsidRPr="003D61A0">
        <w:rPr>
          <w:bCs/>
          <w:i/>
          <w:lang w:eastAsia="en-US"/>
        </w:rPr>
        <w:t>Ekvivalentais rīcībā esošais ienākums</w:t>
      </w:r>
      <w:r>
        <w:rPr>
          <w:b/>
          <w:bCs/>
          <w:lang w:eastAsia="en-US"/>
        </w:rPr>
        <w:t xml:space="preserve"> - </w:t>
      </w:r>
      <w:r w:rsidRPr="00375685">
        <w:rPr>
          <w:lang w:eastAsia="en-US"/>
        </w:rPr>
        <w:t>m</w:t>
      </w:r>
      <w:r w:rsidRPr="005D6C27">
        <w:rPr>
          <w:lang w:eastAsia="en-US"/>
        </w:rPr>
        <w:t>ājsaimniecības rīcībā esošais ienākums, kas tiek aprēķināts uz ekvivalento patērētāju. To iegūst, dalot mājsaimniecības ienākumu ar ekvivalento mājsaimniecības lielumu, kuru veido, izmantojot modificēto OECD skalu (1,0; 0,5; 0,3) – pirmajam pieaugušajam tiek pielīdzināts svars 1,0, katram nākamajam mājsaimniecības loceklim vecumā no 14 gadiem un vecākam – 0,5, bet katram bērnam jaunākam par 14 gadiem – 0,3.</w:t>
      </w:r>
    </w:p>
  </w:footnote>
  <w:footnote w:id="2">
    <w:p w:rsidR="00BC2DC1" w:rsidRDefault="00BC2DC1" w:rsidP="00427781">
      <w:pPr>
        <w:pStyle w:val="FootnoteText"/>
        <w:tabs>
          <w:tab w:val="left" w:pos="284"/>
        </w:tabs>
        <w:ind w:left="284" w:hanging="284"/>
        <w:jc w:val="both"/>
      </w:pPr>
      <w:r>
        <w:rPr>
          <w:rStyle w:val="FootnoteReference"/>
        </w:rPr>
        <w:footnoteRef/>
      </w:r>
      <w:r>
        <w:t xml:space="preserve"> </w:t>
      </w:r>
      <w:r>
        <w:tab/>
      </w:r>
      <w:r w:rsidRPr="00E065FC">
        <w:rPr>
          <w:lang w:eastAsia="en-US"/>
        </w:rPr>
        <w:t xml:space="preserve">60% no ekvivalento rīcībā esošo ienākumu mediānas. </w:t>
      </w:r>
      <w:r w:rsidRPr="00427781">
        <w:rPr>
          <w:bCs/>
          <w:i/>
          <w:lang w:eastAsia="en-US"/>
        </w:rPr>
        <w:t>Mediāna</w:t>
      </w:r>
      <w:r w:rsidRPr="00E065FC">
        <w:rPr>
          <w:lang w:eastAsia="en-US"/>
        </w:rPr>
        <w:t xml:space="preserve"> ir statistiskais rādītājs, kas raksturo novērojumu, kas sagrupēti no zemākās vērtības līdz augstākajai, centra v</w:t>
      </w:r>
      <w:r>
        <w:rPr>
          <w:lang w:eastAsia="en-US"/>
        </w:rPr>
        <w:t>ērtību (sadalījuma viduspunktu).</w:t>
      </w:r>
    </w:p>
    <w:p w:rsidR="00BC2DC1" w:rsidRDefault="00BC2DC1" w:rsidP="001A5729">
      <w:pPr>
        <w:pStyle w:val="FootnoteText"/>
        <w:tabs>
          <w:tab w:val="left" w:pos="284"/>
        </w:tabs>
        <w:spacing w:after="120"/>
        <w:ind w:left="284" w:hanging="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17871"/>
      <w:docPartObj>
        <w:docPartGallery w:val="Page Numbers (Top of Page)"/>
        <w:docPartUnique/>
      </w:docPartObj>
    </w:sdtPr>
    <w:sdtEndPr>
      <w:rPr>
        <w:rFonts w:ascii="Times New Roman" w:hAnsi="Times New Roman" w:cs="Times New Roman"/>
        <w:noProof/>
        <w:sz w:val="24"/>
        <w:szCs w:val="24"/>
      </w:rPr>
    </w:sdtEndPr>
    <w:sdtContent>
      <w:p w:rsidR="00BC2DC1" w:rsidRPr="00EF530A" w:rsidRDefault="00BC2DC1">
        <w:pPr>
          <w:pStyle w:val="Header"/>
          <w:jc w:val="center"/>
          <w:rPr>
            <w:rFonts w:ascii="Times New Roman" w:hAnsi="Times New Roman" w:cs="Times New Roman"/>
            <w:sz w:val="24"/>
            <w:szCs w:val="24"/>
          </w:rPr>
        </w:pPr>
        <w:r w:rsidRPr="00EF530A">
          <w:rPr>
            <w:rFonts w:ascii="Times New Roman" w:hAnsi="Times New Roman" w:cs="Times New Roman"/>
            <w:sz w:val="24"/>
            <w:szCs w:val="24"/>
          </w:rPr>
          <w:fldChar w:fldCharType="begin"/>
        </w:r>
        <w:r w:rsidRPr="00EF530A">
          <w:rPr>
            <w:rFonts w:ascii="Times New Roman" w:hAnsi="Times New Roman" w:cs="Times New Roman"/>
            <w:sz w:val="24"/>
            <w:szCs w:val="24"/>
          </w:rPr>
          <w:instrText xml:space="preserve"> PAGE   \* MERGEFORMAT </w:instrText>
        </w:r>
        <w:r w:rsidRPr="00EF530A">
          <w:rPr>
            <w:rFonts w:ascii="Times New Roman" w:hAnsi="Times New Roman" w:cs="Times New Roman"/>
            <w:sz w:val="24"/>
            <w:szCs w:val="24"/>
          </w:rPr>
          <w:fldChar w:fldCharType="separate"/>
        </w:r>
        <w:r w:rsidR="00874976">
          <w:rPr>
            <w:rFonts w:ascii="Times New Roman" w:hAnsi="Times New Roman" w:cs="Times New Roman"/>
            <w:noProof/>
            <w:sz w:val="24"/>
            <w:szCs w:val="24"/>
          </w:rPr>
          <w:t>10</w:t>
        </w:r>
        <w:r w:rsidRPr="00EF530A">
          <w:rPr>
            <w:rFonts w:ascii="Times New Roman" w:hAnsi="Times New Roman" w:cs="Times New Roman"/>
            <w:noProof/>
            <w:sz w:val="24"/>
            <w:szCs w:val="24"/>
          </w:rPr>
          <w:fldChar w:fldCharType="end"/>
        </w:r>
      </w:p>
    </w:sdtContent>
  </w:sdt>
  <w:p w:rsidR="00BC2DC1" w:rsidRDefault="00BC2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54783"/>
    <w:multiLevelType w:val="multilevel"/>
    <w:tmpl w:val="E3FAAD9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48D67110"/>
    <w:multiLevelType w:val="hybridMultilevel"/>
    <w:tmpl w:val="64E64C98"/>
    <w:lvl w:ilvl="0" w:tplc="2BA260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79FF77E5"/>
    <w:multiLevelType w:val="hybridMultilevel"/>
    <w:tmpl w:val="B8A87D3C"/>
    <w:lvl w:ilvl="0" w:tplc="0426000D">
      <w:start w:val="1"/>
      <w:numFmt w:val="bullet"/>
      <w:lvlText w:val=""/>
      <w:lvlJc w:val="left"/>
      <w:pPr>
        <w:ind w:left="1789" w:hanging="360"/>
      </w:pPr>
      <w:rPr>
        <w:rFonts w:ascii="Wingdings" w:hAnsi="Wingdings"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3">
    <w:nsid w:val="7A9878B4"/>
    <w:multiLevelType w:val="multilevel"/>
    <w:tmpl w:val="415E134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6E"/>
    <w:rsid w:val="00024F33"/>
    <w:rsid w:val="00140741"/>
    <w:rsid w:val="001A4561"/>
    <w:rsid w:val="001A5729"/>
    <w:rsid w:val="00202DA3"/>
    <w:rsid w:val="00281990"/>
    <w:rsid w:val="002E32FC"/>
    <w:rsid w:val="00307D0B"/>
    <w:rsid w:val="0034552F"/>
    <w:rsid w:val="003828FB"/>
    <w:rsid w:val="003A1A90"/>
    <w:rsid w:val="003D61A0"/>
    <w:rsid w:val="00415BC4"/>
    <w:rsid w:val="004222E3"/>
    <w:rsid w:val="00427781"/>
    <w:rsid w:val="004731C0"/>
    <w:rsid w:val="00560546"/>
    <w:rsid w:val="0075166F"/>
    <w:rsid w:val="00776020"/>
    <w:rsid w:val="00812D57"/>
    <w:rsid w:val="0085506E"/>
    <w:rsid w:val="008657E0"/>
    <w:rsid w:val="00874976"/>
    <w:rsid w:val="009C3F03"/>
    <w:rsid w:val="009E4F7A"/>
    <w:rsid w:val="00A072E2"/>
    <w:rsid w:val="00A43A17"/>
    <w:rsid w:val="00A513C7"/>
    <w:rsid w:val="00A83FA1"/>
    <w:rsid w:val="00AA35E4"/>
    <w:rsid w:val="00AE5207"/>
    <w:rsid w:val="00B80A45"/>
    <w:rsid w:val="00BC2DC1"/>
    <w:rsid w:val="00BD53D9"/>
    <w:rsid w:val="00C106AF"/>
    <w:rsid w:val="00C548D6"/>
    <w:rsid w:val="00D434CC"/>
    <w:rsid w:val="00D717C1"/>
    <w:rsid w:val="00DB231A"/>
    <w:rsid w:val="00E367B4"/>
    <w:rsid w:val="00EB4775"/>
    <w:rsid w:val="00EF530A"/>
    <w:rsid w:val="00F45FC8"/>
    <w:rsid w:val="00F749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6E"/>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855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5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50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06E"/>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8550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506E"/>
    <w:rPr>
      <w:rFonts w:asciiTheme="majorHAnsi" w:eastAsiaTheme="majorEastAsia" w:hAnsiTheme="majorHAnsi" w:cstheme="majorBidi"/>
      <w:b/>
      <w:bCs/>
      <w:color w:val="4F81BD" w:themeColor="accent1"/>
      <w:sz w:val="22"/>
    </w:rPr>
  </w:style>
  <w:style w:type="paragraph" w:styleId="ListParagraph">
    <w:name w:val="List Paragraph"/>
    <w:basedOn w:val="Normal"/>
    <w:uiPriority w:val="99"/>
    <w:qFormat/>
    <w:rsid w:val="0085506E"/>
    <w:pPr>
      <w:ind w:left="720"/>
      <w:contextualSpacing/>
    </w:pPr>
  </w:style>
  <w:style w:type="character" w:styleId="FootnoteReference">
    <w:name w:val="footnote reference"/>
    <w:aliases w:val="Footnote Reference Number,Footnote symbol,Footnote Reference Superscript"/>
    <w:basedOn w:val="DefaultParagraphFont"/>
    <w:unhideWhenUsed/>
    <w:rsid w:val="0085506E"/>
    <w:rPr>
      <w:vertAlign w:val="superscript"/>
    </w:rPr>
  </w:style>
  <w:style w:type="paragraph" w:styleId="NormalWeb">
    <w:name w:val="Normal (Web)"/>
    <w:basedOn w:val="Normal"/>
    <w:uiPriority w:val="99"/>
    <w:unhideWhenUsed/>
    <w:rsid w:val="008550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85506E"/>
    <w:pPr>
      <w:autoSpaceDE w:val="0"/>
      <w:autoSpaceDN w:val="0"/>
      <w:adjustRightInd w:val="0"/>
    </w:pPr>
    <w:rPr>
      <w:rFonts w:cs="Times New Roman"/>
      <w:color w:val="000000"/>
      <w:sz w:val="24"/>
      <w:szCs w:val="24"/>
    </w:rPr>
  </w:style>
  <w:style w:type="table" w:styleId="TableGrid">
    <w:name w:val="Table Grid"/>
    <w:basedOn w:val="TableNormal"/>
    <w:uiPriority w:val="59"/>
    <w:rsid w:val="0085506E"/>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6E"/>
    <w:rPr>
      <w:rFonts w:ascii="Tahoma" w:hAnsi="Tahoma" w:cs="Tahoma"/>
      <w:sz w:val="16"/>
      <w:szCs w:val="16"/>
    </w:rPr>
  </w:style>
  <w:style w:type="paragraph" w:styleId="FootnoteText">
    <w:name w:val="footnote text"/>
    <w:basedOn w:val="Normal"/>
    <w:link w:val="FootnoteTextChar"/>
    <w:rsid w:val="001A572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1A5729"/>
    <w:rPr>
      <w:rFonts w:eastAsia="Times New Roman" w:cs="Times New Roman"/>
      <w:sz w:val="20"/>
      <w:szCs w:val="20"/>
      <w:lang w:eastAsia="lv-LV"/>
    </w:rPr>
  </w:style>
  <w:style w:type="paragraph" w:styleId="Header">
    <w:name w:val="header"/>
    <w:basedOn w:val="Normal"/>
    <w:link w:val="HeaderChar"/>
    <w:uiPriority w:val="99"/>
    <w:unhideWhenUsed/>
    <w:rsid w:val="00D434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34CC"/>
    <w:rPr>
      <w:rFonts w:asciiTheme="minorHAnsi" w:hAnsiTheme="minorHAnsi"/>
      <w:sz w:val="22"/>
    </w:rPr>
  </w:style>
  <w:style w:type="paragraph" w:styleId="Footer">
    <w:name w:val="footer"/>
    <w:basedOn w:val="Normal"/>
    <w:link w:val="FooterChar"/>
    <w:uiPriority w:val="99"/>
    <w:unhideWhenUsed/>
    <w:rsid w:val="00D434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34CC"/>
    <w:rPr>
      <w:rFonts w:asciiTheme="minorHAnsi" w:hAnsiTheme="minorHAnsi"/>
      <w:sz w:val="22"/>
    </w:rPr>
  </w:style>
  <w:style w:type="character" w:styleId="Hyperlink">
    <w:name w:val="Hyperlink"/>
    <w:basedOn w:val="DefaultParagraphFont"/>
    <w:uiPriority w:val="99"/>
    <w:unhideWhenUsed/>
    <w:rsid w:val="00776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6E"/>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855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5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50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06E"/>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8550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506E"/>
    <w:rPr>
      <w:rFonts w:asciiTheme="majorHAnsi" w:eastAsiaTheme="majorEastAsia" w:hAnsiTheme="majorHAnsi" w:cstheme="majorBidi"/>
      <w:b/>
      <w:bCs/>
      <w:color w:val="4F81BD" w:themeColor="accent1"/>
      <w:sz w:val="22"/>
    </w:rPr>
  </w:style>
  <w:style w:type="paragraph" w:styleId="ListParagraph">
    <w:name w:val="List Paragraph"/>
    <w:basedOn w:val="Normal"/>
    <w:uiPriority w:val="99"/>
    <w:qFormat/>
    <w:rsid w:val="0085506E"/>
    <w:pPr>
      <w:ind w:left="720"/>
      <w:contextualSpacing/>
    </w:pPr>
  </w:style>
  <w:style w:type="character" w:styleId="FootnoteReference">
    <w:name w:val="footnote reference"/>
    <w:aliases w:val="Footnote Reference Number,Footnote symbol,Footnote Reference Superscript"/>
    <w:basedOn w:val="DefaultParagraphFont"/>
    <w:unhideWhenUsed/>
    <w:rsid w:val="0085506E"/>
    <w:rPr>
      <w:vertAlign w:val="superscript"/>
    </w:rPr>
  </w:style>
  <w:style w:type="paragraph" w:styleId="NormalWeb">
    <w:name w:val="Normal (Web)"/>
    <w:basedOn w:val="Normal"/>
    <w:uiPriority w:val="99"/>
    <w:unhideWhenUsed/>
    <w:rsid w:val="008550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85506E"/>
    <w:pPr>
      <w:autoSpaceDE w:val="0"/>
      <w:autoSpaceDN w:val="0"/>
      <w:adjustRightInd w:val="0"/>
    </w:pPr>
    <w:rPr>
      <w:rFonts w:cs="Times New Roman"/>
      <w:color w:val="000000"/>
      <w:sz w:val="24"/>
      <w:szCs w:val="24"/>
    </w:rPr>
  </w:style>
  <w:style w:type="table" w:styleId="TableGrid">
    <w:name w:val="Table Grid"/>
    <w:basedOn w:val="TableNormal"/>
    <w:uiPriority w:val="59"/>
    <w:rsid w:val="0085506E"/>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6E"/>
    <w:rPr>
      <w:rFonts w:ascii="Tahoma" w:hAnsi="Tahoma" w:cs="Tahoma"/>
      <w:sz w:val="16"/>
      <w:szCs w:val="16"/>
    </w:rPr>
  </w:style>
  <w:style w:type="paragraph" w:styleId="FootnoteText">
    <w:name w:val="footnote text"/>
    <w:basedOn w:val="Normal"/>
    <w:link w:val="FootnoteTextChar"/>
    <w:rsid w:val="001A572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1A5729"/>
    <w:rPr>
      <w:rFonts w:eastAsia="Times New Roman" w:cs="Times New Roman"/>
      <w:sz w:val="20"/>
      <w:szCs w:val="20"/>
      <w:lang w:eastAsia="lv-LV"/>
    </w:rPr>
  </w:style>
  <w:style w:type="paragraph" w:styleId="Header">
    <w:name w:val="header"/>
    <w:basedOn w:val="Normal"/>
    <w:link w:val="HeaderChar"/>
    <w:uiPriority w:val="99"/>
    <w:unhideWhenUsed/>
    <w:rsid w:val="00D434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34CC"/>
    <w:rPr>
      <w:rFonts w:asciiTheme="minorHAnsi" w:hAnsiTheme="minorHAnsi"/>
      <w:sz w:val="22"/>
    </w:rPr>
  </w:style>
  <w:style w:type="paragraph" w:styleId="Footer">
    <w:name w:val="footer"/>
    <w:basedOn w:val="Normal"/>
    <w:link w:val="FooterChar"/>
    <w:uiPriority w:val="99"/>
    <w:unhideWhenUsed/>
    <w:rsid w:val="00D434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34CC"/>
    <w:rPr>
      <w:rFonts w:asciiTheme="minorHAnsi" w:hAnsiTheme="minorHAnsi"/>
      <w:sz w:val="22"/>
    </w:rPr>
  </w:style>
  <w:style w:type="character" w:styleId="Hyperlink">
    <w:name w:val="Hyperlink"/>
    <w:basedOn w:val="DefaultParagraphFont"/>
    <w:uiPriority w:val="99"/>
    <w:unhideWhenUsed/>
    <w:rsid w:val="00776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7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x\NAD\_Informat&#299;vie%20zi&#326;ojumi\Neapliekamais%20min.%20un%20atvieglojumi\Uz%20VSS%2016%2005%202013\Dati_28%2003%20201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ilex\NAD\_Informat&#299;vie%20zi&#326;ojumi\Neapliekamais%20min.%20un%20atvieglojumi\Uz%20VSS%2016%2005%202013\Dati_28%2003%20201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Dati_28%2003%20201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D%2015%2004%202013\Dati_28%2003%20201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Dati_28%2003%20201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epp.eurostat.ec.europa.eu/tgm/web/_download/Eurostat_Table_tsiem070FlagDesc.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darba_nodok&#316;i_\earn_nt_taxwedge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ilex\NAD\_Informat&#299;vie%20zi&#326;ojumi\Neapliekamais%20min.%20un%20atvieglojumi\Uz%20VSS%2016%2005%202013\Dati_28%2003%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Dati_28%2003%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Dati_28%2003%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Dati_28%2003%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Dati_28%2003%20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LM_slieksni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Uz%20VSS%2016%2005%202013\LM_slieksni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x\NAD\_Informat&#299;vie%20zi&#326;ojumi\Neapliekamais%20min.%20un%20atvieglojumi\LM_slieksni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41627806232959"/>
          <c:y val="5.5555555555555552E-2"/>
          <c:w val="0.77507678005275638"/>
          <c:h val="0.84276729559748431"/>
        </c:manualLayout>
      </c:layout>
      <c:lineChart>
        <c:grouping val="standard"/>
        <c:varyColors val="0"/>
        <c:ser>
          <c:idx val="0"/>
          <c:order val="0"/>
          <c:tx>
            <c:strRef>
              <c:f>LABOUR!$D$1</c:f>
              <c:strCache>
                <c:ptCount val="1"/>
                <c:pt idx="0">
                  <c:v>Darba meklētāji </c:v>
                </c:pt>
              </c:strCache>
            </c:strRef>
          </c:tx>
          <c:spPr>
            <a:ln>
              <a:solidFill>
                <a:srgbClr val="0070C0"/>
              </a:solidFill>
              <a:prstDash val="dash"/>
            </a:ln>
          </c:spPr>
          <c:marker>
            <c:symbol val="none"/>
          </c:marker>
          <c:cat>
            <c:strRef>
              <c:f>LABOUR!$A$2:$A$45</c:f>
              <c:strCache>
                <c:ptCount val="41"/>
                <c:pt idx="0">
                  <c:v>2002</c:v>
                </c:pt>
                <c:pt idx="4">
                  <c:v>2003</c:v>
                </c:pt>
                <c:pt idx="8">
                  <c:v>2004</c:v>
                </c:pt>
                <c:pt idx="12">
                  <c:v>2005</c:v>
                </c:pt>
                <c:pt idx="16">
                  <c:v>2006</c:v>
                </c:pt>
                <c:pt idx="20">
                  <c:v>2007</c:v>
                </c:pt>
                <c:pt idx="24">
                  <c:v>2008</c:v>
                </c:pt>
                <c:pt idx="28">
                  <c:v>2009</c:v>
                </c:pt>
                <c:pt idx="32">
                  <c:v>2010</c:v>
                </c:pt>
                <c:pt idx="36">
                  <c:v>2011</c:v>
                </c:pt>
                <c:pt idx="40">
                  <c:v>2012</c:v>
                </c:pt>
              </c:strCache>
            </c:strRef>
          </c:cat>
          <c:val>
            <c:numRef>
              <c:f>LABOUR!$D$2:$D$45</c:f>
              <c:numCache>
                <c:formatCode>0.0</c:formatCode>
                <c:ptCount val="44"/>
                <c:pt idx="0">
                  <c:v>12.9</c:v>
                </c:pt>
                <c:pt idx="1">
                  <c:v>13.3</c:v>
                </c:pt>
                <c:pt idx="2">
                  <c:v>10.5</c:v>
                </c:pt>
                <c:pt idx="3">
                  <c:v>11.6</c:v>
                </c:pt>
                <c:pt idx="4">
                  <c:v>10.7</c:v>
                </c:pt>
                <c:pt idx="5">
                  <c:v>10.6</c:v>
                </c:pt>
                <c:pt idx="6">
                  <c:v>10.7</c:v>
                </c:pt>
                <c:pt idx="7">
                  <c:v>10.3</c:v>
                </c:pt>
                <c:pt idx="8">
                  <c:v>11.5</c:v>
                </c:pt>
                <c:pt idx="9">
                  <c:v>9.9</c:v>
                </c:pt>
                <c:pt idx="10">
                  <c:v>10</c:v>
                </c:pt>
                <c:pt idx="11">
                  <c:v>10.3</c:v>
                </c:pt>
                <c:pt idx="12">
                  <c:v>9.9</c:v>
                </c:pt>
                <c:pt idx="13">
                  <c:v>9.1999999999999993</c:v>
                </c:pt>
                <c:pt idx="14">
                  <c:v>8.6999999999999993</c:v>
                </c:pt>
                <c:pt idx="15">
                  <c:v>7.8</c:v>
                </c:pt>
                <c:pt idx="16">
                  <c:v>7.8</c:v>
                </c:pt>
                <c:pt idx="17">
                  <c:v>7.2</c:v>
                </c:pt>
                <c:pt idx="18">
                  <c:v>6.2</c:v>
                </c:pt>
                <c:pt idx="19">
                  <c:v>6.1</c:v>
                </c:pt>
                <c:pt idx="20">
                  <c:v>6.9</c:v>
                </c:pt>
                <c:pt idx="21">
                  <c:v>6</c:v>
                </c:pt>
                <c:pt idx="22">
                  <c:v>5.9</c:v>
                </c:pt>
                <c:pt idx="23">
                  <c:v>5.3</c:v>
                </c:pt>
                <c:pt idx="24">
                  <c:v>6.5</c:v>
                </c:pt>
                <c:pt idx="25">
                  <c:v>6.3</c:v>
                </c:pt>
                <c:pt idx="26">
                  <c:v>7.2</c:v>
                </c:pt>
                <c:pt idx="27">
                  <c:v>9.9</c:v>
                </c:pt>
                <c:pt idx="28">
                  <c:v>13.9</c:v>
                </c:pt>
                <c:pt idx="29">
                  <c:v>16.7</c:v>
                </c:pt>
                <c:pt idx="30">
                  <c:v>18.399999999999999</c:v>
                </c:pt>
                <c:pt idx="31">
                  <c:v>19.7</c:v>
                </c:pt>
                <c:pt idx="32">
                  <c:v>20.5</c:v>
                </c:pt>
                <c:pt idx="33">
                  <c:v>19.399999999999999</c:v>
                </c:pt>
                <c:pt idx="34">
                  <c:v>17.899999999999999</c:v>
                </c:pt>
                <c:pt idx="35">
                  <c:v>16.899999999999999</c:v>
                </c:pt>
                <c:pt idx="36">
                  <c:v>17.600000000000001</c:v>
                </c:pt>
                <c:pt idx="37">
                  <c:v>17.100000000000001</c:v>
                </c:pt>
                <c:pt idx="38">
                  <c:v>15.1</c:v>
                </c:pt>
                <c:pt idx="39">
                  <c:v>15</c:v>
                </c:pt>
                <c:pt idx="40">
                  <c:v>16.3</c:v>
                </c:pt>
                <c:pt idx="41">
                  <c:v>16.100000000000001</c:v>
                </c:pt>
                <c:pt idx="42">
                  <c:v>13.5</c:v>
                </c:pt>
                <c:pt idx="43">
                  <c:v>13.8</c:v>
                </c:pt>
              </c:numCache>
            </c:numRef>
          </c:val>
          <c:smooth val="0"/>
        </c:ser>
        <c:ser>
          <c:idx val="1"/>
          <c:order val="1"/>
          <c:tx>
            <c:strRef>
              <c:f>LABOUR!$C$1</c:f>
              <c:strCache>
                <c:ptCount val="1"/>
                <c:pt idx="0">
                  <c:v>Darba meklētāji</c:v>
                </c:pt>
              </c:strCache>
            </c:strRef>
          </c:tx>
          <c:spPr>
            <a:ln>
              <a:solidFill>
                <a:srgbClr val="002060"/>
              </a:solidFill>
              <a:prstDash val="solid"/>
            </a:ln>
          </c:spPr>
          <c:marker>
            <c:symbol val="none"/>
          </c:marker>
          <c:cat>
            <c:strRef>
              <c:f>LABOUR!$A$2:$A$45</c:f>
              <c:strCache>
                <c:ptCount val="41"/>
                <c:pt idx="0">
                  <c:v>2002</c:v>
                </c:pt>
                <c:pt idx="4">
                  <c:v>2003</c:v>
                </c:pt>
                <c:pt idx="8">
                  <c:v>2004</c:v>
                </c:pt>
                <c:pt idx="12">
                  <c:v>2005</c:v>
                </c:pt>
                <c:pt idx="16">
                  <c:v>2006</c:v>
                </c:pt>
                <c:pt idx="20">
                  <c:v>2007</c:v>
                </c:pt>
                <c:pt idx="24">
                  <c:v>2008</c:v>
                </c:pt>
                <c:pt idx="28">
                  <c:v>2009</c:v>
                </c:pt>
                <c:pt idx="32">
                  <c:v>2010</c:v>
                </c:pt>
                <c:pt idx="36">
                  <c:v>2011</c:v>
                </c:pt>
                <c:pt idx="40">
                  <c:v>2012</c:v>
                </c:pt>
              </c:strCache>
            </c:strRef>
          </c:cat>
          <c:val>
            <c:numRef>
              <c:f>LABOUR!$C$2:$C$45</c:f>
              <c:numCache>
                <c:formatCode>0.0</c:formatCode>
                <c:ptCount val="44"/>
                <c:pt idx="0">
                  <c:v>12.9</c:v>
                </c:pt>
                <c:pt idx="1">
                  <c:v>13.3</c:v>
                </c:pt>
                <c:pt idx="2">
                  <c:v>10.5</c:v>
                </c:pt>
                <c:pt idx="3">
                  <c:v>11.6</c:v>
                </c:pt>
                <c:pt idx="4">
                  <c:v>10.7</c:v>
                </c:pt>
                <c:pt idx="5">
                  <c:v>10.6</c:v>
                </c:pt>
                <c:pt idx="6">
                  <c:v>10.7</c:v>
                </c:pt>
                <c:pt idx="7">
                  <c:v>10.3</c:v>
                </c:pt>
                <c:pt idx="8">
                  <c:v>11.5</c:v>
                </c:pt>
                <c:pt idx="9">
                  <c:v>9.9</c:v>
                </c:pt>
                <c:pt idx="10">
                  <c:v>10</c:v>
                </c:pt>
                <c:pt idx="11">
                  <c:v>10.3</c:v>
                </c:pt>
                <c:pt idx="12">
                  <c:v>9.9</c:v>
                </c:pt>
                <c:pt idx="13">
                  <c:v>9.1999999999999993</c:v>
                </c:pt>
                <c:pt idx="14">
                  <c:v>8.6999999999999993</c:v>
                </c:pt>
                <c:pt idx="15">
                  <c:v>7.8</c:v>
                </c:pt>
                <c:pt idx="16">
                  <c:v>7.8</c:v>
                </c:pt>
                <c:pt idx="17">
                  <c:v>7.2</c:v>
                </c:pt>
                <c:pt idx="18">
                  <c:v>6.2</c:v>
                </c:pt>
                <c:pt idx="19">
                  <c:v>6.1</c:v>
                </c:pt>
                <c:pt idx="20">
                  <c:v>6.9</c:v>
                </c:pt>
                <c:pt idx="21">
                  <c:v>6</c:v>
                </c:pt>
                <c:pt idx="22">
                  <c:v>5.9</c:v>
                </c:pt>
                <c:pt idx="23">
                  <c:v>5.3</c:v>
                </c:pt>
                <c:pt idx="24">
                  <c:v>6.5</c:v>
                </c:pt>
                <c:pt idx="25">
                  <c:v>6.3</c:v>
                </c:pt>
                <c:pt idx="26">
                  <c:v>7.2</c:v>
                </c:pt>
                <c:pt idx="27">
                  <c:v>9.9</c:v>
                </c:pt>
                <c:pt idx="28">
                  <c:v>13.9</c:v>
                </c:pt>
                <c:pt idx="29">
                  <c:v>16.7</c:v>
                </c:pt>
                <c:pt idx="30">
                  <c:v>18.399999999999999</c:v>
                </c:pt>
                <c:pt idx="31">
                  <c:v>19.7</c:v>
                </c:pt>
                <c:pt idx="32">
                  <c:v>20.5</c:v>
                </c:pt>
                <c:pt idx="33">
                  <c:v>19.399999999999999</c:v>
                </c:pt>
                <c:pt idx="34">
                  <c:v>17.899999999999999</c:v>
                </c:pt>
                <c:pt idx="35">
                  <c:v>16.899999999999999</c:v>
                </c:pt>
                <c:pt idx="36">
                  <c:v>16.600000000000001</c:v>
                </c:pt>
                <c:pt idx="37">
                  <c:v>16.2</c:v>
                </c:pt>
                <c:pt idx="38">
                  <c:v>14.4</c:v>
                </c:pt>
                <c:pt idx="39">
                  <c:v>14.3</c:v>
                </c:pt>
                <c:pt idx="40" formatCode="General">
                  <c:v>16.3</c:v>
                </c:pt>
                <c:pt idx="41" formatCode="General">
                  <c:v>16.100000000000001</c:v>
                </c:pt>
                <c:pt idx="42" formatCode="General">
                  <c:v>13.5</c:v>
                </c:pt>
                <c:pt idx="43" formatCode="General">
                  <c:v>13.8</c:v>
                </c:pt>
              </c:numCache>
            </c:numRef>
          </c:val>
          <c:smooth val="0"/>
        </c:ser>
        <c:dLbls>
          <c:showLegendKey val="0"/>
          <c:showVal val="0"/>
          <c:showCatName val="0"/>
          <c:showSerName val="0"/>
          <c:showPercent val="0"/>
          <c:showBubbleSize val="0"/>
        </c:dLbls>
        <c:marker val="1"/>
        <c:smooth val="0"/>
        <c:axId val="69958656"/>
        <c:axId val="71337088"/>
      </c:lineChart>
      <c:catAx>
        <c:axId val="69958656"/>
        <c:scaling>
          <c:orientation val="minMax"/>
        </c:scaling>
        <c:delete val="0"/>
        <c:axPos val="b"/>
        <c:numFmt formatCode="General" sourceLinked="1"/>
        <c:majorTickMark val="out"/>
        <c:minorTickMark val="none"/>
        <c:tickLblPos val="nextTo"/>
        <c:txPr>
          <a:bodyPr rot="0" vert="horz"/>
          <a:lstStyle/>
          <a:p>
            <a:pPr>
              <a:defRPr sz="700"/>
            </a:pPr>
            <a:endParaRPr lang="lv-LV"/>
          </a:p>
        </c:txPr>
        <c:crossAx val="71337088"/>
        <c:crosses val="autoZero"/>
        <c:auto val="1"/>
        <c:lblAlgn val="ctr"/>
        <c:lblOffset val="100"/>
        <c:tickMarkSkip val="4"/>
        <c:noMultiLvlLbl val="0"/>
      </c:catAx>
      <c:valAx>
        <c:axId val="71337088"/>
        <c:scaling>
          <c:orientation val="minMax"/>
        </c:scaling>
        <c:delete val="0"/>
        <c:axPos val="l"/>
        <c:majorGridlines/>
        <c:title>
          <c:tx>
            <c:rich>
              <a:bodyPr rot="-5400000" vert="horz"/>
              <a:lstStyle/>
              <a:p>
                <a:pPr>
                  <a:defRPr sz="900" b="1"/>
                </a:pPr>
                <a:r>
                  <a:rPr lang="en-US" sz="900" b="1"/>
                  <a:t>Darb</a:t>
                </a:r>
                <a:r>
                  <a:rPr lang="lv-LV" sz="900" b="1"/>
                  <a:t>a</a:t>
                </a:r>
                <a:r>
                  <a:rPr lang="en-US" sz="900" b="1"/>
                  <a:t> meklētāji</a:t>
                </a:r>
                <a:r>
                  <a:rPr lang="lv-LV" sz="900" b="1"/>
                  <a:t>, %</a:t>
                </a:r>
                <a:endParaRPr lang="en-US" sz="900" b="1"/>
              </a:p>
            </c:rich>
          </c:tx>
          <c:layout/>
          <c:overlay val="0"/>
        </c:title>
        <c:numFmt formatCode="0.0" sourceLinked="1"/>
        <c:majorTickMark val="out"/>
        <c:minorTickMark val="none"/>
        <c:tickLblPos val="nextTo"/>
        <c:txPr>
          <a:bodyPr rot="0" vert="horz"/>
          <a:lstStyle/>
          <a:p>
            <a:pPr>
              <a:defRPr sz="900"/>
            </a:pPr>
            <a:endParaRPr lang="lv-LV"/>
          </a:p>
        </c:txPr>
        <c:crossAx val="69958656"/>
        <c:crosses val="autoZero"/>
        <c:crossBetween val="between"/>
      </c:valAx>
    </c:plotArea>
    <c:plotVisOnly val="1"/>
    <c:dispBlanksAs val="gap"/>
    <c:showDLblsOverMax val="0"/>
  </c:chart>
  <c:spPr>
    <a:ln>
      <a:noFill/>
    </a:ln>
  </c:spPr>
  <c:txPr>
    <a:bodyPr/>
    <a:lstStyle/>
    <a:p>
      <a:pPr>
        <a:defRPr sz="1200" b="0" i="0" u="none" strike="noStrike" baseline="0">
          <a:solidFill>
            <a:srgbClr val="000000"/>
          </a:solidFill>
          <a:latin typeface="Times New Roman" pitchFamily="18" charset="0"/>
          <a:ea typeface="Times New Roman"/>
          <a:cs typeface="Times New Roman" pitchFamily="18" charset="0"/>
        </a:defRPr>
      </a:pPr>
      <a:endParaRPr lang="lv-LV"/>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16666666666669E-2"/>
          <c:y val="4.8611111111111112E-2"/>
          <c:w val="0.8833333333333333"/>
          <c:h val="0.72569444444444442"/>
        </c:manualLayout>
      </c:layout>
      <c:barChart>
        <c:barDir val="col"/>
        <c:grouping val="clustered"/>
        <c:varyColors val="0"/>
        <c:ser>
          <c:idx val="0"/>
          <c:order val="0"/>
          <c:tx>
            <c:strRef>
              <c:f>'Unem Trap'!$A$20</c:f>
              <c:strCache>
                <c:ptCount val="1"/>
                <c:pt idx="0">
                  <c:v>Latvija</c:v>
                </c:pt>
              </c:strCache>
            </c:strRef>
          </c:tx>
          <c:spPr>
            <a:solidFill>
              <a:srgbClr val="C00000"/>
            </a:solidFill>
          </c:spPr>
          <c:invertIfNegative val="0"/>
          <c:dLbls>
            <c:txPr>
              <a:bodyPr/>
              <a:lstStyle/>
              <a:p>
                <a:pPr>
                  <a:defRPr sz="1000"/>
                </a:pPr>
                <a:endParaRPr lang="lv-LV"/>
              </a:p>
            </c:txPr>
            <c:showLegendKey val="0"/>
            <c:showVal val="1"/>
            <c:showCatName val="0"/>
            <c:showSerName val="0"/>
            <c:showPercent val="0"/>
            <c:showBubbleSize val="0"/>
            <c:showLeaderLines val="0"/>
          </c:dLbls>
          <c:cat>
            <c:strRef>
              <c:f>'Unem Trap'!$B$19:$C$19</c:f>
              <c:strCache>
                <c:ptCount val="2"/>
                <c:pt idx="0">
                  <c:v>Bezdarba slazds</c:v>
                </c:pt>
                <c:pt idx="1">
                  <c:v>Zemas algas slazds</c:v>
                </c:pt>
              </c:strCache>
            </c:strRef>
          </c:cat>
          <c:val>
            <c:numRef>
              <c:f>'Unem Trap'!$B$20:$C$20</c:f>
              <c:numCache>
                <c:formatCode>#,##0.00</c:formatCode>
                <c:ptCount val="2"/>
                <c:pt idx="0">
                  <c:v>90</c:v>
                </c:pt>
                <c:pt idx="1">
                  <c:v>33</c:v>
                </c:pt>
              </c:numCache>
            </c:numRef>
          </c:val>
        </c:ser>
        <c:ser>
          <c:idx val="1"/>
          <c:order val="1"/>
          <c:tx>
            <c:strRef>
              <c:f>'Unem Trap'!$A$21</c:f>
              <c:strCache>
                <c:ptCount val="1"/>
                <c:pt idx="0">
                  <c:v>ES vidējais</c:v>
                </c:pt>
              </c:strCache>
            </c:strRef>
          </c:tx>
          <c:spPr>
            <a:solidFill>
              <a:schemeClr val="accent1">
                <a:lumMod val="60000"/>
                <a:lumOff val="40000"/>
              </a:schemeClr>
            </a:solidFill>
          </c:spPr>
          <c:invertIfNegative val="0"/>
          <c:dLbls>
            <c:txPr>
              <a:bodyPr/>
              <a:lstStyle/>
              <a:p>
                <a:pPr>
                  <a:defRPr sz="1000"/>
                </a:pPr>
                <a:endParaRPr lang="lv-LV"/>
              </a:p>
            </c:txPr>
            <c:showLegendKey val="0"/>
            <c:showVal val="1"/>
            <c:showCatName val="0"/>
            <c:showSerName val="0"/>
            <c:showPercent val="0"/>
            <c:showBubbleSize val="0"/>
            <c:showLeaderLines val="0"/>
          </c:dLbls>
          <c:cat>
            <c:strRef>
              <c:f>'Unem Trap'!$B$19:$C$19</c:f>
              <c:strCache>
                <c:ptCount val="2"/>
                <c:pt idx="0">
                  <c:v>Bezdarba slazds</c:v>
                </c:pt>
                <c:pt idx="1">
                  <c:v>Zemas algas slazds</c:v>
                </c:pt>
              </c:strCache>
            </c:strRef>
          </c:cat>
          <c:val>
            <c:numRef>
              <c:f>'Unem Trap'!$B$21:$C$21</c:f>
              <c:numCache>
                <c:formatCode>#,##0.00</c:formatCode>
                <c:ptCount val="2"/>
                <c:pt idx="0">
                  <c:v>74.81</c:v>
                </c:pt>
                <c:pt idx="1">
                  <c:v>47.22</c:v>
                </c:pt>
              </c:numCache>
            </c:numRef>
          </c:val>
        </c:ser>
        <c:dLbls>
          <c:showLegendKey val="0"/>
          <c:showVal val="0"/>
          <c:showCatName val="0"/>
          <c:showSerName val="0"/>
          <c:showPercent val="0"/>
          <c:showBubbleSize val="0"/>
        </c:dLbls>
        <c:gapWidth val="150"/>
        <c:axId val="69969792"/>
        <c:axId val="69971328"/>
      </c:barChart>
      <c:catAx>
        <c:axId val="6996979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69971328"/>
        <c:crosses val="autoZero"/>
        <c:auto val="1"/>
        <c:lblAlgn val="ctr"/>
        <c:lblOffset val="100"/>
        <c:noMultiLvlLbl val="0"/>
      </c:catAx>
      <c:valAx>
        <c:axId val="69971328"/>
        <c:scaling>
          <c:orientation val="minMax"/>
          <c:min val="0"/>
        </c:scaling>
        <c:delete val="0"/>
        <c:axPos val="l"/>
        <c:majorGridlines>
          <c:spPr>
            <a:ln>
              <a:solidFill>
                <a:schemeClr val="bg1">
                  <a:lumMod val="75000"/>
                </a:schemeClr>
              </a:solidFill>
            </a:ln>
          </c:spPr>
        </c:majorGridlines>
        <c:numFmt formatCode="#,##0" sourceLinked="0"/>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lv-LV"/>
          </a:p>
        </c:txPr>
        <c:crossAx val="69969792"/>
        <c:crosses val="autoZero"/>
        <c:crossBetween val="between"/>
      </c:valAx>
    </c:plotArea>
    <c:legend>
      <c:legendPos val="b"/>
      <c:overlay val="0"/>
      <c:txPr>
        <a:bodyPr/>
        <a:lstStyle/>
        <a:p>
          <a:pPr>
            <a:defRPr sz="1010" b="0" i="0" u="none" strike="noStrike" baseline="0">
              <a:solidFill>
                <a:srgbClr val="000000"/>
              </a:solidFill>
              <a:latin typeface="Times New Roman"/>
              <a:ea typeface="Times New Roman"/>
              <a:cs typeface="Times New Roman"/>
            </a:defRPr>
          </a:pPr>
          <a:endParaRPr lang="lv-LV"/>
        </a:p>
      </c:txPr>
    </c:legend>
    <c:plotVisOnly val="1"/>
    <c:dispBlanksAs val="gap"/>
    <c:showDLblsOverMax val="0"/>
  </c:chart>
  <c:spPr>
    <a:ln>
      <a:noFill/>
    </a:ln>
  </c:spPr>
  <c:txPr>
    <a:bodyPr/>
    <a:lstStyle/>
    <a:p>
      <a:pPr>
        <a:defRPr sz="1200" b="0" i="0" u="none" strike="noStrike" baseline="0">
          <a:solidFill>
            <a:srgbClr val="000000"/>
          </a:solidFill>
          <a:latin typeface="Times New Roman"/>
          <a:ea typeface="Times New Roman"/>
          <a:cs typeface="Times New Roman"/>
        </a:defRPr>
      </a:pPr>
      <a:endParaRPr lang="lv-LV"/>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lv-LV" sz="1000"/>
              <a:t>Darbaspēka nodokļu ieņēmumi, </a:t>
            </a:r>
          </a:p>
          <a:p>
            <a:pPr>
              <a:defRPr sz="1000"/>
            </a:pPr>
            <a:r>
              <a:rPr lang="lv-LV" sz="1000" b="0" i="1"/>
              <a:t>mijl. latu</a:t>
            </a:r>
          </a:p>
        </c:rich>
      </c:tx>
      <c:overlay val="1"/>
    </c:title>
    <c:autoTitleDeleted val="0"/>
    <c:plotArea>
      <c:layout>
        <c:manualLayout>
          <c:layoutTarget val="inner"/>
          <c:xMode val="edge"/>
          <c:yMode val="edge"/>
          <c:x val="0.16791609954603531"/>
          <c:y val="0.14355029633609806"/>
          <c:w val="0.79599125860188824"/>
          <c:h val="0.68555459843328526"/>
        </c:manualLayout>
      </c:layout>
      <c:barChart>
        <c:barDir val="col"/>
        <c:grouping val="clustered"/>
        <c:varyColors val="0"/>
        <c:ser>
          <c:idx val="0"/>
          <c:order val="0"/>
          <c:tx>
            <c:strRef>
              <c:f>'Tax income'!$A$22</c:f>
              <c:strCache>
                <c:ptCount val="1"/>
                <c:pt idx="0">
                  <c:v>VSAOI</c:v>
                </c:pt>
              </c:strCache>
            </c:strRef>
          </c:tx>
          <c:spPr>
            <a:solidFill>
              <a:srgbClr val="0036A2"/>
            </a:solidFill>
          </c:spPr>
          <c:invertIfNegative val="0"/>
          <c:cat>
            <c:numRef>
              <c:f>'Tax income'!$B$20:$N$20</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'Tax income'!$B$22:$N$22</c:f>
              <c:numCache>
                <c:formatCode>#,##0.0</c:formatCode>
                <c:ptCount val="13"/>
                <c:pt idx="0">
                  <c:v>466.36999099999997</c:v>
                </c:pt>
                <c:pt idx="1">
                  <c:v>484.08644500000003</c:v>
                </c:pt>
                <c:pt idx="2">
                  <c:v>537.81872099999998</c:v>
                </c:pt>
                <c:pt idx="3">
                  <c:v>574.26174900000012</c:v>
                </c:pt>
                <c:pt idx="4">
                  <c:v>662.409042</c:v>
                </c:pt>
                <c:pt idx="5">
                  <c:v>780.63441499999999</c:v>
                </c:pt>
                <c:pt idx="6">
                  <c:v>1000.219777</c:v>
                </c:pt>
                <c:pt idx="7">
                  <c:v>1377.4074210000001</c:v>
                </c:pt>
                <c:pt idx="8">
                  <c:v>1667.4888659999999</c:v>
                </c:pt>
                <c:pt idx="9">
                  <c:v>1330.3141900000001</c:v>
                </c:pt>
                <c:pt idx="10">
                  <c:v>1157.5378260000002</c:v>
                </c:pt>
                <c:pt idx="11">
                  <c:v>1295.2164540000001</c:v>
                </c:pt>
                <c:pt idx="12">
                  <c:v>1399.44815163</c:v>
                </c:pt>
              </c:numCache>
            </c:numRef>
          </c:val>
        </c:ser>
        <c:ser>
          <c:idx val="1"/>
          <c:order val="1"/>
          <c:tx>
            <c:strRef>
              <c:f>'Tax income'!$A$23</c:f>
              <c:strCache>
                <c:ptCount val="1"/>
                <c:pt idx="0">
                  <c:v>IIN</c:v>
                </c:pt>
              </c:strCache>
            </c:strRef>
          </c:tx>
          <c:spPr>
            <a:solidFill>
              <a:schemeClr val="accent2">
                <a:lumMod val="40000"/>
                <a:lumOff val="60000"/>
              </a:schemeClr>
            </a:solidFill>
          </c:spPr>
          <c:invertIfNegative val="0"/>
          <c:cat>
            <c:numRef>
              <c:f>'Tax income'!$B$20:$N$20</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'Tax income'!$B$23:$N$23</c:f>
              <c:numCache>
                <c:formatCode>#,##0.0</c:formatCode>
                <c:ptCount val="13"/>
                <c:pt idx="0">
                  <c:v>261.16087400000004</c:v>
                </c:pt>
                <c:pt idx="1">
                  <c:v>283.75817499999999</c:v>
                </c:pt>
                <c:pt idx="2">
                  <c:v>319.53749699999997</c:v>
                </c:pt>
                <c:pt idx="3">
                  <c:v>367.13912799999997</c:v>
                </c:pt>
                <c:pt idx="4">
                  <c:v>435.45386099999996</c:v>
                </c:pt>
                <c:pt idx="5">
                  <c:v>509.09490900000003</c:v>
                </c:pt>
                <c:pt idx="6">
                  <c:v>657.23575599999992</c:v>
                </c:pt>
                <c:pt idx="7">
                  <c:v>887.95543300000008</c:v>
                </c:pt>
                <c:pt idx="8">
                  <c:v>1029.1103229999999</c:v>
                </c:pt>
                <c:pt idx="9">
                  <c:v>724.12235809000003</c:v>
                </c:pt>
                <c:pt idx="10">
                  <c:v>778.82969900000001</c:v>
                </c:pt>
                <c:pt idx="11">
                  <c:v>792.20463099999995</c:v>
                </c:pt>
                <c:pt idx="12">
                  <c:v>871.649449</c:v>
                </c:pt>
              </c:numCache>
            </c:numRef>
          </c:val>
        </c:ser>
        <c:dLbls>
          <c:showLegendKey val="0"/>
          <c:showVal val="0"/>
          <c:showCatName val="0"/>
          <c:showSerName val="0"/>
          <c:showPercent val="0"/>
          <c:showBubbleSize val="0"/>
        </c:dLbls>
        <c:gapWidth val="150"/>
        <c:axId val="71348608"/>
        <c:axId val="71350144"/>
      </c:barChart>
      <c:catAx>
        <c:axId val="71348608"/>
        <c:scaling>
          <c:orientation val="minMax"/>
        </c:scaling>
        <c:delete val="0"/>
        <c:axPos val="b"/>
        <c:numFmt formatCode="General" sourceLinked="1"/>
        <c:majorTickMark val="out"/>
        <c:minorTickMark val="none"/>
        <c:tickLblPos val="nextTo"/>
        <c:txPr>
          <a:bodyPr/>
          <a:lstStyle/>
          <a:p>
            <a:pPr>
              <a:defRPr sz="900"/>
            </a:pPr>
            <a:endParaRPr lang="lv-LV"/>
          </a:p>
        </c:txPr>
        <c:crossAx val="71350144"/>
        <c:crosses val="autoZero"/>
        <c:auto val="1"/>
        <c:lblAlgn val="ctr"/>
        <c:lblOffset val="100"/>
        <c:noMultiLvlLbl val="0"/>
      </c:catAx>
      <c:valAx>
        <c:axId val="71350144"/>
        <c:scaling>
          <c:orientation val="minMax"/>
        </c:scaling>
        <c:delete val="0"/>
        <c:axPos val="l"/>
        <c:majorGridlines>
          <c:spPr>
            <a:ln>
              <a:solidFill>
                <a:schemeClr val="bg1">
                  <a:lumMod val="85000"/>
                </a:schemeClr>
              </a:solidFill>
            </a:ln>
          </c:spPr>
        </c:majorGridlines>
        <c:numFmt formatCode="#,##0.0" sourceLinked="1"/>
        <c:majorTickMark val="out"/>
        <c:minorTickMark val="none"/>
        <c:tickLblPos val="nextTo"/>
        <c:txPr>
          <a:bodyPr/>
          <a:lstStyle/>
          <a:p>
            <a:pPr>
              <a:defRPr sz="900"/>
            </a:pPr>
            <a:endParaRPr lang="lv-LV"/>
          </a:p>
        </c:txPr>
        <c:crossAx val="71348608"/>
        <c:crosses val="autoZero"/>
        <c:crossBetween val="between"/>
      </c:valAx>
    </c:plotArea>
    <c:legend>
      <c:legendPos val="r"/>
      <c:layout>
        <c:manualLayout>
          <c:xMode val="edge"/>
          <c:yMode val="edge"/>
          <c:x val="0.20347410602163263"/>
          <c:y val="0.16832981177506737"/>
          <c:w val="0.22377854832233468"/>
          <c:h val="0.13663982740997807"/>
        </c:manualLayout>
      </c:layout>
      <c:overlay val="0"/>
      <c:spPr>
        <a:solidFill>
          <a:schemeClr val="bg1"/>
        </a:solidFill>
        <a:ln>
          <a:solidFill>
            <a:schemeClr val="bg1">
              <a:lumMod val="75000"/>
            </a:schemeClr>
          </a:solidFill>
        </a:ln>
      </c:spPr>
      <c:txPr>
        <a:bodyPr/>
        <a:lstStyle/>
        <a:p>
          <a:pPr>
            <a:defRPr sz="9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lv-LV" sz="1000"/>
              <a:t>Darbaspēka nodokļu ieņēmumi, </a:t>
            </a:r>
          </a:p>
          <a:p>
            <a:pPr>
              <a:defRPr sz="1000"/>
            </a:pPr>
            <a:r>
              <a:rPr lang="lv-LV" sz="1000" b="0" i="1"/>
              <a:t>% no IKP</a:t>
            </a:r>
          </a:p>
        </c:rich>
      </c:tx>
      <c:overlay val="0"/>
    </c:title>
    <c:autoTitleDeleted val="0"/>
    <c:plotArea>
      <c:layout>
        <c:manualLayout>
          <c:layoutTarget val="inner"/>
          <c:xMode val="edge"/>
          <c:yMode val="edge"/>
          <c:x val="0.15250492398450363"/>
          <c:y val="0.15286199668317194"/>
          <c:w val="0.81504474620653844"/>
          <c:h val="0.68512375081057109"/>
        </c:manualLayout>
      </c:layout>
      <c:lineChart>
        <c:grouping val="standard"/>
        <c:varyColors val="0"/>
        <c:ser>
          <c:idx val="0"/>
          <c:order val="0"/>
          <c:tx>
            <c:strRef>
              <c:f>'Tax income'!$A$4</c:f>
              <c:strCache>
                <c:ptCount val="1"/>
                <c:pt idx="0">
                  <c:v>VSAOI</c:v>
                </c:pt>
              </c:strCache>
            </c:strRef>
          </c:tx>
          <c:marker>
            <c:symbol val="none"/>
          </c:marker>
          <c:dLbls>
            <c:dLbl>
              <c:idx val="1"/>
              <c:delete val="1"/>
            </c:dLbl>
            <c:dLbl>
              <c:idx val="2"/>
              <c:delete val="1"/>
            </c:dLbl>
            <c:dLbl>
              <c:idx val="3"/>
              <c:delete val="1"/>
            </c:dLbl>
            <c:dLbl>
              <c:idx val="5"/>
              <c:layout>
                <c:manualLayout>
                  <c:x val="-4.9645888013998253E-2"/>
                  <c:y val="4.0867964421114067E-2"/>
                </c:manualLayout>
              </c:layout>
              <c:dLblPos val="r"/>
              <c:showLegendKey val="0"/>
              <c:showVal val="1"/>
              <c:showCatName val="0"/>
              <c:showSerName val="0"/>
              <c:showPercent val="0"/>
              <c:showBubbleSize val="0"/>
            </c:dLbl>
            <c:dLbl>
              <c:idx val="6"/>
              <c:delete val="1"/>
            </c:dLbl>
            <c:dLbl>
              <c:idx val="7"/>
              <c:delete val="1"/>
            </c:dLbl>
            <c:dLbl>
              <c:idx val="9"/>
              <c:delete val="1"/>
            </c:dLbl>
            <c:dLbl>
              <c:idx val="10"/>
              <c:delete val="1"/>
            </c:dLbl>
            <c:dLbl>
              <c:idx val="11"/>
              <c:layout>
                <c:manualLayout>
                  <c:x val="-0.19257441926969238"/>
                  <c:y val="2.1759299420268094E-2"/>
                </c:manualLayout>
              </c:layout>
              <c:dLblPos val="r"/>
              <c:showLegendKey val="0"/>
              <c:showVal val="1"/>
              <c:showCatName val="0"/>
              <c:showSerName val="0"/>
              <c:showPercent val="0"/>
              <c:showBubbleSize val="0"/>
            </c:dLbl>
            <c:dLbl>
              <c:idx val="12"/>
              <c:layout>
                <c:manualLayout>
                  <c:x val="-1.6895501822221669E-2"/>
                  <c:y val="3.6558548332322575E-2"/>
                </c:manualLayout>
              </c:layout>
              <c:dLblPos val="r"/>
              <c:showLegendKey val="0"/>
              <c:showVal val="1"/>
              <c:showCatName val="0"/>
              <c:showSerName val="0"/>
              <c:showPercent val="0"/>
              <c:showBubbleSize val="0"/>
            </c:dLbl>
            <c:txPr>
              <a:bodyPr/>
              <a:lstStyle/>
              <a:p>
                <a:pPr>
                  <a:defRPr sz="800" b="1">
                    <a:solidFill>
                      <a:srgbClr val="002060"/>
                    </a:solidFill>
                  </a:defRPr>
                </a:pPr>
                <a:endParaRPr lang="lv-LV"/>
              </a:p>
            </c:txPr>
            <c:dLblPos val="t"/>
            <c:showLegendKey val="0"/>
            <c:showVal val="1"/>
            <c:showCatName val="0"/>
            <c:showSerName val="0"/>
            <c:showPercent val="0"/>
            <c:showBubbleSize val="0"/>
            <c:showLeaderLines val="0"/>
          </c:dLbls>
          <c:cat>
            <c:numRef>
              <c:f>'Tax income'!$B$2:$N$2</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'Tax income'!$B$4:$N$4</c:f>
              <c:numCache>
                <c:formatCode>0.0%</c:formatCode>
                <c:ptCount val="13"/>
                <c:pt idx="0">
                  <c:v>9.8890021876372317E-2</c:v>
                </c:pt>
                <c:pt idx="1">
                  <c:v>9.3779362809406963E-2</c:v>
                </c:pt>
                <c:pt idx="2">
                  <c:v>9.4307173443407138E-2</c:v>
                </c:pt>
                <c:pt idx="3">
                  <c:v>9.0148631762500403E-2</c:v>
                </c:pt>
                <c:pt idx="4">
                  <c:v>8.9272577506986792E-2</c:v>
                </c:pt>
                <c:pt idx="5">
                  <c:v>8.6733803515152974E-2</c:v>
                </c:pt>
                <c:pt idx="6">
                  <c:v>8.9894677103661919E-2</c:v>
                </c:pt>
                <c:pt idx="7">
                  <c:v>9.3569735536831899E-2</c:v>
                </c:pt>
                <c:pt idx="8">
                  <c:v>0.10366939680110475</c:v>
                </c:pt>
                <c:pt idx="9">
                  <c:v>0.10178030546466349</c:v>
                </c:pt>
                <c:pt idx="10">
                  <c:v>9.0544854611617515E-2</c:v>
                </c:pt>
                <c:pt idx="11">
                  <c:v>9.0731733447956125E-2</c:v>
                </c:pt>
                <c:pt idx="12">
                  <c:v>9.0167903536291338E-2</c:v>
                </c:pt>
              </c:numCache>
            </c:numRef>
          </c:val>
          <c:smooth val="0"/>
        </c:ser>
        <c:ser>
          <c:idx val="1"/>
          <c:order val="1"/>
          <c:tx>
            <c:strRef>
              <c:f>'Tax income'!$A$5</c:f>
              <c:strCache>
                <c:ptCount val="1"/>
                <c:pt idx="0">
                  <c:v>IIN</c:v>
                </c:pt>
              </c:strCache>
            </c:strRef>
          </c:tx>
          <c:marker>
            <c:symbol val="none"/>
          </c:marker>
          <c:dLbls>
            <c:dLbl>
              <c:idx val="0"/>
              <c:layout>
                <c:manualLayout>
                  <c:x val="-2.5641206427267266E-2"/>
                  <c:y val="-5.1724628171478652E-2"/>
                </c:manualLayout>
              </c:layout>
              <c:dLblPos val="r"/>
              <c:showLegendKey val="0"/>
              <c:showVal val="1"/>
              <c:showCatName val="0"/>
              <c:showSerName val="0"/>
              <c:showPercent val="0"/>
              <c:showBubbleSize val="0"/>
            </c:dLbl>
            <c:dLbl>
              <c:idx val="1"/>
              <c:delete val="1"/>
            </c:dLbl>
            <c:dLbl>
              <c:idx val="2"/>
              <c:delete val="1"/>
            </c:dLbl>
            <c:dLbl>
              <c:idx val="3"/>
              <c:delete val="1"/>
            </c:dLbl>
            <c:dLbl>
              <c:idx val="4"/>
              <c:delete val="1"/>
            </c:dLbl>
            <c:dLbl>
              <c:idx val="6"/>
              <c:delete val="1"/>
            </c:dLbl>
            <c:dLbl>
              <c:idx val="7"/>
              <c:delete val="1"/>
            </c:dLbl>
            <c:dLbl>
              <c:idx val="8"/>
              <c:layout>
                <c:manualLayout>
                  <c:x val="-0.10772267978090064"/>
                  <c:y val="-4.2465368912219303E-2"/>
                </c:manualLayout>
              </c:layout>
              <c:dLblPos val="r"/>
              <c:showLegendKey val="0"/>
              <c:showVal val="1"/>
              <c:showCatName val="0"/>
              <c:showSerName val="0"/>
              <c:showPercent val="0"/>
              <c:showBubbleSize val="0"/>
            </c:dLbl>
            <c:dLbl>
              <c:idx val="9"/>
              <c:layout>
                <c:manualLayout>
                  <c:x val="-0.13380280614854662"/>
                  <c:y val="-2.785923700057571E-3"/>
                </c:manualLayout>
              </c:layout>
              <c:dLblPos val="r"/>
              <c:showLegendKey val="0"/>
              <c:showVal val="1"/>
              <c:showCatName val="0"/>
              <c:showSerName val="0"/>
              <c:showPercent val="0"/>
              <c:showBubbleSize val="0"/>
            </c:dLbl>
            <c:dLbl>
              <c:idx val="11"/>
              <c:layout>
                <c:manualLayout>
                  <c:x val="-0.11544145153828184"/>
                  <c:y val="1.5786900966993384E-2"/>
                </c:manualLayout>
              </c:layout>
              <c:dLblPos val="r"/>
              <c:showLegendKey val="0"/>
              <c:showVal val="1"/>
              <c:showCatName val="0"/>
              <c:showSerName val="0"/>
              <c:showPercent val="0"/>
              <c:showBubbleSize val="0"/>
            </c:dLbl>
            <c:txPr>
              <a:bodyPr/>
              <a:lstStyle/>
              <a:p>
                <a:pPr>
                  <a:defRPr sz="800" b="1">
                    <a:solidFill>
                      <a:srgbClr val="C00000"/>
                    </a:solidFill>
                  </a:defRPr>
                </a:pPr>
                <a:endParaRPr lang="lv-LV"/>
              </a:p>
            </c:txPr>
            <c:dLblPos val="t"/>
            <c:showLegendKey val="0"/>
            <c:showVal val="1"/>
            <c:showCatName val="0"/>
            <c:showSerName val="0"/>
            <c:showPercent val="0"/>
            <c:showBubbleSize val="0"/>
            <c:showLeaderLines val="0"/>
          </c:dLbls>
          <c:cat>
            <c:numRef>
              <c:f>'Tax income'!$B$2:$N$2</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'Tax income'!$B$5:$N$5</c:f>
              <c:numCache>
                <c:formatCode>0.0%</c:formatCode>
                <c:ptCount val="13"/>
                <c:pt idx="0">
                  <c:v>5.5377071941819081E-2</c:v>
                </c:pt>
                <c:pt idx="1">
                  <c:v>5.4970886126464849E-2</c:v>
                </c:pt>
                <c:pt idx="2">
                  <c:v>5.6031292654186327E-2</c:v>
                </c:pt>
                <c:pt idx="3">
                  <c:v>5.7634153960822991E-2</c:v>
                </c:pt>
                <c:pt idx="4">
                  <c:v>5.8685926809614937E-2</c:v>
                </c:pt>
                <c:pt idx="5">
                  <c:v>5.6563913861997342E-2</c:v>
                </c:pt>
                <c:pt idx="6">
                  <c:v>5.9069014055898955E-2</c:v>
                </c:pt>
                <c:pt idx="7">
                  <c:v>6.032039160496367E-2</c:v>
                </c:pt>
                <c:pt idx="8">
                  <c:v>6.3980784881114805E-2</c:v>
                </c:pt>
                <c:pt idx="9">
                  <c:v>5.5401494890611247E-2</c:v>
                </c:pt>
                <c:pt idx="10">
                  <c:v>6.0921570145876874E-2</c:v>
                </c:pt>
                <c:pt idx="11">
                  <c:v>5.549504810114806E-2</c:v>
                </c:pt>
                <c:pt idx="12">
                  <c:v>5.6161282819481809E-2</c:v>
                </c:pt>
              </c:numCache>
            </c:numRef>
          </c:val>
          <c:smooth val="0"/>
        </c:ser>
        <c:dLbls>
          <c:showLegendKey val="0"/>
          <c:showVal val="0"/>
          <c:showCatName val="0"/>
          <c:showSerName val="0"/>
          <c:showPercent val="0"/>
          <c:showBubbleSize val="0"/>
        </c:dLbls>
        <c:marker val="1"/>
        <c:smooth val="0"/>
        <c:axId val="71426048"/>
        <c:axId val="71427584"/>
      </c:lineChart>
      <c:catAx>
        <c:axId val="71426048"/>
        <c:scaling>
          <c:orientation val="minMax"/>
        </c:scaling>
        <c:delete val="0"/>
        <c:axPos val="b"/>
        <c:numFmt formatCode="General" sourceLinked="1"/>
        <c:majorTickMark val="out"/>
        <c:minorTickMark val="none"/>
        <c:tickLblPos val="nextTo"/>
        <c:txPr>
          <a:bodyPr/>
          <a:lstStyle/>
          <a:p>
            <a:pPr>
              <a:defRPr sz="900"/>
            </a:pPr>
            <a:endParaRPr lang="lv-LV"/>
          </a:p>
        </c:txPr>
        <c:crossAx val="71427584"/>
        <c:crosses val="autoZero"/>
        <c:auto val="1"/>
        <c:lblAlgn val="ctr"/>
        <c:lblOffset val="100"/>
        <c:noMultiLvlLbl val="0"/>
      </c:catAx>
      <c:valAx>
        <c:axId val="71427584"/>
        <c:scaling>
          <c:orientation val="minMax"/>
          <c:min val="5.000000000000001E-2"/>
        </c:scaling>
        <c:delete val="0"/>
        <c:axPos val="l"/>
        <c:majorGridlines>
          <c:spPr>
            <a:ln>
              <a:solidFill>
                <a:schemeClr val="bg1">
                  <a:lumMod val="85000"/>
                </a:schemeClr>
              </a:solidFill>
            </a:ln>
          </c:spPr>
        </c:majorGridlines>
        <c:numFmt formatCode="0.0%" sourceLinked="1"/>
        <c:majorTickMark val="out"/>
        <c:minorTickMark val="none"/>
        <c:tickLblPos val="nextTo"/>
        <c:txPr>
          <a:bodyPr/>
          <a:lstStyle/>
          <a:p>
            <a:pPr>
              <a:defRPr sz="900"/>
            </a:pPr>
            <a:endParaRPr lang="lv-LV"/>
          </a:p>
        </c:txPr>
        <c:crossAx val="71426048"/>
        <c:crosses val="autoZero"/>
        <c:crossBetween val="between"/>
      </c:valAx>
    </c:plotArea>
    <c:legend>
      <c:legendPos val="r"/>
      <c:layout>
        <c:manualLayout>
          <c:xMode val="edge"/>
          <c:yMode val="edge"/>
          <c:x val="0.16629939434807761"/>
          <c:y val="0.48451404130456643"/>
          <c:w val="0.26487123771380844"/>
          <c:h val="0.14690142898804315"/>
        </c:manualLayout>
      </c:layout>
      <c:overlay val="0"/>
      <c:spPr>
        <a:solidFill>
          <a:schemeClr val="bg1"/>
        </a:solidFill>
        <a:ln>
          <a:solidFill>
            <a:schemeClr val="bg1">
              <a:lumMod val="85000"/>
            </a:schemeClr>
          </a:solidFill>
        </a:ln>
      </c:spPr>
      <c:txPr>
        <a:bodyPr/>
        <a:lstStyle/>
        <a:p>
          <a:pPr>
            <a:defRPr sz="9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28171478565183"/>
          <c:y val="4.5422323897064479E-2"/>
          <c:w val="0.80353083989501317"/>
          <c:h val="0.83869980421828383"/>
        </c:manualLayout>
      </c:layout>
      <c:barChart>
        <c:barDir val="bar"/>
        <c:grouping val="clustered"/>
        <c:varyColors val="0"/>
        <c:ser>
          <c:idx val="0"/>
          <c:order val="0"/>
          <c:tx>
            <c:strRef>
              <c:f>'Tax income'!$K$42</c:f>
              <c:strCache>
                <c:ptCount val="1"/>
                <c:pt idx="0">
                  <c:v>Latvija</c:v>
                </c:pt>
              </c:strCache>
            </c:strRef>
          </c:tx>
          <c:spPr>
            <a:solidFill>
              <a:srgbClr val="C00000"/>
            </a:solidFill>
          </c:spPr>
          <c:invertIfNegative val="0"/>
          <c:dLbls>
            <c:dLbl>
              <c:idx val="0"/>
              <c:spPr/>
              <c:txPr>
                <a:bodyPr/>
                <a:lstStyle/>
                <a:p>
                  <a:pPr>
                    <a:defRPr sz="900" b="1">
                      <a:solidFill>
                        <a:srgbClr val="C00000"/>
                      </a:solidFill>
                    </a:defRPr>
                  </a:pPr>
                  <a:endParaRPr lang="lv-LV"/>
                </a:p>
              </c:txPr>
              <c:showLegendKey val="0"/>
              <c:showVal val="1"/>
              <c:showCatName val="0"/>
              <c:showSerName val="0"/>
              <c:showPercent val="0"/>
              <c:showBubbleSize val="0"/>
            </c:dLbl>
            <c:txPr>
              <a:bodyPr/>
              <a:lstStyle/>
              <a:p>
                <a:pPr>
                  <a:defRPr sz="900">
                    <a:solidFill>
                      <a:srgbClr val="C00000"/>
                    </a:solidFill>
                  </a:defRPr>
                </a:pPr>
                <a:endParaRPr lang="lv-LV"/>
              </a:p>
            </c:txPr>
            <c:showLegendKey val="0"/>
            <c:showVal val="1"/>
            <c:showCatName val="0"/>
            <c:showSerName val="0"/>
            <c:showPercent val="0"/>
            <c:showBubbleSize val="0"/>
            <c:showLeaderLines val="0"/>
          </c:dLbls>
          <c:cat>
            <c:strRef>
              <c:f>'Tax income'!$J$43:$J$45</c:f>
              <c:strCache>
                <c:ptCount val="3"/>
                <c:pt idx="0">
                  <c:v>Kopā</c:v>
                </c:pt>
                <c:pt idx="1">
                  <c:v>VSAOI</c:v>
                </c:pt>
                <c:pt idx="2">
                  <c:v>IIN</c:v>
                </c:pt>
              </c:strCache>
            </c:strRef>
          </c:cat>
          <c:val>
            <c:numRef>
              <c:f>'Tax income'!$K$43:$K$45</c:f>
              <c:numCache>
                <c:formatCode>0.0%</c:formatCode>
                <c:ptCount val="3"/>
                <c:pt idx="0">
                  <c:v>0.14632918635577313</c:v>
                </c:pt>
                <c:pt idx="1">
                  <c:v>9.0167903536291338E-2</c:v>
                </c:pt>
                <c:pt idx="2">
                  <c:v>5.6161282819481809E-2</c:v>
                </c:pt>
              </c:numCache>
            </c:numRef>
          </c:val>
        </c:ser>
        <c:ser>
          <c:idx val="1"/>
          <c:order val="1"/>
          <c:tx>
            <c:strRef>
              <c:f>'Tax income'!$L$42</c:f>
              <c:strCache>
                <c:ptCount val="1"/>
                <c:pt idx="0">
                  <c:v>Lietuva </c:v>
                </c:pt>
              </c:strCache>
            </c:strRef>
          </c:tx>
          <c:spPr>
            <a:pattFill prst="dkUpDiag">
              <a:fgClr>
                <a:srgbClr val="00B050"/>
              </a:fgClr>
              <a:bgClr>
                <a:schemeClr val="bg1"/>
              </a:bgClr>
            </a:pattFill>
          </c:spPr>
          <c:invertIfNegative val="0"/>
          <c:dLbls>
            <c:dLbl>
              <c:idx val="0"/>
              <c:spPr/>
              <c:txPr>
                <a:bodyPr/>
                <a:lstStyle/>
                <a:p>
                  <a:pPr>
                    <a:defRPr sz="900" b="1">
                      <a:solidFill>
                        <a:srgbClr val="004C22"/>
                      </a:solidFill>
                    </a:defRPr>
                  </a:pPr>
                  <a:endParaRPr lang="lv-LV"/>
                </a:p>
              </c:txPr>
              <c:showLegendKey val="0"/>
              <c:showVal val="1"/>
              <c:showCatName val="0"/>
              <c:showSerName val="0"/>
              <c:showPercent val="0"/>
              <c:showBubbleSize val="0"/>
            </c:dLbl>
            <c:txPr>
              <a:bodyPr/>
              <a:lstStyle/>
              <a:p>
                <a:pPr>
                  <a:defRPr sz="900">
                    <a:solidFill>
                      <a:srgbClr val="004C22"/>
                    </a:solidFill>
                  </a:defRPr>
                </a:pPr>
                <a:endParaRPr lang="lv-LV"/>
              </a:p>
            </c:txPr>
            <c:showLegendKey val="0"/>
            <c:showVal val="1"/>
            <c:showCatName val="0"/>
            <c:showSerName val="0"/>
            <c:showPercent val="0"/>
            <c:showBubbleSize val="0"/>
            <c:showLeaderLines val="0"/>
          </c:dLbls>
          <c:cat>
            <c:strRef>
              <c:f>'Tax income'!$J$43:$J$45</c:f>
              <c:strCache>
                <c:ptCount val="3"/>
                <c:pt idx="0">
                  <c:v>Kopā</c:v>
                </c:pt>
                <c:pt idx="1">
                  <c:v>VSAOI</c:v>
                </c:pt>
                <c:pt idx="2">
                  <c:v>IIN</c:v>
                </c:pt>
              </c:strCache>
            </c:strRef>
          </c:cat>
          <c:val>
            <c:numRef>
              <c:f>'Tax income'!$L$43:$L$45</c:f>
              <c:numCache>
                <c:formatCode>0.0%</c:formatCode>
                <c:ptCount val="3"/>
                <c:pt idx="0">
                  <c:v>0.13846888930507942</c:v>
                </c:pt>
                <c:pt idx="1">
                  <c:v>0.1022381098435395</c:v>
                </c:pt>
                <c:pt idx="2">
                  <c:v>3.6230779461539922E-2</c:v>
                </c:pt>
              </c:numCache>
            </c:numRef>
          </c:val>
        </c:ser>
        <c:ser>
          <c:idx val="2"/>
          <c:order val="2"/>
          <c:tx>
            <c:strRef>
              <c:f>'Tax income'!$M$42</c:f>
              <c:strCache>
                <c:ptCount val="1"/>
                <c:pt idx="0">
                  <c:v>Igaunija</c:v>
                </c:pt>
              </c:strCache>
            </c:strRef>
          </c:tx>
          <c:spPr>
            <a:pattFill prst="smCheck">
              <a:fgClr>
                <a:srgbClr val="002060"/>
              </a:fgClr>
              <a:bgClr>
                <a:schemeClr val="bg1"/>
              </a:bgClr>
            </a:pattFill>
          </c:spPr>
          <c:invertIfNegative val="0"/>
          <c:dLbls>
            <c:dLbl>
              <c:idx val="0"/>
              <c:spPr/>
              <c:txPr>
                <a:bodyPr/>
                <a:lstStyle/>
                <a:p>
                  <a:pPr>
                    <a:defRPr sz="900" b="1">
                      <a:solidFill>
                        <a:srgbClr val="002060"/>
                      </a:solidFill>
                    </a:defRPr>
                  </a:pPr>
                  <a:endParaRPr lang="lv-LV"/>
                </a:p>
              </c:txPr>
              <c:showLegendKey val="0"/>
              <c:showVal val="1"/>
              <c:showCatName val="0"/>
              <c:showSerName val="0"/>
              <c:showPercent val="0"/>
              <c:showBubbleSize val="0"/>
            </c:dLbl>
            <c:txPr>
              <a:bodyPr/>
              <a:lstStyle/>
              <a:p>
                <a:pPr>
                  <a:defRPr sz="900">
                    <a:solidFill>
                      <a:srgbClr val="002060"/>
                    </a:solidFill>
                  </a:defRPr>
                </a:pPr>
                <a:endParaRPr lang="lv-LV"/>
              </a:p>
            </c:txPr>
            <c:showLegendKey val="0"/>
            <c:showVal val="1"/>
            <c:showCatName val="0"/>
            <c:showSerName val="0"/>
            <c:showPercent val="0"/>
            <c:showBubbleSize val="0"/>
            <c:showLeaderLines val="0"/>
          </c:dLbls>
          <c:cat>
            <c:strRef>
              <c:f>'Tax income'!$J$43:$J$45</c:f>
              <c:strCache>
                <c:ptCount val="3"/>
                <c:pt idx="0">
                  <c:v>Kopā</c:v>
                </c:pt>
                <c:pt idx="1">
                  <c:v>VSAOI</c:v>
                </c:pt>
                <c:pt idx="2">
                  <c:v>IIN</c:v>
                </c:pt>
              </c:strCache>
            </c:strRef>
          </c:cat>
          <c:val>
            <c:numRef>
              <c:f>'Tax income'!$M$43:$M$45</c:f>
              <c:numCache>
                <c:formatCode>0.0%</c:formatCode>
                <c:ptCount val="3"/>
                <c:pt idx="0">
                  <c:v>0.16849525861282877</c:v>
                </c:pt>
                <c:pt idx="1">
                  <c:v>0.11370310074190251</c:v>
                </c:pt>
                <c:pt idx="2">
                  <c:v>5.4792157870926256E-2</c:v>
                </c:pt>
              </c:numCache>
            </c:numRef>
          </c:val>
        </c:ser>
        <c:dLbls>
          <c:showLegendKey val="0"/>
          <c:showVal val="0"/>
          <c:showCatName val="0"/>
          <c:showSerName val="0"/>
          <c:showPercent val="0"/>
          <c:showBubbleSize val="0"/>
        </c:dLbls>
        <c:gapWidth val="150"/>
        <c:axId val="73377280"/>
        <c:axId val="73378816"/>
      </c:barChart>
      <c:catAx>
        <c:axId val="73377280"/>
        <c:scaling>
          <c:orientation val="minMax"/>
        </c:scaling>
        <c:delete val="0"/>
        <c:axPos val="l"/>
        <c:majorTickMark val="out"/>
        <c:minorTickMark val="none"/>
        <c:tickLblPos val="nextTo"/>
        <c:crossAx val="73378816"/>
        <c:crosses val="autoZero"/>
        <c:auto val="1"/>
        <c:lblAlgn val="ctr"/>
        <c:lblOffset val="100"/>
        <c:noMultiLvlLbl val="0"/>
      </c:catAx>
      <c:valAx>
        <c:axId val="73378816"/>
        <c:scaling>
          <c:orientation val="minMax"/>
        </c:scaling>
        <c:delete val="0"/>
        <c:axPos val="b"/>
        <c:majorGridlines>
          <c:spPr>
            <a:ln>
              <a:solidFill>
                <a:schemeClr val="bg1">
                  <a:lumMod val="75000"/>
                </a:schemeClr>
              </a:solidFill>
            </a:ln>
          </c:spPr>
        </c:majorGridlines>
        <c:numFmt formatCode="0.0%" sourceLinked="1"/>
        <c:majorTickMark val="out"/>
        <c:minorTickMark val="none"/>
        <c:tickLblPos val="nextTo"/>
        <c:crossAx val="73377280"/>
        <c:crosses val="autoZero"/>
        <c:crossBetween val="between"/>
      </c:valAx>
    </c:plotArea>
    <c:legend>
      <c:legendPos val="r"/>
      <c:layout>
        <c:manualLayout>
          <c:xMode val="edge"/>
          <c:yMode val="edge"/>
          <c:x val="0.75836198600174964"/>
          <c:y val="0.12539674170206386"/>
          <c:w val="0.17774912510936133"/>
          <c:h val="0.22800342665500145"/>
        </c:manualLayout>
      </c:layout>
      <c:overlay val="0"/>
      <c:spPr>
        <a:solidFill>
          <a:schemeClr val="bg1"/>
        </a:solidFill>
        <a:ln>
          <a:solidFill>
            <a:schemeClr val="bg1">
              <a:lumMod val="75000"/>
            </a:schemeClr>
          </a:solidFill>
        </a:ln>
      </c:sp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927518675550178E-2"/>
          <c:y val="2.9875596391079146E-2"/>
          <c:w val="0.62739469364082312"/>
          <c:h val="0.88218993790476041"/>
        </c:manualLayout>
      </c:layout>
      <c:lineChart>
        <c:grouping val="standard"/>
        <c:varyColors val="0"/>
        <c:ser>
          <c:idx val="0"/>
          <c:order val="0"/>
          <c:tx>
            <c:strRef>
              <c:f>Sheet0!$A$5</c:f>
              <c:strCache>
                <c:ptCount val="1"/>
                <c:pt idx="0">
                  <c:v>ES vidējais</c:v>
                </c:pt>
              </c:strCache>
            </c:strRef>
          </c:tx>
          <c:spPr>
            <a:ln>
              <a:solidFill>
                <a:srgbClr val="00B0F0"/>
              </a:solidFill>
              <a:prstDash val="sysDash"/>
            </a:ln>
          </c:spPr>
          <c:marker>
            <c:symbol val="none"/>
          </c:marker>
          <c:dLbls>
            <c:dLbl>
              <c:idx val="10"/>
              <c:layout>
                <c:manualLayout>
                  <c:x val="-2.3148148148148147E-3"/>
                  <c:y val="1.1730205278592375E-2"/>
                </c:manualLayout>
              </c:layout>
              <c:showLegendKey val="0"/>
              <c:showVal val="1"/>
              <c:showCatName val="0"/>
              <c:showSerName val="0"/>
              <c:showPercent val="0"/>
              <c:showBubbleSize val="0"/>
            </c:dLbl>
            <c:txPr>
              <a:bodyPr/>
              <a:lstStyle/>
              <a:p>
                <a:pPr>
                  <a:defRPr sz="900"/>
                </a:pPr>
                <a:endParaRPr lang="lv-LV"/>
              </a:p>
            </c:txPr>
            <c:showLegendKey val="0"/>
            <c:showVal val="0"/>
            <c:showCatName val="0"/>
            <c:showSerName val="0"/>
            <c:showPercent val="0"/>
            <c:showBubbleSize val="0"/>
          </c:dLbls>
          <c:cat>
            <c:strRef>
              <c:f>Sheet0!$B$4:$L$4</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Sheet0!$B$5:$L$5</c:f>
              <c:numCache>
                <c:formatCode>0.0</c:formatCode>
                <c:ptCount val="11"/>
                <c:pt idx="0">
                  <c:v>36.700000000000003</c:v>
                </c:pt>
                <c:pt idx="1">
                  <c:v>36.4</c:v>
                </c:pt>
                <c:pt idx="2">
                  <c:v>36</c:v>
                </c:pt>
                <c:pt idx="3">
                  <c:v>36.1</c:v>
                </c:pt>
                <c:pt idx="4">
                  <c:v>35.9</c:v>
                </c:pt>
                <c:pt idx="5">
                  <c:v>35.9</c:v>
                </c:pt>
                <c:pt idx="6">
                  <c:v>36</c:v>
                </c:pt>
                <c:pt idx="7">
                  <c:v>36.200000000000003</c:v>
                </c:pt>
                <c:pt idx="8">
                  <c:v>36.5</c:v>
                </c:pt>
                <c:pt idx="9">
                  <c:v>36</c:v>
                </c:pt>
                <c:pt idx="10">
                  <c:v>36</c:v>
                </c:pt>
              </c:numCache>
            </c:numRef>
          </c:val>
          <c:smooth val="0"/>
        </c:ser>
        <c:ser>
          <c:idx val="2"/>
          <c:order val="1"/>
          <c:tx>
            <c:strRef>
              <c:f>Sheet0!$A$7</c:f>
              <c:strCache>
                <c:ptCount val="1"/>
                <c:pt idx="0">
                  <c:v>Bulgārija</c:v>
                </c:pt>
              </c:strCache>
            </c:strRef>
          </c:tx>
          <c:spPr>
            <a:ln>
              <a:solidFill>
                <a:schemeClr val="accent3"/>
              </a:solidFill>
              <a:prstDash val="sysDot"/>
            </a:ln>
          </c:spPr>
          <c:marker>
            <c:symbol val="none"/>
          </c:marker>
          <c:dLbls>
            <c:dLbl>
              <c:idx val="10"/>
              <c:layout>
                <c:manualLayout>
                  <c:x val="-2.3148148148148147E-3"/>
                  <c:y val="3.130502837018196E-2"/>
                </c:manualLayout>
              </c:layout>
              <c:showLegendKey val="0"/>
              <c:showVal val="1"/>
              <c:showCatName val="0"/>
              <c:showSerName val="0"/>
              <c:showPercent val="0"/>
              <c:showBubbleSize val="0"/>
            </c:dLbl>
            <c:txPr>
              <a:bodyPr/>
              <a:lstStyle/>
              <a:p>
                <a:pPr>
                  <a:defRPr sz="900"/>
                </a:pPr>
                <a:endParaRPr lang="lv-LV"/>
              </a:p>
            </c:txPr>
            <c:showLegendKey val="0"/>
            <c:showVal val="0"/>
            <c:showCatName val="0"/>
            <c:showSerName val="0"/>
            <c:showPercent val="0"/>
            <c:showBubbleSize val="0"/>
          </c:dLbls>
          <c:cat>
            <c:strRef>
              <c:f>Sheet0!$B$4:$L$4</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Sheet0!$B$7:$L$7</c:f>
              <c:numCache>
                <c:formatCode>0.0</c:formatCode>
                <c:ptCount val="11"/>
                <c:pt idx="0">
                  <c:v>38.1</c:v>
                </c:pt>
                <c:pt idx="1">
                  <c:v>33.9</c:v>
                </c:pt>
                <c:pt idx="2">
                  <c:v>33.4</c:v>
                </c:pt>
                <c:pt idx="3">
                  <c:v>35.6</c:v>
                </c:pt>
                <c:pt idx="4">
                  <c:v>35.700000000000003</c:v>
                </c:pt>
                <c:pt idx="5">
                  <c:v>33.200000000000003</c:v>
                </c:pt>
                <c:pt idx="6">
                  <c:v>29.7</c:v>
                </c:pt>
                <c:pt idx="7">
                  <c:v>30.4</c:v>
                </c:pt>
                <c:pt idx="8">
                  <c:v>27.4</c:v>
                </c:pt>
                <c:pt idx="9">
                  <c:v>25.7</c:v>
                </c:pt>
                <c:pt idx="10">
                  <c:v>24.4</c:v>
                </c:pt>
              </c:numCache>
            </c:numRef>
          </c:val>
          <c:smooth val="0"/>
        </c:ser>
        <c:ser>
          <c:idx val="6"/>
          <c:order val="2"/>
          <c:tx>
            <c:strRef>
              <c:f>Sheet0!$A$11</c:f>
              <c:strCache>
                <c:ptCount val="1"/>
                <c:pt idx="0">
                  <c:v>Igaunija</c:v>
                </c:pt>
              </c:strCache>
            </c:strRef>
          </c:tx>
          <c:spPr>
            <a:ln>
              <a:solidFill>
                <a:srgbClr val="0070C0"/>
              </a:solidFill>
            </a:ln>
          </c:spPr>
          <c:marker>
            <c:symbol val="triangle"/>
            <c:size val="5"/>
          </c:marker>
          <c:dLbls>
            <c:dLbl>
              <c:idx val="10"/>
              <c:layout>
                <c:manualLayout>
                  <c:x val="-6.9444444444444441E-3"/>
                  <c:y val="-1.5640273704789834E-2"/>
                </c:manualLayout>
              </c:layout>
              <c:showLegendKey val="0"/>
              <c:showVal val="1"/>
              <c:showCatName val="0"/>
              <c:showSerName val="0"/>
              <c:showPercent val="0"/>
              <c:showBubbleSize val="0"/>
            </c:dLbl>
            <c:txPr>
              <a:bodyPr/>
              <a:lstStyle/>
              <a:p>
                <a:pPr>
                  <a:defRPr sz="900"/>
                </a:pPr>
                <a:endParaRPr lang="lv-LV"/>
              </a:p>
            </c:txPr>
            <c:showLegendKey val="0"/>
            <c:showVal val="0"/>
            <c:showCatName val="0"/>
            <c:showSerName val="0"/>
            <c:showPercent val="0"/>
            <c:showBubbleSize val="0"/>
          </c:dLbls>
          <c:cat>
            <c:strRef>
              <c:f>Sheet0!$B$4:$L$4</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Sheet0!$B$11:$L$11</c:f>
              <c:numCache>
                <c:formatCode>0.0</c:formatCode>
                <c:ptCount val="11"/>
                <c:pt idx="0">
                  <c:v>37.799999999999997</c:v>
                </c:pt>
                <c:pt idx="1">
                  <c:v>37.299999999999997</c:v>
                </c:pt>
                <c:pt idx="2">
                  <c:v>37.799999999999997</c:v>
                </c:pt>
                <c:pt idx="3">
                  <c:v>36.9</c:v>
                </c:pt>
                <c:pt idx="4">
                  <c:v>35.799999999999997</c:v>
                </c:pt>
                <c:pt idx="5">
                  <c:v>33.799999999999997</c:v>
                </c:pt>
                <c:pt idx="6">
                  <c:v>33.6</c:v>
                </c:pt>
                <c:pt idx="7">
                  <c:v>33.9</c:v>
                </c:pt>
                <c:pt idx="8">
                  <c:v>33.700000000000003</c:v>
                </c:pt>
                <c:pt idx="9">
                  <c:v>35.1</c:v>
                </c:pt>
                <c:pt idx="10">
                  <c:v>37</c:v>
                </c:pt>
              </c:numCache>
            </c:numRef>
          </c:val>
          <c:smooth val="0"/>
        </c:ser>
        <c:ser>
          <c:idx val="13"/>
          <c:order val="3"/>
          <c:tx>
            <c:strRef>
              <c:f>Sheet0!$A$18</c:f>
              <c:strCache>
                <c:ptCount val="1"/>
                <c:pt idx="0">
                  <c:v>Latvija</c:v>
                </c:pt>
              </c:strCache>
            </c:strRef>
          </c:tx>
          <c:spPr>
            <a:ln w="34925">
              <a:solidFill>
                <a:srgbClr val="C00000"/>
              </a:solidFill>
            </a:ln>
          </c:spPr>
          <c:marker>
            <c:symbol val="square"/>
            <c:size val="5"/>
          </c:marker>
          <c:dLbls>
            <c:dLbl>
              <c:idx val="10"/>
              <c:layout/>
              <c:showLegendKey val="0"/>
              <c:showVal val="1"/>
              <c:showCatName val="0"/>
              <c:showSerName val="0"/>
              <c:showPercent val="0"/>
              <c:showBubbleSize val="0"/>
            </c:dLbl>
            <c:txPr>
              <a:bodyPr/>
              <a:lstStyle/>
              <a:p>
                <a:pPr>
                  <a:defRPr sz="900" b="1"/>
                </a:pPr>
                <a:endParaRPr lang="lv-LV"/>
              </a:p>
            </c:txPr>
            <c:showLegendKey val="0"/>
            <c:showVal val="0"/>
            <c:showCatName val="0"/>
            <c:showSerName val="0"/>
            <c:showPercent val="0"/>
            <c:showBubbleSize val="0"/>
          </c:dLbls>
          <c:cat>
            <c:strRef>
              <c:f>Sheet0!$B$4:$L$4</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Sheet0!$B$18:$L$18</c:f>
              <c:numCache>
                <c:formatCode>0.0</c:formatCode>
                <c:ptCount val="11"/>
                <c:pt idx="0">
                  <c:v>36.700000000000003</c:v>
                </c:pt>
                <c:pt idx="1">
                  <c:v>36.5</c:v>
                </c:pt>
                <c:pt idx="2">
                  <c:v>37.799999999999997</c:v>
                </c:pt>
                <c:pt idx="3">
                  <c:v>36.6</c:v>
                </c:pt>
                <c:pt idx="4">
                  <c:v>36.700000000000003</c:v>
                </c:pt>
                <c:pt idx="5">
                  <c:v>33.200000000000003</c:v>
                </c:pt>
                <c:pt idx="6">
                  <c:v>33.1</c:v>
                </c:pt>
                <c:pt idx="7">
                  <c:v>31.1</c:v>
                </c:pt>
                <c:pt idx="8">
                  <c:v>28.4</c:v>
                </c:pt>
                <c:pt idx="9">
                  <c:v>29.1</c:v>
                </c:pt>
                <c:pt idx="10">
                  <c:v>32.5</c:v>
                </c:pt>
              </c:numCache>
            </c:numRef>
          </c:val>
          <c:smooth val="0"/>
        </c:ser>
        <c:ser>
          <c:idx val="14"/>
          <c:order val="4"/>
          <c:tx>
            <c:strRef>
              <c:f>Sheet0!$A$19</c:f>
              <c:strCache>
                <c:ptCount val="1"/>
                <c:pt idx="0">
                  <c:v>Lietuva</c:v>
                </c:pt>
              </c:strCache>
            </c:strRef>
          </c:tx>
          <c:spPr>
            <a:ln>
              <a:solidFill>
                <a:srgbClr val="00B050"/>
              </a:solidFill>
            </a:ln>
          </c:spPr>
          <c:marker>
            <c:symbol val="diamond"/>
            <c:size val="5"/>
            <c:spPr>
              <a:solidFill>
                <a:srgbClr val="00B050"/>
              </a:solidFill>
            </c:spPr>
          </c:marker>
          <c:dLbls>
            <c:dLbl>
              <c:idx val="10"/>
              <c:layout>
                <c:manualLayout>
                  <c:x val="-5.7929032525859386E-3"/>
                  <c:y val="2.2847814281451662E-2"/>
                </c:manualLayout>
              </c:layout>
              <c:showLegendKey val="0"/>
              <c:showVal val="1"/>
              <c:showCatName val="0"/>
              <c:showSerName val="0"/>
              <c:showPercent val="0"/>
              <c:showBubbleSize val="0"/>
            </c:dLbl>
            <c:txPr>
              <a:bodyPr/>
              <a:lstStyle/>
              <a:p>
                <a:pPr>
                  <a:defRPr sz="900"/>
                </a:pPr>
                <a:endParaRPr lang="lv-LV"/>
              </a:p>
            </c:txPr>
            <c:showLegendKey val="0"/>
            <c:showVal val="0"/>
            <c:showCatName val="0"/>
            <c:showSerName val="0"/>
            <c:showPercent val="0"/>
            <c:showBubbleSize val="0"/>
          </c:dLbls>
          <c:cat>
            <c:strRef>
              <c:f>Sheet0!$B$4:$L$4</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Sheet0!$B$19:$L$19</c:f>
              <c:numCache>
                <c:formatCode>0.0</c:formatCode>
                <c:ptCount val="11"/>
                <c:pt idx="0">
                  <c:v>41.2</c:v>
                </c:pt>
                <c:pt idx="1">
                  <c:v>40.200000000000003</c:v>
                </c:pt>
                <c:pt idx="2">
                  <c:v>38.1</c:v>
                </c:pt>
                <c:pt idx="3">
                  <c:v>36.9</c:v>
                </c:pt>
                <c:pt idx="4">
                  <c:v>36</c:v>
                </c:pt>
                <c:pt idx="5">
                  <c:v>34.9</c:v>
                </c:pt>
                <c:pt idx="6">
                  <c:v>33.6</c:v>
                </c:pt>
                <c:pt idx="7">
                  <c:v>33.1</c:v>
                </c:pt>
                <c:pt idx="8">
                  <c:v>32.700000000000003</c:v>
                </c:pt>
                <c:pt idx="9">
                  <c:v>32.6</c:v>
                </c:pt>
                <c:pt idx="10">
                  <c:v>31.7</c:v>
                </c:pt>
              </c:numCache>
            </c:numRef>
          </c:val>
          <c:smooth val="0"/>
        </c:ser>
        <c:ser>
          <c:idx val="26"/>
          <c:order val="5"/>
          <c:tx>
            <c:strRef>
              <c:f>Sheet0!$A$31</c:f>
              <c:strCache>
                <c:ptCount val="1"/>
                <c:pt idx="0">
                  <c:v>Zviedrija</c:v>
                </c:pt>
              </c:strCache>
            </c:strRef>
          </c:tx>
          <c:spPr>
            <a:ln>
              <a:solidFill>
                <a:schemeClr val="accent6">
                  <a:lumMod val="75000"/>
                </a:schemeClr>
              </a:solidFill>
              <a:prstDash val="dashDot"/>
            </a:ln>
          </c:spPr>
          <c:marker>
            <c:symbol val="none"/>
          </c:marker>
          <c:dLbls>
            <c:dLbl>
              <c:idx val="10"/>
              <c:layout>
                <c:manualLayout>
                  <c:x val="-1.6931215802610287E-2"/>
                  <c:y val="-3.2290612118980315E-2"/>
                </c:manualLayout>
              </c:layout>
              <c:showLegendKey val="0"/>
              <c:showVal val="1"/>
              <c:showCatName val="0"/>
              <c:showSerName val="0"/>
              <c:showPercent val="0"/>
              <c:showBubbleSize val="0"/>
            </c:dLbl>
            <c:txPr>
              <a:bodyPr/>
              <a:lstStyle/>
              <a:p>
                <a:pPr>
                  <a:defRPr sz="900"/>
                </a:pPr>
                <a:endParaRPr lang="lv-LV"/>
              </a:p>
            </c:txPr>
            <c:showLegendKey val="0"/>
            <c:showVal val="0"/>
            <c:showCatName val="0"/>
            <c:showSerName val="0"/>
            <c:showPercent val="0"/>
            <c:showBubbleSize val="0"/>
          </c:dLbls>
          <c:cat>
            <c:strRef>
              <c:f>Sheet0!$B$4:$L$4</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Sheet0!$B$31:$L$31</c:f>
              <c:numCache>
                <c:formatCode>0.0</c:formatCode>
                <c:ptCount val="11"/>
                <c:pt idx="0">
                  <c:v>46.8</c:v>
                </c:pt>
                <c:pt idx="1">
                  <c:v>45.5</c:v>
                </c:pt>
                <c:pt idx="2">
                  <c:v>43.8</c:v>
                </c:pt>
                <c:pt idx="3">
                  <c:v>43.5</c:v>
                </c:pt>
                <c:pt idx="4">
                  <c:v>43.5</c:v>
                </c:pt>
                <c:pt idx="5">
                  <c:v>43.6</c:v>
                </c:pt>
                <c:pt idx="6">
                  <c:v>42.9</c:v>
                </c:pt>
                <c:pt idx="7">
                  <c:v>41.2</c:v>
                </c:pt>
                <c:pt idx="8">
                  <c:v>41.2</c:v>
                </c:pt>
                <c:pt idx="9">
                  <c:v>39.299999999999997</c:v>
                </c:pt>
                <c:pt idx="10">
                  <c:v>39</c:v>
                </c:pt>
              </c:numCache>
            </c:numRef>
          </c:val>
          <c:smooth val="0"/>
        </c:ser>
        <c:ser>
          <c:idx val="27"/>
          <c:order val="6"/>
          <c:tx>
            <c:strRef>
              <c:f>Sheet0!$A$32</c:f>
              <c:strCache>
                <c:ptCount val="1"/>
                <c:pt idx="0">
                  <c:v>Lielbritānija</c:v>
                </c:pt>
              </c:strCache>
            </c:strRef>
          </c:tx>
          <c:spPr>
            <a:ln>
              <a:solidFill>
                <a:schemeClr val="accent4"/>
              </a:solidFill>
              <a:prstDash val="lgDashDotDot"/>
            </a:ln>
          </c:spPr>
          <c:marker>
            <c:symbol val="none"/>
          </c:marker>
          <c:dLbls>
            <c:dLbl>
              <c:idx val="10"/>
              <c:layout/>
              <c:showLegendKey val="0"/>
              <c:showVal val="1"/>
              <c:showCatName val="0"/>
              <c:showSerName val="0"/>
              <c:showPercent val="0"/>
              <c:showBubbleSize val="0"/>
            </c:dLbl>
            <c:txPr>
              <a:bodyPr/>
              <a:lstStyle/>
              <a:p>
                <a:pPr>
                  <a:defRPr sz="900"/>
                </a:pPr>
                <a:endParaRPr lang="lv-LV"/>
              </a:p>
            </c:txPr>
            <c:showLegendKey val="0"/>
            <c:showVal val="0"/>
            <c:showCatName val="0"/>
            <c:showSerName val="0"/>
            <c:showPercent val="0"/>
            <c:showBubbleSize val="0"/>
          </c:dLbls>
          <c:cat>
            <c:strRef>
              <c:f>Sheet0!$B$4:$L$4</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Sheet0!$B$32:$L$32</c:f>
              <c:numCache>
                <c:formatCode>0.0</c:formatCode>
                <c:ptCount val="11"/>
                <c:pt idx="0">
                  <c:v>25.9</c:v>
                </c:pt>
                <c:pt idx="1">
                  <c:v>25.7</c:v>
                </c:pt>
                <c:pt idx="2">
                  <c:v>24.7</c:v>
                </c:pt>
                <c:pt idx="3">
                  <c:v>24.8</c:v>
                </c:pt>
                <c:pt idx="4">
                  <c:v>25.5</c:v>
                </c:pt>
                <c:pt idx="5">
                  <c:v>26.2</c:v>
                </c:pt>
                <c:pt idx="6">
                  <c:v>26.5</c:v>
                </c:pt>
                <c:pt idx="7">
                  <c:v>26.8</c:v>
                </c:pt>
                <c:pt idx="8">
                  <c:v>26.9</c:v>
                </c:pt>
                <c:pt idx="9">
                  <c:v>25.7</c:v>
                </c:pt>
                <c:pt idx="10">
                  <c:v>25.7</c:v>
                </c:pt>
              </c:numCache>
            </c:numRef>
          </c:val>
          <c:smooth val="0"/>
        </c:ser>
        <c:dLbls>
          <c:showLegendKey val="0"/>
          <c:showVal val="0"/>
          <c:showCatName val="0"/>
          <c:showSerName val="0"/>
          <c:showPercent val="0"/>
          <c:showBubbleSize val="0"/>
        </c:dLbls>
        <c:marker val="1"/>
        <c:smooth val="0"/>
        <c:axId val="75065984"/>
        <c:axId val="75198848"/>
      </c:lineChart>
      <c:catAx>
        <c:axId val="75065984"/>
        <c:scaling>
          <c:orientation val="minMax"/>
        </c:scaling>
        <c:delete val="0"/>
        <c:axPos val="b"/>
        <c:majorTickMark val="out"/>
        <c:minorTickMark val="none"/>
        <c:tickLblPos val="nextTo"/>
        <c:txPr>
          <a:bodyPr/>
          <a:lstStyle/>
          <a:p>
            <a:pPr>
              <a:defRPr sz="900"/>
            </a:pPr>
            <a:endParaRPr lang="lv-LV"/>
          </a:p>
        </c:txPr>
        <c:crossAx val="75198848"/>
        <c:crosses val="autoZero"/>
        <c:auto val="1"/>
        <c:lblAlgn val="ctr"/>
        <c:lblOffset val="100"/>
        <c:noMultiLvlLbl val="0"/>
      </c:catAx>
      <c:valAx>
        <c:axId val="75198848"/>
        <c:scaling>
          <c:orientation val="minMax"/>
          <c:min val="20"/>
        </c:scaling>
        <c:delete val="0"/>
        <c:axPos val="l"/>
        <c:majorGridlines/>
        <c:title>
          <c:tx>
            <c:rich>
              <a:bodyPr rot="-5400000" vert="horz"/>
              <a:lstStyle/>
              <a:p>
                <a:pPr>
                  <a:defRPr sz="900"/>
                </a:pPr>
                <a:r>
                  <a:rPr lang="lv-LV" sz="900"/>
                  <a:t>Netiešā d</a:t>
                </a:r>
                <a:r>
                  <a:rPr lang="en-US" sz="900"/>
                  <a:t>arbaspēka</a:t>
                </a:r>
                <a:r>
                  <a:rPr lang="lv-LV" sz="900"/>
                  <a:t> nodokļu likme, %</a:t>
                </a:r>
                <a:r>
                  <a:rPr lang="en-US" sz="900"/>
                  <a:t> </a:t>
                </a:r>
              </a:p>
            </c:rich>
          </c:tx>
          <c:layout/>
          <c:overlay val="0"/>
        </c:title>
        <c:numFmt formatCode="0.0" sourceLinked="1"/>
        <c:majorTickMark val="out"/>
        <c:minorTickMark val="none"/>
        <c:tickLblPos val="nextTo"/>
        <c:txPr>
          <a:bodyPr/>
          <a:lstStyle/>
          <a:p>
            <a:pPr>
              <a:defRPr sz="900"/>
            </a:pPr>
            <a:endParaRPr lang="lv-LV"/>
          </a:p>
        </c:txPr>
        <c:crossAx val="75065984"/>
        <c:crosses val="autoZero"/>
        <c:crossBetween val="between"/>
      </c:valAx>
    </c:plotArea>
    <c:legend>
      <c:legendPos val="r"/>
      <c:layout>
        <c:manualLayout>
          <c:xMode val="edge"/>
          <c:yMode val="edge"/>
          <c:x val="0.77099157549126596"/>
          <c:y val="3.6159764795520348E-2"/>
          <c:w val="0.22429010980369027"/>
          <c:h val="0.94461920866248683"/>
        </c:manualLayout>
      </c:layout>
      <c:overlay val="0"/>
      <c:txPr>
        <a:bodyPr/>
        <a:lstStyle/>
        <a:p>
          <a:pPr>
            <a:defRPr sz="9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6"/>
            <c:invertIfNegative val="0"/>
            <c:bubble3D val="0"/>
            <c:spPr>
              <a:solidFill>
                <a:srgbClr val="FF0000"/>
              </a:solidFill>
            </c:spPr>
          </c:dPt>
          <c:dPt>
            <c:idx val="10"/>
            <c:invertIfNegative val="0"/>
            <c:bubble3D val="0"/>
            <c:spPr>
              <a:solidFill>
                <a:srgbClr val="00B0F0"/>
              </a:solidFill>
            </c:spPr>
          </c:dPt>
          <c:dPt>
            <c:idx val="12"/>
            <c:invertIfNegative val="0"/>
            <c:bubble3D val="0"/>
            <c:spPr>
              <a:solidFill>
                <a:srgbClr val="92D050"/>
              </a:solidFill>
            </c:spPr>
          </c:dPt>
          <c:dLbls>
            <c:dLbl>
              <c:idx val="0"/>
              <c:layout/>
              <c:showLegendKey val="0"/>
              <c:showVal val="1"/>
              <c:showCatName val="0"/>
              <c:showSerName val="0"/>
              <c:showPercent val="0"/>
              <c:showBubbleSize val="0"/>
            </c:dLbl>
            <c:dLbl>
              <c:idx val="6"/>
              <c:layout/>
              <c:spPr/>
              <c:txPr>
                <a:bodyPr/>
                <a:lstStyle/>
                <a:p>
                  <a:pPr>
                    <a:defRPr b="1">
                      <a:solidFill>
                        <a:srgbClr val="C00000"/>
                      </a:solidFill>
                    </a:defRPr>
                  </a:pPr>
                  <a:endParaRPr lang="lv-LV"/>
                </a:p>
              </c:txPr>
              <c:showLegendKey val="0"/>
              <c:showVal val="1"/>
              <c:showCatName val="0"/>
              <c:showSerName val="0"/>
              <c:showPercent val="0"/>
              <c:showBubbleSize val="0"/>
            </c:dLbl>
            <c:dLbl>
              <c:idx val="10"/>
              <c:layout/>
              <c:spPr/>
              <c:txPr>
                <a:bodyPr/>
                <a:lstStyle/>
                <a:p>
                  <a:pPr>
                    <a:defRPr b="1">
                      <a:solidFill>
                        <a:srgbClr val="002060"/>
                      </a:solidFill>
                    </a:defRPr>
                  </a:pPr>
                  <a:endParaRPr lang="lv-LV"/>
                </a:p>
              </c:txPr>
              <c:showLegendKey val="0"/>
              <c:showVal val="1"/>
              <c:showCatName val="0"/>
              <c:showSerName val="0"/>
              <c:showPercent val="0"/>
              <c:showBubbleSize val="0"/>
            </c:dLbl>
            <c:dLbl>
              <c:idx val="12"/>
              <c:layout/>
              <c:spPr/>
              <c:txPr>
                <a:bodyPr/>
                <a:lstStyle/>
                <a:p>
                  <a:pPr>
                    <a:defRPr b="1" i="0">
                      <a:solidFill>
                        <a:srgbClr val="00B050"/>
                      </a:solidFill>
                    </a:defRPr>
                  </a:pPr>
                  <a:endParaRPr lang="lv-LV"/>
                </a:p>
              </c:txPr>
              <c:showLegendKey val="0"/>
              <c:showVal val="1"/>
              <c:showCatName val="0"/>
              <c:showSerName val="0"/>
              <c:showPercent val="0"/>
              <c:showBubbleSize val="0"/>
            </c:dLbl>
            <c:dLbl>
              <c:idx val="25"/>
              <c:layout/>
              <c:showLegendKey val="0"/>
              <c:showVal val="1"/>
              <c:showCatName val="0"/>
              <c:showSerName val="0"/>
              <c:showPercent val="0"/>
              <c:showBubbleSize val="0"/>
            </c:dLbl>
            <c:showLegendKey val="0"/>
            <c:showVal val="0"/>
            <c:showCatName val="0"/>
            <c:showSerName val="0"/>
            <c:showPercent val="0"/>
            <c:showBubbleSize val="0"/>
          </c:dLbls>
          <c:cat>
            <c:strRef>
              <c:f>Data!$A$8:$A$33</c:f>
              <c:strCache>
                <c:ptCount val="26"/>
                <c:pt idx="0">
                  <c:v>Beļģija</c:v>
                </c:pt>
                <c:pt idx="1">
                  <c:v>Francija</c:v>
                </c:pt>
                <c:pt idx="2">
                  <c:v>Vācija</c:v>
                </c:pt>
                <c:pt idx="3">
                  <c:v>Ungārija</c:v>
                </c:pt>
                <c:pt idx="4">
                  <c:v>Itālija</c:v>
                </c:pt>
                <c:pt idx="5">
                  <c:v>Austrija</c:v>
                </c:pt>
                <c:pt idx="6">
                  <c:v>Latvija </c:v>
                </c:pt>
                <c:pt idx="7">
                  <c:v>Rumānija*</c:v>
                </c:pt>
                <c:pt idx="8">
                  <c:v>Zviedrija</c:v>
                </c:pt>
                <c:pt idx="9">
                  <c:v>Čehija</c:v>
                </c:pt>
                <c:pt idx="10">
                  <c:v>Igaunija</c:v>
                </c:pt>
                <c:pt idx="11">
                  <c:v>Slovēnija</c:v>
                </c:pt>
                <c:pt idx="12">
                  <c:v>Lietuva</c:v>
                </c:pt>
                <c:pt idx="13">
                  <c:v>Somija</c:v>
                </c:pt>
                <c:pt idx="14">
                  <c:v>Dānija</c:v>
                </c:pt>
                <c:pt idx="15">
                  <c:v>Spānija</c:v>
                </c:pt>
                <c:pt idx="16">
                  <c:v>Slovākija</c:v>
                </c:pt>
                <c:pt idx="17">
                  <c:v>Grieķija</c:v>
                </c:pt>
                <c:pt idx="18">
                  <c:v>Polija</c:v>
                </c:pt>
                <c:pt idx="19">
                  <c:v>Nīderlande</c:v>
                </c:pt>
                <c:pt idx="20">
                  <c:v>Portugāle</c:v>
                </c:pt>
                <c:pt idx="21">
                  <c:v>Bulgārija*</c:v>
                </c:pt>
                <c:pt idx="22">
                  <c:v>Luksemburga</c:v>
                </c:pt>
                <c:pt idx="23">
                  <c:v>Lielbritānija</c:v>
                </c:pt>
                <c:pt idx="24">
                  <c:v>Īrija</c:v>
                </c:pt>
                <c:pt idx="25">
                  <c:v>Malta*</c:v>
                </c:pt>
              </c:strCache>
            </c:strRef>
          </c:cat>
          <c:val>
            <c:numRef>
              <c:f>Data!$D$8:$D$33</c:f>
              <c:numCache>
                <c:formatCode>#,##0.0</c:formatCode>
                <c:ptCount val="26"/>
                <c:pt idx="0">
                  <c:v>49.7</c:v>
                </c:pt>
                <c:pt idx="1">
                  <c:v>46.5</c:v>
                </c:pt>
                <c:pt idx="2">
                  <c:v>45.6</c:v>
                </c:pt>
                <c:pt idx="3">
                  <c:v>45.2</c:v>
                </c:pt>
                <c:pt idx="4">
                  <c:v>44.5</c:v>
                </c:pt>
                <c:pt idx="5">
                  <c:v>43.7</c:v>
                </c:pt>
                <c:pt idx="6" formatCode="General">
                  <c:v>43.3</c:v>
                </c:pt>
                <c:pt idx="7">
                  <c:v>43.1</c:v>
                </c:pt>
                <c:pt idx="8">
                  <c:v>40.700000000000003</c:v>
                </c:pt>
                <c:pt idx="9">
                  <c:v>39.5</c:v>
                </c:pt>
                <c:pt idx="10">
                  <c:v>38.800000000000011</c:v>
                </c:pt>
                <c:pt idx="11">
                  <c:v>38.5</c:v>
                </c:pt>
                <c:pt idx="12" formatCode="General">
                  <c:v>38.300000000000011</c:v>
                </c:pt>
                <c:pt idx="13">
                  <c:v>37.200000000000003</c:v>
                </c:pt>
                <c:pt idx="14">
                  <c:v>36.800000000000011</c:v>
                </c:pt>
                <c:pt idx="15">
                  <c:v>36.6</c:v>
                </c:pt>
                <c:pt idx="16">
                  <c:v>36.1</c:v>
                </c:pt>
                <c:pt idx="17">
                  <c:v>35.6</c:v>
                </c:pt>
                <c:pt idx="18">
                  <c:v>33.4</c:v>
                </c:pt>
                <c:pt idx="19">
                  <c:v>33.1</c:v>
                </c:pt>
                <c:pt idx="20">
                  <c:v>33.1</c:v>
                </c:pt>
                <c:pt idx="21" formatCode="General">
                  <c:v>32.5</c:v>
                </c:pt>
                <c:pt idx="22">
                  <c:v>29.2</c:v>
                </c:pt>
                <c:pt idx="23">
                  <c:v>28.5</c:v>
                </c:pt>
                <c:pt idx="24">
                  <c:v>21.3</c:v>
                </c:pt>
                <c:pt idx="25" formatCode="General">
                  <c:v>18.100000000000001</c:v>
                </c:pt>
              </c:numCache>
            </c:numRef>
          </c:val>
        </c:ser>
        <c:dLbls>
          <c:showLegendKey val="0"/>
          <c:showVal val="0"/>
          <c:showCatName val="0"/>
          <c:showSerName val="0"/>
          <c:showPercent val="0"/>
          <c:showBubbleSize val="0"/>
        </c:dLbls>
        <c:gapWidth val="150"/>
        <c:axId val="75214208"/>
        <c:axId val="75220096"/>
      </c:barChart>
      <c:catAx>
        <c:axId val="75214208"/>
        <c:scaling>
          <c:orientation val="minMax"/>
        </c:scaling>
        <c:delete val="0"/>
        <c:axPos val="b"/>
        <c:majorTickMark val="out"/>
        <c:minorTickMark val="none"/>
        <c:tickLblPos val="nextTo"/>
        <c:txPr>
          <a:bodyPr/>
          <a:lstStyle/>
          <a:p>
            <a:pPr>
              <a:defRPr sz="900"/>
            </a:pPr>
            <a:endParaRPr lang="lv-LV"/>
          </a:p>
        </c:txPr>
        <c:crossAx val="75220096"/>
        <c:crosses val="autoZero"/>
        <c:auto val="1"/>
        <c:lblAlgn val="ctr"/>
        <c:lblOffset val="100"/>
        <c:noMultiLvlLbl val="0"/>
      </c:catAx>
      <c:valAx>
        <c:axId val="75220096"/>
        <c:scaling>
          <c:orientation val="minMax"/>
          <c:max val="50"/>
        </c:scaling>
        <c:delete val="0"/>
        <c:axPos val="l"/>
        <c:majorGridlines/>
        <c:numFmt formatCode="#,##0" sourceLinked="0"/>
        <c:majorTickMark val="out"/>
        <c:minorTickMark val="none"/>
        <c:tickLblPos val="nextTo"/>
        <c:crossAx val="7521420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79100662875855"/>
          <c:y val="3.2549923654980391E-2"/>
          <c:w val="0.76713269778631776"/>
          <c:h val="0.87185092772634998"/>
        </c:manualLayout>
      </c:layout>
      <c:lineChart>
        <c:grouping val="standard"/>
        <c:varyColors val="0"/>
        <c:ser>
          <c:idx val="0"/>
          <c:order val="0"/>
          <c:tx>
            <c:strRef>
              <c:f>LABOUR!$E$1</c:f>
              <c:strCache>
                <c:ptCount val="1"/>
                <c:pt idx="0">
                  <c:v>Nodarbinātība</c:v>
                </c:pt>
              </c:strCache>
            </c:strRef>
          </c:tx>
          <c:spPr>
            <a:ln>
              <a:solidFill>
                <a:srgbClr val="002060"/>
              </a:solidFill>
            </a:ln>
          </c:spPr>
          <c:marker>
            <c:symbol val="none"/>
          </c:marker>
          <c:cat>
            <c:strRef>
              <c:f>LABOUR!$A$2:$A$45</c:f>
              <c:strCache>
                <c:ptCount val="41"/>
                <c:pt idx="0">
                  <c:v>2002</c:v>
                </c:pt>
                <c:pt idx="4">
                  <c:v>2003</c:v>
                </c:pt>
                <c:pt idx="8">
                  <c:v>2004</c:v>
                </c:pt>
                <c:pt idx="12">
                  <c:v>2005</c:v>
                </c:pt>
                <c:pt idx="16">
                  <c:v>2006</c:v>
                </c:pt>
                <c:pt idx="20">
                  <c:v>2007</c:v>
                </c:pt>
                <c:pt idx="24">
                  <c:v>2008</c:v>
                </c:pt>
                <c:pt idx="28">
                  <c:v>2009</c:v>
                </c:pt>
                <c:pt idx="32">
                  <c:v>2010</c:v>
                </c:pt>
                <c:pt idx="36">
                  <c:v>2011</c:v>
                </c:pt>
                <c:pt idx="40">
                  <c:v>2012</c:v>
                </c:pt>
              </c:strCache>
            </c:strRef>
          </c:cat>
          <c:val>
            <c:numRef>
              <c:f>LABOUR!$E$2:$E$42</c:f>
              <c:numCache>
                <c:formatCode>0.0</c:formatCode>
                <c:ptCount val="41"/>
                <c:pt idx="0">
                  <c:v>950.5</c:v>
                </c:pt>
                <c:pt idx="1">
                  <c:v>987.3</c:v>
                </c:pt>
                <c:pt idx="2">
                  <c:v>1010.4</c:v>
                </c:pt>
                <c:pt idx="3">
                  <c:v>997.2</c:v>
                </c:pt>
                <c:pt idx="4">
                  <c:v>993.6</c:v>
                </c:pt>
                <c:pt idx="5">
                  <c:v>1003.8</c:v>
                </c:pt>
                <c:pt idx="6">
                  <c:v>1027</c:v>
                </c:pt>
                <c:pt idx="7">
                  <c:v>1003.1</c:v>
                </c:pt>
                <c:pt idx="8">
                  <c:v>1002.4</c:v>
                </c:pt>
                <c:pt idx="9">
                  <c:v>1021.2</c:v>
                </c:pt>
                <c:pt idx="10">
                  <c:v>1029.7</c:v>
                </c:pt>
                <c:pt idx="11">
                  <c:v>1018.6</c:v>
                </c:pt>
                <c:pt idx="12">
                  <c:v>1015.2</c:v>
                </c:pt>
                <c:pt idx="13">
                  <c:v>1028.2</c:v>
                </c:pt>
                <c:pt idx="14">
                  <c:v>1043.9000000000001</c:v>
                </c:pt>
                <c:pt idx="15">
                  <c:v>1047.8</c:v>
                </c:pt>
                <c:pt idx="16">
                  <c:v>1056.5</c:v>
                </c:pt>
                <c:pt idx="17">
                  <c:v>1071.5999999999999</c:v>
                </c:pt>
                <c:pt idx="18">
                  <c:v>1118.8</c:v>
                </c:pt>
                <c:pt idx="19">
                  <c:v>1101.3</c:v>
                </c:pt>
                <c:pt idx="20">
                  <c:v>1084.4000000000001</c:v>
                </c:pt>
                <c:pt idx="21">
                  <c:v>1108</c:v>
                </c:pt>
                <c:pt idx="22">
                  <c:v>1130.8</c:v>
                </c:pt>
                <c:pt idx="23">
                  <c:v>1148.8</c:v>
                </c:pt>
                <c:pt idx="24">
                  <c:v>1137.8</c:v>
                </c:pt>
                <c:pt idx="25">
                  <c:v>1142.0999999999999</c:v>
                </c:pt>
                <c:pt idx="26">
                  <c:v>1132.5</c:v>
                </c:pt>
                <c:pt idx="27">
                  <c:v>1085.5999999999999</c:v>
                </c:pt>
                <c:pt idx="28">
                  <c:v>1046.7</c:v>
                </c:pt>
                <c:pt idx="29">
                  <c:v>999.3</c:v>
                </c:pt>
                <c:pt idx="30">
                  <c:v>953.9</c:v>
                </c:pt>
                <c:pt idx="31">
                  <c:v>932.6</c:v>
                </c:pt>
                <c:pt idx="32">
                  <c:v>916.1</c:v>
                </c:pt>
                <c:pt idx="33">
                  <c:v>936</c:v>
                </c:pt>
                <c:pt idx="34">
                  <c:v>960.3</c:v>
                </c:pt>
                <c:pt idx="35">
                  <c:v>951</c:v>
                </c:pt>
                <c:pt idx="36" formatCode="General">
                  <c:v>944.3</c:v>
                </c:pt>
                <c:pt idx="37" formatCode="General">
                  <c:v>966.5</c:v>
                </c:pt>
                <c:pt idx="38" formatCode="General">
                  <c:v>984.7</c:v>
                </c:pt>
                <c:pt idx="39" formatCode="General">
                  <c:v>986.6</c:v>
                </c:pt>
                <c:pt idx="40" formatCode="General">
                  <c:v>857.6</c:v>
                </c:pt>
              </c:numCache>
            </c:numRef>
          </c:val>
          <c:smooth val="0"/>
        </c:ser>
        <c:ser>
          <c:idx val="1"/>
          <c:order val="1"/>
          <c:tx>
            <c:strRef>
              <c:f>LABOUR!$F$1</c:f>
              <c:strCache>
                <c:ptCount val="1"/>
                <c:pt idx="0">
                  <c:v>Ekonomiski aktīvie iedz.</c:v>
                </c:pt>
              </c:strCache>
            </c:strRef>
          </c:tx>
          <c:spPr>
            <a:ln w="34925">
              <a:solidFill>
                <a:srgbClr val="C00000"/>
              </a:solidFill>
              <a:prstDash val="solid"/>
            </a:ln>
          </c:spPr>
          <c:marker>
            <c:symbol val="none"/>
          </c:marker>
          <c:cat>
            <c:strRef>
              <c:f>LABOUR!$A$2:$A$45</c:f>
              <c:strCache>
                <c:ptCount val="41"/>
                <c:pt idx="0">
                  <c:v>2002</c:v>
                </c:pt>
                <c:pt idx="4">
                  <c:v>2003</c:v>
                </c:pt>
                <c:pt idx="8">
                  <c:v>2004</c:v>
                </c:pt>
                <c:pt idx="12">
                  <c:v>2005</c:v>
                </c:pt>
                <c:pt idx="16">
                  <c:v>2006</c:v>
                </c:pt>
                <c:pt idx="20">
                  <c:v>2007</c:v>
                </c:pt>
                <c:pt idx="24">
                  <c:v>2008</c:v>
                </c:pt>
                <c:pt idx="28">
                  <c:v>2009</c:v>
                </c:pt>
                <c:pt idx="32">
                  <c:v>2010</c:v>
                </c:pt>
                <c:pt idx="36">
                  <c:v>2011</c:v>
                </c:pt>
                <c:pt idx="40">
                  <c:v>2012</c:v>
                </c:pt>
              </c:strCache>
            </c:strRef>
          </c:cat>
          <c:val>
            <c:numRef>
              <c:f>LABOUR!$F$2:$F$45</c:f>
              <c:numCache>
                <c:formatCode>0.0</c:formatCode>
                <c:ptCount val="44"/>
                <c:pt idx="0">
                  <c:v>1091.3</c:v>
                </c:pt>
                <c:pt idx="1">
                  <c:v>1138.2</c:v>
                </c:pt>
                <c:pt idx="2">
                  <c:v>1129.2</c:v>
                </c:pt>
                <c:pt idx="3">
                  <c:v>1128.5999999999999</c:v>
                </c:pt>
                <c:pt idx="4">
                  <c:v>1112.9000000000001</c:v>
                </c:pt>
                <c:pt idx="5">
                  <c:v>1123.4000000000001</c:v>
                </c:pt>
                <c:pt idx="6">
                  <c:v>1150.0999999999999</c:v>
                </c:pt>
                <c:pt idx="7">
                  <c:v>1118.3</c:v>
                </c:pt>
                <c:pt idx="8">
                  <c:v>1132.0999999999999</c:v>
                </c:pt>
                <c:pt idx="9">
                  <c:v>1133.5</c:v>
                </c:pt>
                <c:pt idx="10">
                  <c:v>1144.3</c:v>
                </c:pt>
                <c:pt idx="11">
                  <c:v>1135.3</c:v>
                </c:pt>
                <c:pt idx="12">
                  <c:v>1127</c:v>
                </c:pt>
                <c:pt idx="13">
                  <c:v>1132.4000000000001</c:v>
                </c:pt>
                <c:pt idx="14">
                  <c:v>1143.2</c:v>
                </c:pt>
                <c:pt idx="15">
                  <c:v>1136.2</c:v>
                </c:pt>
                <c:pt idx="16">
                  <c:v>1145.8</c:v>
                </c:pt>
                <c:pt idx="17">
                  <c:v>1154.9000000000001</c:v>
                </c:pt>
                <c:pt idx="18">
                  <c:v>1192.7</c:v>
                </c:pt>
                <c:pt idx="19">
                  <c:v>1173.0999999999999</c:v>
                </c:pt>
                <c:pt idx="20">
                  <c:v>1164.2</c:v>
                </c:pt>
                <c:pt idx="21">
                  <c:v>1178.5</c:v>
                </c:pt>
                <c:pt idx="22">
                  <c:v>1201.5</c:v>
                </c:pt>
                <c:pt idx="23">
                  <c:v>1213.0999999999999</c:v>
                </c:pt>
                <c:pt idx="24">
                  <c:v>1217.5</c:v>
                </c:pt>
                <c:pt idx="25">
                  <c:v>1218.5</c:v>
                </c:pt>
                <c:pt idx="26">
                  <c:v>1219.9000000000001</c:v>
                </c:pt>
                <c:pt idx="27">
                  <c:v>1204.2</c:v>
                </c:pt>
                <c:pt idx="28">
                  <c:v>1215.4000000000001</c:v>
                </c:pt>
                <c:pt idx="29">
                  <c:v>1199</c:v>
                </c:pt>
                <c:pt idx="30">
                  <c:v>1168.8</c:v>
                </c:pt>
                <c:pt idx="31">
                  <c:v>1162</c:v>
                </c:pt>
                <c:pt idx="32">
                  <c:v>1151.9000000000001</c:v>
                </c:pt>
                <c:pt idx="33">
                  <c:v>1161.3</c:v>
                </c:pt>
                <c:pt idx="34">
                  <c:v>1170.4000000000001</c:v>
                </c:pt>
                <c:pt idx="35">
                  <c:v>1144.4000000000001</c:v>
                </c:pt>
                <c:pt idx="36">
                  <c:v>1132.5</c:v>
                </c:pt>
                <c:pt idx="37">
                  <c:v>1153.4000000000001</c:v>
                </c:pt>
                <c:pt idx="38">
                  <c:v>1150</c:v>
                </c:pt>
                <c:pt idx="39">
                  <c:v>1151.8</c:v>
                </c:pt>
                <c:pt idx="40">
                  <c:v>1024.3</c:v>
                </c:pt>
                <c:pt idx="41">
                  <c:v>1046.3</c:v>
                </c:pt>
                <c:pt idx="42" formatCode="General">
                  <c:v>1046.9000000000001</c:v>
                </c:pt>
                <c:pt idx="43">
                  <c:v>1046.9000000000001</c:v>
                </c:pt>
              </c:numCache>
            </c:numRef>
          </c:val>
          <c:smooth val="0"/>
        </c:ser>
        <c:ser>
          <c:idx val="2"/>
          <c:order val="2"/>
          <c:tx>
            <c:strRef>
              <c:f>LABOUR!$G$1</c:f>
              <c:strCache>
                <c:ptCount val="1"/>
                <c:pt idx="0">
                  <c:v>Nodarbinātība</c:v>
                </c:pt>
              </c:strCache>
            </c:strRef>
          </c:tx>
          <c:spPr>
            <a:ln>
              <a:solidFill>
                <a:srgbClr val="002060"/>
              </a:solidFill>
              <a:prstDash val="dash"/>
            </a:ln>
          </c:spPr>
          <c:marker>
            <c:symbol val="none"/>
          </c:marker>
          <c:dPt>
            <c:idx val="40"/>
            <c:bubble3D val="0"/>
            <c:spPr>
              <a:ln>
                <a:solidFill>
                  <a:srgbClr val="002060"/>
                </a:solidFill>
                <a:prstDash val="solid"/>
              </a:ln>
            </c:spPr>
          </c:dPt>
          <c:dPt>
            <c:idx val="41"/>
            <c:bubble3D val="0"/>
            <c:spPr>
              <a:ln>
                <a:solidFill>
                  <a:srgbClr val="002060"/>
                </a:solidFill>
                <a:prstDash val="solid"/>
              </a:ln>
            </c:spPr>
          </c:dPt>
          <c:dPt>
            <c:idx val="42"/>
            <c:bubble3D val="0"/>
            <c:spPr>
              <a:ln>
                <a:solidFill>
                  <a:srgbClr val="002060"/>
                </a:solidFill>
                <a:prstDash val="solid"/>
              </a:ln>
            </c:spPr>
          </c:dPt>
          <c:cat>
            <c:strRef>
              <c:f>LABOUR!$A$2:$A$45</c:f>
              <c:strCache>
                <c:ptCount val="41"/>
                <c:pt idx="0">
                  <c:v>2002</c:v>
                </c:pt>
                <c:pt idx="4">
                  <c:v>2003</c:v>
                </c:pt>
                <c:pt idx="8">
                  <c:v>2004</c:v>
                </c:pt>
                <c:pt idx="12">
                  <c:v>2005</c:v>
                </c:pt>
                <c:pt idx="16">
                  <c:v>2006</c:v>
                </c:pt>
                <c:pt idx="20">
                  <c:v>2007</c:v>
                </c:pt>
                <c:pt idx="24">
                  <c:v>2008</c:v>
                </c:pt>
                <c:pt idx="28">
                  <c:v>2009</c:v>
                </c:pt>
                <c:pt idx="32">
                  <c:v>2010</c:v>
                </c:pt>
                <c:pt idx="36">
                  <c:v>2011</c:v>
                </c:pt>
                <c:pt idx="40">
                  <c:v>2012</c:v>
                </c:pt>
              </c:strCache>
            </c:strRef>
          </c:cat>
          <c:val>
            <c:numRef>
              <c:f>LABOUR!$G$2:$G$45</c:f>
              <c:numCache>
                <c:formatCode>0.0</c:formatCode>
                <c:ptCount val="44"/>
                <c:pt idx="0">
                  <c:v>950.5</c:v>
                </c:pt>
                <c:pt idx="1">
                  <c:v>987.3</c:v>
                </c:pt>
                <c:pt idx="2">
                  <c:v>1010.4</c:v>
                </c:pt>
                <c:pt idx="3">
                  <c:v>997.2</c:v>
                </c:pt>
                <c:pt idx="4">
                  <c:v>993.6</c:v>
                </c:pt>
                <c:pt idx="5">
                  <c:v>1003.8</c:v>
                </c:pt>
                <c:pt idx="6">
                  <c:v>1027</c:v>
                </c:pt>
                <c:pt idx="7">
                  <c:v>1003.1</c:v>
                </c:pt>
                <c:pt idx="8">
                  <c:v>1002.4</c:v>
                </c:pt>
                <c:pt idx="9">
                  <c:v>1021.2</c:v>
                </c:pt>
                <c:pt idx="10">
                  <c:v>1029.7</c:v>
                </c:pt>
                <c:pt idx="11">
                  <c:v>1018.6</c:v>
                </c:pt>
                <c:pt idx="12">
                  <c:v>1015.2</c:v>
                </c:pt>
                <c:pt idx="13">
                  <c:v>1028.2</c:v>
                </c:pt>
                <c:pt idx="14">
                  <c:v>1043.9000000000001</c:v>
                </c:pt>
                <c:pt idx="15">
                  <c:v>1047.8</c:v>
                </c:pt>
                <c:pt idx="16">
                  <c:v>1056.5</c:v>
                </c:pt>
                <c:pt idx="17">
                  <c:v>1071.5999999999999</c:v>
                </c:pt>
                <c:pt idx="18">
                  <c:v>1118.8</c:v>
                </c:pt>
                <c:pt idx="19">
                  <c:v>1101.3</c:v>
                </c:pt>
                <c:pt idx="20">
                  <c:v>1084.4000000000001</c:v>
                </c:pt>
                <c:pt idx="21">
                  <c:v>1108</c:v>
                </c:pt>
                <c:pt idx="22">
                  <c:v>1130.8</c:v>
                </c:pt>
                <c:pt idx="23">
                  <c:v>1148.8</c:v>
                </c:pt>
                <c:pt idx="24">
                  <c:v>1137.8</c:v>
                </c:pt>
                <c:pt idx="25">
                  <c:v>1142.0999999999999</c:v>
                </c:pt>
                <c:pt idx="26">
                  <c:v>1132.5</c:v>
                </c:pt>
                <c:pt idx="27">
                  <c:v>1085.5999999999999</c:v>
                </c:pt>
                <c:pt idx="28">
                  <c:v>1046.7</c:v>
                </c:pt>
                <c:pt idx="29">
                  <c:v>999.3</c:v>
                </c:pt>
                <c:pt idx="30">
                  <c:v>953.9</c:v>
                </c:pt>
                <c:pt idx="31">
                  <c:v>932.6</c:v>
                </c:pt>
                <c:pt idx="32">
                  <c:v>916.1</c:v>
                </c:pt>
                <c:pt idx="33">
                  <c:v>936</c:v>
                </c:pt>
                <c:pt idx="34">
                  <c:v>960.3</c:v>
                </c:pt>
                <c:pt idx="35">
                  <c:v>951</c:v>
                </c:pt>
                <c:pt idx="36" formatCode="General">
                  <c:v>835.9</c:v>
                </c:pt>
                <c:pt idx="37" formatCode="General">
                  <c:v>858.5</c:v>
                </c:pt>
                <c:pt idx="38" formatCode="General">
                  <c:v>875.1</c:v>
                </c:pt>
                <c:pt idx="39" formatCode="General">
                  <c:v>876.7</c:v>
                </c:pt>
                <c:pt idx="40" formatCode="General">
                  <c:v>857.6</c:v>
                </c:pt>
                <c:pt idx="41" formatCode="General">
                  <c:v>877.4</c:v>
                </c:pt>
                <c:pt idx="42" formatCode="General">
                  <c:v>905.1</c:v>
                </c:pt>
                <c:pt idx="43" formatCode="General">
                  <c:v>902.3</c:v>
                </c:pt>
              </c:numCache>
            </c:numRef>
          </c:val>
          <c:smooth val="0"/>
        </c:ser>
        <c:ser>
          <c:idx val="3"/>
          <c:order val="3"/>
          <c:tx>
            <c:strRef>
              <c:f>LABOUR!$H$1</c:f>
              <c:strCache>
                <c:ptCount val="1"/>
                <c:pt idx="0">
                  <c:v>Ekonomiski aktīvie iedz.</c:v>
                </c:pt>
              </c:strCache>
            </c:strRef>
          </c:tx>
          <c:spPr>
            <a:ln>
              <a:solidFill>
                <a:srgbClr val="C00000"/>
              </a:solidFill>
              <a:prstDash val="dash"/>
            </a:ln>
          </c:spPr>
          <c:marker>
            <c:symbol val="none"/>
          </c:marker>
          <c:dPt>
            <c:idx val="41"/>
            <c:bubble3D val="0"/>
            <c:spPr>
              <a:ln>
                <a:solidFill>
                  <a:srgbClr val="C00000"/>
                </a:solidFill>
                <a:prstDash val="solid"/>
              </a:ln>
            </c:spPr>
          </c:dPt>
          <c:dPt>
            <c:idx val="42"/>
            <c:bubble3D val="0"/>
            <c:spPr>
              <a:ln>
                <a:solidFill>
                  <a:srgbClr val="C00000"/>
                </a:solidFill>
                <a:prstDash val="solid"/>
              </a:ln>
            </c:spPr>
          </c:dPt>
          <c:cat>
            <c:strRef>
              <c:f>LABOUR!$A$2:$A$45</c:f>
              <c:strCache>
                <c:ptCount val="41"/>
                <c:pt idx="0">
                  <c:v>2002</c:v>
                </c:pt>
                <c:pt idx="4">
                  <c:v>2003</c:v>
                </c:pt>
                <c:pt idx="8">
                  <c:v>2004</c:v>
                </c:pt>
                <c:pt idx="12">
                  <c:v>2005</c:v>
                </c:pt>
                <c:pt idx="16">
                  <c:v>2006</c:v>
                </c:pt>
                <c:pt idx="20">
                  <c:v>2007</c:v>
                </c:pt>
                <c:pt idx="24">
                  <c:v>2008</c:v>
                </c:pt>
                <c:pt idx="28">
                  <c:v>2009</c:v>
                </c:pt>
                <c:pt idx="32">
                  <c:v>2010</c:v>
                </c:pt>
                <c:pt idx="36">
                  <c:v>2011</c:v>
                </c:pt>
                <c:pt idx="40">
                  <c:v>2012</c:v>
                </c:pt>
              </c:strCache>
            </c:strRef>
          </c:cat>
          <c:val>
            <c:numRef>
              <c:f>LABOUR!$H$2:$H$45</c:f>
              <c:numCache>
                <c:formatCode>0.0</c:formatCode>
                <c:ptCount val="44"/>
                <c:pt idx="0">
                  <c:v>1091.3</c:v>
                </c:pt>
                <c:pt idx="1">
                  <c:v>1138.2</c:v>
                </c:pt>
                <c:pt idx="2">
                  <c:v>1129.2</c:v>
                </c:pt>
                <c:pt idx="3">
                  <c:v>1128.5999999999999</c:v>
                </c:pt>
                <c:pt idx="4">
                  <c:v>1112.9000000000001</c:v>
                </c:pt>
                <c:pt idx="5">
                  <c:v>1123.4000000000001</c:v>
                </c:pt>
                <c:pt idx="6">
                  <c:v>1150.0999999999999</c:v>
                </c:pt>
                <c:pt idx="7">
                  <c:v>1118.3</c:v>
                </c:pt>
                <c:pt idx="8">
                  <c:v>1132.0999999999999</c:v>
                </c:pt>
                <c:pt idx="9">
                  <c:v>1133.5</c:v>
                </c:pt>
                <c:pt idx="10">
                  <c:v>1144.3</c:v>
                </c:pt>
                <c:pt idx="11">
                  <c:v>1135.3</c:v>
                </c:pt>
                <c:pt idx="12">
                  <c:v>1127</c:v>
                </c:pt>
                <c:pt idx="13">
                  <c:v>1132.4000000000001</c:v>
                </c:pt>
                <c:pt idx="14">
                  <c:v>1143.2</c:v>
                </c:pt>
                <c:pt idx="15">
                  <c:v>1136.2</c:v>
                </c:pt>
                <c:pt idx="16">
                  <c:v>1145.8</c:v>
                </c:pt>
                <c:pt idx="17">
                  <c:v>1154.9000000000001</c:v>
                </c:pt>
                <c:pt idx="18">
                  <c:v>1192.7</c:v>
                </c:pt>
                <c:pt idx="19">
                  <c:v>1173.0999999999999</c:v>
                </c:pt>
                <c:pt idx="20">
                  <c:v>1164.2</c:v>
                </c:pt>
                <c:pt idx="21">
                  <c:v>1178.5</c:v>
                </c:pt>
                <c:pt idx="22">
                  <c:v>1201.5</c:v>
                </c:pt>
                <c:pt idx="23">
                  <c:v>1213.0999999999999</c:v>
                </c:pt>
                <c:pt idx="24">
                  <c:v>1217.5</c:v>
                </c:pt>
                <c:pt idx="25">
                  <c:v>1218.5</c:v>
                </c:pt>
                <c:pt idx="26">
                  <c:v>1219.9000000000001</c:v>
                </c:pt>
                <c:pt idx="27">
                  <c:v>1204.2</c:v>
                </c:pt>
                <c:pt idx="28">
                  <c:v>1215.4000000000001</c:v>
                </c:pt>
                <c:pt idx="29">
                  <c:v>1199</c:v>
                </c:pt>
                <c:pt idx="30">
                  <c:v>1168.8</c:v>
                </c:pt>
                <c:pt idx="31">
                  <c:v>1162</c:v>
                </c:pt>
                <c:pt idx="32">
                  <c:v>1151.9000000000001</c:v>
                </c:pt>
                <c:pt idx="33">
                  <c:v>1161.3</c:v>
                </c:pt>
                <c:pt idx="34">
                  <c:v>1170.4000000000001</c:v>
                </c:pt>
                <c:pt idx="35">
                  <c:v>1144.4000000000001</c:v>
                </c:pt>
                <c:pt idx="36">
                  <c:v>1014.8</c:v>
                </c:pt>
                <c:pt idx="37">
                  <c:v>1035.8</c:v>
                </c:pt>
                <c:pt idx="38">
                  <c:v>1030.5</c:v>
                </c:pt>
                <c:pt idx="39">
                  <c:v>1031.8</c:v>
                </c:pt>
                <c:pt idx="40">
                  <c:v>1024.3</c:v>
                </c:pt>
                <c:pt idx="41">
                  <c:v>1046.3</c:v>
                </c:pt>
                <c:pt idx="42">
                  <c:v>1046.9000000000001</c:v>
                </c:pt>
                <c:pt idx="43">
                  <c:v>1046.9000000000001</c:v>
                </c:pt>
              </c:numCache>
            </c:numRef>
          </c:val>
          <c:smooth val="0"/>
        </c:ser>
        <c:dLbls>
          <c:showLegendKey val="0"/>
          <c:showVal val="0"/>
          <c:showCatName val="0"/>
          <c:showSerName val="0"/>
          <c:showPercent val="0"/>
          <c:showBubbleSize val="0"/>
        </c:dLbls>
        <c:marker val="1"/>
        <c:smooth val="0"/>
        <c:axId val="92489984"/>
        <c:axId val="37879808"/>
      </c:lineChart>
      <c:catAx>
        <c:axId val="92489984"/>
        <c:scaling>
          <c:orientation val="minMax"/>
        </c:scaling>
        <c:delete val="0"/>
        <c:axPos val="b"/>
        <c:numFmt formatCode="General" sourceLinked="1"/>
        <c:majorTickMark val="out"/>
        <c:minorTickMark val="none"/>
        <c:tickLblPos val="nextTo"/>
        <c:txPr>
          <a:bodyPr/>
          <a:lstStyle/>
          <a:p>
            <a:pPr>
              <a:defRPr sz="700"/>
            </a:pPr>
            <a:endParaRPr lang="lv-LV"/>
          </a:p>
        </c:txPr>
        <c:crossAx val="37879808"/>
        <c:crosses val="autoZero"/>
        <c:auto val="1"/>
        <c:lblAlgn val="ctr"/>
        <c:lblOffset val="100"/>
        <c:tickMarkSkip val="4"/>
        <c:noMultiLvlLbl val="0"/>
      </c:catAx>
      <c:valAx>
        <c:axId val="37879808"/>
        <c:scaling>
          <c:orientation val="minMax"/>
          <c:max val="1300"/>
          <c:min val="800"/>
        </c:scaling>
        <c:delete val="0"/>
        <c:axPos val="l"/>
        <c:majorGridlines>
          <c:spPr>
            <a:ln>
              <a:solidFill>
                <a:schemeClr val="bg1">
                  <a:lumMod val="75000"/>
                </a:schemeClr>
              </a:solidFill>
            </a:ln>
          </c:spPr>
        </c:majorGridlines>
        <c:title>
          <c:tx>
            <c:rich>
              <a:bodyPr rot="-5400000" vert="horz"/>
              <a:lstStyle/>
              <a:p>
                <a:pPr>
                  <a:defRPr sz="900"/>
                </a:pPr>
                <a:r>
                  <a:rPr lang="lv-LV" sz="900"/>
                  <a:t>Tūkst.</a:t>
                </a:r>
              </a:p>
            </c:rich>
          </c:tx>
          <c:layout/>
          <c:overlay val="0"/>
        </c:title>
        <c:numFmt formatCode="0" sourceLinked="0"/>
        <c:majorTickMark val="out"/>
        <c:minorTickMark val="none"/>
        <c:tickLblPos val="nextTo"/>
        <c:txPr>
          <a:bodyPr/>
          <a:lstStyle/>
          <a:p>
            <a:pPr>
              <a:defRPr sz="900"/>
            </a:pPr>
            <a:endParaRPr lang="lv-LV"/>
          </a:p>
        </c:txPr>
        <c:crossAx val="92489984"/>
        <c:crosses val="autoZero"/>
        <c:crossBetween val="between"/>
        <c:majorUnit val="100"/>
        <c:minorUnit val="20"/>
      </c:valAx>
    </c:plotArea>
    <c:legend>
      <c:legendPos val="b"/>
      <c:layout>
        <c:manualLayout>
          <c:xMode val="edge"/>
          <c:yMode val="edge"/>
          <c:x val="0.24991933547567302"/>
          <c:y val="2.2018858457620444E-2"/>
          <c:w val="0.63698106544021449"/>
          <c:h val="0.11906549704100676"/>
        </c:manualLayout>
      </c:layout>
      <c:overlay val="0"/>
      <c:spPr>
        <a:solidFill>
          <a:schemeClr val="bg1"/>
        </a:solidFill>
        <a:ln>
          <a:solidFill>
            <a:schemeClr val="bg1">
              <a:lumMod val="65000"/>
            </a:schemeClr>
          </a:solidFill>
        </a:ln>
      </c:spPr>
      <c:txPr>
        <a:bodyPr/>
        <a:lstStyle/>
        <a:p>
          <a:pPr>
            <a:defRPr sz="9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11707169697312"/>
          <c:y val="0.15724154272382618"/>
          <c:w val="0.78012996967877635"/>
          <c:h val="0.73389253426654999"/>
        </c:manualLayout>
      </c:layout>
      <c:lineChart>
        <c:grouping val="standard"/>
        <c:varyColors val="0"/>
        <c:ser>
          <c:idx val="0"/>
          <c:order val="0"/>
          <c:tx>
            <c:strRef>
              <c:f>Wage!$C$2</c:f>
              <c:strCache>
                <c:ptCount val="1"/>
                <c:pt idx="0">
                  <c:v>Minimālā alga</c:v>
                </c:pt>
              </c:strCache>
            </c:strRef>
          </c:tx>
          <c:spPr>
            <a:ln>
              <a:solidFill>
                <a:srgbClr val="C00000"/>
              </a:solidFill>
              <a:prstDash val="sysDash"/>
            </a:ln>
          </c:spPr>
          <c:marker>
            <c:symbol val="none"/>
          </c:marker>
          <c:dLbls>
            <c:dLbl>
              <c:idx val="0"/>
              <c:delete val="1"/>
            </c:dLbl>
            <c:dLbl>
              <c:idx val="1"/>
              <c:layout>
                <c:manualLayout>
                  <c:x val="-2.0833333333333332E-2"/>
                  <c:y val="-5.902777777777786E-2"/>
                </c:manualLayout>
              </c:layout>
              <c:dLblPos val="r"/>
              <c:showLegendKey val="0"/>
              <c:showVal val="1"/>
              <c:showCatName val="0"/>
              <c:showSerName val="0"/>
              <c:showPercent val="0"/>
              <c:showBubbleSize val="0"/>
            </c:dLbl>
            <c:dLbl>
              <c:idx val="2"/>
              <c:delete val="1"/>
            </c:dLbl>
            <c:dLbl>
              <c:idx val="3"/>
              <c:delete val="1"/>
            </c:dLbl>
            <c:dLbl>
              <c:idx val="4"/>
              <c:delete val="1"/>
            </c:dLbl>
            <c:dLbl>
              <c:idx val="5"/>
              <c:delete val="1"/>
            </c:dLbl>
            <c:dLbl>
              <c:idx val="6"/>
              <c:layout>
                <c:manualLayout>
                  <c:x val="-4.583333333333333E-2"/>
                  <c:y val="-5.9027777777777776E-2"/>
                </c:manualLayout>
              </c:layout>
              <c:dLblPos val="r"/>
              <c:showLegendKey val="0"/>
              <c:showVal val="1"/>
              <c:showCatName val="0"/>
              <c:showSerName val="0"/>
              <c:showPercent val="0"/>
              <c:showBubbleSize val="0"/>
            </c:dLbl>
            <c:dLbl>
              <c:idx val="7"/>
              <c:delete val="1"/>
            </c:dLbl>
            <c:dLbl>
              <c:idx val="8"/>
              <c:delete val="1"/>
            </c:dLbl>
            <c:dLbl>
              <c:idx val="9"/>
              <c:layout>
                <c:manualLayout>
                  <c:x val="-3.3333333333333333E-2"/>
                  <c:y val="-5.9027777777777776E-2"/>
                </c:manualLayout>
              </c:layout>
              <c:dLblPos val="r"/>
              <c:showLegendKey val="0"/>
              <c:showVal val="1"/>
              <c:showCatName val="0"/>
              <c:showSerName val="0"/>
              <c:showPercent val="0"/>
              <c:showBubbleSize val="0"/>
            </c:dLbl>
            <c:dLbl>
              <c:idx val="10"/>
              <c:delete val="1"/>
            </c:dLbl>
            <c:dLbl>
              <c:idx val="11"/>
              <c:delete val="1"/>
            </c:dLbl>
            <c:dLbl>
              <c:idx val="12"/>
              <c:delete val="1"/>
            </c:dLbl>
            <c:dLbl>
              <c:idx val="13"/>
              <c:delete val="1"/>
            </c:dLbl>
            <c:dLbl>
              <c:idx val="15"/>
              <c:delete val="1"/>
            </c:dLbl>
            <c:dLbl>
              <c:idx val="16"/>
              <c:layout>
                <c:manualLayout>
                  <c:x val="3.0555555555555555E-2"/>
                  <c:y val="-5.9027777777777776E-2"/>
                </c:manualLayout>
              </c:layout>
              <c:dLblPos val="r"/>
              <c:showLegendKey val="0"/>
              <c:showVal val="1"/>
              <c:showCatName val="0"/>
              <c:showSerName val="0"/>
              <c:showPercent val="0"/>
              <c:showBubbleSize val="0"/>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layout>
                <c:manualLayout>
                  <c:x val="9.5514874520811078E-4"/>
                  <c:y val="-5.9027874680221935E-2"/>
                </c:manualLayout>
              </c:layout>
              <c:dLblPos val="r"/>
              <c:showLegendKey val="0"/>
              <c:showVal val="1"/>
              <c:showCatName val="0"/>
              <c:showSerName val="0"/>
              <c:showPercent val="0"/>
              <c:showBubbleSize val="0"/>
            </c:dLbl>
            <c:dLbl>
              <c:idx val="26"/>
              <c:delete val="1"/>
            </c:dLbl>
            <c:dLbl>
              <c:idx val="27"/>
              <c:delete val="1"/>
            </c:dLbl>
            <c:dLbl>
              <c:idx val="28"/>
              <c:delete val="1"/>
            </c:dLbl>
            <c:dLbl>
              <c:idx val="29"/>
              <c:delete val="1"/>
            </c:dLbl>
            <c:dLbl>
              <c:idx val="30"/>
              <c:delete val="1"/>
            </c:dLbl>
            <c:dLbl>
              <c:idx val="31"/>
              <c:delete val="1"/>
            </c:dLbl>
            <c:txPr>
              <a:bodyPr/>
              <a:lstStyle/>
              <a:p>
                <a:pPr>
                  <a:defRPr sz="900" b="1">
                    <a:solidFill>
                      <a:srgbClr val="C00000"/>
                    </a:solidFill>
                  </a:defRPr>
                </a:pPr>
                <a:endParaRPr lang="lv-LV"/>
              </a:p>
            </c:txPr>
            <c:dLblPos val="t"/>
            <c:showLegendKey val="0"/>
            <c:showVal val="1"/>
            <c:showCatName val="0"/>
            <c:showSerName val="0"/>
            <c:showPercent val="0"/>
            <c:showBubbleSize val="0"/>
            <c:showLeaderLines val="0"/>
          </c:dLbls>
          <c:cat>
            <c:numRef>
              <c:f>Wage!$A$3:$A$34</c:f>
              <c:numCache>
                <c:formatCode>General</c:formatCode>
                <c:ptCount val="32"/>
                <c:pt idx="0">
                  <c:v>2005</c:v>
                </c:pt>
                <c:pt idx="4">
                  <c:v>2006</c:v>
                </c:pt>
                <c:pt idx="8">
                  <c:v>2007</c:v>
                </c:pt>
                <c:pt idx="12">
                  <c:v>2008</c:v>
                </c:pt>
                <c:pt idx="16">
                  <c:v>2009</c:v>
                </c:pt>
                <c:pt idx="20">
                  <c:v>2010</c:v>
                </c:pt>
                <c:pt idx="24">
                  <c:v>2011</c:v>
                </c:pt>
                <c:pt idx="28">
                  <c:v>2012</c:v>
                </c:pt>
              </c:numCache>
            </c:numRef>
          </c:cat>
          <c:val>
            <c:numRef>
              <c:f>Wage!$C$3:$C$34</c:f>
              <c:numCache>
                <c:formatCode>General</c:formatCode>
                <c:ptCount val="32"/>
                <c:pt idx="0">
                  <c:v>80</c:v>
                </c:pt>
                <c:pt idx="1">
                  <c:v>80</c:v>
                </c:pt>
                <c:pt idx="2">
                  <c:v>80</c:v>
                </c:pt>
                <c:pt idx="3">
                  <c:v>80</c:v>
                </c:pt>
                <c:pt idx="4">
                  <c:v>90</c:v>
                </c:pt>
                <c:pt idx="5">
                  <c:v>90</c:v>
                </c:pt>
                <c:pt idx="6">
                  <c:v>90</c:v>
                </c:pt>
                <c:pt idx="7">
                  <c:v>90</c:v>
                </c:pt>
                <c:pt idx="8">
                  <c:v>120</c:v>
                </c:pt>
                <c:pt idx="9">
                  <c:v>120</c:v>
                </c:pt>
                <c:pt idx="10">
                  <c:v>120</c:v>
                </c:pt>
                <c:pt idx="11">
                  <c:v>120</c:v>
                </c:pt>
                <c:pt idx="12">
                  <c:v>160</c:v>
                </c:pt>
                <c:pt idx="13">
                  <c:v>160</c:v>
                </c:pt>
                <c:pt idx="14">
                  <c:v>160</c:v>
                </c:pt>
                <c:pt idx="15">
                  <c:v>160</c:v>
                </c:pt>
                <c:pt idx="16">
                  <c:v>180</c:v>
                </c:pt>
                <c:pt idx="17">
                  <c:v>180</c:v>
                </c:pt>
                <c:pt idx="18">
                  <c:v>180</c:v>
                </c:pt>
                <c:pt idx="19">
                  <c:v>180</c:v>
                </c:pt>
                <c:pt idx="20">
                  <c:v>180</c:v>
                </c:pt>
                <c:pt idx="21">
                  <c:v>180</c:v>
                </c:pt>
                <c:pt idx="22">
                  <c:v>180</c:v>
                </c:pt>
                <c:pt idx="23">
                  <c:v>180</c:v>
                </c:pt>
                <c:pt idx="24">
                  <c:v>200</c:v>
                </c:pt>
                <c:pt idx="25">
                  <c:v>200</c:v>
                </c:pt>
                <c:pt idx="26">
                  <c:v>200</c:v>
                </c:pt>
                <c:pt idx="27">
                  <c:v>200</c:v>
                </c:pt>
                <c:pt idx="28">
                  <c:v>200</c:v>
                </c:pt>
                <c:pt idx="29">
                  <c:v>200</c:v>
                </c:pt>
                <c:pt idx="30">
                  <c:v>200</c:v>
                </c:pt>
                <c:pt idx="31">
                  <c:v>200</c:v>
                </c:pt>
              </c:numCache>
            </c:numRef>
          </c:val>
          <c:smooth val="0"/>
        </c:ser>
        <c:ser>
          <c:idx val="1"/>
          <c:order val="1"/>
          <c:tx>
            <c:strRef>
              <c:f>Wage!$D$2</c:f>
              <c:strCache>
                <c:ptCount val="1"/>
                <c:pt idx="0">
                  <c:v>Vidējā darba alga</c:v>
                </c:pt>
              </c:strCache>
            </c:strRef>
          </c:tx>
          <c:spPr>
            <a:ln>
              <a:solidFill>
                <a:srgbClr val="002060"/>
              </a:solidFill>
            </a:ln>
          </c:spPr>
          <c:marker>
            <c:symbol val="none"/>
          </c:marker>
          <c:dLbls>
            <c:dLbl>
              <c:idx val="0"/>
              <c:layout>
                <c:manualLayout>
                  <c:x val="-2.2916666666666655E-2"/>
                  <c:y val="-5.6354257801108192E-2"/>
                </c:manualLayout>
              </c:layout>
              <c:dLblPos val="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6"/>
              <c:delete val="1"/>
            </c:dLbl>
            <c:dLbl>
              <c:idx val="17"/>
              <c:delete val="1"/>
            </c:dLbl>
            <c:dLbl>
              <c:idx val="18"/>
              <c:delete val="1"/>
            </c:dLbl>
            <c:dLbl>
              <c:idx val="20"/>
              <c:delete val="1"/>
            </c:dLbl>
            <c:dLbl>
              <c:idx val="21"/>
              <c:delete val="1"/>
            </c:dLbl>
            <c:dLbl>
              <c:idx val="22"/>
              <c:delete val="1"/>
            </c:dLbl>
            <c:dLbl>
              <c:idx val="24"/>
              <c:delete val="1"/>
            </c:dLbl>
            <c:dLbl>
              <c:idx val="25"/>
              <c:delete val="1"/>
            </c:dLbl>
            <c:dLbl>
              <c:idx val="26"/>
              <c:delete val="1"/>
            </c:dLbl>
            <c:dLbl>
              <c:idx val="28"/>
              <c:delete val="1"/>
            </c:dLbl>
            <c:dLbl>
              <c:idx val="29"/>
              <c:delete val="1"/>
            </c:dLbl>
            <c:dLbl>
              <c:idx val="30"/>
              <c:delete val="1"/>
            </c:dLbl>
            <c:txPr>
              <a:bodyPr/>
              <a:lstStyle/>
              <a:p>
                <a:pPr>
                  <a:defRPr sz="900" b="1">
                    <a:solidFill>
                      <a:srgbClr val="002060"/>
                    </a:solidFill>
                  </a:defRPr>
                </a:pPr>
                <a:endParaRPr lang="lv-LV"/>
              </a:p>
            </c:txPr>
            <c:dLblPos val="t"/>
            <c:showLegendKey val="0"/>
            <c:showVal val="1"/>
            <c:showCatName val="0"/>
            <c:showSerName val="0"/>
            <c:showPercent val="0"/>
            <c:showBubbleSize val="0"/>
            <c:showLeaderLines val="0"/>
          </c:dLbls>
          <c:cat>
            <c:numRef>
              <c:f>Wage!$A$3:$A$34</c:f>
              <c:numCache>
                <c:formatCode>General</c:formatCode>
                <c:ptCount val="32"/>
                <c:pt idx="0">
                  <c:v>2005</c:v>
                </c:pt>
                <c:pt idx="4">
                  <c:v>2006</c:v>
                </c:pt>
                <c:pt idx="8">
                  <c:v>2007</c:v>
                </c:pt>
                <c:pt idx="12">
                  <c:v>2008</c:v>
                </c:pt>
                <c:pt idx="16">
                  <c:v>2009</c:v>
                </c:pt>
                <c:pt idx="20">
                  <c:v>2010</c:v>
                </c:pt>
                <c:pt idx="24">
                  <c:v>2011</c:v>
                </c:pt>
                <c:pt idx="28">
                  <c:v>2012</c:v>
                </c:pt>
              </c:numCache>
            </c:numRef>
          </c:cat>
          <c:val>
            <c:numRef>
              <c:f>Wage!$D$3:$D$34</c:f>
              <c:numCache>
                <c:formatCode>General</c:formatCode>
                <c:ptCount val="32"/>
                <c:pt idx="0">
                  <c:v>226</c:v>
                </c:pt>
                <c:pt idx="1">
                  <c:v>240</c:v>
                </c:pt>
                <c:pt idx="2">
                  <c:v>248</c:v>
                </c:pt>
                <c:pt idx="3">
                  <c:v>269</c:v>
                </c:pt>
                <c:pt idx="4">
                  <c:v>269</c:v>
                </c:pt>
                <c:pt idx="5">
                  <c:v>291</c:v>
                </c:pt>
                <c:pt idx="6">
                  <c:v>304</c:v>
                </c:pt>
                <c:pt idx="7">
                  <c:v>344</c:v>
                </c:pt>
                <c:pt idx="8">
                  <c:v>354</c:v>
                </c:pt>
                <c:pt idx="9">
                  <c:v>386</c:v>
                </c:pt>
                <c:pt idx="10">
                  <c:v>404</c:v>
                </c:pt>
                <c:pt idx="11">
                  <c:v>446</c:v>
                </c:pt>
                <c:pt idx="12">
                  <c:v>453</c:v>
                </c:pt>
                <c:pt idx="13">
                  <c:v>477</c:v>
                </c:pt>
                <c:pt idx="14">
                  <c:v>487</c:v>
                </c:pt>
                <c:pt idx="15">
                  <c:v>500</c:v>
                </c:pt>
                <c:pt idx="16">
                  <c:v>470</c:v>
                </c:pt>
                <c:pt idx="17">
                  <c:v>474</c:v>
                </c:pt>
                <c:pt idx="18">
                  <c:v>456</c:v>
                </c:pt>
                <c:pt idx="19">
                  <c:v>440</c:v>
                </c:pt>
                <c:pt idx="20">
                  <c:v>432</c:v>
                </c:pt>
                <c:pt idx="21">
                  <c:v>444</c:v>
                </c:pt>
                <c:pt idx="22">
                  <c:v>448</c:v>
                </c:pt>
                <c:pt idx="23">
                  <c:v>455</c:v>
                </c:pt>
                <c:pt idx="24">
                  <c:v>450</c:v>
                </c:pt>
                <c:pt idx="25">
                  <c:v>464</c:v>
                </c:pt>
                <c:pt idx="26">
                  <c:v>467</c:v>
                </c:pt>
                <c:pt idx="27">
                  <c:v>475</c:v>
                </c:pt>
                <c:pt idx="28">
                  <c:v>466</c:v>
                </c:pt>
                <c:pt idx="29">
                  <c:v>481</c:v>
                </c:pt>
                <c:pt idx="30">
                  <c:v>483</c:v>
                </c:pt>
                <c:pt idx="31">
                  <c:v>494</c:v>
                </c:pt>
              </c:numCache>
            </c:numRef>
          </c:val>
          <c:smooth val="0"/>
        </c:ser>
        <c:dLbls>
          <c:showLegendKey val="0"/>
          <c:showVal val="0"/>
          <c:showCatName val="0"/>
          <c:showSerName val="0"/>
          <c:showPercent val="0"/>
          <c:showBubbleSize val="0"/>
        </c:dLbls>
        <c:marker val="1"/>
        <c:smooth val="0"/>
        <c:axId val="37898496"/>
        <c:axId val="37900288"/>
      </c:lineChart>
      <c:catAx>
        <c:axId val="37898496"/>
        <c:scaling>
          <c:orientation val="minMax"/>
        </c:scaling>
        <c:delete val="0"/>
        <c:axPos val="b"/>
        <c:numFmt formatCode="General" sourceLinked="1"/>
        <c:majorTickMark val="out"/>
        <c:minorTickMark val="none"/>
        <c:tickLblPos val="nextTo"/>
        <c:txPr>
          <a:bodyPr/>
          <a:lstStyle/>
          <a:p>
            <a:pPr>
              <a:defRPr sz="900"/>
            </a:pPr>
            <a:endParaRPr lang="lv-LV"/>
          </a:p>
        </c:txPr>
        <c:crossAx val="37900288"/>
        <c:crosses val="autoZero"/>
        <c:auto val="1"/>
        <c:lblAlgn val="ctr"/>
        <c:lblOffset val="100"/>
        <c:tickMarkSkip val="4"/>
        <c:noMultiLvlLbl val="0"/>
      </c:catAx>
      <c:valAx>
        <c:axId val="37900288"/>
        <c:scaling>
          <c:orientation val="minMax"/>
        </c:scaling>
        <c:delete val="0"/>
        <c:axPos val="l"/>
        <c:majorGridlines>
          <c:spPr>
            <a:ln>
              <a:solidFill>
                <a:schemeClr val="bg1">
                  <a:lumMod val="65000"/>
                </a:schemeClr>
              </a:solidFill>
            </a:ln>
          </c:spPr>
        </c:majorGridlines>
        <c:title>
          <c:tx>
            <c:rich>
              <a:bodyPr rot="-5400000" vert="horz"/>
              <a:lstStyle/>
              <a:p>
                <a:pPr>
                  <a:defRPr sz="900"/>
                </a:pPr>
                <a:r>
                  <a:rPr lang="lv-LV" sz="900"/>
                  <a:t>Ls</a:t>
                </a:r>
                <a:endParaRPr lang="en-US" sz="900"/>
              </a:p>
            </c:rich>
          </c:tx>
          <c:overlay val="0"/>
        </c:title>
        <c:numFmt formatCode="General" sourceLinked="1"/>
        <c:majorTickMark val="out"/>
        <c:minorTickMark val="none"/>
        <c:tickLblPos val="nextTo"/>
        <c:txPr>
          <a:bodyPr/>
          <a:lstStyle/>
          <a:p>
            <a:pPr>
              <a:defRPr sz="900"/>
            </a:pPr>
            <a:endParaRPr lang="lv-LV"/>
          </a:p>
        </c:txPr>
        <c:crossAx val="37898496"/>
        <c:crosses val="autoZero"/>
        <c:crossBetween val="between"/>
      </c:valAx>
    </c:plotArea>
    <c:legend>
      <c:legendPos val="t"/>
      <c:overlay val="0"/>
      <c:txPr>
        <a:bodyPr/>
        <a:lstStyle/>
        <a:p>
          <a:pPr>
            <a:defRPr sz="9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85732936232713"/>
          <c:y val="0.15911388627441977"/>
          <c:w val="0.81830991756889426"/>
          <c:h val="0.72831060602931075"/>
        </c:manualLayout>
      </c:layout>
      <c:lineChart>
        <c:grouping val="standard"/>
        <c:varyColors val="0"/>
        <c:ser>
          <c:idx val="0"/>
          <c:order val="0"/>
          <c:tx>
            <c:strRef>
              <c:f>Wage!$A$40:$B$40</c:f>
              <c:strCache>
                <c:ptCount val="1"/>
                <c:pt idx="0">
                  <c:v>Minimālā alga vai mazāk</c:v>
                </c:pt>
              </c:strCache>
            </c:strRef>
          </c:tx>
          <c:spPr>
            <a:ln>
              <a:solidFill>
                <a:srgbClr val="002060"/>
              </a:solidFill>
            </a:ln>
          </c:spPr>
          <c:marker>
            <c:symbol val="none"/>
          </c:marker>
          <c:cat>
            <c:strRef>
              <c:f>Wage!$C$38:$BJ$38</c:f>
              <c:strCache>
                <c:ptCount val="49"/>
                <c:pt idx="0">
                  <c:v>2008</c:v>
                </c:pt>
                <c:pt idx="12">
                  <c:v>2009</c:v>
                </c:pt>
                <c:pt idx="24">
                  <c:v>2010</c:v>
                </c:pt>
                <c:pt idx="36">
                  <c:v>2011</c:v>
                </c:pt>
                <c:pt idx="48">
                  <c:v>2012</c:v>
                </c:pt>
              </c:strCache>
            </c:strRef>
          </c:cat>
          <c:val>
            <c:numRef>
              <c:f>Wage!$C$40:$BJ$40</c:f>
              <c:numCache>
                <c:formatCode>General</c:formatCode>
                <c:ptCount val="60"/>
                <c:pt idx="0">
                  <c:v>19.100000000000001</c:v>
                </c:pt>
                <c:pt idx="1">
                  <c:v>19.100000000000001</c:v>
                </c:pt>
                <c:pt idx="2">
                  <c:v>18.5</c:v>
                </c:pt>
                <c:pt idx="3">
                  <c:v>18</c:v>
                </c:pt>
                <c:pt idx="4">
                  <c:v>17.7</c:v>
                </c:pt>
                <c:pt idx="5">
                  <c:v>18.2</c:v>
                </c:pt>
                <c:pt idx="6">
                  <c:v>16.399999999999999</c:v>
                </c:pt>
                <c:pt idx="7">
                  <c:v>17.2</c:v>
                </c:pt>
                <c:pt idx="8">
                  <c:v>17.100000000000001</c:v>
                </c:pt>
                <c:pt idx="9">
                  <c:v>17.100000000000001</c:v>
                </c:pt>
                <c:pt idx="10">
                  <c:v>18.100000000000001</c:v>
                </c:pt>
                <c:pt idx="11">
                  <c:v>17.8</c:v>
                </c:pt>
                <c:pt idx="12">
                  <c:v>22.1</c:v>
                </c:pt>
                <c:pt idx="13">
                  <c:v>24</c:v>
                </c:pt>
                <c:pt idx="14">
                  <c:v>23</c:v>
                </c:pt>
                <c:pt idx="15">
                  <c:v>23.4</c:v>
                </c:pt>
                <c:pt idx="16">
                  <c:v>23.7</c:v>
                </c:pt>
                <c:pt idx="17">
                  <c:v>23.7</c:v>
                </c:pt>
                <c:pt idx="18">
                  <c:v>22.7</c:v>
                </c:pt>
                <c:pt idx="19">
                  <c:v>24.4</c:v>
                </c:pt>
                <c:pt idx="20">
                  <c:v>25.3</c:v>
                </c:pt>
                <c:pt idx="21">
                  <c:v>25.9</c:v>
                </c:pt>
                <c:pt idx="22">
                  <c:v>27</c:v>
                </c:pt>
                <c:pt idx="23">
                  <c:v>26.4</c:v>
                </c:pt>
                <c:pt idx="24">
                  <c:v>27.1</c:v>
                </c:pt>
                <c:pt idx="25">
                  <c:v>28.1</c:v>
                </c:pt>
                <c:pt idx="26">
                  <c:v>26.2</c:v>
                </c:pt>
                <c:pt idx="27">
                  <c:v>26.9</c:v>
                </c:pt>
                <c:pt idx="28">
                  <c:v>26.7</c:v>
                </c:pt>
                <c:pt idx="29">
                  <c:v>27.2</c:v>
                </c:pt>
                <c:pt idx="30">
                  <c:v>25.4</c:v>
                </c:pt>
                <c:pt idx="31">
                  <c:v>26</c:v>
                </c:pt>
                <c:pt idx="32">
                  <c:v>26.5</c:v>
                </c:pt>
                <c:pt idx="33">
                  <c:v>26.6</c:v>
                </c:pt>
                <c:pt idx="34">
                  <c:v>26.3</c:v>
                </c:pt>
                <c:pt idx="35">
                  <c:v>25.6</c:v>
                </c:pt>
                <c:pt idx="36">
                  <c:v>29.9</c:v>
                </c:pt>
                <c:pt idx="37">
                  <c:v>31.2</c:v>
                </c:pt>
                <c:pt idx="38">
                  <c:v>28.3</c:v>
                </c:pt>
                <c:pt idx="39">
                  <c:v>29</c:v>
                </c:pt>
                <c:pt idx="40">
                  <c:v>27.6</c:v>
                </c:pt>
                <c:pt idx="41">
                  <c:v>28.6</c:v>
                </c:pt>
                <c:pt idx="42">
                  <c:v>27.3</c:v>
                </c:pt>
                <c:pt idx="43">
                  <c:v>26.5</c:v>
                </c:pt>
                <c:pt idx="44">
                  <c:v>27.6</c:v>
                </c:pt>
                <c:pt idx="45">
                  <c:v>28.2</c:v>
                </c:pt>
                <c:pt idx="46">
                  <c:v>27.5</c:v>
                </c:pt>
                <c:pt idx="47">
                  <c:v>26.8</c:v>
                </c:pt>
                <c:pt idx="48">
                  <c:v>27.1</c:v>
                </c:pt>
                <c:pt idx="49">
                  <c:v>28.4</c:v>
                </c:pt>
                <c:pt idx="50">
                  <c:v>26.8</c:v>
                </c:pt>
                <c:pt idx="51">
                  <c:v>27.5</c:v>
                </c:pt>
                <c:pt idx="52">
                  <c:v>25.8</c:v>
                </c:pt>
                <c:pt idx="53">
                  <c:v>26.3</c:v>
                </c:pt>
                <c:pt idx="54">
                  <c:v>24.7</c:v>
                </c:pt>
                <c:pt idx="55">
                  <c:v>24.8</c:v>
                </c:pt>
                <c:pt idx="56">
                  <c:v>27.6</c:v>
                </c:pt>
                <c:pt idx="57">
                  <c:v>25.3</c:v>
                </c:pt>
                <c:pt idx="58">
                  <c:v>25.4</c:v>
                </c:pt>
                <c:pt idx="59">
                  <c:v>26.2</c:v>
                </c:pt>
              </c:numCache>
            </c:numRef>
          </c:val>
          <c:smooth val="0"/>
        </c:ser>
        <c:ser>
          <c:idx val="1"/>
          <c:order val="1"/>
          <c:tx>
            <c:strRef>
              <c:f>Wage!$A$44:$B$44</c:f>
              <c:strCache>
                <c:ptCount val="1"/>
                <c:pt idx="0">
                  <c:v>300,01-500,00</c:v>
                </c:pt>
              </c:strCache>
            </c:strRef>
          </c:tx>
          <c:spPr>
            <a:ln>
              <a:solidFill>
                <a:srgbClr val="C00000"/>
              </a:solidFill>
              <a:prstDash val="sysDash"/>
            </a:ln>
          </c:spPr>
          <c:marker>
            <c:symbol val="none"/>
          </c:marker>
          <c:cat>
            <c:strRef>
              <c:f>Wage!$C$38:$BJ$38</c:f>
              <c:strCache>
                <c:ptCount val="49"/>
                <c:pt idx="0">
                  <c:v>2008</c:v>
                </c:pt>
                <c:pt idx="12">
                  <c:v>2009</c:v>
                </c:pt>
                <c:pt idx="24">
                  <c:v>2010</c:v>
                </c:pt>
                <c:pt idx="36">
                  <c:v>2011</c:v>
                </c:pt>
                <c:pt idx="48">
                  <c:v>2012</c:v>
                </c:pt>
              </c:strCache>
            </c:strRef>
          </c:cat>
          <c:val>
            <c:numRef>
              <c:f>Wage!$C$44:$BJ$44</c:f>
              <c:numCache>
                <c:formatCode>0.0</c:formatCode>
                <c:ptCount val="60"/>
                <c:pt idx="0">
                  <c:v>23</c:v>
                </c:pt>
                <c:pt idx="1">
                  <c:v>23.200000000000003</c:v>
                </c:pt>
                <c:pt idx="2">
                  <c:v>22.700000000000003</c:v>
                </c:pt>
                <c:pt idx="3">
                  <c:v>22.5</c:v>
                </c:pt>
                <c:pt idx="4">
                  <c:v>22.6</c:v>
                </c:pt>
                <c:pt idx="5">
                  <c:v>21.8</c:v>
                </c:pt>
                <c:pt idx="6">
                  <c:v>21.5</c:v>
                </c:pt>
                <c:pt idx="7">
                  <c:v>22.2</c:v>
                </c:pt>
                <c:pt idx="8">
                  <c:v>21.8</c:v>
                </c:pt>
                <c:pt idx="9">
                  <c:v>21.799999999999997</c:v>
                </c:pt>
                <c:pt idx="10">
                  <c:v>22</c:v>
                </c:pt>
                <c:pt idx="11">
                  <c:v>21.200000000000003</c:v>
                </c:pt>
                <c:pt idx="12">
                  <c:v>23</c:v>
                </c:pt>
                <c:pt idx="13">
                  <c:v>22.700000000000003</c:v>
                </c:pt>
                <c:pt idx="14">
                  <c:v>22.5</c:v>
                </c:pt>
                <c:pt idx="15">
                  <c:v>22.7</c:v>
                </c:pt>
                <c:pt idx="16">
                  <c:v>22.8</c:v>
                </c:pt>
                <c:pt idx="17">
                  <c:v>22.700000000000003</c:v>
                </c:pt>
                <c:pt idx="18">
                  <c:v>21.9</c:v>
                </c:pt>
                <c:pt idx="19">
                  <c:v>22.4</c:v>
                </c:pt>
                <c:pt idx="20">
                  <c:v>23.5</c:v>
                </c:pt>
                <c:pt idx="21">
                  <c:v>23.2</c:v>
                </c:pt>
                <c:pt idx="22">
                  <c:v>23.1</c:v>
                </c:pt>
                <c:pt idx="23">
                  <c:v>22.8</c:v>
                </c:pt>
                <c:pt idx="24">
                  <c:v>22.9</c:v>
                </c:pt>
                <c:pt idx="25">
                  <c:v>22.5</c:v>
                </c:pt>
                <c:pt idx="26">
                  <c:v>22.9</c:v>
                </c:pt>
                <c:pt idx="27">
                  <c:v>22.5</c:v>
                </c:pt>
                <c:pt idx="28">
                  <c:v>22.799999999999997</c:v>
                </c:pt>
                <c:pt idx="29">
                  <c:v>22.200000000000003</c:v>
                </c:pt>
                <c:pt idx="30">
                  <c:v>22.3</c:v>
                </c:pt>
                <c:pt idx="31">
                  <c:v>22.3</c:v>
                </c:pt>
                <c:pt idx="32">
                  <c:v>22.3</c:v>
                </c:pt>
                <c:pt idx="33">
                  <c:v>22.3</c:v>
                </c:pt>
                <c:pt idx="34">
                  <c:v>22.4</c:v>
                </c:pt>
                <c:pt idx="35">
                  <c:v>21.7</c:v>
                </c:pt>
                <c:pt idx="36">
                  <c:v>23.2</c:v>
                </c:pt>
                <c:pt idx="37">
                  <c:v>22.9</c:v>
                </c:pt>
                <c:pt idx="38">
                  <c:v>23.3</c:v>
                </c:pt>
                <c:pt idx="39">
                  <c:v>23</c:v>
                </c:pt>
                <c:pt idx="40">
                  <c:v>23.3</c:v>
                </c:pt>
                <c:pt idx="41">
                  <c:v>22.9</c:v>
                </c:pt>
                <c:pt idx="42">
                  <c:v>22.6</c:v>
                </c:pt>
                <c:pt idx="43">
                  <c:v>22.9</c:v>
                </c:pt>
                <c:pt idx="44">
                  <c:v>23</c:v>
                </c:pt>
                <c:pt idx="45">
                  <c:v>22.799999999999997</c:v>
                </c:pt>
                <c:pt idx="46">
                  <c:v>23</c:v>
                </c:pt>
                <c:pt idx="47">
                  <c:v>22.1</c:v>
                </c:pt>
                <c:pt idx="48">
                  <c:v>23.2</c:v>
                </c:pt>
                <c:pt idx="49">
                  <c:v>23</c:v>
                </c:pt>
                <c:pt idx="50">
                  <c:v>23.1</c:v>
                </c:pt>
                <c:pt idx="51">
                  <c:v>23</c:v>
                </c:pt>
                <c:pt idx="52">
                  <c:v>23.2</c:v>
                </c:pt>
                <c:pt idx="53">
                  <c:v>22.700000000000003</c:v>
                </c:pt>
                <c:pt idx="54">
                  <c:v>22.5</c:v>
                </c:pt>
                <c:pt idx="55">
                  <c:v>22.6</c:v>
                </c:pt>
                <c:pt idx="56">
                  <c:v>22.9</c:v>
                </c:pt>
                <c:pt idx="57">
                  <c:v>22.5</c:v>
                </c:pt>
                <c:pt idx="58">
                  <c:v>22.700000000000003</c:v>
                </c:pt>
                <c:pt idx="59">
                  <c:v>22.200000000000003</c:v>
                </c:pt>
              </c:numCache>
            </c:numRef>
          </c:val>
          <c:smooth val="0"/>
        </c:ser>
        <c:dLbls>
          <c:showLegendKey val="0"/>
          <c:showVal val="0"/>
          <c:showCatName val="0"/>
          <c:showSerName val="0"/>
          <c:showPercent val="0"/>
          <c:showBubbleSize val="0"/>
        </c:dLbls>
        <c:marker val="1"/>
        <c:smooth val="0"/>
        <c:axId val="37921536"/>
        <c:axId val="37923072"/>
      </c:lineChart>
      <c:catAx>
        <c:axId val="37921536"/>
        <c:scaling>
          <c:orientation val="minMax"/>
        </c:scaling>
        <c:delete val="0"/>
        <c:axPos val="b"/>
        <c:majorTickMark val="out"/>
        <c:minorTickMark val="none"/>
        <c:tickLblPos val="nextTo"/>
        <c:txPr>
          <a:bodyPr/>
          <a:lstStyle/>
          <a:p>
            <a:pPr>
              <a:defRPr sz="800"/>
            </a:pPr>
            <a:endParaRPr lang="lv-LV"/>
          </a:p>
        </c:txPr>
        <c:crossAx val="37923072"/>
        <c:crosses val="autoZero"/>
        <c:auto val="1"/>
        <c:lblAlgn val="ctr"/>
        <c:lblOffset val="100"/>
        <c:tickLblSkip val="1"/>
        <c:tickMarkSkip val="4"/>
        <c:noMultiLvlLbl val="0"/>
      </c:catAx>
      <c:valAx>
        <c:axId val="37923072"/>
        <c:scaling>
          <c:orientation val="minMax"/>
          <c:min val="10"/>
        </c:scaling>
        <c:delete val="0"/>
        <c:axPos val="l"/>
        <c:majorGridlines/>
        <c:title>
          <c:tx>
            <c:rich>
              <a:bodyPr rot="-5400000" vert="horz"/>
              <a:lstStyle/>
              <a:p>
                <a:pPr>
                  <a:defRPr sz="900"/>
                </a:pPr>
                <a:r>
                  <a:rPr lang="en-US" sz="900"/>
                  <a:t>% no kopskaita</a:t>
                </a:r>
              </a:p>
            </c:rich>
          </c:tx>
          <c:layout>
            <c:manualLayout>
              <c:xMode val="edge"/>
              <c:yMode val="edge"/>
              <c:x val="0"/>
              <c:y val="0.32495370594013173"/>
            </c:manualLayout>
          </c:layout>
          <c:overlay val="0"/>
        </c:title>
        <c:numFmt formatCode="General" sourceLinked="1"/>
        <c:majorTickMark val="out"/>
        <c:minorTickMark val="none"/>
        <c:tickLblPos val="nextTo"/>
        <c:txPr>
          <a:bodyPr/>
          <a:lstStyle/>
          <a:p>
            <a:pPr>
              <a:defRPr sz="900"/>
            </a:pPr>
            <a:endParaRPr lang="lv-LV"/>
          </a:p>
        </c:txPr>
        <c:crossAx val="37921536"/>
        <c:crosses val="autoZero"/>
        <c:crossBetween val="between"/>
      </c:valAx>
    </c:plotArea>
    <c:legend>
      <c:legendPos val="t"/>
      <c:layout>
        <c:manualLayout>
          <c:xMode val="edge"/>
          <c:yMode val="edge"/>
          <c:x val="1.8602131117933907E-2"/>
          <c:y val="3.6300511065462872E-2"/>
          <c:w val="0.95878043574630178"/>
          <c:h val="7.5192554679431228E-2"/>
        </c:manualLayout>
      </c:layout>
      <c:overlay val="0"/>
      <c:txPr>
        <a:bodyPr/>
        <a:lstStyle/>
        <a:p>
          <a:pPr>
            <a:defRPr sz="8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10144311921087"/>
          <c:y val="3.9847530251194134E-2"/>
          <c:w val="0.82296280921463516"/>
          <c:h val="0.74508766049707531"/>
        </c:manualLayout>
      </c:layout>
      <c:barChart>
        <c:barDir val="col"/>
        <c:grouping val="clustered"/>
        <c:varyColors val="0"/>
        <c:ser>
          <c:idx val="0"/>
          <c:order val="0"/>
          <c:tx>
            <c:strRef>
              <c:f>'Minimal Wage'!$O$3</c:f>
              <c:strCache>
                <c:ptCount val="1"/>
                <c:pt idx="0">
                  <c:v>2013</c:v>
                </c:pt>
              </c:strCache>
            </c:strRef>
          </c:tx>
          <c:invertIfNegative val="0"/>
          <c:dPt>
            <c:idx val="14"/>
            <c:invertIfNegative val="0"/>
            <c:bubble3D val="0"/>
            <c:spPr>
              <a:solidFill>
                <a:srgbClr val="002060"/>
              </a:solidFill>
            </c:spPr>
          </c:dPt>
          <c:dPt>
            <c:idx val="16"/>
            <c:invertIfNegative val="0"/>
            <c:bubble3D val="0"/>
            <c:spPr>
              <a:solidFill>
                <a:srgbClr val="00B050"/>
              </a:solidFill>
            </c:spPr>
          </c:dPt>
          <c:dPt>
            <c:idx val="17"/>
            <c:invertIfNegative val="0"/>
            <c:bubble3D val="0"/>
            <c:spPr>
              <a:solidFill>
                <a:srgbClr val="C00000"/>
              </a:solidFill>
            </c:spPr>
          </c:dPt>
          <c:dLbls>
            <c:dLbl>
              <c:idx val="0"/>
              <c:layout>
                <c:manualLayout>
                  <c:x val="2.8293542908531675E-2"/>
                  <c:y val="0"/>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spPr/>
              <c:txPr>
                <a:bodyPr/>
                <a:lstStyle/>
                <a:p>
                  <a:pPr>
                    <a:defRPr sz="900" b="1">
                      <a:solidFill>
                        <a:srgbClr val="002060"/>
                      </a:solidFill>
                    </a:defRPr>
                  </a:pPr>
                  <a:endParaRPr lang="lv-LV"/>
                </a:p>
              </c:txPr>
              <c:showLegendKey val="0"/>
              <c:showVal val="1"/>
              <c:showCatName val="0"/>
              <c:showSerName val="0"/>
              <c:showPercent val="0"/>
              <c:showBubbleSize val="0"/>
            </c:dLbl>
            <c:dLbl>
              <c:idx val="15"/>
              <c:delete val="1"/>
            </c:dLbl>
            <c:dLbl>
              <c:idx val="16"/>
              <c:layout>
                <c:manualLayout>
                  <c:x val="-7.0733857271329135E-3"/>
                  <c:y val="0"/>
                </c:manualLayout>
              </c:layout>
              <c:spPr/>
              <c:txPr>
                <a:bodyPr/>
                <a:lstStyle/>
                <a:p>
                  <a:pPr>
                    <a:defRPr sz="900" b="1">
                      <a:solidFill>
                        <a:srgbClr val="00B050"/>
                      </a:solidFill>
                    </a:defRPr>
                  </a:pPr>
                  <a:endParaRPr lang="lv-LV"/>
                </a:p>
              </c:txPr>
              <c:showLegendKey val="0"/>
              <c:showVal val="1"/>
              <c:showCatName val="0"/>
              <c:showSerName val="0"/>
              <c:showPercent val="0"/>
              <c:showBubbleSize val="0"/>
            </c:dLbl>
            <c:dLbl>
              <c:idx val="17"/>
              <c:layout>
                <c:manualLayout>
                  <c:x val="1.4146771454265827E-2"/>
                  <c:y val="7.1781057600624892E-3"/>
                </c:manualLayout>
              </c:layout>
              <c:spPr/>
              <c:txPr>
                <a:bodyPr/>
                <a:lstStyle/>
                <a:p>
                  <a:pPr>
                    <a:defRPr sz="900" b="1">
                      <a:solidFill>
                        <a:srgbClr val="C00000"/>
                      </a:solidFill>
                    </a:defRPr>
                  </a:pPr>
                  <a:endParaRPr lang="lv-LV"/>
                </a:p>
              </c:txPr>
              <c:showLegendKey val="0"/>
              <c:showVal val="1"/>
              <c:showCatName val="0"/>
              <c:showSerName val="0"/>
              <c:showPercent val="0"/>
              <c:showBubbleSize val="0"/>
            </c:dLbl>
            <c:dLbl>
              <c:idx val="18"/>
              <c:delete val="1"/>
            </c:dLbl>
            <c:txPr>
              <a:bodyPr/>
              <a:lstStyle/>
              <a:p>
                <a:pPr>
                  <a:defRPr sz="900"/>
                </a:pPr>
                <a:endParaRPr lang="lv-LV"/>
              </a:p>
            </c:txPr>
            <c:showLegendKey val="0"/>
            <c:showVal val="1"/>
            <c:showCatName val="0"/>
            <c:showSerName val="0"/>
            <c:showPercent val="0"/>
            <c:showBubbleSize val="0"/>
            <c:showLeaderLines val="0"/>
          </c:dLbls>
          <c:cat>
            <c:strRef>
              <c:f>'Minimal Wage'!$B$4:$B$23</c:f>
              <c:strCache>
                <c:ptCount val="20"/>
                <c:pt idx="0">
                  <c:v>Luksemburga</c:v>
                </c:pt>
                <c:pt idx="1">
                  <c:v>Beļģija</c:v>
                </c:pt>
                <c:pt idx="2">
                  <c:v>Nīderlande</c:v>
                </c:pt>
                <c:pt idx="3">
                  <c:v>Īrija</c:v>
                </c:pt>
                <c:pt idx="4">
                  <c:v>Francija</c:v>
                </c:pt>
                <c:pt idx="5">
                  <c:v>Lielbritānija</c:v>
                </c:pt>
                <c:pt idx="6">
                  <c:v>Slovēnija</c:v>
                </c:pt>
                <c:pt idx="7">
                  <c:v>Spānija</c:v>
                </c:pt>
                <c:pt idx="8">
                  <c:v>Malta</c:v>
                </c:pt>
                <c:pt idx="9">
                  <c:v>Grieķija</c:v>
                </c:pt>
                <c:pt idx="10">
                  <c:v>Portugāle</c:v>
                </c:pt>
                <c:pt idx="11">
                  <c:v>Polija</c:v>
                </c:pt>
                <c:pt idx="12">
                  <c:v>Ungārija</c:v>
                </c:pt>
                <c:pt idx="13">
                  <c:v>Slovākija</c:v>
                </c:pt>
                <c:pt idx="14">
                  <c:v>Igaunija</c:v>
                </c:pt>
                <c:pt idx="15">
                  <c:v>Čehija</c:v>
                </c:pt>
                <c:pt idx="16">
                  <c:v>Lietuva</c:v>
                </c:pt>
                <c:pt idx="17">
                  <c:v>Latvija</c:v>
                </c:pt>
                <c:pt idx="18">
                  <c:v>Bulgārija</c:v>
                </c:pt>
                <c:pt idx="19">
                  <c:v>Rumānija</c:v>
                </c:pt>
              </c:strCache>
            </c:strRef>
          </c:cat>
          <c:val>
            <c:numRef>
              <c:f>'Minimal Wage'!$O$4:$O$23</c:f>
              <c:numCache>
                <c:formatCode>#,##0.0</c:formatCode>
                <c:ptCount val="20"/>
                <c:pt idx="0">
                  <c:v>1874.19</c:v>
                </c:pt>
                <c:pt idx="1">
                  <c:v>1501.82</c:v>
                </c:pt>
                <c:pt idx="2">
                  <c:v>1469.4</c:v>
                </c:pt>
                <c:pt idx="3">
                  <c:v>1461.85</c:v>
                </c:pt>
                <c:pt idx="4">
                  <c:v>1430.22</c:v>
                </c:pt>
                <c:pt idx="5">
                  <c:v>1264.25</c:v>
                </c:pt>
                <c:pt idx="6">
                  <c:v>783.66</c:v>
                </c:pt>
                <c:pt idx="7">
                  <c:v>752.85</c:v>
                </c:pt>
                <c:pt idx="8">
                  <c:v>697.42</c:v>
                </c:pt>
                <c:pt idx="9">
                  <c:v>683.76</c:v>
                </c:pt>
                <c:pt idx="10">
                  <c:v>565.83000000000004</c:v>
                </c:pt>
                <c:pt idx="11">
                  <c:v>376.58</c:v>
                </c:pt>
                <c:pt idx="12">
                  <c:v>340.55</c:v>
                </c:pt>
                <c:pt idx="13">
                  <c:v>337.7</c:v>
                </c:pt>
                <c:pt idx="14">
                  <c:v>320</c:v>
                </c:pt>
                <c:pt idx="15">
                  <c:v>312.01</c:v>
                </c:pt>
                <c:pt idx="16">
                  <c:v>289.62</c:v>
                </c:pt>
                <c:pt idx="17">
                  <c:v>287.07</c:v>
                </c:pt>
                <c:pt idx="18">
                  <c:v>158.5</c:v>
                </c:pt>
                <c:pt idx="19">
                  <c:v>157.26</c:v>
                </c:pt>
              </c:numCache>
            </c:numRef>
          </c:val>
        </c:ser>
        <c:dLbls>
          <c:showLegendKey val="0"/>
          <c:showVal val="0"/>
          <c:showCatName val="0"/>
          <c:showSerName val="0"/>
          <c:showPercent val="0"/>
          <c:showBubbleSize val="0"/>
        </c:dLbls>
        <c:gapWidth val="150"/>
        <c:axId val="37934592"/>
        <c:axId val="37936128"/>
      </c:barChart>
      <c:catAx>
        <c:axId val="37934592"/>
        <c:scaling>
          <c:orientation val="minMax"/>
        </c:scaling>
        <c:delete val="0"/>
        <c:axPos val="b"/>
        <c:majorTickMark val="out"/>
        <c:minorTickMark val="none"/>
        <c:tickLblPos val="nextTo"/>
        <c:txPr>
          <a:bodyPr/>
          <a:lstStyle/>
          <a:p>
            <a:pPr>
              <a:defRPr sz="900"/>
            </a:pPr>
            <a:endParaRPr lang="lv-LV"/>
          </a:p>
        </c:txPr>
        <c:crossAx val="37936128"/>
        <c:crosses val="autoZero"/>
        <c:auto val="1"/>
        <c:lblAlgn val="ctr"/>
        <c:lblOffset val="100"/>
        <c:noMultiLvlLbl val="0"/>
      </c:catAx>
      <c:valAx>
        <c:axId val="37936128"/>
        <c:scaling>
          <c:orientation val="minMax"/>
        </c:scaling>
        <c:delete val="0"/>
        <c:axPos val="l"/>
        <c:majorGridlines>
          <c:spPr>
            <a:ln>
              <a:solidFill>
                <a:schemeClr val="bg1">
                  <a:lumMod val="75000"/>
                </a:schemeClr>
              </a:solidFill>
            </a:ln>
          </c:spPr>
        </c:majorGridlines>
        <c:title>
          <c:tx>
            <c:rich>
              <a:bodyPr rot="-5400000" vert="horz"/>
              <a:lstStyle/>
              <a:p>
                <a:pPr>
                  <a:defRPr i="1"/>
                </a:pPr>
                <a:r>
                  <a:rPr lang="en-US" i="1"/>
                  <a:t>EUR/mēnesī</a:t>
                </a:r>
              </a:p>
            </c:rich>
          </c:tx>
          <c:layout>
            <c:manualLayout>
              <c:xMode val="edge"/>
              <c:yMode val="edge"/>
              <c:x val="1.4146771454265827E-2"/>
              <c:y val="0.30947526916483586"/>
            </c:manualLayout>
          </c:layout>
          <c:overlay val="0"/>
        </c:title>
        <c:numFmt formatCode="#,##0.0" sourceLinked="1"/>
        <c:majorTickMark val="out"/>
        <c:minorTickMark val="none"/>
        <c:tickLblPos val="nextTo"/>
        <c:crossAx val="3793459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39836102651498"/>
          <c:y val="6.4563346904471589E-2"/>
          <c:w val="0.8425563651932243"/>
          <c:h val="0.73940282004626723"/>
        </c:manualLayout>
      </c:layout>
      <c:lineChart>
        <c:grouping val="standard"/>
        <c:varyColors val="0"/>
        <c:ser>
          <c:idx val="0"/>
          <c:order val="0"/>
          <c:tx>
            <c:strRef>
              <c:f>'Minimal Wage'!$B$65</c:f>
              <c:strCache>
                <c:ptCount val="1"/>
                <c:pt idx="0">
                  <c:v>Latvija</c:v>
                </c:pt>
              </c:strCache>
            </c:strRef>
          </c:tx>
          <c:spPr>
            <a:ln w="28575">
              <a:solidFill>
                <a:srgbClr val="C00000"/>
              </a:solidFill>
            </a:ln>
          </c:spPr>
          <c:marker>
            <c:symbol val="none"/>
          </c:marker>
          <c:dPt>
            <c:idx val="13"/>
            <c:bubble3D val="0"/>
            <c:spPr>
              <a:ln w="28575">
                <a:solidFill>
                  <a:srgbClr val="C00000"/>
                </a:solidFill>
                <a:prstDash val="sysDash"/>
              </a:ln>
            </c:spPr>
          </c:dPt>
          <c:dPt>
            <c:idx val="14"/>
            <c:bubble3D val="0"/>
            <c:spPr>
              <a:ln w="28575">
                <a:solidFill>
                  <a:srgbClr val="C00000"/>
                </a:solidFill>
                <a:prstDash val="sysDash"/>
              </a:ln>
            </c:spPr>
          </c:dPt>
          <c:dLbls>
            <c:dLbl>
              <c:idx val="1"/>
              <c:delete val="1"/>
            </c:dLbl>
            <c:dLbl>
              <c:idx val="3"/>
              <c:layout>
                <c:manualLayout>
                  <c:x val="1.1408730158730158E-2"/>
                  <c:y val="4.4619422572178477E-2"/>
                </c:manualLayout>
              </c:layout>
              <c:dLblPos val="r"/>
              <c:showLegendKey val="0"/>
              <c:showVal val="1"/>
              <c:showCatName val="0"/>
              <c:showSerName val="0"/>
              <c:showPercent val="0"/>
              <c:showBubbleSize val="0"/>
            </c:dLbl>
            <c:dLbl>
              <c:idx val="4"/>
              <c:delete val="1"/>
            </c:dLbl>
            <c:dLbl>
              <c:idx val="7"/>
              <c:delete val="1"/>
            </c:dLbl>
            <c:dLbl>
              <c:idx val="8"/>
              <c:delete val="1"/>
            </c:dLbl>
            <c:dLbl>
              <c:idx val="9"/>
              <c:layout>
                <c:manualLayout>
                  <c:x val="-6.6964285714285782E-2"/>
                  <c:y val="3.4120734908136482E-2"/>
                </c:manualLayout>
              </c:layout>
              <c:dLblPos val="r"/>
              <c:showLegendKey val="0"/>
              <c:showVal val="1"/>
              <c:showCatName val="0"/>
              <c:showSerName val="0"/>
              <c:showPercent val="0"/>
              <c:showBubbleSize val="0"/>
            </c:dLbl>
            <c:dLbl>
              <c:idx val="10"/>
              <c:delete val="1"/>
            </c:dLbl>
            <c:dLbl>
              <c:idx val="11"/>
              <c:delete val="1"/>
            </c:dLbl>
            <c:dLbl>
              <c:idx val="12"/>
              <c:layout>
                <c:manualLayout>
                  <c:x val="-1.0127640294963129E-2"/>
                  <c:y val="4.1119860017497845E-2"/>
                </c:manualLayout>
              </c:layout>
              <c:spPr/>
              <c:txPr>
                <a:bodyPr/>
                <a:lstStyle/>
                <a:p>
                  <a:pPr>
                    <a:defRPr sz="900" b="1" i="0">
                      <a:solidFill>
                        <a:srgbClr val="C00000"/>
                      </a:solidFill>
                    </a:defRPr>
                  </a:pPr>
                  <a:endParaRPr lang="lv-LV"/>
                </a:p>
              </c:txPr>
              <c:dLblPos val="r"/>
              <c:showLegendKey val="0"/>
              <c:showVal val="1"/>
              <c:showCatName val="0"/>
              <c:showSerName val="0"/>
              <c:showPercent val="0"/>
              <c:showBubbleSize val="0"/>
            </c:dLbl>
            <c:txPr>
              <a:bodyPr/>
              <a:lstStyle/>
              <a:p>
                <a:pPr>
                  <a:defRPr sz="900" b="1">
                    <a:solidFill>
                      <a:srgbClr val="C00000"/>
                    </a:solidFill>
                  </a:defRPr>
                </a:pPr>
                <a:endParaRPr lang="lv-LV"/>
              </a:p>
            </c:txPr>
            <c:dLblPos val="b"/>
            <c:showLegendKey val="0"/>
            <c:showVal val="1"/>
            <c:showCatName val="0"/>
            <c:showSerName val="0"/>
            <c:showPercent val="0"/>
            <c:showBubbleSize val="0"/>
            <c:showLeaderLines val="0"/>
          </c:dLbls>
          <c:cat>
            <c:numRef>
              <c:f>'Minimal Wage'!$C$64:$O$64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'Minimal Wage'!$C$65:$O$65</c:f>
              <c:numCache>
                <c:formatCode>0.0</c:formatCode>
                <c:ptCount val="13"/>
                <c:pt idx="0">
                  <c:v>55</c:v>
                </c:pt>
                <c:pt idx="1">
                  <c:v>60</c:v>
                </c:pt>
                <c:pt idx="2">
                  <c:v>70</c:v>
                </c:pt>
                <c:pt idx="3">
                  <c:v>80</c:v>
                </c:pt>
                <c:pt idx="4">
                  <c:v>80</c:v>
                </c:pt>
                <c:pt idx="5">
                  <c:v>90</c:v>
                </c:pt>
                <c:pt idx="6">
                  <c:v>120</c:v>
                </c:pt>
                <c:pt idx="7">
                  <c:v>160</c:v>
                </c:pt>
                <c:pt idx="8">
                  <c:v>180</c:v>
                </c:pt>
                <c:pt idx="9">
                  <c:v>180</c:v>
                </c:pt>
                <c:pt idx="10">
                  <c:v>200</c:v>
                </c:pt>
                <c:pt idx="11">
                  <c:v>200</c:v>
                </c:pt>
                <c:pt idx="12">
                  <c:v>200</c:v>
                </c:pt>
              </c:numCache>
            </c:numRef>
          </c:val>
          <c:smooth val="0"/>
        </c:ser>
        <c:ser>
          <c:idx val="1"/>
          <c:order val="1"/>
          <c:tx>
            <c:strRef>
              <c:f>'Minimal Wage'!$B$66</c:f>
              <c:strCache>
                <c:ptCount val="1"/>
                <c:pt idx="0">
                  <c:v>Lietuva</c:v>
                </c:pt>
              </c:strCache>
            </c:strRef>
          </c:tx>
          <c:spPr>
            <a:ln w="25400">
              <a:solidFill>
                <a:srgbClr val="00B050"/>
              </a:solidFill>
            </a:ln>
          </c:spPr>
          <c:marker>
            <c:symbol val="triangle"/>
            <c:size val="4"/>
            <c:spPr>
              <a:solidFill>
                <a:srgbClr val="00B050"/>
              </a:solidFill>
              <a:ln>
                <a:solidFill>
                  <a:srgbClr val="00B050"/>
                </a:solidFill>
              </a:ln>
            </c:spPr>
          </c:marker>
          <c:dLbls>
            <c:dLbl>
              <c:idx val="0"/>
              <c:layout>
                <c:manualLayout>
                  <c:x val="-2.5793650793650775E-2"/>
                  <c:y val="-4.8993875765529375E-2"/>
                </c:manualLayout>
              </c:layout>
              <c:showLegendKey val="0"/>
              <c:showVal val="1"/>
              <c:showCatName val="0"/>
              <c:showSerName val="0"/>
              <c:showPercent val="0"/>
              <c:showBubbleSize val="0"/>
            </c:dLbl>
            <c:dLbl>
              <c:idx val="1"/>
              <c:delete val="1"/>
            </c:dLbl>
            <c:dLbl>
              <c:idx val="2"/>
              <c:delete val="1"/>
            </c:dLbl>
            <c:dLbl>
              <c:idx val="3"/>
              <c:layout>
                <c:manualLayout>
                  <c:x val="0"/>
                  <c:y val="3.1496062992125984E-2"/>
                </c:manualLayout>
              </c:layout>
              <c:showLegendKey val="0"/>
              <c:showVal val="1"/>
              <c:showCatName val="0"/>
              <c:showSerName val="0"/>
              <c:showPercent val="0"/>
              <c:showBubbleSize val="0"/>
            </c:dLbl>
            <c:dLbl>
              <c:idx val="4"/>
              <c:delete val="1"/>
            </c:dLbl>
            <c:dLbl>
              <c:idx val="6"/>
              <c:delete val="1"/>
            </c:dLbl>
            <c:dLbl>
              <c:idx val="7"/>
              <c:delete val="1"/>
            </c:dLbl>
            <c:dLbl>
              <c:idx val="8"/>
              <c:delete val="1"/>
            </c:dLbl>
            <c:dLbl>
              <c:idx val="9"/>
              <c:layout>
                <c:manualLayout>
                  <c:x val="-3.968253968253968E-3"/>
                  <c:y val="5.2493438320209973E-2"/>
                </c:manualLayout>
              </c:layout>
              <c:showLegendKey val="0"/>
              <c:showVal val="1"/>
              <c:showCatName val="0"/>
              <c:showSerName val="0"/>
              <c:showPercent val="0"/>
              <c:showBubbleSize val="0"/>
            </c:dLbl>
            <c:dLbl>
              <c:idx val="10"/>
              <c:delete val="1"/>
            </c:dLbl>
            <c:dLbl>
              <c:idx val="12"/>
              <c:layout>
                <c:manualLayout>
                  <c:x val="-1.9841790609507145E-3"/>
                  <c:y val="-2.917653756598353E-2"/>
                </c:manualLayout>
              </c:layout>
              <c:spPr/>
              <c:txPr>
                <a:bodyPr/>
                <a:lstStyle/>
                <a:p>
                  <a:pPr>
                    <a:defRPr sz="900" b="1">
                      <a:solidFill>
                        <a:srgbClr val="004C22"/>
                      </a:solidFill>
                    </a:defRPr>
                  </a:pPr>
                  <a:endParaRPr lang="lv-LV"/>
                </a:p>
              </c:txPr>
              <c:showLegendKey val="0"/>
              <c:showVal val="1"/>
              <c:showCatName val="0"/>
              <c:showSerName val="0"/>
              <c:showPercent val="0"/>
              <c:showBubbleSize val="0"/>
            </c:dLbl>
            <c:txPr>
              <a:bodyPr/>
              <a:lstStyle/>
              <a:p>
                <a:pPr>
                  <a:defRPr sz="900">
                    <a:solidFill>
                      <a:srgbClr val="004C22"/>
                    </a:solidFill>
                  </a:defRPr>
                </a:pPr>
                <a:endParaRPr lang="lv-LV"/>
              </a:p>
            </c:txPr>
            <c:showLegendKey val="0"/>
            <c:showVal val="1"/>
            <c:showCatName val="0"/>
            <c:showSerName val="0"/>
            <c:showPercent val="0"/>
            <c:showBubbleSize val="0"/>
            <c:showLeaderLines val="0"/>
          </c:dLbls>
          <c:cat>
            <c:numRef>
              <c:f>'Minimal Wage'!$C$64:$O$64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'Minimal Wage'!$C$66:$O$66</c:f>
              <c:numCache>
                <c:formatCode>0.0</c:formatCode>
                <c:ptCount val="13"/>
                <c:pt idx="0">
                  <c:v>87.72</c:v>
                </c:pt>
                <c:pt idx="1">
                  <c:v>87.72</c:v>
                </c:pt>
                <c:pt idx="2">
                  <c:v>89.147999999999996</c:v>
                </c:pt>
                <c:pt idx="3">
                  <c:v>98.531999999999996</c:v>
                </c:pt>
                <c:pt idx="4">
                  <c:v>107.1</c:v>
                </c:pt>
                <c:pt idx="5">
                  <c:v>117.3</c:v>
                </c:pt>
                <c:pt idx="6">
                  <c:v>132.6</c:v>
                </c:pt>
                <c:pt idx="7">
                  <c:v>163.19999999999999</c:v>
                </c:pt>
                <c:pt idx="8">
                  <c:v>163.19999999999999</c:v>
                </c:pt>
                <c:pt idx="9">
                  <c:v>163.19999999999999</c:v>
                </c:pt>
                <c:pt idx="10">
                  <c:v>163.19999999999999</c:v>
                </c:pt>
                <c:pt idx="11">
                  <c:v>167.48399999999998</c:v>
                </c:pt>
                <c:pt idx="12">
                  <c:v>204</c:v>
                </c:pt>
              </c:numCache>
            </c:numRef>
          </c:val>
          <c:smooth val="0"/>
        </c:ser>
        <c:ser>
          <c:idx val="2"/>
          <c:order val="2"/>
          <c:tx>
            <c:strRef>
              <c:f>'Minimal Wage'!$B$67</c:f>
              <c:strCache>
                <c:ptCount val="1"/>
                <c:pt idx="0">
                  <c:v>Igaunija</c:v>
                </c:pt>
              </c:strCache>
            </c:strRef>
          </c:tx>
          <c:spPr>
            <a:ln w="25400">
              <a:solidFill>
                <a:srgbClr val="002060"/>
              </a:solidFill>
            </a:ln>
          </c:spPr>
          <c:marker>
            <c:symbol val="square"/>
            <c:size val="3"/>
            <c:spPr>
              <a:solidFill>
                <a:srgbClr val="002060"/>
              </a:solidFill>
              <a:ln>
                <a:solidFill>
                  <a:srgbClr val="002060"/>
                </a:solidFill>
              </a:ln>
            </c:spPr>
          </c:marker>
          <c:dLbls>
            <c:dLbl>
              <c:idx val="2"/>
              <c:delete val="1"/>
            </c:dLbl>
            <c:dLbl>
              <c:idx val="4"/>
              <c:delete val="1"/>
            </c:dLbl>
            <c:dLbl>
              <c:idx val="7"/>
              <c:delete val="1"/>
            </c:dLbl>
            <c:dLbl>
              <c:idx val="8"/>
              <c:layout>
                <c:manualLayout>
                  <c:x val="-7.4404761904761901E-3"/>
                  <c:y val="-4.111986001749781E-2"/>
                </c:manualLayout>
              </c:layout>
              <c:dLblPos val="r"/>
              <c:showLegendKey val="0"/>
              <c:showVal val="1"/>
              <c:showCatName val="0"/>
              <c:showSerName val="0"/>
              <c:showPercent val="0"/>
              <c:showBubbleSize val="0"/>
            </c:dLbl>
            <c:dLbl>
              <c:idx val="9"/>
              <c:delete val="1"/>
            </c:dLbl>
            <c:dLbl>
              <c:idx val="10"/>
              <c:delete val="1"/>
            </c:dLbl>
            <c:dLbl>
              <c:idx val="12"/>
              <c:spPr/>
              <c:txPr>
                <a:bodyPr/>
                <a:lstStyle/>
                <a:p>
                  <a:pPr>
                    <a:defRPr sz="900" b="1">
                      <a:solidFill>
                        <a:srgbClr val="002060"/>
                      </a:solidFill>
                    </a:defRPr>
                  </a:pPr>
                  <a:endParaRPr lang="lv-LV"/>
                </a:p>
              </c:txPr>
              <c:dLblPos val="t"/>
              <c:showLegendKey val="0"/>
              <c:showVal val="1"/>
              <c:showCatName val="0"/>
              <c:showSerName val="0"/>
              <c:showPercent val="0"/>
              <c:showBubbleSize val="0"/>
            </c:dLbl>
            <c:txPr>
              <a:bodyPr/>
              <a:lstStyle/>
              <a:p>
                <a:pPr>
                  <a:defRPr sz="900" b="0">
                    <a:solidFill>
                      <a:srgbClr val="002060"/>
                    </a:solidFill>
                  </a:defRPr>
                </a:pPr>
                <a:endParaRPr lang="lv-LV"/>
              </a:p>
            </c:txPr>
            <c:dLblPos val="t"/>
            <c:showLegendKey val="0"/>
            <c:showVal val="1"/>
            <c:showCatName val="0"/>
            <c:showSerName val="0"/>
            <c:showPercent val="0"/>
            <c:showBubbleSize val="0"/>
            <c:showLeaderLines val="0"/>
          </c:dLbls>
          <c:cat>
            <c:numRef>
              <c:f>'Minimal Wage'!$C$64:$O$64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'Minimal Wage'!$C$67:$O$67</c:f>
              <c:numCache>
                <c:formatCode>0.0</c:formatCode>
                <c:ptCount val="13"/>
                <c:pt idx="0">
                  <c:v>71.868737039999999</c:v>
                </c:pt>
                <c:pt idx="1">
                  <c:v>83.099544959999989</c:v>
                </c:pt>
                <c:pt idx="2">
                  <c:v>97.022092200000003</c:v>
                </c:pt>
                <c:pt idx="3">
                  <c:v>111.394434</c:v>
                </c:pt>
                <c:pt idx="4">
                  <c:v>120.82606367999999</c:v>
                </c:pt>
                <c:pt idx="5">
                  <c:v>134.74861091999998</c:v>
                </c:pt>
                <c:pt idx="6">
                  <c:v>161.70114432</c:v>
                </c:pt>
                <c:pt idx="7">
                  <c:v>195.39356807999999</c:v>
                </c:pt>
                <c:pt idx="8">
                  <c:v>195.39356807999999</c:v>
                </c:pt>
                <c:pt idx="9">
                  <c:v>195.39356807999999</c:v>
                </c:pt>
                <c:pt idx="10">
                  <c:v>195.39356807999999</c:v>
                </c:pt>
                <c:pt idx="11">
                  <c:v>203.81315999999998</c:v>
                </c:pt>
                <c:pt idx="12">
                  <c:v>224.89727999999999</c:v>
                </c:pt>
              </c:numCache>
            </c:numRef>
          </c:val>
          <c:smooth val="0"/>
        </c:ser>
        <c:dLbls>
          <c:showLegendKey val="0"/>
          <c:showVal val="0"/>
          <c:showCatName val="0"/>
          <c:showSerName val="0"/>
          <c:showPercent val="0"/>
          <c:showBubbleSize val="0"/>
        </c:dLbls>
        <c:marker val="1"/>
        <c:smooth val="0"/>
        <c:axId val="37965184"/>
        <c:axId val="37966976"/>
      </c:lineChart>
      <c:catAx>
        <c:axId val="37965184"/>
        <c:scaling>
          <c:orientation val="minMax"/>
        </c:scaling>
        <c:delete val="0"/>
        <c:axPos val="b"/>
        <c:numFmt formatCode="General" sourceLinked="1"/>
        <c:majorTickMark val="out"/>
        <c:minorTickMark val="none"/>
        <c:tickLblPos val="nextTo"/>
        <c:txPr>
          <a:bodyPr/>
          <a:lstStyle/>
          <a:p>
            <a:pPr>
              <a:defRPr sz="900">
                <a:solidFill>
                  <a:sysClr val="windowText" lastClr="000000"/>
                </a:solidFill>
              </a:defRPr>
            </a:pPr>
            <a:endParaRPr lang="lv-LV"/>
          </a:p>
        </c:txPr>
        <c:crossAx val="37966976"/>
        <c:crosses val="autoZero"/>
        <c:auto val="1"/>
        <c:lblAlgn val="ctr"/>
        <c:lblOffset val="100"/>
        <c:noMultiLvlLbl val="0"/>
      </c:catAx>
      <c:valAx>
        <c:axId val="37966976"/>
        <c:scaling>
          <c:orientation val="minMax"/>
        </c:scaling>
        <c:delete val="0"/>
        <c:axPos val="l"/>
        <c:majorGridlines>
          <c:spPr>
            <a:ln>
              <a:solidFill>
                <a:schemeClr val="bg1">
                  <a:lumMod val="75000"/>
                </a:schemeClr>
              </a:solidFill>
            </a:ln>
          </c:spPr>
        </c:majorGridlines>
        <c:title>
          <c:tx>
            <c:rich>
              <a:bodyPr rot="-5400000" vert="horz"/>
              <a:lstStyle/>
              <a:p>
                <a:pPr>
                  <a:defRPr>
                    <a:solidFill>
                      <a:sysClr val="windowText" lastClr="000000"/>
                    </a:solidFill>
                  </a:defRPr>
                </a:pPr>
                <a:r>
                  <a:rPr lang="en-US">
                    <a:solidFill>
                      <a:sysClr val="windowText" lastClr="000000"/>
                    </a:solidFill>
                  </a:rPr>
                  <a:t>LVL/mēnesī</a:t>
                </a:r>
              </a:p>
            </c:rich>
          </c:tx>
          <c:layout>
            <c:manualLayout>
              <c:xMode val="edge"/>
              <c:yMode val="edge"/>
              <c:x val="1.3816866641669791E-2"/>
              <c:y val="0.38056392557229557"/>
            </c:manualLayout>
          </c:layout>
          <c:overlay val="0"/>
        </c:title>
        <c:numFmt formatCode="0.0" sourceLinked="1"/>
        <c:majorTickMark val="out"/>
        <c:minorTickMark val="none"/>
        <c:tickLblPos val="nextTo"/>
        <c:txPr>
          <a:bodyPr/>
          <a:lstStyle/>
          <a:p>
            <a:pPr>
              <a:defRPr sz="900">
                <a:solidFill>
                  <a:sysClr val="windowText" lastClr="000000"/>
                </a:solidFill>
              </a:defRPr>
            </a:pPr>
            <a:endParaRPr lang="lv-LV"/>
          </a:p>
        </c:txPr>
        <c:crossAx val="37965184"/>
        <c:crosses val="autoZero"/>
        <c:crossBetween val="between"/>
      </c:valAx>
      <c:spPr>
        <a:noFill/>
        <a:ln w="25400">
          <a:noFill/>
        </a:ln>
      </c:spPr>
    </c:plotArea>
    <c:legend>
      <c:legendPos val="b"/>
      <c:overlay val="0"/>
      <c:spPr>
        <a:solidFill>
          <a:schemeClr val="bg1"/>
        </a:solidFill>
        <a:ln>
          <a:solidFill>
            <a:schemeClr val="bg1">
              <a:lumMod val="75000"/>
            </a:schemeClr>
          </a:solidFill>
        </a:ln>
      </c:spPr>
      <c:txPr>
        <a:bodyPr/>
        <a:lstStyle/>
        <a:p>
          <a:pPr>
            <a:defRPr>
              <a:solidFill>
                <a:sysClr val="windowText" lastClr="000000"/>
              </a:solidFill>
            </a:defRPr>
          </a:pPr>
          <a:endParaRPr lang="lv-LV"/>
        </a:p>
      </c:txPr>
    </c:legend>
    <c:plotVisOnly val="1"/>
    <c:dispBlanksAs val="gap"/>
    <c:showDLblsOverMax val="0"/>
  </c:chart>
  <c:spPr>
    <a:ln>
      <a:noFill/>
    </a:ln>
  </c:spPr>
  <c:txPr>
    <a:bodyPr/>
    <a:lstStyle/>
    <a:p>
      <a:pPr>
        <a:defRPr>
          <a:solidFill>
            <a:srgbClr val="002060"/>
          </a:solidFill>
          <a:latin typeface="Times New Roman" pitchFamily="18" charset="0"/>
          <a:cs typeface="Times New Roman"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lv-LV" sz="1000" b="1"/>
              <a:t>Nabadzības riska slieksnis (</a:t>
            </a:r>
            <a:r>
              <a:rPr lang="lv-LV" sz="1000" b="0" i="1"/>
              <a:t>LVL, gadā</a:t>
            </a:r>
            <a:r>
              <a:rPr lang="lv-LV" sz="1000" b="1"/>
              <a:t>)</a:t>
            </a:r>
          </a:p>
        </c:rich>
      </c:tx>
      <c:layout>
        <c:manualLayout>
          <c:xMode val="edge"/>
          <c:yMode val="edge"/>
          <c:x val="0.17209148084291462"/>
          <c:y val="3.3335000272771906E-2"/>
        </c:manualLayout>
      </c:layout>
      <c:overlay val="0"/>
      <c:spPr>
        <a:noFill/>
        <a:ln w="25400">
          <a:noFill/>
        </a:ln>
      </c:spPr>
    </c:title>
    <c:autoTitleDeleted val="0"/>
    <c:plotArea>
      <c:layout>
        <c:manualLayout>
          <c:layoutTarget val="inner"/>
          <c:xMode val="edge"/>
          <c:yMode val="edge"/>
          <c:x val="0.12380135295944172"/>
          <c:y val="0.15883136394148295"/>
          <c:w val="0.88889032460686002"/>
          <c:h val="0.58953752261457515"/>
        </c:manualLayout>
      </c:layout>
      <c:lineChart>
        <c:grouping val="standard"/>
        <c:varyColors val="0"/>
        <c:ser>
          <c:idx val="0"/>
          <c:order val="0"/>
          <c:tx>
            <c:strRef>
              <c:f>'2_slieksnis'!$A$6</c:f>
              <c:strCache>
                <c:ptCount val="1"/>
                <c:pt idx="0">
                  <c:v>1 personas mājsaimniecība</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4"/>
              <c:layout>
                <c:manualLayout>
                  <c:x val="-8.8880291365135242E-2"/>
                  <c:y val="-0.10161219346321564"/>
                </c:manualLayout>
              </c:layout>
              <c:dLblPos val="r"/>
              <c:showLegendKey val="0"/>
              <c:showVal val="1"/>
              <c:showCatName val="0"/>
              <c:showSerName val="0"/>
              <c:showPercent val="0"/>
              <c:showBubbleSize val="0"/>
            </c:dLbl>
            <c:spPr>
              <a:noFill/>
              <a:ln w="25400">
                <a:noFill/>
              </a:ln>
            </c:spPr>
            <c:txPr>
              <a:bodyPr/>
              <a:lstStyle/>
              <a:p>
                <a:pPr>
                  <a:defRPr sz="800"/>
                </a:pPr>
                <a:endParaRPr lang="lv-LV"/>
              </a:p>
            </c:txPr>
            <c:dLblPos val="t"/>
            <c:showLegendKey val="0"/>
            <c:showVal val="1"/>
            <c:showCatName val="0"/>
            <c:showSerName val="0"/>
            <c:showPercent val="0"/>
            <c:showBubbleSize val="0"/>
            <c:showLeaderLines val="0"/>
          </c:dLbls>
          <c:cat>
            <c:strRef>
              <c:f>'2_slieksnis'!$B$5:$J$5</c:f>
              <c:strCache>
                <c:ptCount val="9"/>
                <c:pt idx="0">
                  <c:v>2004</c:v>
                </c:pt>
                <c:pt idx="1">
                  <c:v>2005</c:v>
                </c:pt>
                <c:pt idx="2">
                  <c:v>2006</c:v>
                </c:pt>
                <c:pt idx="3">
                  <c:v>2007</c:v>
                </c:pt>
                <c:pt idx="4">
                  <c:v>2008</c:v>
                </c:pt>
                <c:pt idx="5">
                  <c:v>2009</c:v>
                </c:pt>
                <c:pt idx="6">
                  <c:v>2010</c:v>
                </c:pt>
                <c:pt idx="7">
                  <c:v>2011</c:v>
                </c:pt>
                <c:pt idx="8">
                  <c:v>2012</c:v>
                </c:pt>
              </c:strCache>
            </c:strRef>
          </c:cat>
          <c:val>
            <c:numRef>
              <c:f>'2_slieksnis'!$B$6:$J$6</c:f>
              <c:numCache>
                <c:formatCode>General</c:formatCode>
                <c:ptCount val="9"/>
                <c:pt idx="0">
                  <c:v>879.6</c:v>
                </c:pt>
                <c:pt idx="1">
                  <c:v>1058.4000000000001</c:v>
                </c:pt>
                <c:pt idx="2">
                  <c:v>1399.5</c:v>
                </c:pt>
                <c:pt idx="3">
                  <c:v>2029.7</c:v>
                </c:pt>
                <c:pt idx="4">
                  <c:v>2307.8000000000002</c:v>
                </c:pt>
                <c:pt idx="5">
                  <c:v>1921</c:v>
                </c:pt>
                <c:pt idx="6">
                  <c:v>1783</c:v>
                </c:pt>
                <c:pt idx="7">
                  <c:v>1764</c:v>
                </c:pt>
                <c:pt idx="8">
                  <c:v>1884</c:v>
                </c:pt>
              </c:numCache>
            </c:numRef>
          </c:val>
          <c:smooth val="0"/>
        </c:ser>
        <c:ser>
          <c:idx val="1"/>
          <c:order val="1"/>
          <c:tx>
            <c:strRef>
              <c:f>'2_slieksnis'!$A$7</c:f>
              <c:strCache>
                <c:ptCount val="1"/>
                <c:pt idx="0">
                  <c:v>2 pieaugušie un 2 bērni jaunāki par 14 gadiem</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pPr>
              <a:noFill/>
              <a:ln w="25400">
                <a:noFill/>
              </a:ln>
            </c:spPr>
            <c:txPr>
              <a:bodyPr/>
              <a:lstStyle/>
              <a:p>
                <a:pPr>
                  <a:defRPr sz="800"/>
                </a:pPr>
                <a:endParaRPr lang="lv-LV"/>
              </a:p>
            </c:txPr>
            <c:dLblPos val="t"/>
            <c:showLegendKey val="0"/>
            <c:showVal val="1"/>
            <c:showCatName val="0"/>
            <c:showSerName val="0"/>
            <c:showPercent val="0"/>
            <c:showBubbleSize val="0"/>
            <c:showLeaderLines val="0"/>
          </c:dLbls>
          <c:cat>
            <c:strRef>
              <c:f>'2_slieksnis'!$B$5:$J$5</c:f>
              <c:strCache>
                <c:ptCount val="9"/>
                <c:pt idx="0">
                  <c:v>2004</c:v>
                </c:pt>
                <c:pt idx="1">
                  <c:v>2005</c:v>
                </c:pt>
                <c:pt idx="2">
                  <c:v>2006</c:v>
                </c:pt>
                <c:pt idx="3">
                  <c:v>2007</c:v>
                </c:pt>
                <c:pt idx="4">
                  <c:v>2008</c:v>
                </c:pt>
                <c:pt idx="5">
                  <c:v>2009</c:v>
                </c:pt>
                <c:pt idx="6">
                  <c:v>2010</c:v>
                </c:pt>
                <c:pt idx="7">
                  <c:v>2011</c:v>
                </c:pt>
                <c:pt idx="8">
                  <c:v>2012</c:v>
                </c:pt>
              </c:strCache>
            </c:strRef>
          </c:cat>
          <c:val>
            <c:numRef>
              <c:f>'2_slieksnis'!$B$7:$J$7</c:f>
              <c:numCache>
                <c:formatCode>General</c:formatCode>
                <c:ptCount val="9"/>
                <c:pt idx="0">
                  <c:v>1847.2</c:v>
                </c:pt>
                <c:pt idx="1">
                  <c:v>2222.6</c:v>
                </c:pt>
                <c:pt idx="2">
                  <c:v>2939</c:v>
                </c:pt>
                <c:pt idx="3">
                  <c:v>4262.3</c:v>
                </c:pt>
                <c:pt idx="4">
                  <c:v>4846.3999999999996</c:v>
                </c:pt>
                <c:pt idx="5">
                  <c:v>4034</c:v>
                </c:pt>
                <c:pt idx="6">
                  <c:v>3745</c:v>
                </c:pt>
                <c:pt idx="7">
                  <c:v>3708</c:v>
                </c:pt>
                <c:pt idx="8">
                  <c:v>3948</c:v>
                </c:pt>
              </c:numCache>
            </c:numRef>
          </c:val>
          <c:smooth val="0"/>
        </c:ser>
        <c:dLbls>
          <c:showLegendKey val="0"/>
          <c:showVal val="0"/>
          <c:showCatName val="0"/>
          <c:showSerName val="0"/>
          <c:showPercent val="0"/>
          <c:showBubbleSize val="0"/>
        </c:dLbls>
        <c:marker val="1"/>
        <c:smooth val="0"/>
        <c:axId val="37984896"/>
        <c:axId val="37990784"/>
      </c:lineChart>
      <c:catAx>
        <c:axId val="37984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a:pPr>
            <a:endParaRPr lang="lv-LV"/>
          </a:p>
        </c:txPr>
        <c:crossAx val="37990784"/>
        <c:crosses val="autoZero"/>
        <c:auto val="1"/>
        <c:lblAlgn val="ctr"/>
        <c:lblOffset val="100"/>
        <c:tickLblSkip val="1"/>
        <c:tickMarkSkip val="1"/>
        <c:noMultiLvlLbl val="0"/>
      </c:catAx>
      <c:valAx>
        <c:axId val="37990784"/>
        <c:scaling>
          <c:orientation val="minMax"/>
        </c:scaling>
        <c:delete val="0"/>
        <c:axPos val="l"/>
        <c:majorGridlines>
          <c:spPr>
            <a:ln w="3175">
              <a:solidFill>
                <a:schemeClr val="bg1">
                  <a:lumMod val="65000"/>
                </a:schemeClr>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a:pPr>
            <a:endParaRPr lang="lv-LV"/>
          </a:p>
        </c:txPr>
        <c:crossAx val="37984896"/>
        <c:crosses val="autoZero"/>
        <c:crossBetween val="between"/>
      </c:valAx>
      <c:spPr>
        <a:noFill/>
        <a:ln w="25400">
          <a:noFill/>
        </a:ln>
      </c:spPr>
    </c:plotArea>
    <c:legend>
      <c:legendPos val="b"/>
      <c:layout>
        <c:manualLayout>
          <c:xMode val="edge"/>
          <c:yMode val="edge"/>
          <c:x val="4.2735036600089295E-2"/>
          <c:y val="0.85843265532268542"/>
          <c:w val="0.92820674338784581"/>
          <c:h val="0.11816095383205652"/>
        </c:manualLayout>
      </c:layout>
      <c:overlay val="0"/>
      <c:spPr>
        <a:solidFill>
          <a:srgbClr val="FFFFFF"/>
        </a:solidFill>
        <a:ln w="3175">
          <a:solidFill>
            <a:schemeClr val="tx1">
              <a:lumMod val="50000"/>
              <a:lumOff val="50000"/>
            </a:schemeClr>
          </a:solidFill>
          <a:prstDash val="solid"/>
        </a:ln>
      </c:spPr>
      <c:txPr>
        <a:bodyPr/>
        <a:lstStyle/>
        <a:p>
          <a:pPr>
            <a:defRPr sz="900"/>
          </a:pPr>
          <a:endParaRPr lang="lv-LV"/>
        </a:p>
      </c:txPr>
    </c:legend>
    <c:plotVisOnly val="1"/>
    <c:dispBlanksAs val="gap"/>
    <c:showDLblsOverMax val="0"/>
  </c:chart>
  <c:spPr>
    <a:solidFill>
      <a:srgbClr val="FFFFFF"/>
    </a:solidFill>
    <a:ln w="3175">
      <a:noFill/>
      <a:prstDash val="solid"/>
    </a:ln>
  </c:spPr>
  <c:txPr>
    <a:bodyPr/>
    <a:lstStyle/>
    <a:p>
      <a:pPr>
        <a:defRPr sz="1050" b="0" i="0" u="none" strike="noStrike" baseline="0">
          <a:solidFill>
            <a:srgbClr val="000000"/>
          </a:solidFill>
          <a:latin typeface="Times New Roman" pitchFamily="18" charset="0"/>
          <a:ea typeface="Arial"/>
          <a:cs typeface="Times New Roman"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lv-LV" sz="900" b="1"/>
              <a:t>Nabadzības riska indekss 2004-2011</a:t>
            </a:r>
          </a:p>
        </c:rich>
      </c:tx>
      <c:layout>
        <c:manualLayout>
          <c:xMode val="edge"/>
          <c:yMode val="edge"/>
          <c:x val="0.25348861624855029"/>
          <c:y val="4.1493775933609957E-2"/>
        </c:manualLayout>
      </c:layout>
      <c:overlay val="0"/>
      <c:spPr>
        <a:noFill/>
        <a:ln w="25400">
          <a:noFill/>
        </a:ln>
      </c:spPr>
    </c:title>
    <c:autoTitleDeleted val="0"/>
    <c:plotArea>
      <c:layout>
        <c:manualLayout>
          <c:layoutTarget val="inner"/>
          <c:xMode val="edge"/>
          <c:yMode val="edge"/>
          <c:x val="0.14418621024051853"/>
          <c:y val="0.18810555319589198"/>
          <c:w val="0.8232567487926381"/>
          <c:h val="0.64041896152139821"/>
        </c:manualLayout>
      </c:layout>
      <c:barChart>
        <c:barDir val="col"/>
        <c:grouping val="clustered"/>
        <c:varyColors val="0"/>
        <c:ser>
          <c:idx val="0"/>
          <c:order val="0"/>
          <c:tx>
            <c:strRef>
              <c:f>'3_NRI_vec_dzim'!$B$5</c:f>
              <c:strCache>
                <c:ptCount val="1"/>
                <c:pt idx="0">
                  <c:v>Pavisam</c:v>
                </c:pt>
              </c:strCache>
            </c:strRef>
          </c:tx>
          <c:spPr>
            <a:solidFill>
              <a:schemeClr val="accent1"/>
            </a:solidFill>
            <a:ln w="12700">
              <a:solidFill>
                <a:srgbClr val="000000"/>
              </a:solidFill>
              <a:prstDash val="solid"/>
            </a:ln>
          </c:spPr>
          <c:invertIfNegative val="0"/>
          <c:dLbls>
            <c:spPr>
              <a:noFill/>
              <a:ln w="25400">
                <a:noFill/>
              </a:ln>
            </c:spPr>
            <c:txPr>
              <a:bodyPr/>
              <a:lstStyle/>
              <a:p>
                <a:pPr>
                  <a:defRPr b="1"/>
                </a:pPr>
                <a:endParaRPr lang="lv-LV"/>
              </a:p>
            </c:txPr>
            <c:showLegendKey val="0"/>
            <c:showVal val="1"/>
            <c:showCatName val="0"/>
            <c:showSerName val="0"/>
            <c:showPercent val="0"/>
            <c:showBubbleSize val="0"/>
            <c:showLeaderLines val="0"/>
          </c:dLbls>
          <c:cat>
            <c:strRef>
              <c:f>'3_NRI_vec_dzim'!$A$6:$A$13</c:f>
              <c:strCache>
                <c:ptCount val="8"/>
                <c:pt idx="0">
                  <c:v>2004</c:v>
                </c:pt>
                <c:pt idx="1">
                  <c:v>2005</c:v>
                </c:pt>
                <c:pt idx="2">
                  <c:v>2006</c:v>
                </c:pt>
                <c:pt idx="3">
                  <c:v>2007</c:v>
                </c:pt>
                <c:pt idx="4">
                  <c:v>2008</c:v>
                </c:pt>
                <c:pt idx="5">
                  <c:v>2009</c:v>
                </c:pt>
                <c:pt idx="6">
                  <c:v>2010</c:v>
                </c:pt>
                <c:pt idx="7">
                  <c:v>2011</c:v>
                </c:pt>
              </c:strCache>
            </c:strRef>
          </c:cat>
          <c:val>
            <c:numRef>
              <c:f>'3_NRI_vec_dzim'!$B$6:$B$13</c:f>
              <c:numCache>
                <c:formatCode>General</c:formatCode>
                <c:ptCount val="8"/>
                <c:pt idx="0">
                  <c:v>19.2</c:v>
                </c:pt>
                <c:pt idx="1">
                  <c:v>23.1</c:v>
                </c:pt>
                <c:pt idx="2">
                  <c:v>21.2</c:v>
                </c:pt>
                <c:pt idx="3">
                  <c:v>25.6</c:v>
                </c:pt>
                <c:pt idx="4">
                  <c:v>25.7</c:v>
                </c:pt>
                <c:pt idx="5">
                  <c:v>21.3</c:v>
                </c:pt>
                <c:pt idx="6">
                  <c:v>19.3</c:v>
                </c:pt>
                <c:pt idx="7">
                  <c:v>19.399999999999999</c:v>
                </c:pt>
              </c:numCache>
            </c:numRef>
          </c:val>
        </c:ser>
        <c:dLbls>
          <c:showLegendKey val="0"/>
          <c:showVal val="0"/>
          <c:showCatName val="0"/>
          <c:showSerName val="0"/>
          <c:showPercent val="0"/>
          <c:showBubbleSize val="0"/>
        </c:dLbls>
        <c:gapWidth val="150"/>
        <c:axId val="42754816"/>
        <c:axId val="42756352"/>
      </c:barChart>
      <c:catAx>
        <c:axId val="4275481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a:pPr>
            <a:endParaRPr lang="lv-LV"/>
          </a:p>
        </c:txPr>
        <c:crossAx val="42756352"/>
        <c:crosses val="autoZero"/>
        <c:auto val="1"/>
        <c:lblAlgn val="ctr"/>
        <c:lblOffset val="100"/>
        <c:tickMarkSkip val="1"/>
        <c:noMultiLvlLbl val="0"/>
      </c:catAx>
      <c:valAx>
        <c:axId val="42756352"/>
        <c:scaling>
          <c:orientation val="minMax"/>
        </c:scaling>
        <c:delete val="0"/>
        <c:axPos val="l"/>
        <c:majorGridlines>
          <c:spPr>
            <a:ln w="3175">
              <a:solidFill>
                <a:schemeClr val="bg1">
                  <a:lumMod val="65000"/>
                </a:schemeClr>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lv-LV"/>
          </a:p>
        </c:txPr>
        <c:crossAx val="42754816"/>
        <c:crosses val="autoZero"/>
        <c:crossBetween val="between"/>
      </c:valAx>
      <c:dTable>
        <c:showHorzBorder val="1"/>
        <c:showVertBorder val="1"/>
        <c:showOutline val="1"/>
        <c:showKeys val="0"/>
        <c:spPr>
          <a:ln w="3175">
            <a:solidFill>
              <a:srgbClr val="000000"/>
            </a:solidFill>
            <a:prstDash val="solid"/>
          </a:ln>
        </c:spPr>
      </c:dTable>
      <c:spPr>
        <a:solidFill>
          <a:srgbClr val="FFFFFF"/>
        </a:solidFill>
        <a:ln w="12700">
          <a:solidFill>
            <a:srgbClr val="FFFFFF"/>
          </a:solidFill>
          <a:prstDash val="solid"/>
        </a:ln>
      </c:spPr>
    </c:plotArea>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083673226292722"/>
          <c:y val="3.1348517917436154E-2"/>
          <c:w val="0.49328371512246416"/>
          <c:h val="0.87732966712494276"/>
        </c:manualLayout>
      </c:layout>
      <c:barChart>
        <c:barDir val="bar"/>
        <c:grouping val="clustered"/>
        <c:varyColors val="0"/>
        <c:ser>
          <c:idx val="0"/>
          <c:order val="0"/>
          <c:tx>
            <c:strRef>
              <c:f>'4_NRI_majbas'!$H$4</c:f>
              <c:strCache>
                <c:ptCount val="1"/>
                <c:pt idx="0">
                  <c:v>2010</c:v>
                </c:pt>
              </c:strCache>
            </c:strRef>
          </c:tx>
          <c:invertIfNegative val="0"/>
          <c:dLbls>
            <c:txPr>
              <a:bodyPr/>
              <a:lstStyle/>
              <a:p>
                <a:pPr>
                  <a:defRPr sz="800" b="1"/>
                </a:pPr>
                <a:endParaRPr lang="lv-LV"/>
              </a:p>
            </c:txPr>
            <c:showLegendKey val="0"/>
            <c:showVal val="1"/>
            <c:showCatName val="0"/>
            <c:showSerName val="0"/>
            <c:showPercent val="0"/>
            <c:showBubbleSize val="0"/>
            <c:showLeaderLines val="0"/>
          </c:dLbls>
          <c:cat>
            <c:strRef>
              <c:f>'4_NRI_majbas'!$A$5:$A$16</c:f>
              <c:strCache>
                <c:ptCount val="12"/>
                <c:pt idx="0">
                  <c:v>Pavisam</c:v>
                </c:pt>
                <c:pt idx="1">
                  <c:v>Visas mājsaimniecības bez apgādībā esošiem bērniem</c:v>
                </c:pt>
                <c:pt idx="2">
                  <c:v>1 personas mājsaimniecības - vīrieši</c:v>
                </c:pt>
                <c:pt idx="3">
                  <c:v>1 personas mājsaimniecības - sievietes</c:v>
                </c:pt>
                <c:pt idx="4">
                  <c:v>1 personas mājsaimniecības līdz 64 gadu vecumam</c:v>
                </c:pt>
                <c:pt idx="5">
                  <c:v>1 personas mājsaimniecības 65 gadi un vecākas</c:v>
                </c:pt>
                <c:pt idx="6">
                  <c:v>2 pieaugušie bez apgādībā esošiem bērniem (abi jaunāki par 65 gadiem)</c:v>
                </c:pt>
                <c:pt idx="7">
                  <c:v>2 pieaugušie bez apgādībā esošiem bērniem (vismaz viens 65 gadi un vecāks)</c:v>
                </c:pt>
                <c:pt idx="8">
                  <c:v>Nepilna ģimene (vismaz viens apgādībā esošs bērns)</c:v>
                </c:pt>
                <c:pt idx="9">
                  <c:v>2 pieaugušie 1 apgādībā esošs bērns</c:v>
                </c:pt>
                <c:pt idx="10">
                  <c:v>2 pieaugušie 2 apgādībā esoši bērni</c:v>
                </c:pt>
                <c:pt idx="11">
                  <c:v>2 pieaugušie 3 un vairāk apgādībā esoši bērni</c:v>
                </c:pt>
              </c:strCache>
            </c:strRef>
          </c:cat>
          <c:val>
            <c:numRef>
              <c:f>'4_NRI_majbas'!$H$5:$H$16</c:f>
              <c:numCache>
                <c:formatCode>General</c:formatCode>
                <c:ptCount val="12"/>
                <c:pt idx="0">
                  <c:v>19.3</c:v>
                </c:pt>
                <c:pt idx="1">
                  <c:v>17</c:v>
                </c:pt>
                <c:pt idx="2">
                  <c:v>34</c:v>
                </c:pt>
                <c:pt idx="3">
                  <c:v>14.9</c:v>
                </c:pt>
                <c:pt idx="4">
                  <c:v>33.5</c:v>
                </c:pt>
                <c:pt idx="5">
                  <c:v>8.9</c:v>
                </c:pt>
                <c:pt idx="6">
                  <c:v>20.3</c:v>
                </c:pt>
                <c:pt idx="7">
                  <c:v>12</c:v>
                </c:pt>
                <c:pt idx="8">
                  <c:v>38.799999999999997</c:v>
                </c:pt>
                <c:pt idx="9">
                  <c:v>17.899999999999999</c:v>
                </c:pt>
                <c:pt idx="10">
                  <c:v>18.899999999999999</c:v>
                </c:pt>
                <c:pt idx="11">
                  <c:v>37.4</c:v>
                </c:pt>
              </c:numCache>
            </c:numRef>
          </c:val>
        </c:ser>
        <c:dLbls>
          <c:showLegendKey val="0"/>
          <c:showVal val="0"/>
          <c:showCatName val="0"/>
          <c:showSerName val="0"/>
          <c:showPercent val="0"/>
          <c:showBubbleSize val="0"/>
        </c:dLbls>
        <c:gapWidth val="150"/>
        <c:axId val="42778624"/>
        <c:axId val="42780160"/>
      </c:barChart>
      <c:catAx>
        <c:axId val="42778624"/>
        <c:scaling>
          <c:orientation val="minMax"/>
        </c:scaling>
        <c:delete val="0"/>
        <c:axPos val="l"/>
        <c:numFmt formatCode="General" sourceLinked="1"/>
        <c:majorTickMark val="out"/>
        <c:minorTickMark val="none"/>
        <c:tickLblPos val="nextTo"/>
        <c:txPr>
          <a:bodyPr/>
          <a:lstStyle/>
          <a:p>
            <a:pPr>
              <a:defRPr sz="800"/>
            </a:pPr>
            <a:endParaRPr lang="lv-LV"/>
          </a:p>
        </c:txPr>
        <c:crossAx val="42780160"/>
        <c:crosses val="autoZero"/>
        <c:auto val="1"/>
        <c:lblAlgn val="ctr"/>
        <c:lblOffset val="100"/>
        <c:noMultiLvlLbl val="0"/>
      </c:catAx>
      <c:valAx>
        <c:axId val="42780160"/>
        <c:scaling>
          <c:orientation val="minMax"/>
        </c:scaling>
        <c:delete val="0"/>
        <c:axPos val="b"/>
        <c:majorGridlines>
          <c:spPr>
            <a:ln>
              <a:solidFill>
                <a:schemeClr val="bg1">
                  <a:lumMod val="65000"/>
                </a:schemeClr>
              </a:solidFill>
            </a:ln>
          </c:spPr>
        </c:majorGridlines>
        <c:numFmt formatCode="General" sourceLinked="1"/>
        <c:majorTickMark val="out"/>
        <c:minorTickMark val="none"/>
        <c:tickLblPos val="nextTo"/>
        <c:crossAx val="42778624"/>
        <c:crosses val="autoZero"/>
        <c:crossBetween val="between"/>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lv-LV"/>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0.0119</cdr:x>
      <cdr:y>0.01677</cdr:y>
    </cdr:from>
    <cdr:to>
      <cdr:x>0.0119</cdr:x>
      <cdr:y>0.01677</cdr:y>
    </cdr:to>
    <cdr:sp macro="" textlink="">
      <cdr:nvSpPr>
        <cdr:cNvPr id="2" name="DVCHARTID" hidden="1"/>
        <cdr:cNvSpPr txBox="1"/>
      </cdr:nvSpPr>
      <cdr:spPr>
        <a:xfrm xmlns:a="http://schemas.openxmlformats.org/drawingml/2006/main">
          <a:off x="50800" y="50800"/>
          <a:ext cx="0" cy="0"/>
        </a:xfrm>
        <a:prstGeom xmlns:a="http://schemas.openxmlformats.org/drawingml/2006/main" prst="rect">
          <a:avLst/>
        </a:prstGeom>
      </cdr:spPr>
      <cdr:txBody>
        <a:bodyPr xmlns:a="http://schemas.openxmlformats.org/drawingml/2006/main" vertOverflow="clip" vert="vert" rtlCol="0" anchor="ctr"/>
        <a:lstStyle xmlns:a="http://schemas.openxmlformats.org/drawingml/2006/main"/>
        <a:p xmlns:a="http://schemas.openxmlformats.org/drawingml/2006/main">
          <a:pPr algn="r"/>
          <a:r>
            <a:rPr lang="lv-LV" sz="1100"/>
            <a:t>LbTUKFzepcrC0AcO9iBNNf</a:t>
          </a:r>
        </a:p>
      </cdr:txBody>
    </cdr:sp>
  </cdr:relSizeAnchor>
  <cdr:relSizeAnchor xmlns:cdr="http://schemas.openxmlformats.org/drawingml/2006/chartDrawing">
    <cdr:from>
      <cdr:x>0.40129</cdr:x>
      <cdr:y>0.03082</cdr:y>
    </cdr:from>
    <cdr:to>
      <cdr:x>0.97087</cdr:x>
      <cdr:y>0.17736</cdr:y>
    </cdr:to>
    <cdr:sp macro="" textlink="">
      <cdr:nvSpPr>
        <cdr:cNvPr id="3" name="TextBox 2"/>
        <cdr:cNvSpPr txBox="1"/>
      </cdr:nvSpPr>
      <cdr:spPr>
        <a:xfrm xmlns:a="http://schemas.openxmlformats.org/drawingml/2006/main">
          <a:off x="1181100" y="77804"/>
          <a:ext cx="1676399" cy="369871"/>
        </a:xfrm>
        <a:prstGeom xmlns:a="http://schemas.openxmlformats.org/drawingml/2006/main" prst="rect">
          <a:avLst/>
        </a:prstGeom>
        <a:solidFill xmlns:a="http://schemas.openxmlformats.org/drawingml/2006/main">
          <a:schemeClr val="lt1"/>
        </a:solidFill>
        <a:ln xmlns:a="http://schemas.openxmlformats.org/drawingml/2006/main">
          <a:solidFill>
            <a:schemeClr val="bg1">
              <a:lumMod val="50000"/>
            </a:schemeClr>
          </a:solidFill>
          <a:prstDash val="solid"/>
        </a:ln>
      </cdr:spPr>
      <cdr:txBody>
        <a:bodyPr xmlns:a="http://schemas.openxmlformats.org/drawingml/2006/main" vertOverflow="clip" wrap="square" rtlCol="0">
          <a:noAutofit/>
        </a:bodyPr>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lv-LV" sz="900" i="1">
              <a:effectLst/>
              <a:latin typeface="Times New Roman" pitchFamily="18" charset="0"/>
              <a:ea typeface="+mn-ea"/>
              <a:cs typeface="Times New Roman" pitchFamily="18" charset="0"/>
            </a:rPr>
            <a:t>Pārrēķins</a:t>
          </a:r>
          <a:r>
            <a:rPr lang="lv-LV" sz="900" i="1" baseline="0">
              <a:effectLst/>
              <a:latin typeface="Times New Roman" pitchFamily="18" charset="0"/>
              <a:ea typeface="+mn-ea"/>
              <a:cs typeface="Times New Roman" pitchFamily="18" charset="0"/>
            </a:rPr>
            <a:t> pēc 2011.gada tautas skaitīšanas rezultātiem</a:t>
          </a:r>
          <a:endParaRPr lang="lv-LV" sz="900" i="1">
            <a:latin typeface="Times New Roman" pitchFamily="18" charset="0"/>
            <a:cs typeface="Times New Roman" pitchFamily="18" charset="0"/>
          </a:endParaRPr>
        </a:p>
      </cdr:txBody>
    </cdr:sp>
  </cdr:relSizeAnchor>
  <cdr:relSizeAnchor xmlns:cdr="http://schemas.openxmlformats.org/drawingml/2006/chartDrawing">
    <cdr:from>
      <cdr:x>0.80906</cdr:x>
      <cdr:y>0.17358</cdr:y>
    </cdr:from>
    <cdr:to>
      <cdr:x>0.8479</cdr:x>
      <cdr:y>0.29057</cdr:y>
    </cdr:to>
    <cdr:cxnSp macro="">
      <cdr:nvCxnSpPr>
        <cdr:cNvPr id="5" name="Straight Arrow Connector 4"/>
        <cdr:cNvCxnSpPr/>
      </cdr:nvCxnSpPr>
      <cdr:spPr>
        <a:xfrm xmlns:a="http://schemas.openxmlformats.org/drawingml/2006/main" flipH="1">
          <a:off x="2381250" y="438150"/>
          <a:ext cx="114300" cy="295275"/>
        </a:xfrm>
        <a:prstGeom xmlns:a="http://schemas.openxmlformats.org/drawingml/2006/main" prst="straightConnector1">
          <a:avLst/>
        </a:prstGeom>
        <a:ln xmlns:a="http://schemas.openxmlformats.org/drawingml/2006/main">
          <a:solidFill>
            <a:schemeClr val="tx1"/>
          </a:solidFill>
          <a:headEnd type="none"/>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0.18695</cdr:x>
      <cdr:y>0.7415</cdr:y>
    </cdr:from>
    <cdr:to>
      <cdr:x>0.74779</cdr:x>
      <cdr:y>0.88635</cdr:y>
    </cdr:to>
    <cdr:sp macro="" textlink="">
      <cdr:nvSpPr>
        <cdr:cNvPr id="3" name="TextBox 2"/>
        <cdr:cNvSpPr txBox="1"/>
      </cdr:nvSpPr>
      <cdr:spPr>
        <a:xfrm xmlns:a="http://schemas.openxmlformats.org/drawingml/2006/main">
          <a:off x="543464" y="1854688"/>
          <a:ext cx="1630393" cy="362308"/>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900" i="1">
              <a:latin typeface="Times New Roman" pitchFamily="18" charset="0"/>
              <a:cs typeface="Times New Roman" pitchFamily="18" charset="0"/>
            </a:rPr>
            <a:t>Pārrēķins</a:t>
          </a:r>
          <a:r>
            <a:rPr lang="lv-LV" sz="900" i="1" baseline="0">
              <a:latin typeface="Times New Roman" pitchFamily="18" charset="0"/>
              <a:cs typeface="Times New Roman" pitchFamily="18" charset="0"/>
            </a:rPr>
            <a:t> pēc 2011.gada tautas skaitīšanas rezultātiem </a:t>
          </a:r>
          <a:endParaRPr lang="lv-LV" sz="900" i="1">
            <a:latin typeface="Times New Roman" pitchFamily="18" charset="0"/>
            <a:cs typeface="Times New Roman" pitchFamily="18" charset="0"/>
          </a:endParaRPr>
        </a:p>
      </cdr:txBody>
    </cdr:sp>
  </cdr:relSizeAnchor>
  <cdr:relSizeAnchor xmlns:cdr="http://schemas.openxmlformats.org/drawingml/2006/chartDrawing">
    <cdr:from>
      <cdr:x>0.5841</cdr:x>
      <cdr:y>0.48289</cdr:y>
    </cdr:from>
    <cdr:to>
      <cdr:x>0.79511</cdr:x>
      <cdr:y>0.73004</cdr:y>
    </cdr:to>
    <cdr:cxnSp macro="">
      <cdr:nvCxnSpPr>
        <cdr:cNvPr id="2" name="Straight Arrow Connector 1"/>
        <cdr:cNvCxnSpPr/>
      </cdr:nvCxnSpPr>
      <cdr:spPr>
        <a:xfrm xmlns:a="http://schemas.openxmlformats.org/drawingml/2006/main" flipV="1">
          <a:off x="1819275" y="1209675"/>
          <a:ext cx="657225" cy="619125"/>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0.60245</cdr:x>
      <cdr:y>0.72624</cdr:y>
    </cdr:from>
    <cdr:to>
      <cdr:x>0.80122</cdr:x>
      <cdr:y>0.72624</cdr:y>
    </cdr:to>
    <cdr:cxnSp macro="">
      <cdr:nvCxnSpPr>
        <cdr:cNvPr id="5" name="Straight Arrow Connector 4"/>
        <cdr:cNvCxnSpPr/>
      </cdr:nvCxnSpPr>
      <cdr:spPr>
        <a:xfrm xmlns:a="http://schemas.openxmlformats.org/drawingml/2006/main">
          <a:off x="1876425" y="1819275"/>
          <a:ext cx="619125" cy="0"/>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0.01111</cdr:x>
      <cdr:y>0.01852</cdr:y>
    </cdr:from>
    <cdr:to>
      <cdr:x>0.01111</cdr:x>
      <cdr:y>0.01852</cdr:y>
    </cdr:to>
    <cdr:sp macro="" textlink="">
      <cdr:nvSpPr>
        <cdr:cNvPr id="2" name="DVCHARTID" hidden="1"/>
        <cdr:cNvSpPr txBox="1"/>
      </cdr:nvSpPr>
      <cdr:spPr>
        <a:xfrm xmlns:a="http://schemas.openxmlformats.org/drawingml/2006/main">
          <a:off x="50800" y="50800"/>
          <a:ext cx="0" cy="0"/>
        </a:xfrm>
        <a:prstGeom xmlns:a="http://schemas.openxmlformats.org/drawingml/2006/main" prst="rect">
          <a:avLst/>
        </a:prstGeom>
      </cdr:spPr>
      <cdr:txBody>
        <a:bodyPr xmlns:a="http://schemas.openxmlformats.org/drawingml/2006/main" vertOverflow="clip" vert="vert" rtlCol="0" anchor="ctr"/>
        <a:lstStyle xmlns:a="http://schemas.openxmlformats.org/drawingml/2006/main"/>
        <a:p xmlns:a="http://schemas.openxmlformats.org/drawingml/2006/main">
          <a:pPr algn="r"/>
          <a:r>
            <a:rPr lang="lv-LV" sz="1100"/>
            <a:t>DudQML3fwo9kW9raNtnvLv</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CBBC-B74F-47BF-A9E1-B9FD11D3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1749</Words>
  <Characters>11559</Characters>
  <Application>Microsoft Office Word</Application>
  <DocSecurity>0</DocSecurity>
  <Lines>361</Lines>
  <Paragraphs>184</Paragraphs>
  <ScaleCrop>false</ScaleCrop>
  <HeadingPairs>
    <vt:vector size="2" baseType="variant">
      <vt:variant>
        <vt:lpstr>Title</vt:lpstr>
      </vt:variant>
      <vt:variant>
        <vt:i4>1</vt:i4>
      </vt:variant>
    </vt:vector>
  </HeadingPairs>
  <TitlesOfParts>
    <vt:vector size="1" baseType="lpstr">
      <vt:lpstr>Priekšlikumi sociālās nevienlīdzības mazināšanai</vt:lpstr>
    </vt:vector>
  </TitlesOfParts>
  <Company>Finanšu ministrija</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Priekšlikumi ienākumu nevienlīdzības mazināšanai</dc:title>
  <dc:subject>Pielikums informatīvajam ziņojumam</dc:subject>
  <dc:creator>Dace Avotiņa</dc:creator>
  <dc:description>tālrunis 67083920
Dace.Avotiņa@fm.gov.lv</dc:description>
  <cp:lastModifiedBy>Dace Avotina</cp:lastModifiedBy>
  <cp:revision>5</cp:revision>
  <cp:lastPrinted>2013-05-15T06:28:00Z</cp:lastPrinted>
  <dcterms:created xsi:type="dcterms:W3CDTF">2013-05-22T15:39:00Z</dcterms:created>
  <dcterms:modified xsi:type="dcterms:W3CDTF">2013-05-23T06:10:00Z</dcterms:modified>
</cp:coreProperties>
</file>