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183" w:rsidRDefault="00F06183">
      <w:pPr>
        <w:pStyle w:val="Heading2"/>
      </w:pPr>
      <w:bookmarkStart w:id="0" w:name="_GoBack"/>
      <w:bookmarkEnd w:id="0"/>
      <w:r>
        <w:t>Projekts</w:t>
      </w:r>
    </w:p>
    <w:p w:rsidR="00F06183" w:rsidRDefault="00F06183">
      <w:pPr>
        <w:jc w:val="center"/>
        <w:rPr>
          <w:sz w:val="28"/>
          <w:szCs w:val="28"/>
        </w:rPr>
      </w:pPr>
      <w:r>
        <w:rPr>
          <w:sz w:val="28"/>
          <w:szCs w:val="28"/>
        </w:rPr>
        <w:t>LATVIJAS REPUBLIKAS MINISTRU KABINETA SĒDES PROTOKOLLĒMUMS</w:t>
      </w:r>
    </w:p>
    <w:p w:rsidR="00F06183" w:rsidRDefault="00F06183">
      <w:pPr>
        <w:rPr>
          <w:sz w:val="28"/>
          <w:szCs w:val="28"/>
        </w:rPr>
      </w:pPr>
    </w:p>
    <w:p w:rsidR="00F06183" w:rsidRDefault="00F06183"/>
    <w:tbl>
      <w:tblPr>
        <w:tblW w:w="899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137"/>
      </w:tblGrid>
      <w:tr w:rsidR="00F06183"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06183" w:rsidRDefault="00F061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Rīgā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F06183" w:rsidRDefault="00F06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Nr.</w:t>
            </w: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</w:tcPr>
          <w:p w:rsidR="00F06183" w:rsidRDefault="00F06183" w:rsidP="00F061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2012.gada____________         </w:t>
            </w:r>
          </w:p>
        </w:tc>
      </w:tr>
    </w:tbl>
    <w:p w:rsidR="00F06183" w:rsidRDefault="00F06183">
      <w:pPr>
        <w:jc w:val="center"/>
        <w:rPr>
          <w:sz w:val="22"/>
          <w:szCs w:val="22"/>
        </w:rPr>
      </w:pPr>
    </w:p>
    <w:p w:rsidR="00F06183" w:rsidRDefault="00F061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.§</w:t>
      </w:r>
    </w:p>
    <w:p w:rsidR="00F06183" w:rsidRDefault="00F06183">
      <w:pPr>
        <w:pStyle w:val="BodyTextIndent"/>
        <w:ind w:left="720"/>
        <w:jc w:val="both"/>
        <w:rPr>
          <w:sz w:val="22"/>
          <w:szCs w:val="22"/>
          <w:lang w:val="lv-LV"/>
        </w:rPr>
      </w:pPr>
    </w:p>
    <w:p w:rsidR="00F06183" w:rsidRDefault="00F06183">
      <w:pPr>
        <w:pStyle w:val="BodyText3"/>
        <w:spacing w:after="0"/>
        <w:ind w:left="-187"/>
        <w:jc w:val="center"/>
        <w:rPr>
          <w:sz w:val="28"/>
          <w:szCs w:val="28"/>
        </w:rPr>
      </w:pPr>
      <w:r>
        <w:rPr>
          <w:sz w:val="28"/>
          <w:szCs w:val="28"/>
        </w:rPr>
        <w:t>Par Ministru kabineta noteikumu projektu “Grozījumi Ministru kabineta 2009. gada 15. decembra noteikumos Nr. 1486 “Kārtība, kādā budžeta iestādes kārto grāmatvedības uzskaiti””</w:t>
      </w:r>
    </w:p>
    <w:p w:rsidR="00F06183" w:rsidRDefault="00F06183">
      <w:pPr>
        <w:ind w:left="-187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 w:rsidR="00F06183" w:rsidRDefault="00F06183">
      <w:pPr>
        <w:ind w:left="-187"/>
        <w:jc w:val="center"/>
        <w:rPr>
          <w:sz w:val="28"/>
          <w:szCs w:val="28"/>
        </w:rPr>
      </w:pPr>
      <w:r>
        <w:rPr>
          <w:sz w:val="28"/>
          <w:szCs w:val="28"/>
        </w:rPr>
        <w:t>(...)</w:t>
      </w:r>
    </w:p>
    <w:p w:rsidR="00F06183" w:rsidRDefault="00F06183">
      <w:pPr>
        <w:pStyle w:val="BodyTextIndent"/>
        <w:ind w:left="-187"/>
        <w:jc w:val="both"/>
        <w:rPr>
          <w:sz w:val="22"/>
          <w:szCs w:val="22"/>
          <w:lang w:val="lv-LV"/>
        </w:rPr>
      </w:pPr>
    </w:p>
    <w:p w:rsidR="00F06183" w:rsidRDefault="00F06183" w:rsidP="0054681A">
      <w:pPr>
        <w:pStyle w:val="BodyTextIndent"/>
        <w:numPr>
          <w:ilvl w:val="0"/>
          <w:numId w:val="1"/>
        </w:numPr>
        <w:tabs>
          <w:tab w:val="left" w:pos="142"/>
        </w:tabs>
        <w:ind w:left="-142" w:firstLine="0"/>
        <w:jc w:val="both"/>
        <w:rPr>
          <w:lang w:val="lv-LV"/>
        </w:rPr>
      </w:pPr>
      <w:r>
        <w:rPr>
          <w:lang w:val="lv-LV"/>
        </w:rPr>
        <w:t>Pieņemt iesniegto noteikumu projektu. Valsts kancelejai sagatavot    noteikumu projektu parakstīšanai.</w:t>
      </w:r>
    </w:p>
    <w:p w:rsidR="00F06183" w:rsidRDefault="00F06183" w:rsidP="0054681A">
      <w:pPr>
        <w:pStyle w:val="BodyTextIndent"/>
        <w:ind w:left="-142"/>
        <w:jc w:val="both"/>
        <w:rPr>
          <w:sz w:val="22"/>
          <w:szCs w:val="22"/>
          <w:lang w:val="lv-LV"/>
        </w:rPr>
      </w:pPr>
    </w:p>
    <w:p w:rsidR="0054681A" w:rsidRDefault="00C14161" w:rsidP="00C14161">
      <w:pPr>
        <w:numPr>
          <w:ilvl w:val="0"/>
          <w:numId w:val="1"/>
        </w:numPr>
        <w:tabs>
          <w:tab w:val="left" w:pos="142"/>
        </w:tabs>
        <w:ind w:left="-142" w:firstLine="0"/>
        <w:jc w:val="both"/>
        <w:rPr>
          <w:sz w:val="28"/>
          <w:szCs w:val="28"/>
          <w:lang w:val="lv-LV"/>
        </w:rPr>
      </w:pPr>
      <w:r w:rsidRPr="00C14161">
        <w:rPr>
          <w:bCs/>
          <w:sz w:val="28"/>
          <w:szCs w:val="28"/>
          <w:lang w:val="lv-LV"/>
        </w:rPr>
        <w:t>Aizsardzības ministrija</w:t>
      </w:r>
      <w:r>
        <w:rPr>
          <w:bCs/>
          <w:sz w:val="28"/>
          <w:szCs w:val="28"/>
          <w:lang w:val="lv-LV"/>
        </w:rPr>
        <w:t>i,</w:t>
      </w:r>
      <w:r w:rsidRPr="00C14161">
        <w:rPr>
          <w:bCs/>
          <w:sz w:val="28"/>
          <w:szCs w:val="28"/>
          <w:lang w:val="lv-LV"/>
        </w:rPr>
        <w:t xml:space="preserve"> Ārlietu ministrija</w:t>
      </w:r>
      <w:r>
        <w:rPr>
          <w:bCs/>
          <w:sz w:val="28"/>
          <w:szCs w:val="28"/>
          <w:lang w:val="lv-LV"/>
        </w:rPr>
        <w:t>i,</w:t>
      </w:r>
      <w:r w:rsidRPr="00C14161">
        <w:rPr>
          <w:lang w:val="lv-LV"/>
        </w:rPr>
        <w:t xml:space="preserve"> </w:t>
      </w:r>
      <w:r w:rsidRPr="00C14161">
        <w:rPr>
          <w:bCs/>
          <w:sz w:val="28"/>
          <w:szCs w:val="28"/>
          <w:lang w:val="lv-LV"/>
        </w:rPr>
        <w:t>Ekonomikas ministrija</w:t>
      </w:r>
      <w:r>
        <w:rPr>
          <w:bCs/>
          <w:sz w:val="28"/>
          <w:szCs w:val="28"/>
          <w:lang w:val="lv-LV"/>
        </w:rPr>
        <w:t xml:space="preserve">i, </w:t>
      </w:r>
      <w:r w:rsidRPr="00C14161">
        <w:rPr>
          <w:bCs/>
          <w:sz w:val="28"/>
          <w:szCs w:val="28"/>
          <w:lang w:val="lv-LV"/>
        </w:rPr>
        <w:t>Finanšu ministrija</w:t>
      </w:r>
      <w:r>
        <w:rPr>
          <w:bCs/>
          <w:sz w:val="28"/>
          <w:szCs w:val="28"/>
          <w:lang w:val="lv-LV"/>
        </w:rPr>
        <w:t>,</w:t>
      </w:r>
      <w:r w:rsidRPr="00C14161">
        <w:rPr>
          <w:lang w:val="lv-LV"/>
        </w:rPr>
        <w:t xml:space="preserve"> </w:t>
      </w:r>
      <w:r w:rsidRPr="00C14161">
        <w:rPr>
          <w:bCs/>
          <w:sz w:val="28"/>
          <w:szCs w:val="28"/>
          <w:lang w:val="lv-LV"/>
        </w:rPr>
        <w:t>Iekšlietu ministrija</w:t>
      </w:r>
      <w:r>
        <w:rPr>
          <w:bCs/>
          <w:sz w:val="28"/>
          <w:szCs w:val="28"/>
          <w:lang w:val="lv-LV"/>
        </w:rPr>
        <w:t xml:space="preserve">i, </w:t>
      </w:r>
      <w:r w:rsidRPr="00C14161">
        <w:rPr>
          <w:bCs/>
          <w:sz w:val="28"/>
          <w:szCs w:val="28"/>
          <w:lang w:val="lv-LV"/>
        </w:rPr>
        <w:t>Izglītības un zinātnes ministrija</w:t>
      </w:r>
      <w:r>
        <w:rPr>
          <w:bCs/>
          <w:sz w:val="28"/>
          <w:szCs w:val="28"/>
          <w:lang w:val="lv-LV"/>
        </w:rPr>
        <w:t xml:space="preserve">i, </w:t>
      </w:r>
      <w:r w:rsidR="004B7ADF" w:rsidRPr="004B7ADF">
        <w:rPr>
          <w:b/>
          <w:bCs/>
          <w:sz w:val="28"/>
          <w:szCs w:val="28"/>
          <w:lang w:val="lv-LV"/>
        </w:rPr>
        <w:t>Kultūras ministrijai</w:t>
      </w:r>
      <w:r w:rsidR="004B7ADF">
        <w:rPr>
          <w:bCs/>
          <w:sz w:val="28"/>
          <w:szCs w:val="28"/>
          <w:lang w:val="lv-LV"/>
        </w:rPr>
        <w:t xml:space="preserve">, </w:t>
      </w:r>
      <w:r w:rsidRPr="00C14161">
        <w:rPr>
          <w:bCs/>
          <w:sz w:val="28"/>
          <w:szCs w:val="28"/>
          <w:lang w:val="lv-LV"/>
        </w:rPr>
        <w:t>Labklājības ministrija</w:t>
      </w:r>
      <w:r>
        <w:rPr>
          <w:bCs/>
          <w:sz w:val="28"/>
          <w:szCs w:val="28"/>
          <w:lang w:val="lv-LV"/>
        </w:rPr>
        <w:t>i,</w:t>
      </w:r>
      <w:r w:rsidRPr="00C14161">
        <w:rPr>
          <w:bCs/>
          <w:sz w:val="28"/>
          <w:szCs w:val="28"/>
          <w:lang w:val="lv-LV"/>
        </w:rPr>
        <w:t xml:space="preserve"> Satiksmes ministrija</w:t>
      </w:r>
      <w:r>
        <w:rPr>
          <w:bCs/>
          <w:sz w:val="28"/>
          <w:szCs w:val="28"/>
          <w:lang w:val="lv-LV"/>
        </w:rPr>
        <w:t>i,</w:t>
      </w:r>
      <w:r w:rsidRPr="00C14161">
        <w:rPr>
          <w:bCs/>
          <w:sz w:val="28"/>
          <w:szCs w:val="28"/>
          <w:lang w:val="lv-LV"/>
        </w:rPr>
        <w:t xml:space="preserve"> Veselības ministrija</w:t>
      </w:r>
      <w:r>
        <w:rPr>
          <w:bCs/>
          <w:sz w:val="28"/>
          <w:szCs w:val="28"/>
          <w:lang w:val="lv-LV"/>
        </w:rPr>
        <w:t xml:space="preserve">i, </w:t>
      </w:r>
      <w:r w:rsidRPr="00C14161">
        <w:rPr>
          <w:bCs/>
          <w:sz w:val="28"/>
          <w:szCs w:val="28"/>
          <w:lang w:val="lv-LV"/>
        </w:rPr>
        <w:t>Vides aizsardzības un reģionālās attīstības  ministrija</w:t>
      </w:r>
      <w:r>
        <w:rPr>
          <w:bCs/>
          <w:sz w:val="28"/>
          <w:szCs w:val="28"/>
          <w:lang w:val="lv-LV"/>
        </w:rPr>
        <w:t>i,</w:t>
      </w:r>
      <w:r w:rsidRPr="00C14161">
        <w:rPr>
          <w:bCs/>
          <w:sz w:val="28"/>
          <w:szCs w:val="28"/>
          <w:lang w:val="lv-LV"/>
        </w:rPr>
        <w:t xml:space="preserve"> Zemkopības ministrija</w:t>
      </w:r>
      <w:r>
        <w:rPr>
          <w:bCs/>
          <w:sz w:val="28"/>
          <w:szCs w:val="28"/>
          <w:lang w:val="lv-LV"/>
        </w:rPr>
        <w:t>i</w:t>
      </w:r>
      <w:r w:rsidR="0054681A">
        <w:rPr>
          <w:sz w:val="28"/>
          <w:szCs w:val="28"/>
          <w:lang w:val="lv-LV"/>
        </w:rPr>
        <w:t xml:space="preserve"> </w:t>
      </w:r>
      <w:r w:rsidR="0054681A" w:rsidRPr="0054681A">
        <w:rPr>
          <w:sz w:val="28"/>
          <w:szCs w:val="28"/>
          <w:lang w:val="lv-LV"/>
        </w:rPr>
        <w:t xml:space="preserve">noteikumu projekta </w:t>
      </w:r>
      <w:r w:rsidR="0054681A" w:rsidRPr="0054681A">
        <w:rPr>
          <w:bCs/>
          <w:sz w:val="28"/>
          <w:szCs w:val="28"/>
          <w:lang w:val="lv-LV"/>
        </w:rPr>
        <w:t>179.</w:t>
      </w:r>
      <w:r w:rsidR="0054681A" w:rsidRPr="0054681A">
        <w:rPr>
          <w:bCs/>
          <w:sz w:val="28"/>
          <w:szCs w:val="28"/>
          <w:vertAlign w:val="superscript"/>
          <w:lang w:val="lv-LV"/>
        </w:rPr>
        <w:t>2</w:t>
      </w:r>
      <w:r w:rsidR="0054681A" w:rsidRPr="0054681A">
        <w:rPr>
          <w:bCs/>
          <w:sz w:val="28"/>
          <w:szCs w:val="28"/>
          <w:lang w:val="lv-LV"/>
        </w:rPr>
        <w:t>, 179.</w:t>
      </w:r>
      <w:r w:rsidR="0054681A" w:rsidRPr="0054681A">
        <w:rPr>
          <w:bCs/>
          <w:sz w:val="28"/>
          <w:szCs w:val="28"/>
          <w:vertAlign w:val="superscript"/>
          <w:lang w:val="lv-LV"/>
        </w:rPr>
        <w:t>3</w:t>
      </w:r>
      <w:r w:rsidR="0054681A" w:rsidRPr="0054681A">
        <w:rPr>
          <w:bCs/>
          <w:sz w:val="28"/>
          <w:szCs w:val="28"/>
          <w:lang w:val="lv-LV"/>
        </w:rPr>
        <w:t>, 179.</w:t>
      </w:r>
      <w:r w:rsidR="0054681A" w:rsidRPr="0054681A">
        <w:rPr>
          <w:bCs/>
          <w:sz w:val="28"/>
          <w:szCs w:val="28"/>
          <w:vertAlign w:val="superscript"/>
          <w:lang w:val="lv-LV"/>
        </w:rPr>
        <w:t>4</w:t>
      </w:r>
      <w:r w:rsidR="0054681A" w:rsidRPr="0054681A">
        <w:rPr>
          <w:bCs/>
          <w:sz w:val="28"/>
          <w:szCs w:val="28"/>
          <w:lang w:val="lv-LV"/>
        </w:rPr>
        <w:t>, 179.</w:t>
      </w:r>
      <w:r w:rsidR="0054681A" w:rsidRPr="0054681A">
        <w:rPr>
          <w:bCs/>
          <w:sz w:val="28"/>
          <w:szCs w:val="28"/>
          <w:vertAlign w:val="superscript"/>
          <w:lang w:val="lv-LV"/>
        </w:rPr>
        <w:t>5</w:t>
      </w:r>
      <w:r w:rsidR="0054681A" w:rsidRPr="0054681A">
        <w:rPr>
          <w:bCs/>
          <w:sz w:val="28"/>
          <w:szCs w:val="28"/>
          <w:lang w:val="lv-LV"/>
        </w:rPr>
        <w:t xml:space="preserve"> un 179.</w:t>
      </w:r>
      <w:r w:rsidR="0054681A" w:rsidRPr="0054681A">
        <w:rPr>
          <w:bCs/>
          <w:sz w:val="28"/>
          <w:szCs w:val="28"/>
          <w:vertAlign w:val="superscript"/>
          <w:lang w:val="lv-LV"/>
        </w:rPr>
        <w:t>6</w:t>
      </w:r>
      <w:r w:rsidR="0054681A" w:rsidRPr="0054681A">
        <w:rPr>
          <w:bCs/>
          <w:sz w:val="28"/>
          <w:szCs w:val="28"/>
          <w:lang w:val="lv-LV"/>
        </w:rPr>
        <w:t xml:space="preserve"> punkta prasību ieviešanas nodrošināšanai</w:t>
      </w:r>
      <w:r w:rsidR="0054681A">
        <w:rPr>
          <w:bCs/>
          <w:sz w:val="28"/>
          <w:szCs w:val="28"/>
          <w:lang w:val="lv-LV"/>
        </w:rPr>
        <w:t>:</w:t>
      </w:r>
    </w:p>
    <w:p w:rsidR="0054681A" w:rsidRDefault="0054681A" w:rsidP="00C14161">
      <w:pPr>
        <w:numPr>
          <w:ilvl w:val="1"/>
          <w:numId w:val="1"/>
        </w:numPr>
        <w:tabs>
          <w:tab w:val="left" w:pos="284"/>
        </w:tabs>
        <w:ind w:left="-142" w:firstLine="0"/>
        <w:jc w:val="both"/>
        <w:rPr>
          <w:sz w:val="28"/>
          <w:szCs w:val="28"/>
          <w:lang w:val="lv-LV"/>
        </w:rPr>
      </w:pPr>
      <w:r w:rsidRPr="0054681A">
        <w:rPr>
          <w:sz w:val="28"/>
          <w:szCs w:val="28"/>
          <w:lang w:val="lv-LV"/>
        </w:rPr>
        <w:t>izvērtēt normatīvos aktus un noslēgtos līgumus, kas paredz transfertu piešķiršanu budžeta iestādēm, no valsts budžeta daļēji finansētām atvasinātām publiskām personām un budžeta nefinansētām iestādēm</w:t>
      </w:r>
      <w:r>
        <w:rPr>
          <w:bCs/>
          <w:sz w:val="28"/>
          <w:szCs w:val="28"/>
          <w:lang w:val="lv-LV"/>
        </w:rPr>
        <w:t>;</w:t>
      </w:r>
    </w:p>
    <w:p w:rsidR="00F06183" w:rsidRPr="0054681A" w:rsidRDefault="00E34CF1" w:rsidP="00C14161">
      <w:pPr>
        <w:numPr>
          <w:ilvl w:val="1"/>
          <w:numId w:val="1"/>
        </w:numPr>
        <w:tabs>
          <w:tab w:val="left" w:pos="284"/>
        </w:tabs>
        <w:ind w:left="-142" w:firstLine="0"/>
        <w:jc w:val="both"/>
        <w:rPr>
          <w:sz w:val="28"/>
          <w:szCs w:val="28"/>
          <w:lang w:val="lv-LV"/>
        </w:rPr>
      </w:pPr>
      <w:r w:rsidRPr="0054681A">
        <w:rPr>
          <w:sz w:val="28"/>
          <w:szCs w:val="28"/>
          <w:lang w:val="lv-LV"/>
        </w:rPr>
        <w:t>līdz 2014.gada 31.decembrim veikt</w:t>
      </w:r>
      <w:r w:rsidR="006E1B26" w:rsidRPr="0054681A">
        <w:rPr>
          <w:sz w:val="28"/>
          <w:szCs w:val="28"/>
          <w:lang w:val="lv-LV"/>
        </w:rPr>
        <w:t xml:space="preserve"> grozījumus</w:t>
      </w:r>
      <w:r w:rsidR="0054681A">
        <w:rPr>
          <w:sz w:val="28"/>
          <w:szCs w:val="28"/>
          <w:lang w:val="lv-LV"/>
        </w:rPr>
        <w:t xml:space="preserve"> 2.1.apakšpunktā identificētajos normatīvajos aktos un līgumos, lai</w:t>
      </w:r>
      <w:r w:rsidR="0064293D" w:rsidRPr="0054681A">
        <w:rPr>
          <w:sz w:val="28"/>
          <w:szCs w:val="28"/>
          <w:lang w:val="lv-LV"/>
        </w:rPr>
        <w:t xml:space="preserve"> informācijas apmaiņa par </w:t>
      </w:r>
      <w:r w:rsidR="0054681A" w:rsidRPr="0054681A">
        <w:rPr>
          <w:sz w:val="28"/>
          <w:szCs w:val="28"/>
          <w:lang w:val="lv-LV"/>
        </w:rPr>
        <w:t>transfertu</w:t>
      </w:r>
      <w:r w:rsidR="0064293D" w:rsidRPr="0054681A">
        <w:rPr>
          <w:sz w:val="28"/>
          <w:szCs w:val="28"/>
          <w:lang w:val="lv-LV"/>
        </w:rPr>
        <w:t xml:space="preserve"> piešķiršanu un to izlietojuma apstiprināšanu atbilst</w:t>
      </w:r>
      <w:r w:rsidR="0054681A">
        <w:rPr>
          <w:sz w:val="28"/>
          <w:szCs w:val="28"/>
          <w:lang w:val="lv-LV"/>
        </w:rPr>
        <w:t>u</w:t>
      </w:r>
      <w:r w:rsidR="0064293D" w:rsidRPr="0054681A">
        <w:rPr>
          <w:sz w:val="28"/>
          <w:szCs w:val="28"/>
          <w:lang w:val="lv-LV"/>
        </w:rPr>
        <w:t xml:space="preserve"> normatīvajos aktos grāmatvedības uzskaites jomā noteiktajām attaisnojuma dokumenta prasībām.</w:t>
      </w:r>
    </w:p>
    <w:p w:rsidR="00F06183" w:rsidRDefault="00F06183">
      <w:pPr>
        <w:ind w:left="-187"/>
        <w:jc w:val="both"/>
        <w:rPr>
          <w:sz w:val="28"/>
          <w:szCs w:val="28"/>
          <w:lang w:val="lv-LV"/>
        </w:rPr>
      </w:pPr>
    </w:p>
    <w:p w:rsidR="00F06183" w:rsidRPr="003E2511" w:rsidRDefault="00F06183">
      <w:pPr>
        <w:ind w:left="-187"/>
        <w:rPr>
          <w:sz w:val="28"/>
          <w:szCs w:val="28"/>
          <w:lang w:val="lv-LV"/>
        </w:rPr>
      </w:pPr>
    </w:p>
    <w:p w:rsidR="00F06183" w:rsidRDefault="00F06183">
      <w:pPr>
        <w:pStyle w:val="BodyText"/>
        <w:ind w:left="-187"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Ministru prezidents</w:t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proofErr w:type="spellStart"/>
      <w:r>
        <w:rPr>
          <w:b w:val="0"/>
          <w:bCs w:val="0"/>
          <w:sz w:val="28"/>
          <w:szCs w:val="28"/>
        </w:rPr>
        <w:t>V.Dombrovskis</w:t>
      </w:r>
      <w:proofErr w:type="spellEnd"/>
    </w:p>
    <w:p w:rsidR="00F06183" w:rsidRDefault="00F06183">
      <w:pPr>
        <w:pStyle w:val="Header"/>
        <w:ind w:left="-187"/>
        <w:rPr>
          <w:sz w:val="28"/>
          <w:szCs w:val="28"/>
        </w:rPr>
      </w:pPr>
    </w:p>
    <w:p w:rsidR="00F06183" w:rsidRDefault="00F06183">
      <w:pPr>
        <w:pStyle w:val="Heading1"/>
        <w:ind w:left="-187"/>
      </w:pPr>
      <w:r>
        <w:t>Valsts kancelejas direktore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3E2511">
        <w:t>E.Dreimane</w:t>
      </w:r>
      <w:proofErr w:type="spellEnd"/>
    </w:p>
    <w:p w:rsidR="00F06183" w:rsidRPr="0064293D" w:rsidRDefault="00F06183">
      <w:pPr>
        <w:ind w:left="-187"/>
        <w:rPr>
          <w:sz w:val="28"/>
          <w:szCs w:val="28"/>
          <w:lang w:val="lv-LV"/>
        </w:rPr>
      </w:pPr>
    </w:p>
    <w:p w:rsidR="00F06183" w:rsidRPr="0064293D" w:rsidRDefault="006E1B26">
      <w:pPr>
        <w:pStyle w:val="Heading3"/>
        <w:ind w:left="533" w:firstLine="0"/>
        <w:rPr>
          <w:lang w:val="lv-LV"/>
        </w:rPr>
      </w:pPr>
      <w:r w:rsidRPr="0064293D">
        <w:rPr>
          <w:szCs w:val="16"/>
          <w:lang w:val="lv-LV"/>
        </w:rPr>
        <w:t>Finanšu ministrs</w:t>
      </w:r>
      <w:r w:rsidR="00F06183" w:rsidRPr="0064293D">
        <w:rPr>
          <w:szCs w:val="16"/>
          <w:lang w:val="lv-LV"/>
        </w:rPr>
        <w:tab/>
      </w:r>
      <w:r w:rsidR="00F06183" w:rsidRPr="0064293D">
        <w:rPr>
          <w:szCs w:val="16"/>
          <w:lang w:val="lv-LV"/>
        </w:rPr>
        <w:tab/>
      </w:r>
      <w:r w:rsidR="00F06183" w:rsidRPr="0064293D">
        <w:rPr>
          <w:szCs w:val="16"/>
          <w:lang w:val="lv-LV"/>
        </w:rPr>
        <w:tab/>
      </w:r>
      <w:r w:rsidR="00F06183" w:rsidRPr="0064293D">
        <w:rPr>
          <w:szCs w:val="16"/>
          <w:lang w:val="lv-LV"/>
        </w:rPr>
        <w:tab/>
      </w:r>
      <w:r w:rsidR="00F06183" w:rsidRPr="0064293D">
        <w:rPr>
          <w:szCs w:val="16"/>
          <w:lang w:val="lv-LV"/>
        </w:rPr>
        <w:tab/>
      </w:r>
      <w:r w:rsidRPr="0064293D">
        <w:rPr>
          <w:szCs w:val="16"/>
          <w:lang w:val="lv-LV"/>
        </w:rPr>
        <w:tab/>
        <w:t>A.Vilks</w:t>
      </w:r>
    </w:p>
    <w:p w:rsidR="00F06183" w:rsidRPr="0064293D" w:rsidRDefault="00F06183">
      <w:pPr>
        <w:rPr>
          <w:sz w:val="20"/>
          <w:lang w:val="lv-LV"/>
        </w:rPr>
      </w:pPr>
    </w:p>
    <w:p w:rsidR="006E1B26" w:rsidRPr="0064293D" w:rsidRDefault="006E1B26">
      <w:pPr>
        <w:rPr>
          <w:sz w:val="22"/>
          <w:lang w:val="lv-LV"/>
        </w:rPr>
      </w:pPr>
    </w:p>
    <w:p w:rsidR="006E1B26" w:rsidRPr="0064293D" w:rsidRDefault="006E1B26">
      <w:pPr>
        <w:rPr>
          <w:sz w:val="22"/>
          <w:lang w:val="lv-LV"/>
        </w:rPr>
      </w:pPr>
    </w:p>
    <w:p w:rsidR="00F06183" w:rsidRPr="0064293D" w:rsidRDefault="0008162F">
      <w:pPr>
        <w:rPr>
          <w:sz w:val="22"/>
          <w:szCs w:val="20"/>
          <w:lang w:val="fr-FR"/>
        </w:rPr>
      </w:pPr>
      <w:r>
        <w:rPr>
          <w:sz w:val="22"/>
          <w:lang w:val="fr-FR"/>
        </w:rPr>
        <w:t>22</w:t>
      </w:r>
      <w:r w:rsidR="0054681A">
        <w:rPr>
          <w:sz w:val="22"/>
          <w:lang w:val="fr-FR"/>
        </w:rPr>
        <w:t>.08</w:t>
      </w:r>
      <w:r w:rsidR="006E1B26" w:rsidRPr="0064293D">
        <w:rPr>
          <w:sz w:val="22"/>
          <w:lang w:val="fr-FR"/>
        </w:rPr>
        <w:t>.2012</w:t>
      </w:r>
      <w:r w:rsidR="00F06183" w:rsidRPr="0064293D">
        <w:rPr>
          <w:sz w:val="22"/>
          <w:lang w:val="fr-FR"/>
        </w:rPr>
        <w:t xml:space="preserve">. </w:t>
      </w:r>
      <w:r w:rsidR="009623A9">
        <w:rPr>
          <w:sz w:val="22"/>
          <w:lang w:val="fr-FR"/>
        </w:rPr>
        <w:t>1</w:t>
      </w:r>
      <w:r w:rsidR="008D5EE0">
        <w:rPr>
          <w:sz w:val="22"/>
          <w:lang w:val="fr-FR"/>
        </w:rPr>
        <w:t>3</w:t>
      </w:r>
      <w:r w:rsidR="00F06183" w:rsidRPr="0064293D">
        <w:rPr>
          <w:sz w:val="22"/>
          <w:lang w:val="fr-FR"/>
        </w:rPr>
        <w:t>:</w:t>
      </w:r>
      <w:r w:rsidR="008D5EE0">
        <w:rPr>
          <w:sz w:val="22"/>
          <w:lang w:val="fr-FR"/>
        </w:rPr>
        <w:t>28</w:t>
      </w:r>
    </w:p>
    <w:p w:rsidR="00F06183" w:rsidRPr="000E7533" w:rsidRDefault="00F06183">
      <w:pPr>
        <w:rPr>
          <w:sz w:val="22"/>
          <w:szCs w:val="20"/>
          <w:lang w:val="fr-FR"/>
        </w:rPr>
      </w:pPr>
      <w:r>
        <w:rPr>
          <w:sz w:val="22"/>
        </w:rPr>
        <w:fldChar w:fldCharType="begin"/>
      </w:r>
      <w:r w:rsidRPr="000E7533">
        <w:rPr>
          <w:sz w:val="22"/>
          <w:lang w:val="fr-FR"/>
        </w:rPr>
        <w:instrText xml:space="preserve"> NUMWORDS  \* MERGEFORMAT </w:instrText>
      </w:r>
      <w:r>
        <w:rPr>
          <w:sz w:val="22"/>
        </w:rPr>
        <w:fldChar w:fldCharType="separate"/>
      </w:r>
      <w:r w:rsidR="004B7ADF" w:rsidRPr="004B7ADF">
        <w:rPr>
          <w:noProof/>
          <w:sz w:val="22"/>
          <w:szCs w:val="20"/>
          <w:lang w:val="fr-FR"/>
        </w:rPr>
        <w:t>162</w:t>
      </w:r>
      <w:r>
        <w:rPr>
          <w:sz w:val="22"/>
        </w:rPr>
        <w:fldChar w:fldCharType="end"/>
      </w:r>
    </w:p>
    <w:p w:rsidR="00F06183" w:rsidRPr="000E7533" w:rsidRDefault="00F06183">
      <w:pPr>
        <w:tabs>
          <w:tab w:val="left" w:pos="180"/>
        </w:tabs>
        <w:rPr>
          <w:sz w:val="22"/>
          <w:szCs w:val="20"/>
          <w:lang w:val="fr-FR"/>
        </w:rPr>
      </w:pPr>
      <w:proofErr w:type="spellStart"/>
      <w:r w:rsidRPr="000E7533">
        <w:rPr>
          <w:sz w:val="22"/>
          <w:szCs w:val="20"/>
          <w:lang w:val="fr-FR"/>
        </w:rPr>
        <w:t>I.Sirbu</w:t>
      </w:r>
      <w:proofErr w:type="spellEnd"/>
    </w:p>
    <w:p w:rsidR="00F06183" w:rsidRPr="000E7533" w:rsidRDefault="00F06183">
      <w:pPr>
        <w:tabs>
          <w:tab w:val="left" w:pos="180"/>
        </w:tabs>
        <w:rPr>
          <w:sz w:val="22"/>
          <w:lang w:val="fr-FR"/>
        </w:rPr>
      </w:pPr>
      <w:r w:rsidRPr="000E7533">
        <w:rPr>
          <w:sz w:val="22"/>
          <w:szCs w:val="20"/>
          <w:lang w:val="fr-FR"/>
        </w:rPr>
        <w:t>67094257; inese.sirbu@kase.gov.lv</w:t>
      </w:r>
    </w:p>
    <w:sectPr w:rsidR="00F06183" w:rsidRPr="000E7533">
      <w:footerReference w:type="default" r:id="rId8"/>
      <w:pgSz w:w="11906" w:h="16838"/>
      <w:pgMar w:top="1440" w:right="92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995" w:rsidRDefault="00767995">
      <w:r>
        <w:separator/>
      </w:r>
    </w:p>
  </w:endnote>
  <w:endnote w:type="continuationSeparator" w:id="0">
    <w:p w:rsidR="00767995" w:rsidRDefault="00767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81A" w:rsidRDefault="00767995">
    <w:pPr>
      <w:pStyle w:val="Footer"/>
      <w:jc w:val="both"/>
    </w:pPr>
    <w:r>
      <w:fldChar w:fldCharType="begin"/>
    </w:r>
    <w:r>
      <w:instrText xml:space="preserve"> FILENAME </w:instrText>
    </w:r>
    <w:r>
      <w:fldChar w:fldCharType="separate"/>
    </w:r>
    <w:r w:rsidR="008D5EE0">
      <w:rPr>
        <w:noProof/>
      </w:rPr>
      <w:t>FMProt_220812_uzskaite.docx</w:t>
    </w:r>
    <w:r>
      <w:rPr>
        <w:noProof/>
      </w:rPr>
      <w:fldChar w:fldCharType="end"/>
    </w:r>
    <w:r w:rsidR="0054681A">
      <w:t xml:space="preserve">; Ministru kabineta sēdes </w:t>
    </w:r>
    <w:proofErr w:type="spellStart"/>
    <w:r w:rsidR="0054681A">
      <w:t>protokollēmuma</w:t>
    </w:r>
    <w:proofErr w:type="spellEnd"/>
    <w:r w:rsidR="0054681A">
      <w:t xml:space="preserve"> projekts “Par Ministru kabineta noteikumu projektu “Grozījumi Ministru kabineta 2009. gada 15. decembra noteikumos Nr. 1486 “Kārtība, kādā budžeta iestādes kārto grāmatvedības uzskaiti””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995" w:rsidRDefault="00767995">
      <w:r>
        <w:separator/>
      </w:r>
    </w:p>
  </w:footnote>
  <w:footnote w:type="continuationSeparator" w:id="0">
    <w:p w:rsidR="00767995" w:rsidRDefault="00767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7283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7533"/>
    <w:rsid w:val="0008162F"/>
    <w:rsid w:val="000E7533"/>
    <w:rsid w:val="001C16C2"/>
    <w:rsid w:val="003E2511"/>
    <w:rsid w:val="004B7ADF"/>
    <w:rsid w:val="0054681A"/>
    <w:rsid w:val="0064293D"/>
    <w:rsid w:val="006E1B26"/>
    <w:rsid w:val="00767995"/>
    <w:rsid w:val="008D5EE0"/>
    <w:rsid w:val="009623A9"/>
    <w:rsid w:val="00A35490"/>
    <w:rsid w:val="00AA2383"/>
    <w:rsid w:val="00C14161"/>
    <w:rsid w:val="00C63D25"/>
    <w:rsid w:val="00E34CF1"/>
    <w:rsid w:val="00F0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sz w:val="28"/>
      <w:szCs w:val="28"/>
      <w:lang w:val="lv-LV" w:eastAsia="lv-LV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i/>
      <w:iCs/>
      <w:sz w:val="28"/>
      <w:szCs w:val="28"/>
      <w:lang w:val="lv-LV" w:eastAsia="lv-LV"/>
    </w:rPr>
  </w:style>
  <w:style w:type="paragraph" w:styleId="Heading3">
    <w:name w:val="heading 3"/>
    <w:basedOn w:val="Normal"/>
    <w:next w:val="Normal"/>
    <w:qFormat/>
    <w:pPr>
      <w:keepNext/>
      <w:ind w:left="-187" w:firstLine="720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Pr>
      <w:sz w:val="28"/>
      <w:szCs w:val="28"/>
      <w:lang w:val="en-US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  <w:lang w:val="lv-LV" w:eastAsia="lv-LV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lang w:val="lv-LV" w:eastAsia="lv-LV"/>
    </w:rPr>
  </w:style>
  <w:style w:type="paragraph" w:styleId="BodyText">
    <w:name w:val="Body Text"/>
    <w:basedOn w:val="Normal"/>
    <w:semiHidden/>
    <w:pPr>
      <w:widowControl w:val="0"/>
      <w:jc w:val="center"/>
    </w:pPr>
    <w:rPr>
      <w:b/>
      <w:bCs/>
      <w:lang w:val="lv-LV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C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4CF1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54681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1010</Words>
  <Characters>577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sēdes protokollēmuma projekts “Par Ministru kabineta noteikumu projektu “Grozījumi Ministru kabineta 2009. gada 15. decembra noteikumos Nr. 1486 “Kārtība, kādā budžeta iestādes kārto grāmatvedības uzskaiti””</vt:lpstr>
    </vt:vector>
  </TitlesOfParts>
  <Manager>Valsts kases Pārskatu departamenta direktore Ligita Agleniece</Manager>
  <Company>Valsts kase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 “Par Ministru kabineta noteikumu projektu “Grozījumi Ministru kabineta 2009. gada 15. decembra noteikumos Nr. 1486 “Kārtība, kādā budžeta iestādes kārto grāmatvedības uzskaiti””</dc:title>
  <dc:subject>Protokollēmums</dc:subject>
  <dc:creator>Valsts kases Pārskatu departamenta vecākā eksperte Inese Sirbu</dc:creator>
  <cp:keywords/>
  <dc:description>.67094257
inese.sirbu@kase.gov.lv</dc:description>
  <cp:lastModifiedBy>Windows User</cp:lastModifiedBy>
  <cp:revision>7</cp:revision>
  <cp:lastPrinted>2012-08-06T11:00:00Z</cp:lastPrinted>
  <dcterms:created xsi:type="dcterms:W3CDTF">2012-08-14T07:58:00Z</dcterms:created>
  <dcterms:modified xsi:type="dcterms:W3CDTF">2012-08-31T12:04:00Z</dcterms:modified>
</cp:coreProperties>
</file>