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32" w:rsidRPr="00764D91" w:rsidRDefault="00F13332" w:rsidP="00F13332">
      <w:pPr>
        <w:pStyle w:val="Heading1"/>
        <w:pBdr>
          <w:bottom w:val="single" w:sz="12" w:space="1" w:color="auto"/>
        </w:pBdr>
        <w:rPr>
          <w:sz w:val="12"/>
          <w:szCs w:val="28"/>
        </w:rPr>
      </w:pPr>
    </w:p>
    <w:p w:rsidR="00F13332" w:rsidRPr="006418D3" w:rsidRDefault="00F13332" w:rsidP="00F13332">
      <w:pPr>
        <w:jc w:val="right"/>
        <w:rPr>
          <w:rFonts w:ascii="Times New Roman" w:hAnsi="Times New Roman" w:cs="Times New Roman"/>
          <w:sz w:val="28"/>
          <w:szCs w:val="28"/>
        </w:rPr>
      </w:pPr>
      <w:r w:rsidRPr="006418D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13332" w:rsidRPr="006418D3" w:rsidRDefault="00F13332" w:rsidP="00F13332">
      <w:pPr>
        <w:pStyle w:val="naislab"/>
        <w:tabs>
          <w:tab w:val="left" w:pos="6480"/>
        </w:tabs>
        <w:spacing w:before="0" w:after="0"/>
        <w:jc w:val="center"/>
        <w:rPr>
          <w:sz w:val="28"/>
          <w:szCs w:val="28"/>
        </w:rPr>
      </w:pPr>
      <w:r w:rsidRPr="006418D3">
        <w:rPr>
          <w:sz w:val="28"/>
          <w:szCs w:val="28"/>
        </w:rPr>
        <w:t>LATVIJAS REPUBLIKAS MINISTRU KABINETS</w:t>
      </w:r>
    </w:p>
    <w:p w:rsidR="00F13332" w:rsidRPr="006418D3" w:rsidRDefault="00F13332" w:rsidP="00F13332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:rsidR="00F13332" w:rsidRPr="006418D3" w:rsidRDefault="00F13332" w:rsidP="005C0BDE">
      <w:pPr>
        <w:pStyle w:val="naislab"/>
        <w:tabs>
          <w:tab w:val="left" w:pos="5954"/>
        </w:tabs>
        <w:spacing w:before="0" w:after="0"/>
        <w:jc w:val="left"/>
        <w:rPr>
          <w:sz w:val="28"/>
          <w:szCs w:val="28"/>
        </w:rPr>
      </w:pPr>
      <w:r w:rsidRPr="006418D3">
        <w:rPr>
          <w:sz w:val="28"/>
          <w:szCs w:val="28"/>
        </w:rPr>
        <w:t>2012.gada _________</w:t>
      </w:r>
      <w:r w:rsidRPr="006418D3">
        <w:rPr>
          <w:sz w:val="28"/>
          <w:szCs w:val="28"/>
        </w:rPr>
        <w:tab/>
      </w:r>
      <w:r w:rsidR="00F03553" w:rsidRPr="006418D3">
        <w:rPr>
          <w:sz w:val="28"/>
          <w:szCs w:val="28"/>
        </w:rPr>
        <w:t>Rīkojums</w:t>
      </w:r>
      <w:r w:rsidRPr="006418D3">
        <w:rPr>
          <w:sz w:val="28"/>
          <w:szCs w:val="28"/>
        </w:rPr>
        <w:t xml:space="preserve"> Nr.___</w:t>
      </w:r>
    </w:p>
    <w:p w:rsidR="00F13332" w:rsidRPr="006418D3" w:rsidRDefault="00F13332" w:rsidP="005C0BDE">
      <w:pPr>
        <w:pStyle w:val="naislab"/>
        <w:tabs>
          <w:tab w:val="left" w:pos="5954"/>
        </w:tabs>
        <w:spacing w:before="0" w:after="0"/>
        <w:jc w:val="left"/>
        <w:rPr>
          <w:sz w:val="28"/>
          <w:szCs w:val="28"/>
        </w:rPr>
      </w:pPr>
      <w:r w:rsidRPr="006418D3">
        <w:rPr>
          <w:sz w:val="28"/>
          <w:szCs w:val="28"/>
        </w:rPr>
        <w:t xml:space="preserve">Rīgā </w:t>
      </w:r>
      <w:r w:rsidRPr="006418D3">
        <w:rPr>
          <w:sz w:val="28"/>
          <w:szCs w:val="28"/>
        </w:rPr>
        <w:tab/>
        <w:t>(prot. Nr.__ _.§)</w:t>
      </w:r>
    </w:p>
    <w:p w:rsidR="00F13332" w:rsidRPr="00764D91" w:rsidRDefault="00F13332" w:rsidP="00501D9C">
      <w:pPr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28"/>
          <w:lang w:eastAsia="lv-LV"/>
        </w:rPr>
      </w:pPr>
    </w:p>
    <w:p w:rsidR="00501D9C" w:rsidRPr="006418D3" w:rsidRDefault="00F03553" w:rsidP="005C0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418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g</w:t>
      </w:r>
      <w:r w:rsidR="00822275" w:rsidRPr="006418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ada </w:t>
      </w:r>
      <w:r w:rsidR="00A313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kopsavilkuma</w:t>
      </w:r>
      <w:r w:rsidR="00822275" w:rsidRPr="006418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pieejamām revīzijām un deklarācijām </w:t>
      </w:r>
      <w:r w:rsidR="00833F38" w:rsidRPr="006418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sagatavošan</w:t>
      </w:r>
      <w:r w:rsidRPr="006418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6D78BB" w:rsidRPr="00764D91" w:rsidRDefault="00501D9C" w:rsidP="00EA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End w:id="0"/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6D78BB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struktūrfondu un Kohēzijas fonda revīzijas iestādei (turpmāk – revīzijas iestāde) </w:t>
      </w:r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sagatavot </w:t>
      </w:r>
      <w:r w:rsidR="006D78BB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par katru gadu un līdz nākamā gada 15.februārim iesniegt Eiropas Komisijā revīzijas iestādes vadītāja apstiprinātu gada kopsavilkumu par pieejamām revīzijām un deklarācijām</w:t>
      </w:r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saskaņā ar Padomes 2006.gada 13.decembra Regulas (EK, </w:t>
      </w:r>
      <w:r w:rsidR="00ED2CFE" w:rsidRPr="00764D9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Euratom</w:t>
      </w:r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) Nr.</w:t>
      </w:r>
      <w:hyperlink r:id="rId8" w:tgtFrame="_blank" w:tooltip="Atvērt regulas konsolidēto versiju" w:history="1">
        <w:r w:rsidR="00ED2CFE" w:rsidRPr="00764D9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1995/2006</w:t>
        </w:r>
      </w:hyperlink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ar kuru groza Regulu (EK, </w:t>
      </w:r>
      <w:r w:rsidR="00ED2CFE" w:rsidRPr="00764D9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Euratom</w:t>
      </w:r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) Nr.</w:t>
      </w:r>
      <w:hyperlink r:id="rId9" w:tgtFrame="_blank" w:tooltip="Atvērt regulu latviešu valodā" w:history="1">
        <w:r w:rsidR="00ED2CFE" w:rsidRPr="00764D9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1605/2002</w:t>
        </w:r>
      </w:hyperlink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Finanšu regulu, ko piemēro Eiropas Kopienu vispārējam budžetam 53.b</w:t>
      </w:r>
      <w:r w:rsidR="00EE3A9B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2CF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3.punktu</w:t>
      </w:r>
      <w:r w:rsidR="006D78BB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D78BB" w:rsidRPr="00764D91" w:rsidRDefault="006D78BB" w:rsidP="00EA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7140" w:rsidRPr="00764D91" w:rsidRDefault="006D78BB" w:rsidP="00EA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"/>
      <w:bookmarkStart w:id="2" w:name="p3"/>
      <w:bookmarkEnd w:id="1"/>
      <w:bookmarkEnd w:id="2"/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01D9C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67ED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Revīzijas iestādei apkopot g</w:t>
      </w:r>
      <w:r w:rsidR="00E02DA7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kopsavilkumā </w:t>
      </w:r>
      <w:r w:rsidR="00962F9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pieejamo </w:t>
      </w:r>
      <w:r w:rsidR="00962F98" w:rsidRPr="00764D91">
        <w:rPr>
          <w:rFonts w:ascii="Times New Roman" w:hAnsi="Times New Roman" w:cs="Times New Roman"/>
          <w:sz w:val="28"/>
          <w:szCs w:val="28"/>
        </w:rPr>
        <w:t>(oficiāli saņemto)</w:t>
      </w:r>
      <w:r w:rsidR="00962F9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5D93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</w:t>
      </w:r>
      <w:r w:rsidR="007C7140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545D93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2007</w:t>
      </w:r>
      <w:r w:rsidR="00282A4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- </w:t>
      </w:r>
      <w:r w:rsidR="00545D93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2013.gada plānošanas period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740949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deklarācijām</w:t>
      </w:r>
      <w:r w:rsidR="00825B6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revīzijām </w:t>
      </w:r>
      <w:r w:rsidR="007C7140" w:rsidRPr="00764D91">
        <w:rPr>
          <w:rFonts w:ascii="Times New Roman" w:hAnsi="Times New Roman" w:cs="Times New Roman"/>
          <w:sz w:val="28"/>
          <w:szCs w:val="28"/>
        </w:rPr>
        <w:t xml:space="preserve">Eiropas Reģionālās attīstības </w:t>
      </w:r>
      <w:r w:rsidR="00CB30A4" w:rsidRPr="00764D91">
        <w:rPr>
          <w:rFonts w:ascii="Times New Roman" w:hAnsi="Times New Roman" w:cs="Times New Roman"/>
          <w:sz w:val="28"/>
          <w:szCs w:val="28"/>
        </w:rPr>
        <w:t>fonda</w:t>
      </w:r>
      <w:r w:rsidRPr="00764D91">
        <w:rPr>
          <w:rFonts w:ascii="Times New Roman" w:hAnsi="Times New Roman" w:cs="Times New Roman"/>
          <w:sz w:val="28"/>
          <w:szCs w:val="28"/>
        </w:rPr>
        <w:t xml:space="preserve"> (tai</w:t>
      </w:r>
      <w:r w:rsidR="00E02DA7" w:rsidRPr="00764D91">
        <w:rPr>
          <w:rFonts w:ascii="Times New Roman" w:hAnsi="Times New Roman" w:cs="Times New Roman"/>
          <w:sz w:val="28"/>
          <w:szCs w:val="28"/>
        </w:rPr>
        <w:t xml:space="preserve"> </w:t>
      </w:r>
      <w:r w:rsidRPr="00764D91">
        <w:rPr>
          <w:rFonts w:ascii="Times New Roman" w:hAnsi="Times New Roman" w:cs="Times New Roman"/>
          <w:sz w:val="28"/>
          <w:szCs w:val="28"/>
        </w:rPr>
        <w:t xml:space="preserve">skaitā </w:t>
      </w:r>
      <w:hyperlink r:id="rId10" w:tgtFrame="_self" w:history="1">
        <w:r w:rsidRPr="00764D91">
          <w:rPr>
            <w:rStyle w:val="Strong"/>
            <w:rFonts w:ascii="Times New Roman" w:hAnsi="Times New Roman" w:cs="Times New Roman"/>
            <w:b w:val="0"/>
            <w:sz w:val="28"/>
            <w:szCs w:val="28"/>
          </w:rPr>
          <w:t>3.mērķa „Eiropas teritoriālā sadarbība” programm</w:t>
        </w:r>
      </w:hyperlink>
      <w:r w:rsidRPr="00764D91">
        <w:rPr>
          <w:rFonts w:ascii="Times New Roman" w:hAnsi="Times New Roman" w:cs="Times New Roman"/>
          <w:sz w:val="28"/>
          <w:szCs w:val="28"/>
        </w:rPr>
        <w:t>as)</w:t>
      </w:r>
      <w:r w:rsidR="00CB30A4" w:rsidRPr="00764D91">
        <w:rPr>
          <w:rFonts w:ascii="Times New Roman" w:hAnsi="Times New Roman" w:cs="Times New Roman"/>
          <w:sz w:val="28"/>
          <w:szCs w:val="28"/>
        </w:rPr>
        <w:t>, Eiropas Sociāl</w:t>
      </w:r>
      <w:r w:rsidR="003F0A23" w:rsidRPr="00764D91">
        <w:rPr>
          <w:rFonts w:ascii="Times New Roman" w:hAnsi="Times New Roman" w:cs="Times New Roman"/>
          <w:sz w:val="28"/>
          <w:szCs w:val="28"/>
        </w:rPr>
        <w:t>ā</w:t>
      </w:r>
      <w:r w:rsidR="00CB30A4" w:rsidRPr="00764D91">
        <w:rPr>
          <w:rFonts w:ascii="Times New Roman" w:hAnsi="Times New Roman" w:cs="Times New Roman"/>
          <w:sz w:val="28"/>
          <w:szCs w:val="28"/>
        </w:rPr>
        <w:t xml:space="preserve"> fonda</w:t>
      </w:r>
      <w:r w:rsidR="00825B68" w:rsidRPr="00764D91">
        <w:rPr>
          <w:rFonts w:ascii="Times New Roman" w:hAnsi="Times New Roman" w:cs="Times New Roman"/>
          <w:sz w:val="28"/>
          <w:szCs w:val="28"/>
        </w:rPr>
        <w:t>,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Kohēzijas fonda,</w:t>
      </w:r>
      <w:r w:rsidR="00825B6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3FED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Zivsaimniecības fonda</w:t>
      </w:r>
      <w:r w:rsidR="004D16D2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un 2004.</w:t>
      </w:r>
      <w:r w:rsidR="00282A4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2006.gada plānošanas perioda </w:t>
      </w:r>
      <w:r w:rsidR="00014B7C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3FED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Lauksaimniecības virzības un garantiju fond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13FED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Virzības daļas </w:t>
      </w:r>
      <w:r w:rsidR="00C13FED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C13FED" w:rsidRPr="00764D91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Zivsaimniecības </w:t>
      </w:r>
      <w:r w:rsidR="00CB30A4" w:rsidRPr="00764D91">
        <w:rPr>
          <w:rStyle w:val="Emphasis"/>
          <w:rFonts w:ascii="Times New Roman" w:hAnsi="Times New Roman" w:cs="Times New Roman"/>
          <w:b w:val="0"/>
          <w:sz w:val="28"/>
          <w:szCs w:val="28"/>
        </w:rPr>
        <w:t xml:space="preserve">vadības finansēšanas instrumenta </w:t>
      </w:r>
      <w:r w:rsidR="00CB30A4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ietvaros</w:t>
      </w:r>
      <w:r w:rsidR="00C13FED" w:rsidRPr="00764D91">
        <w:rPr>
          <w:rStyle w:val="Emphasis"/>
          <w:rFonts w:ascii="Times New Roman" w:hAnsi="Times New Roman" w:cs="Times New Roman"/>
          <w:b w:val="0"/>
          <w:sz w:val="28"/>
          <w:szCs w:val="28"/>
        </w:rPr>
        <w:t>.</w:t>
      </w:r>
    </w:p>
    <w:p w:rsidR="002821F2" w:rsidRPr="00764D91" w:rsidRDefault="002821F2" w:rsidP="00EA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821F2" w:rsidRPr="00764D91" w:rsidRDefault="002821F2" w:rsidP="0054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25B6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67ED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ministrijai, Vides aizsardzības un reģionālās attīstības ministrijai, Finanšu ministrijai (Eiropas Savienības struktūrfondu un Kohēzijas fonda vadošai iestādei</w:t>
      </w:r>
      <w:r w:rsidR="00506DE2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67ED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506DE2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kasei (Eiropas Savienības struktūrfondu un Kohēzijas fonda </w:t>
      </w:r>
      <w:r w:rsidR="00067ED8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sertifikācijas iestādei) n</w:t>
      </w:r>
      <w:r w:rsidR="00AA0379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 vēlāk kā 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14 dienu laikā p</w:t>
      </w:r>
      <w:r w:rsidR="007C2F3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ēc revīzijas iestādes pieprasījuma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saņemšanas</w:t>
      </w:r>
      <w:r w:rsidR="007C2F3E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</w:t>
      </w:r>
      <w:r w:rsidR="006418D3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gt revīzijas iestādē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123C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nepieciešamo informāciju un apliecinājumus 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kopsavilkuma</w:t>
      </w:r>
      <w:r w:rsidR="00DC123C"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sagatavošanai</w:t>
      </w:r>
      <w:r w:rsidRPr="00764D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821F2" w:rsidRPr="006418D3" w:rsidRDefault="002821F2" w:rsidP="0054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21EE" w:rsidRPr="006418D3" w:rsidRDefault="003A21EE" w:rsidP="003A21EE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  <w:bookmarkStart w:id="3" w:name="374489"/>
      <w:r w:rsidRPr="006418D3">
        <w:rPr>
          <w:sz w:val="28"/>
          <w:szCs w:val="28"/>
        </w:rPr>
        <w:t>Ministru prezidents</w:t>
      </w:r>
      <w:r w:rsidRPr="006418D3">
        <w:rPr>
          <w:sz w:val="28"/>
          <w:szCs w:val="28"/>
        </w:rPr>
        <w:tab/>
        <w:t>V.Dombrovskis</w:t>
      </w:r>
    </w:p>
    <w:p w:rsidR="00764D91" w:rsidRDefault="00764D91" w:rsidP="003A21EE">
      <w:pPr>
        <w:tabs>
          <w:tab w:val="left" w:pos="6096"/>
        </w:tabs>
        <w:rPr>
          <w:rFonts w:ascii="Times New Roman" w:hAnsi="Times New Roman" w:cs="Times New Roman"/>
          <w:bCs/>
          <w:sz w:val="28"/>
          <w:szCs w:val="28"/>
        </w:rPr>
      </w:pPr>
    </w:p>
    <w:p w:rsidR="003A21EE" w:rsidRPr="006418D3" w:rsidRDefault="003A21EE" w:rsidP="003A21EE">
      <w:pPr>
        <w:tabs>
          <w:tab w:val="left" w:pos="6096"/>
        </w:tabs>
        <w:rPr>
          <w:rFonts w:ascii="Times New Roman" w:hAnsi="Times New Roman" w:cs="Times New Roman"/>
          <w:bCs/>
          <w:sz w:val="28"/>
          <w:szCs w:val="28"/>
        </w:rPr>
      </w:pPr>
      <w:r w:rsidRPr="006418D3">
        <w:rPr>
          <w:rFonts w:ascii="Times New Roman" w:hAnsi="Times New Roman" w:cs="Times New Roman"/>
          <w:bCs/>
          <w:sz w:val="28"/>
          <w:szCs w:val="28"/>
        </w:rPr>
        <w:t>Finanšu ministrs</w:t>
      </w:r>
      <w:r w:rsidRPr="006418D3">
        <w:rPr>
          <w:rFonts w:ascii="Times New Roman" w:hAnsi="Times New Roman" w:cs="Times New Roman"/>
          <w:bCs/>
          <w:sz w:val="28"/>
          <w:szCs w:val="28"/>
        </w:rPr>
        <w:tab/>
        <w:t>A.Vilks</w:t>
      </w:r>
    </w:p>
    <w:bookmarkEnd w:id="3"/>
    <w:p w:rsidR="00092908" w:rsidRPr="006418D3" w:rsidRDefault="00F90AB5" w:rsidP="000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15.11.2012 14:14</w:t>
      </w:r>
      <w:bookmarkStart w:id="4" w:name="_GoBack"/>
      <w:bookmarkEnd w:id="4"/>
    </w:p>
    <w:p w:rsidR="00092908" w:rsidRPr="006418D3" w:rsidRDefault="00962F98" w:rsidP="000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</w:p>
    <w:p w:rsidR="00092908" w:rsidRPr="006418D3" w:rsidRDefault="00092908" w:rsidP="0009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D3">
        <w:rPr>
          <w:rFonts w:ascii="Times New Roman" w:hAnsi="Times New Roman" w:cs="Times New Roman"/>
          <w:sz w:val="24"/>
          <w:szCs w:val="24"/>
        </w:rPr>
        <w:t>I.Brēmane</w:t>
      </w:r>
    </w:p>
    <w:p w:rsidR="00092908" w:rsidRPr="006418D3" w:rsidRDefault="00092908" w:rsidP="007F7990">
      <w:pPr>
        <w:spacing w:after="0" w:line="240" w:lineRule="auto"/>
        <w:rPr>
          <w:sz w:val="24"/>
          <w:szCs w:val="24"/>
        </w:rPr>
      </w:pPr>
      <w:r w:rsidRPr="006418D3">
        <w:rPr>
          <w:rFonts w:ascii="Times New Roman" w:hAnsi="Times New Roman" w:cs="Times New Roman"/>
          <w:sz w:val="24"/>
          <w:szCs w:val="24"/>
        </w:rPr>
        <w:t xml:space="preserve">67095653, Inese.Bremane@fm.gov.lv  </w:t>
      </w:r>
    </w:p>
    <w:sectPr w:rsidR="00092908" w:rsidRPr="006418D3" w:rsidSect="00366AB0">
      <w:headerReference w:type="default" r:id="rId11"/>
      <w:footerReference w:type="default" r:id="rId12"/>
      <w:footerReference w:type="first" r:id="rId13"/>
      <w:pgSz w:w="11906" w:h="16838"/>
      <w:pgMar w:top="1440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E" w:rsidRDefault="00D03EFE" w:rsidP="005D7337">
      <w:pPr>
        <w:spacing w:after="0" w:line="240" w:lineRule="auto"/>
      </w:pPr>
      <w:r>
        <w:separator/>
      </w:r>
    </w:p>
  </w:endnote>
  <w:endnote w:type="continuationSeparator" w:id="0">
    <w:p w:rsidR="00D03EFE" w:rsidRDefault="00D03EFE" w:rsidP="005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5B" w:rsidRPr="006418D3" w:rsidRDefault="00162A5B" w:rsidP="006418D3">
    <w:pPr>
      <w:pStyle w:val="Footer"/>
      <w:jc w:val="both"/>
      <w:rPr>
        <w:rFonts w:ascii="Times New Roman" w:hAnsi="Times New Roman" w:cs="Times New Roman"/>
      </w:rPr>
    </w:pPr>
    <w:r w:rsidRPr="006418D3">
      <w:rPr>
        <w:rFonts w:ascii="Times New Roman" w:hAnsi="Times New Roman" w:cs="Times New Roman"/>
      </w:rPr>
      <w:t>FMRik_0</w:t>
    </w:r>
    <w:r w:rsidR="00366AB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1</w:t>
    </w:r>
    <w:r w:rsidR="00366AB0">
      <w:rPr>
        <w:rFonts w:ascii="Times New Roman" w:hAnsi="Times New Roman" w:cs="Times New Roman"/>
      </w:rPr>
      <w:t>1</w:t>
    </w:r>
    <w:r w:rsidRPr="006418D3">
      <w:rPr>
        <w:rFonts w:ascii="Times New Roman" w:hAnsi="Times New Roman" w:cs="Times New Roman"/>
      </w:rPr>
      <w:t>12_RI_SF_KF; Ministru kabineta rīkojuma projekts „</w:t>
    </w:r>
    <w:r w:rsidRPr="006418D3">
      <w:rPr>
        <w:rFonts w:ascii="Times New Roman" w:eastAsia="Times New Roman" w:hAnsi="Times New Roman" w:cs="Times New Roman"/>
        <w:bCs/>
        <w:lang w:eastAsia="lv-LV"/>
      </w:rPr>
      <w:t>Par gada kopsavilkumu par pieejamām revīzijām un deklarācijām sagatavošanu</w:t>
    </w:r>
    <w:r w:rsidRPr="006418D3">
      <w:rPr>
        <w:rFonts w:ascii="Times New Roman" w:hAnsi="Times New Roman" w:cs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5B" w:rsidRPr="006418D3" w:rsidRDefault="00F02B35" w:rsidP="006418D3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FM_Rik_15</w:t>
    </w:r>
    <w:r w:rsidR="00162A5B">
      <w:rPr>
        <w:rFonts w:ascii="Times New Roman" w:hAnsi="Times New Roman" w:cs="Times New Roman"/>
      </w:rPr>
      <w:t>11</w:t>
    </w:r>
    <w:r w:rsidR="00162A5B" w:rsidRPr="007F7990">
      <w:rPr>
        <w:rFonts w:ascii="Times New Roman" w:hAnsi="Times New Roman" w:cs="Times New Roman"/>
      </w:rPr>
      <w:t>12_RI_SF_KF_EZF</w:t>
    </w:r>
    <w:r w:rsidR="00162A5B" w:rsidRPr="006418D3">
      <w:rPr>
        <w:rFonts w:ascii="Times New Roman" w:hAnsi="Times New Roman" w:cs="Times New Roman"/>
      </w:rPr>
      <w:t>; Ministru kabineta rīkojuma projekts „</w:t>
    </w:r>
    <w:r w:rsidR="00162A5B">
      <w:rPr>
        <w:rFonts w:ascii="Times New Roman" w:eastAsia="Times New Roman" w:hAnsi="Times New Roman" w:cs="Times New Roman"/>
        <w:bCs/>
        <w:lang w:eastAsia="lv-LV"/>
      </w:rPr>
      <w:t>Par gada kopsavilkuma</w:t>
    </w:r>
    <w:r w:rsidR="00162A5B" w:rsidRPr="006418D3">
      <w:rPr>
        <w:rFonts w:ascii="Times New Roman" w:eastAsia="Times New Roman" w:hAnsi="Times New Roman" w:cs="Times New Roman"/>
        <w:bCs/>
        <w:lang w:eastAsia="lv-LV"/>
      </w:rPr>
      <w:t xml:space="preserve"> par pieejamām revīzijām un deklarācijām sagatavošanu</w:t>
    </w:r>
    <w:r w:rsidR="00162A5B" w:rsidRPr="006418D3">
      <w:rPr>
        <w:rFonts w:ascii="Times New Roman" w:hAnsi="Times New Roman" w:cs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E" w:rsidRDefault="00D03EFE" w:rsidP="005D7337">
      <w:pPr>
        <w:spacing w:after="0" w:line="240" w:lineRule="auto"/>
      </w:pPr>
      <w:r>
        <w:separator/>
      </w:r>
    </w:p>
  </w:footnote>
  <w:footnote w:type="continuationSeparator" w:id="0">
    <w:p w:rsidR="00D03EFE" w:rsidRDefault="00D03EFE" w:rsidP="005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224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A5B" w:rsidRDefault="00162A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A5B" w:rsidRDefault="00162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00496"/>
    <w:rsid w:val="00000A3B"/>
    <w:rsid w:val="00014B7C"/>
    <w:rsid w:val="00030B5B"/>
    <w:rsid w:val="000373E7"/>
    <w:rsid w:val="000400FD"/>
    <w:rsid w:val="0006145C"/>
    <w:rsid w:val="00065EBA"/>
    <w:rsid w:val="00067ED8"/>
    <w:rsid w:val="000731B3"/>
    <w:rsid w:val="00092908"/>
    <w:rsid w:val="000A1D25"/>
    <w:rsid w:val="000A50F6"/>
    <w:rsid w:val="000A6A71"/>
    <w:rsid w:val="000C2ED7"/>
    <w:rsid w:val="000C60C2"/>
    <w:rsid w:val="000D0370"/>
    <w:rsid w:val="000D7AC1"/>
    <w:rsid w:val="000E398C"/>
    <w:rsid w:val="00134CEB"/>
    <w:rsid w:val="00155332"/>
    <w:rsid w:val="00157A0B"/>
    <w:rsid w:val="00157ADC"/>
    <w:rsid w:val="00162A5B"/>
    <w:rsid w:val="00162BA4"/>
    <w:rsid w:val="00162F50"/>
    <w:rsid w:val="00176084"/>
    <w:rsid w:val="00183B55"/>
    <w:rsid w:val="00185132"/>
    <w:rsid w:val="0018617E"/>
    <w:rsid w:val="001A4FBA"/>
    <w:rsid w:val="001A5D3E"/>
    <w:rsid w:val="001B5527"/>
    <w:rsid w:val="001C09DA"/>
    <w:rsid w:val="001D2FB5"/>
    <w:rsid w:val="001F209A"/>
    <w:rsid w:val="00200C29"/>
    <w:rsid w:val="00221B18"/>
    <w:rsid w:val="00225C6D"/>
    <w:rsid w:val="002300E6"/>
    <w:rsid w:val="002445EF"/>
    <w:rsid w:val="00251E6C"/>
    <w:rsid w:val="00257F1F"/>
    <w:rsid w:val="002821F2"/>
    <w:rsid w:val="00282A4E"/>
    <w:rsid w:val="002A4508"/>
    <w:rsid w:val="002A6389"/>
    <w:rsid w:val="002A7FB2"/>
    <w:rsid w:val="002B5335"/>
    <w:rsid w:val="002B629D"/>
    <w:rsid w:val="002D7A8F"/>
    <w:rsid w:val="002E09E3"/>
    <w:rsid w:val="002E3864"/>
    <w:rsid w:val="002E4A11"/>
    <w:rsid w:val="002E6C92"/>
    <w:rsid w:val="002F634E"/>
    <w:rsid w:val="00327328"/>
    <w:rsid w:val="00330A96"/>
    <w:rsid w:val="0033320E"/>
    <w:rsid w:val="00333DE0"/>
    <w:rsid w:val="00357555"/>
    <w:rsid w:val="00357CE8"/>
    <w:rsid w:val="00366AB0"/>
    <w:rsid w:val="00386512"/>
    <w:rsid w:val="0039280D"/>
    <w:rsid w:val="003964C7"/>
    <w:rsid w:val="003A21EE"/>
    <w:rsid w:val="003A3D92"/>
    <w:rsid w:val="003A6AA4"/>
    <w:rsid w:val="003B284F"/>
    <w:rsid w:val="003D73FE"/>
    <w:rsid w:val="003E33D9"/>
    <w:rsid w:val="003E6DDD"/>
    <w:rsid w:val="003F0A23"/>
    <w:rsid w:val="003F6940"/>
    <w:rsid w:val="003F6EF4"/>
    <w:rsid w:val="004053B9"/>
    <w:rsid w:val="00413BE6"/>
    <w:rsid w:val="00413F46"/>
    <w:rsid w:val="00432F22"/>
    <w:rsid w:val="00451385"/>
    <w:rsid w:val="00454A29"/>
    <w:rsid w:val="00462E4B"/>
    <w:rsid w:val="004764A1"/>
    <w:rsid w:val="0048769F"/>
    <w:rsid w:val="004932F1"/>
    <w:rsid w:val="004A0761"/>
    <w:rsid w:val="004A3803"/>
    <w:rsid w:val="004B0A9A"/>
    <w:rsid w:val="004B1C0D"/>
    <w:rsid w:val="004C1559"/>
    <w:rsid w:val="004D115D"/>
    <w:rsid w:val="004D16D2"/>
    <w:rsid w:val="004E14FC"/>
    <w:rsid w:val="004F51E3"/>
    <w:rsid w:val="004F7E20"/>
    <w:rsid w:val="00501D9C"/>
    <w:rsid w:val="00504A50"/>
    <w:rsid w:val="00506DE2"/>
    <w:rsid w:val="00524BF2"/>
    <w:rsid w:val="00535925"/>
    <w:rsid w:val="00536268"/>
    <w:rsid w:val="00544E4D"/>
    <w:rsid w:val="00545D93"/>
    <w:rsid w:val="00551457"/>
    <w:rsid w:val="00556DFF"/>
    <w:rsid w:val="00567256"/>
    <w:rsid w:val="00583B5C"/>
    <w:rsid w:val="00583C5A"/>
    <w:rsid w:val="0058569D"/>
    <w:rsid w:val="005A2F66"/>
    <w:rsid w:val="005B132F"/>
    <w:rsid w:val="005B29CB"/>
    <w:rsid w:val="005B37AA"/>
    <w:rsid w:val="005B5E7A"/>
    <w:rsid w:val="005C0341"/>
    <w:rsid w:val="005C0BDE"/>
    <w:rsid w:val="005C1449"/>
    <w:rsid w:val="005D471E"/>
    <w:rsid w:val="005D7337"/>
    <w:rsid w:val="005E4898"/>
    <w:rsid w:val="005F5FBD"/>
    <w:rsid w:val="00616411"/>
    <w:rsid w:val="006418D3"/>
    <w:rsid w:val="00641DED"/>
    <w:rsid w:val="00643FB7"/>
    <w:rsid w:val="00646DE4"/>
    <w:rsid w:val="00651D30"/>
    <w:rsid w:val="00690E70"/>
    <w:rsid w:val="00691B92"/>
    <w:rsid w:val="006A577C"/>
    <w:rsid w:val="006A68A0"/>
    <w:rsid w:val="006D78BB"/>
    <w:rsid w:val="006E2D14"/>
    <w:rsid w:val="006F17E1"/>
    <w:rsid w:val="006F28F2"/>
    <w:rsid w:val="00701097"/>
    <w:rsid w:val="007068A1"/>
    <w:rsid w:val="00720514"/>
    <w:rsid w:val="007326DD"/>
    <w:rsid w:val="00740949"/>
    <w:rsid w:val="00755ED8"/>
    <w:rsid w:val="00764D91"/>
    <w:rsid w:val="00797193"/>
    <w:rsid w:val="007A25EA"/>
    <w:rsid w:val="007B1357"/>
    <w:rsid w:val="007C2F3E"/>
    <w:rsid w:val="007C2FCA"/>
    <w:rsid w:val="007C66A4"/>
    <w:rsid w:val="007C7140"/>
    <w:rsid w:val="007D386D"/>
    <w:rsid w:val="007D7A5D"/>
    <w:rsid w:val="007D7DE4"/>
    <w:rsid w:val="007F21BB"/>
    <w:rsid w:val="007F3642"/>
    <w:rsid w:val="007F7990"/>
    <w:rsid w:val="00811851"/>
    <w:rsid w:val="00816A4A"/>
    <w:rsid w:val="008176E1"/>
    <w:rsid w:val="00822275"/>
    <w:rsid w:val="00825B68"/>
    <w:rsid w:val="00830420"/>
    <w:rsid w:val="00833F38"/>
    <w:rsid w:val="00834F2C"/>
    <w:rsid w:val="00842B21"/>
    <w:rsid w:val="0086064F"/>
    <w:rsid w:val="00862225"/>
    <w:rsid w:val="00863239"/>
    <w:rsid w:val="00864844"/>
    <w:rsid w:val="00883BC9"/>
    <w:rsid w:val="00896F8F"/>
    <w:rsid w:val="008A6966"/>
    <w:rsid w:val="008B0820"/>
    <w:rsid w:val="008B540E"/>
    <w:rsid w:val="008C6E72"/>
    <w:rsid w:val="008D260E"/>
    <w:rsid w:val="008E02E7"/>
    <w:rsid w:val="008E4D65"/>
    <w:rsid w:val="008F185E"/>
    <w:rsid w:val="008F4AC3"/>
    <w:rsid w:val="008F6907"/>
    <w:rsid w:val="00911DCA"/>
    <w:rsid w:val="00934E37"/>
    <w:rsid w:val="0095339B"/>
    <w:rsid w:val="00957FD8"/>
    <w:rsid w:val="00962F98"/>
    <w:rsid w:val="00973A25"/>
    <w:rsid w:val="00987C38"/>
    <w:rsid w:val="009943A4"/>
    <w:rsid w:val="009A3A19"/>
    <w:rsid w:val="009A53C0"/>
    <w:rsid w:val="009B5EEC"/>
    <w:rsid w:val="009D4C6A"/>
    <w:rsid w:val="009E43BC"/>
    <w:rsid w:val="009E4873"/>
    <w:rsid w:val="009E4C13"/>
    <w:rsid w:val="009F5746"/>
    <w:rsid w:val="009F6AC0"/>
    <w:rsid w:val="00A14803"/>
    <w:rsid w:val="00A24200"/>
    <w:rsid w:val="00A24210"/>
    <w:rsid w:val="00A25C26"/>
    <w:rsid w:val="00A30FB9"/>
    <w:rsid w:val="00A313AD"/>
    <w:rsid w:val="00A34D44"/>
    <w:rsid w:val="00A37027"/>
    <w:rsid w:val="00A371EB"/>
    <w:rsid w:val="00A441CD"/>
    <w:rsid w:val="00A47729"/>
    <w:rsid w:val="00A5490B"/>
    <w:rsid w:val="00A861EE"/>
    <w:rsid w:val="00A904A2"/>
    <w:rsid w:val="00AA0379"/>
    <w:rsid w:val="00AA15BC"/>
    <w:rsid w:val="00AA1C58"/>
    <w:rsid w:val="00AC7EEF"/>
    <w:rsid w:val="00AD0394"/>
    <w:rsid w:val="00AD10BB"/>
    <w:rsid w:val="00AE0511"/>
    <w:rsid w:val="00AF05E9"/>
    <w:rsid w:val="00B11504"/>
    <w:rsid w:val="00B1381E"/>
    <w:rsid w:val="00B17076"/>
    <w:rsid w:val="00B21BB3"/>
    <w:rsid w:val="00B34790"/>
    <w:rsid w:val="00B45433"/>
    <w:rsid w:val="00B71EF4"/>
    <w:rsid w:val="00B7755F"/>
    <w:rsid w:val="00B92AE5"/>
    <w:rsid w:val="00B957A3"/>
    <w:rsid w:val="00BF3E54"/>
    <w:rsid w:val="00BF4880"/>
    <w:rsid w:val="00BF666E"/>
    <w:rsid w:val="00C0277D"/>
    <w:rsid w:val="00C13FED"/>
    <w:rsid w:val="00C23E80"/>
    <w:rsid w:val="00C33CF7"/>
    <w:rsid w:val="00C50907"/>
    <w:rsid w:val="00C63AA2"/>
    <w:rsid w:val="00C708E7"/>
    <w:rsid w:val="00C71469"/>
    <w:rsid w:val="00C71F97"/>
    <w:rsid w:val="00C748F2"/>
    <w:rsid w:val="00C774DA"/>
    <w:rsid w:val="00C8559B"/>
    <w:rsid w:val="00CB30A4"/>
    <w:rsid w:val="00CB32C3"/>
    <w:rsid w:val="00CC76AC"/>
    <w:rsid w:val="00CD257E"/>
    <w:rsid w:val="00CE4518"/>
    <w:rsid w:val="00D03EFE"/>
    <w:rsid w:val="00D43E31"/>
    <w:rsid w:val="00D4474B"/>
    <w:rsid w:val="00D62BDB"/>
    <w:rsid w:val="00D92596"/>
    <w:rsid w:val="00D969BB"/>
    <w:rsid w:val="00DA02C4"/>
    <w:rsid w:val="00DB6B11"/>
    <w:rsid w:val="00DC123C"/>
    <w:rsid w:val="00DC25AF"/>
    <w:rsid w:val="00DD28A4"/>
    <w:rsid w:val="00DF0B35"/>
    <w:rsid w:val="00E02DA7"/>
    <w:rsid w:val="00E03272"/>
    <w:rsid w:val="00E15197"/>
    <w:rsid w:val="00E20F1B"/>
    <w:rsid w:val="00E23B65"/>
    <w:rsid w:val="00E43D0F"/>
    <w:rsid w:val="00E442F7"/>
    <w:rsid w:val="00E6364A"/>
    <w:rsid w:val="00E70D3A"/>
    <w:rsid w:val="00E75E76"/>
    <w:rsid w:val="00E76BF5"/>
    <w:rsid w:val="00EA192E"/>
    <w:rsid w:val="00EB7C32"/>
    <w:rsid w:val="00EC1181"/>
    <w:rsid w:val="00ED09B1"/>
    <w:rsid w:val="00ED2CFE"/>
    <w:rsid w:val="00ED43B0"/>
    <w:rsid w:val="00EE3A9B"/>
    <w:rsid w:val="00EE3A9F"/>
    <w:rsid w:val="00EF58EB"/>
    <w:rsid w:val="00F02B35"/>
    <w:rsid w:val="00F03553"/>
    <w:rsid w:val="00F13332"/>
    <w:rsid w:val="00F26CCF"/>
    <w:rsid w:val="00F43FFE"/>
    <w:rsid w:val="00F44AEC"/>
    <w:rsid w:val="00F60D6C"/>
    <w:rsid w:val="00F645DF"/>
    <w:rsid w:val="00F72C99"/>
    <w:rsid w:val="00F80322"/>
    <w:rsid w:val="00F90AB5"/>
    <w:rsid w:val="00F94651"/>
    <w:rsid w:val="00FA4C8F"/>
    <w:rsid w:val="00FB4C74"/>
    <w:rsid w:val="00FC0FFC"/>
    <w:rsid w:val="00FF5E8E"/>
    <w:rsid w:val="00FF6E3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332"/>
    <w:pPr>
      <w:keepNext/>
      <w:tabs>
        <w:tab w:val="left" w:pos="1080"/>
        <w:tab w:val="left" w:pos="1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38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37"/>
  </w:style>
  <w:style w:type="paragraph" w:styleId="Footer">
    <w:name w:val="footer"/>
    <w:basedOn w:val="Normal"/>
    <w:link w:val="FooterChar"/>
    <w:uiPriority w:val="99"/>
    <w:unhideWhenUsed/>
    <w:rsid w:val="005D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37"/>
  </w:style>
  <w:style w:type="character" w:customStyle="1" w:styleId="Heading1Char">
    <w:name w:val="Heading 1 Char"/>
    <w:basedOn w:val="DefaultParagraphFont"/>
    <w:link w:val="Heading1"/>
    <w:uiPriority w:val="9"/>
    <w:rsid w:val="00F1333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naislab">
    <w:name w:val="naislab"/>
    <w:basedOn w:val="Normal"/>
    <w:rsid w:val="00F1333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A2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5339B"/>
    <w:rPr>
      <w:b/>
      <w:bCs/>
    </w:rPr>
  </w:style>
  <w:style w:type="paragraph" w:styleId="ListParagraph">
    <w:name w:val="List Paragraph"/>
    <w:basedOn w:val="Normal"/>
    <w:uiPriority w:val="34"/>
    <w:qFormat/>
    <w:rsid w:val="00825B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3FE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332"/>
    <w:pPr>
      <w:keepNext/>
      <w:tabs>
        <w:tab w:val="left" w:pos="1080"/>
        <w:tab w:val="left" w:pos="1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38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37"/>
  </w:style>
  <w:style w:type="paragraph" w:styleId="Footer">
    <w:name w:val="footer"/>
    <w:basedOn w:val="Normal"/>
    <w:link w:val="FooterChar"/>
    <w:uiPriority w:val="99"/>
    <w:unhideWhenUsed/>
    <w:rsid w:val="005D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37"/>
  </w:style>
  <w:style w:type="character" w:customStyle="1" w:styleId="Heading1Char">
    <w:name w:val="Heading 1 Char"/>
    <w:basedOn w:val="DefaultParagraphFont"/>
    <w:link w:val="Heading1"/>
    <w:uiPriority w:val="9"/>
    <w:rsid w:val="00F1333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naislab">
    <w:name w:val="naislab"/>
    <w:basedOn w:val="Normal"/>
    <w:rsid w:val="00F1333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A2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5339B"/>
    <w:rPr>
      <w:b/>
      <w:bCs/>
    </w:rPr>
  </w:style>
  <w:style w:type="paragraph" w:styleId="ListParagraph">
    <w:name w:val="List Paragraph"/>
    <w:basedOn w:val="Normal"/>
    <w:uiPriority w:val="34"/>
    <w:qFormat/>
    <w:rsid w:val="00825B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3FE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53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2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5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4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8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995:20060822:LV: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ram.gov.lv/lat/fondi/ets/?doc=13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02:248:0001:01:LV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677E-68B7-49B6-945C-2BAF084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gada kopsavilkuma par pieejamām revīzijām un deklarācijām sagatavošanu"</vt:lpstr>
    </vt:vector>
  </TitlesOfParts>
  <Manager>N.Lasmane</Manager>
  <Company>Finanšu ministrija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gada kopsavilkuma par pieejamām revīzijām un deklarācijām sagatavošanu"</dc:title>
  <dc:subject>Ministru kabineta rīkojuma projekts</dc:subject>
  <dc:creator>Brēmane Inese</dc:creator>
  <dc:description>Inese.Brēmane@fm.gov.lv_x000d_
Tālr.:67095653, fakss 67095679</dc:description>
  <cp:lastModifiedBy>Windows User</cp:lastModifiedBy>
  <cp:revision>77</cp:revision>
  <cp:lastPrinted>2012-09-06T13:01:00Z</cp:lastPrinted>
  <dcterms:created xsi:type="dcterms:W3CDTF">2012-03-02T11:30:00Z</dcterms:created>
  <dcterms:modified xsi:type="dcterms:W3CDTF">2012-11-23T13:08:00Z</dcterms:modified>
  <cp:category>Ministru kabineta; rīkojums</cp:category>
</cp:coreProperties>
</file>