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70" w:rsidRPr="00FF730F" w:rsidRDefault="00661370" w:rsidP="00661370">
      <w:pPr>
        <w:jc w:val="right"/>
        <w:outlineLvl w:val="0"/>
        <w:rPr>
          <w:sz w:val="26"/>
          <w:szCs w:val="26"/>
        </w:rPr>
      </w:pPr>
      <w:r w:rsidRPr="00FF730F">
        <w:rPr>
          <w:sz w:val="26"/>
          <w:szCs w:val="26"/>
        </w:rPr>
        <w:t xml:space="preserve">Projekts </w:t>
      </w:r>
    </w:p>
    <w:p w:rsidR="00661370" w:rsidRPr="00FF730F" w:rsidRDefault="00661370" w:rsidP="00661370">
      <w:pPr>
        <w:jc w:val="center"/>
        <w:rPr>
          <w:b/>
          <w:sz w:val="26"/>
          <w:szCs w:val="26"/>
        </w:rPr>
      </w:pPr>
    </w:p>
    <w:p w:rsidR="00661370" w:rsidRPr="00FF730F" w:rsidRDefault="00661370" w:rsidP="00881223">
      <w:pPr>
        <w:jc w:val="center"/>
        <w:rPr>
          <w:b/>
          <w:sz w:val="26"/>
          <w:szCs w:val="26"/>
        </w:rPr>
      </w:pPr>
      <w:r w:rsidRPr="00FF730F">
        <w:rPr>
          <w:b/>
          <w:sz w:val="26"/>
          <w:szCs w:val="26"/>
        </w:rPr>
        <w:t>Informatīvais ziņojums</w:t>
      </w:r>
    </w:p>
    <w:p w:rsidR="0051656D" w:rsidRPr="0051656D" w:rsidRDefault="00661370" w:rsidP="00881223">
      <w:pPr>
        <w:jc w:val="center"/>
        <w:rPr>
          <w:b/>
          <w:sz w:val="26"/>
          <w:szCs w:val="26"/>
        </w:rPr>
      </w:pPr>
      <w:r w:rsidRPr="00FF730F">
        <w:rPr>
          <w:b/>
          <w:sz w:val="26"/>
          <w:szCs w:val="26"/>
        </w:rPr>
        <w:t xml:space="preserve">par </w:t>
      </w:r>
      <w:r w:rsidR="00C30096" w:rsidRPr="00C30096">
        <w:rPr>
          <w:b/>
          <w:sz w:val="26"/>
          <w:szCs w:val="26"/>
        </w:rPr>
        <w:t>2011.gada sešu un deviņu mēnešu laikā</w:t>
      </w:r>
      <w:r w:rsidR="00C30096" w:rsidRPr="00FF730F">
        <w:rPr>
          <w:b/>
          <w:sz w:val="26"/>
          <w:szCs w:val="26"/>
        </w:rPr>
        <w:t xml:space="preserve"> </w:t>
      </w:r>
      <w:r w:rsidR="0051656D" w:rsidRPr="00FF730F">
        <w:rPr>
          <w:b/>
          <w:sz w:val="26"/>
          <w:szCs w:val="26"/>
        </w:rPr>
        <w:t xml:space="preserve">Valsts ieņēmumu dienesta </w:t>
      </w:r>
      <w:r w:rsidR="0051656D" w:rsidRPr="0051656D">
        <w:rPr>
          <w:b/>
          <w:sz w:val="26"/>
          <w:szCs w:val="26"/>
        </w:rPr>
        <w:t>administrējošo darbību rezultātā</w:t>
      </w:r>
      <w:r w:rsidR="0051656D">
        <w:rPr>
          <w:sz w:val="26"/>
          <w:szCs w:val="26"/>
        </w:rPr>
        <w:t xml:space="preserve"> </w:t>
      </w:r>
      <w:r w:rsidR="0051656D" w:rsidRPr="0051656D">
        <w:rPr>
          <w:b/>
          <w:sz w:val="26"/>
          <w:szCs w:val="26"/>
        </w:rPr>
        <w:t>būtiski uzlaboto</w:t>
      </w:r>
      <w:r w:rsidR="0051656D">
        <w:rPr>
          <w:sz w:val="26"/>
          <w:szCs w:val="26"/>
        </w:rPr>
        <w:t xml:space="preserve"> </w:t>
      </w:r>
      <w:r w:rsidR="0051656D" w:rsidRPr="00C30096">
        <w:rPr>
          <w:b/>
          <w:sz w:val="26"/>
          <w:szCs w:val="26"/>
        </w:rPr>
        <w:t>nodokļu iekasēšan</w:t>
      </w:r>
      <w:r w:rsidR="0051656D">
        <w:rPr>
          <w:b/>
          <w:sz w:val="26"/>
          <w:szCs w:val="26"/>
        </w:rPr>
        <w:t xml:space="preserve">u, īstenojot </w:t>
      </w:r>
      <w:r w:rsidR="0051656D" w:rsidRPr="00C30096">
        <w:rPr>
          <w:b/>
          <w:sz w:val="26"/>
          <w:szCs w:val="26"/>
        </w:rPr>
        <w:t xml:space="preserve"> </w:t>
      </w:r>
      <w:r w:rsidR="0051656D" w:rsidRPr="0051656D">
        <w:rPr>
          <w:b/>
          <w:sz w:val="26"/>
          <w:szCs w:val="26"/>
        </w:rPr>
        <w:t>pasākumu plānu ēnu ekonomikas apkarošanai un godīgas konkurences veicināšanai</w:t>
      </w:r>
      <w:r w:rsidR="00881223">
        <w:rPr>
          <w:b/>
          <w:sz w:val="26"/>
          <w:szCs w:val="26"/>
        </w:rPr>
        <w:t>,</w:t>
      </w:r>
      <w:r w:rsidR="0051656D">
        <w:rPr>
          <w:b/>
          <w:sz w:val="26"/>
          <w:szCs w:val="26"/>
        </w:rPr>
        <w:t xml:space="preserve"> un</w:t>
      </w:r>
      <w:r w:rsidR="0051656D" w:rsidRPr="0051656D">
        <w:rPr>
          <w:b/>
          <w:sz w:val="26"/>
          <w:szCs w:val="26"/>
        </w:rPr>
        <w:t xml:space="preserve"> prognozētajiem uzlabojumiem nodokļu iekasēšanā līdz 2011.gada beigām</w:t>
      </w:r>
    </w:p>
    <w:p w:rsidR="00661370" w:rsidRPr="00FF730F" w:rsidRDefault="00661370" w:rsidP="00C30096">
      <w:pPr>
        <w:pStyle w:val="Footer"/>
        <w:jc w:val="center"/>
        <w:rPr>
          <w:b/>
          <w:sz w:val="26"/>
          <w:szCs w:val="26"/>
        </w:rPr>
      </w:pPr>
    </w:p>
    <w:p w:rsidR="0051656D" w:rsidRDefault="00453696" w:rsidP="00881223">
      <w:pPr>
        <w:ind w:firstLine="720"/>
        <w:jc w:val="both"/>
        <w:rPr>
          <w:b/>
          <w:bCs/>
          <w:sz w:val="26"/>
          <w:szCs w:val="26"/>
        </w:rPr>
      </w:pPr>
      <w:r>
        <w:rPr>
          <w:sz w:val="26"/>
          <w:szCs w:val="26"/>
        </w:rPr>
        <w:t>S</w:t>
      </w:r>
      <w:r w:rsidR="00133D44" w:rsidRPr="00FF730F">
        <w:rPr>
          <w:sz w:val="26"/>
          <w:szCs w:val="26"/>
        </w:rPr>
        <w:t xml:space="preserve">askaņā ar </w:t>
      </w:r>
      <w:r w:rsidR="00042DCC">
        <w:rPr>
          <w:sz w:val="26"/>
          <w:szCs w:val="26"/>
        </w:rPr>
        <w:t xml:space="preserve">likuma </w:t>
      </w:r>
      <w:r w:rsidR="00881223" w:rsidRPr="00881223">
        <w:rPr>
          <w:sz w:val="26"/>
          <w:szCs w:val="26"/>
        </w:rPr>
        <w:t>“</w:t>
      </w:r>
      <w:r w:rsidR="00042DCC">
        <w:rPr>
          <w:sz w:val="26"/>
          <w:szCs w:val="26"/>
        </w:rPr>
        <w:t>Par valsts budžetu 2011.gadam”</w:t>
      </w:r>
      <w:r>
        <w:rPr>
          <w:sz w:val="26"/>
          <w:szCs w:val="26"/>
        </w:rPr>
        <w:t xml:space="preserve"> 52.pantu </w:t>
      </w:r>
      <w:r w:rsidR="00100F4F" w:rsidRPr="00FF730F">
        <w:rPr>
          <w:sz w:val="26"/>
          <w:szCs w:val="26"/>
        </w:rPr>
        <w:t>Valsts ieņēmumu dienest</w:t>
      </w:r>
      <w:r>
        <w:rPr>
          <w:sz w:val="26"/>
          <w:szCs w:val="26"/>
        </w:rPr>
        <w:t>s (turpmāk – VID) sniedz informāciju par administrējošo darbību rezultātā panākto nodokļu iekasēšanas uzlabošanu 2011.gada sešu un deviņu mēnešu laikā, īstenojot pasākumu plānu ēnu ekonomikas apkarošanai un godīgas konkurences veicināšanai, kā arī prognozētajiem uzlabojumiem nodokļu iekasēšanā līdz 2011.gada beigām.</w:t>
      </w:r>
      <w:r w:rsidR="0051656D" w:rsidRPr="0051656D">
        <w:rPr>
          <w:b/>
          <w:bCs/>
          <w:sz w:val="26"/>
          <w:szCs w:val="26"/>
        </w:rPr>
        <w:t xml:space="preserve"> </w:t>
      </w:r>
    </w:p>
    <w:p w:rsidR="0051656D" w:rsidRDefault="0051656D" w:rsidP="0051656D">
      <w:pPr>
        <w:ind w:left="360"/>
        <w:jc w:val="center"/>
        <w:rPr>
          <w:b/>
          <w:bCs/>
          <w:sz w:val="26"/>
          <w:szCs w:val="26"/>
        </w:rPr>
      </w:pPr>
    </w:p>
    <w:p w:rsidR="0051656D" w:rsidRDefault="0051656D" w:rsidP="00881223">
      <w:pPr>
        <w:numPr>
          <w:ilvl w:val="0"/>
          <w:numId w:val="12"/>
        </w:numPr>
        <w:tabs>
          <w:tab w:val="left" w:pos="709"/>
        </w:tabs>
        <w:ind w:left="0" w:firstLine="0"/>
        <w:jc w:val="center"/>
        <w:rPr>
          <w:b/>
          <w:bCs/>
          <w:sz w:val="26"/>
          <w:szCs w:val="26"/>
        </w:rPr>
      </w:pPr>
      <w:r w:rsidRPr="0027006F">
        <w:rPr>
          <w:b/>
          <w:bCs/>
          <w:sz w:val="26"/>
          <w:szCs w:val="26"/>
        </w:rPr>
        <w:t>Nodokļu ieņēmumi 2011.gada sešos mēnešos</w:t>
      </w:r>
      <w:r w:rsidR="005A32F2">
        <w:rPr>
          <w:b/>
          <w:bCs/>
          <w:sz w:val="26"/>
          <w:szCs w:val="26"/>
        </w:rPr>
        <w:t xml:space="preserve"> un</w:t>
      </w:r>
      <w:r w:rsidRPr="0027006F">
        <w:rPr>
          <w:b/>
          <w:bCs/>
          <w:sz w:val="26"/>
          <w:szCs w:val="26"/>
        </w:rPr>
        <w:t xml:space="preserve"> deviņos mēnešos un prognoze 2011.gadam</w:t>
      </w:r>
    </w:p>
    <w:p w:rsidR="0051656D" w:rsidRDefault="0051656D" w:rsidP="0051656D">
      <w:pPr>
        <w:ind w:left="1069"/>
        <w:jc w:val="center"/>
        <w:rPr>
          <w:b/>
          <w:bCs/>
          <w:sz w:val="26"/>
          <w:szCs w:val="26"/>
        </w:rPr>
      </w:pPr>
    </w:p>
    <w:p w:rsidR="0051656D" w:rsidRDefault="0051656D" w:rsidP="00881223">
      <w:pPr>
        <w:tabs>
          <w:tab w:val="left" w:pos="1134"/>
        </w:tabs>
        <w:ind w:firstLine="720"/>
        <w:jc w:val="both"/>
        <w:rPr>
          <w:bCs/>
          <w:sz w:val="26"/>
          <w:szCs w:val="26"/>
        </w:rPr>
      </w:pPr>
      <w:r w:rsidRPr="00B94D03">
        <w:rPr>
          <w:bCs/>
          <w:sz w:val="26"/>
          <w:szCs w:val="26"/>
        </w:rPr>
        <w:t xml:space="preserve">2011.gada sešos mēnešos VID administrētie </w:t>
      </w:r>
      <w:r>
        <w:rPr>
          <w:bCs/>
          <w:sz w:val="26"/>
          <w:szCs w:val="26"/>
        </w:rPr>
        <w:t>budžeta ieņēmumi bija 1 949,52</w:t>
      </w:r>
      <w:r w:rsidR="00881223">
        <w:rPr>
          <w:bCs/>
          <w:sz w:val="26"/>
          <w:szCs w:val="26"/>
        </w:rPr>
        <w:t> </w:t>
      </w:r>
      <w:r>
        <w:rPr>
          <w:bCs/>
          <w:sz w:val="26"/>
          <w:szCs w:val="26"/>
        </w:rPr>
        <w:t>milj. latu</w:t>
      </w:r>
      <w:r w:rsidR="00881223">
        <w:rPr>
          <w:bCs/>
          <w:sz w:val="26"/>
          <w:szCs w:val="26"/>
        </w:rPr>
        <w:t>:</w:t>
      </w:r>
      <w:r>
        <w:rPr>
          <w:bCs/>
          <w:sz w:val="26"/>
          <w:szCs w:val="26"/>
        </w:rPr>
        <w:t xml:space="preserve"> </w:t>
      </w:r>
    </w:p>
    <w:p w:rsidR="0051656D" w:rsidRDefault="00881223" w:rsidP="00881223">
      <w:pPr>
        <w:tabs>
          <w:tab w:val="left" w:pos="1134"/>
        </w:tabs>
        <w:ind w:left="720"/>
        <w:jc w:val="both"/>
        <w:rPr>
          <w:bCs/>
          <w:sz w:val="26"/>
          <w:szCs w:val="26"/>
        </w:rPr>
      </w:pPr>
      <w:r>
        <w:rPr>
          <w:bCs/>
          <w:sz w:val="26"/>
          <w:szCs w:val="26"/>
        </w:rPr>
        <w:t xml:space="preserve">- </w:t>
      </w:r>
      <w:r w:rsidR="0051656D">
        <w:rPr>
          <w:bCs/>
          <w:sz w:val="26"/>
          <w:szCs w:val="26"/>
        </w:rPr>
        <w:t>pārsniedzot plānotos ieņēmumus par 1,8</w:t>
      </w:r>
      <w:r>
        <w:rPr>
          <w:bCs/>
          <w:sz w:val="26"/>
          <w:szCs w:val="26"/>
        </w:rPr>
        <w:t> </w:t>
      </w:r>
      <w:r w:rsidR="0051656D">
        <w:rPr>
          <w:bCs/>
          <w:sz w:val="26"/>
          <w:szCs w:val="26"/>
        </w:rPr>
        <w:t>% jeb 33,87 milj. latu;</w:t>
      </w:r>
    </w:p>
    <w:p w:rsidR="0051656D" w:rsidRDefault="00881223" w:rsidP="00881223">
      <w:pPr>
        <w:tabs>
          <w:tab w:val="left" w:pos="1134"/>
        </w:tabs>
        <w:ind w:firstLine="720"/>
        <w:jc w:val="both"/>
        <w:rPr>
          <w:bCs/>
          <w:sz w:val="26"/>
          <w:szCs w:val="26"/>
        </w:rPr>
      </w:pPr>
      <w:r>
        <w:rPr>
          <w:bCs/>
          <w:sz w:val="26"/>
          <w:szCs w:val="26"/>
        </w:rPr>
        <w:t xml:space="preserve">- </w:t>
      </w:r>
      <w:r w:rsidR="0051656D">
        <w:rPr>
          <w:bCs/>
          <w:sz w:val="26"/>
          <w:szCs w:val="26"/>
        </w:rPr>
        <w:t>pārsniedzot 2010.gada sešu mēnešu ieņēmumus par 6,8</w:t>
      </w:r>
      <w:r>
        <w:rPr>
          <w:bCs/>
          <w:sz w:val="26"/>
          <w:szCs w:val="26"/>
        </w:rPr>
        <w:t> </w:t>
      </w:r>
      <w:r w:rsidR="0051656D">
        <w:rPr>
          <w:bCs/>
          <w:sz w:val="26"/>
          <w:szCs w:val="26"/>
        </w:rPr>
        <w:t>% jeb 123,48 milj. latu.</w:t>
      </w:r>
    </w:p>
    <w:p w:rsidR="0051656D" w:rsidRDefault="0051656D" w:rsidP="00881223">
      <w:pPr>
        <w:tabs>
          <w:tab w:val="left" w:pos="1134"/>
        </w:tabs>
        <w:ind w:firstLine="720"/>
        <w:jc w:val="both"/>
        <w:rPr>
          <w:bCs/>
          <w:sz w:val="26"/>
          <w:szCs w:val="26"/>
        </w:rPr>
      </w:pPr>
      <w:r w:rsidRPr="00804726">
        <w:rPr>
          <w:bCs/>
          <w:sz w:val="26"/>
          <w:szCs w:val="26"/>
        </w:rPr>
        <w:t xml:space="preserve">2011.gada </w:t>
      </w:r>
      <w:r>
        <w:rPr>
          <w:bCs/>
          <w:sz w:val="26"/>
          <w:szCs w:val="26"/>
        </w:rPr>
        <w:t>deviņos mēnešos VID administrētie budžeta ieņēmumi ir 3 003,87</w:t>
      </w:r>
      <w:r w:rsidR="00881223">
        <w:rPr>
          <w:bCs/>
          <w:sz w:val="26"/>
          <w:szCs w:val="26"/>
        </w:rPr>
        <w:t> </w:t>
      </w:r>
      <w:r>
        <w:rPr>
          <w:bCs/>
          <w:sz w:val="26"/>
          <w:szCs w:val="26"/>
        </w:rPr>
        <w:t>milj. latu</w:t>
      </w:r>
      <w:r w:rsidR="00881223">
        <w:rPr>
          <w:bCs/>
          <w:sz w:val="26"/>
          <w:szCs w:val="26"/>
        </w:rPr>
        <w:t>:</w:t>
      </w:r>
      <w:r>
        <w:rPr>
          <w:bCs/>
          <w:sz w:val="26"/>
          <w:szCs w:val="26"/>
        </w:rPr>
        <w:t xml:space="preserve"> </w:t>
      </w:r>
    </w:p>
    <w:p w:rsidR="0051656D" w:rsidRDefault="00881223" w:rsidP="00881223">
      <w:pPr>
        <w:tabs>
          <w:tab w:val="left" w:pos="1134"/>
        </w:tabs>
        <w:ind w:left="720"/>
        <w:jc w:val="both"/>
        <w:rPr>
          <w:bCs/>
          <w:sz w:val="26"/>
          <w:szCs w:val="26"/>
        </w:rPr>
      </w:pPr>
      <w:r>
        <w:rPr>
          <w:bCs/>
          <w:sz w:val="26"/>
          <w:szCs w:val="26"/>
        </w:rPr>
        <w:t xml:space="preserve">- </w:t>
      </w:r>
      <w:r w:rsidR="0051656D">
        <w:rPr>
          <w:bCs/>
          <w:sz w:val="26"/>
          <w:szCs w:val="26"/>
        </w:rPr>
        <w:t xml:space="preserve">pārsniedzot plānotos ieņēmumus par 3,2 % jeb 94,37 milj. latu; </w:t>
      </w:r>
    </w:p>
    <w:p w:rsidR="008C0D4C" w:rsidRDefault="00881223" w:rsidP="00881223">
      <w:pPr>
        <w:tabs>
          <w:tab w:val="left" w:pos="1134"/>
        </w:tabs>
        <w:ind w:firstLine="709"/>
        <w:jc w:val="both"/>
        <w:rPr>
          <w:bCs/>
          <w:sz w:val="26"/>
          <w:szCs w:val="26"/>
        </w:rPr>
      </w:pPr>
      <w:r>
        <w:rPr>
          <w:bCs/>
          <w:sz w:val="26"/>
          <w:szCs w:val="26"/>
        </w:rPr>
        <w:t xml:space="preserve">- </w:t>
      </w:r>
      <w:r w:rsidR="0051656D">
        <w:rPr>
          <w:bCs/>
          <w:sz w:val="26"/>
          <w:szCs w:val="26"/>
        </w:rPr>
        <w:t>pārsniedzot 2010.gada deviņu mēnešu ieņēmumus par 10,6 % jeb 287,85 milj. latu.</w:t>
      </w:r>
    </w:p>
    <w:p w:rsidR="005A6A62" w:rsidRDefault="001B3C2C" w:rsidP="00DA2900">
      <w:pPr>
        <w:ind w:firstLine="709"/>
        <w:jc w:val="both"/>
      </w:pPr>
      <w:r w:rsidRPr="003A650A">
        <w:object w:dxaOrig="6506"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264.25pt" o:ole="">
            <v:imagedata r:id="rId7" o:title=""/>
          </v:shape>
          <o:OLEObject Type="Embed" ProgID="PowerPoint.Slide.12" ShapeID="_x0000_i1025" DrawAspect="Content" ObjectID="_1380101235" r:id="rId8"/>
        </w:object>
      </w:r>
    </w:p>
    <w:p w:rsidR="001B3C2C" w:rsidRDefault="001B3C2C" w:rsidP="001B3C2C">
      <w:pPr>
        <w:ind w:firstLine="709"/>
        <w:rPr>
          <w:bCs/>
        </w:rPr>
      </w:pPr>
      <w:r>
        <w:t xml:space="preserve">1.attēls. </w:t>
      </w:r>
      <w:r w:rsidRPr="001B3C2C">
        <w:rPr>
          <w:bCs/>
        </w:rPr>
        <w:t>VID administrētie budžeta ieņēmumi 2009.– 2011.gadā pa ceturkšņiem</w:t>
      </w:r>
      <w:r>
        <w:rPr>
          <w:bCs/>
        </w:rPr>
        <w:t>.</w:t>
      </w:r>
    </w:p>
    <w:p w:rsidR="001B3C2C" w:rsidRDefault="001B3C2C" w:rsidP="001B3C2C">
      <w:pPr>
        <w:ind w:firstLine="709"/>
        <w:rPr>
          <w:bCs/>
          <w:sz w:val="26"/>
          <w:szCs w:val="26"/>
        </w:rPr>
      </w:pPr>
    </w:p>
    <w:p w:rsidR="0051656D" w:rsidRDefault="0051656D" w:rsidP="00881223">
      <w:pPr>
        <w:ind w:firstLine="720"/>
        <w:jc w:val="both"/>
        <w:rPr>
          <w:bCs/>
          <w:sz w:val="26"/>
          <w:szCs w:val="26"/>
        </w:rPr>
      </w:pPr>
      <w:r>
        <w:rPr>
          <w:bCs/>
          <w:sz w:val="26"/>
          <w:szCs w:val="26"/>
        </w:rPr>
        <w:t xml:space="preserve">Jāatzīmē, ka saskaņā ar grozījumiem likumā </w:t>
      </w:r>
      <w:r w:rsidR="00881223" w:rsidRPr="00881223">
        <w:rPr>
          <w:bCs/>
          <w:sz w:val="26"/>
          <w:szCs w:val="26"/>
        </w:rPr>
        <w:t>“</w:t>
      </w:r>
      <w:r>
        <w:rPr>
          <w:bCs/>
          <w:sz w:val="26"/>
          <w:szCs w:val="26"/>
        </w:rPr>
        <w:t>Par valsts budžetu 2011.gadam”, kas stājās spēkā 2011.gada 30.aprīlī, VID administrēto budžeta ieņēmumu gada plāns tika palielināts par 103,95 milj. latu jeb 2,7</w:t>
      </w:r>
      <w:r w:rsidR="00881223">
        <w:rPr>
          <w:bCs/>
          <w:sz w:val="26"/>
          <w:szCs w:val="26"/>
        </w:rPr>
        <w:t> </w:t>
      </w:r>
      <w:r>
        <w:rPr>
          <w:bCs/>
          <w:sz w:val="26"/>
          <w:szCs w:val="26"/>
        </w:rPr>
        <w:t>%, t.sk. deviņu mēnešu plāns – par 88,72</w:t>
      </w:r>
      <w:r w:rsidR="00881223">
        <w:rPr>
          <w:bCs/>
          <w:sz w:val="26"/>
          <w:szCs w:val="26"/>
        </w:rPr>
        <w:t> </w:t>
      </w:r>
      <w:r>
        <w:rPr>
          <w:bCs/>
          <w:sz w:val="26"/>
          <w:szCs w:val="26"/>
        </w:rPr>
        <w:t>milj. latu jeb 3,1</w:t>
      </w:r>
      <w:r w:rsidR="00881223">
        <w:rPr>
          <w:bCs/>
          <w:sz w:val="26"/>
          <w:szCs w:val="26"/>
        </w:rPr>
        <w:t> </w:t>
      </w:r>
      <w:r>
        <w:rPr>
          <w:bCs/>
          <w:sz w:val="26"/>
          <w:szCs w:val="26"/>
        </w:rPr>
        <w:t>%.</w:t>
      </w:r>
    </w:p>
    <w:p w:rsidR="0051656D" w:rsidRDefault="0051656D" w:rsidP="00881223">
      <w:pPr>
        <w:ind w:firstLine="720"/>
        <w:jc w:val="both"/>
        <w:rPr>
          <w:bCs/>
          <w:sz w:val="26"/>
          <w:szCs w:val="26"/>
        </w:rPr>
      </w:pPr>
      <w:r>
        <w:rPr>
          <w:bCs/>
          <w:sz w:val="26"/>
          <w:szCs w:val="26"/>
        </w:rPr>
        <w:t>VID administrēto budžeta ieņēmumu rādītāji sadalījumā pa ieņēmumu veidiem 2011.gada sešos mēnešos atspoguļoti 1.pielikumā un 2011.gada deviņos mēnešos</w:t>
      </w:r>
      <w:r w:rsidR="00881223">
        <w:rPr>
          <w:bCs/>
          <w:sz w:val="26"/>
          <w:szCs w:val="26"/>
        </w:rPr>
        <w:t> –</w:t>
      </w:r>
      <w:r>
        <w:rPr>
          <w:bCs/>
          <w:sz w:val="26"/>
          <w:szCs w:val="26"/>
        </w:rPr>
        <w:t xml:space="preserve"> 2.pielikumā.</w:t>
      </w:r>
    </w:p>
    <w:p w:rsidR="0051656D" w:rsidRDefault="0051656D" w:rsidP="00881223">
      <w:pPr>
        <w:ind w:firstLine="720"/>
        <w:jc w:val="both"/>
        <w:rPr>
          <w:bCs/>
          <w:sz w:val="26"/>
          <w:szCs w:val="26"/>
        </w:rPr>
      </w:pPr>
      <w:r>
        <w:rPr>
          <w:bCs/>
          <w:sz w:val="26"/>
          <w:szCs w:val="26"/>
        </w:rPr>
        <w:t xml:space="preserve">VID administrēto budžeta ieņēmumu rādītājus ir ietekmējusi gan VID administrējošo darbību rezultātu uzlabošana, gan ekonomiskās situācijas stabilizēšanās, gan izmaiņas saistošajos normatīvajos aktos. </w:t>
      </w:r>
    </w:p>
    <w:p w:rsidR="00133D44" w:rsidRPr="00FF730F" w:rsidRDefault="0051656D" w:rsidP="00881223">
      <w:pPr>
        <w:ind w:firstLine="720"/>
        <w:jc w:val="both"/>
        <w:rPr>
          <w:sz w:val="26"/>
          <w:szCs w:val="26"/>
        </w:rPr>
      </w:pPr>
      <w:r>
        <w:rPr>
          <w:bCs/>
          <w:sz w:val="26"/>
          <w:szCs w:val="26"/>
        </w:rPr>
        <w:t>Tiek prognozēts,</w:t>
      </w:r>
      <w:r w:rsidR="00881223">
        <w:rPr>
          <w:bCs/>
          <w:sz w:val="26"/>
          <w:szCs w:val="26"/>
        </w:rPr>
        <w:t xml:space="preserve"> ka,</w:t>
      </w:r>
      <w:r>
        <w:rPr>
          <w:bCs/>
          <w:sz w:val="26"/>
          <w:szCs w:val="26"/>
        </w:rPr>
        <w:t xml:space="preserve"> </w:t>
      </w:r>
      <w:r w:rsidR="00881223">
        <w:rPr>
          <w:bCs/>
          <w:sz w:val="26"/>
          <w:szCs w:val="26"/>
        </w:rPr>
        <w:t xml:space="preserve">īstenojot </w:t>
      </w:r>
      <w:r w:rsidR="005A32F2">
        <w:rPr>
          <w:bCs/>
          <w:sz w:val="26"/>
          <w:szCs w:val="26"/>
        </w:rPr>
        <w:t>ēnu ekonomikas apkarošanas un godīgas konkurences veicināšana</w:t>
      </w:r>
      <w:r w:rsidR="009808CF">
        <w:rPr>
          <w:bCs/>
          <w:sz w:val="26"/>
          <w:szCs w:val="26"/>
        </w:rPr>
        <w:t>s pasākumus</w:t>
      </w:r>
      <w:r w:rsidR="005A32F2">
        <w:rPr>
          <w:bCs/>
          <w:sz w:val="26"/>
          <w:szCs w:val="26"/>
        </w:rPr>
        <w:t>, tiks nodrošināta nodokļu iekasēšanas būtiska uzlabošana</w:t>
      </w:r>
      <w:r w:rsidR="009808CF">
        <w:rPr>
          <w:bCs/>
          <w:sz w:val="26"/>
          <w:szCs w:val="26"/>
        </w:rPr>
        <w:t xml:space="preserve"> un</w:t>
      </w:r>
      <w:r>
        <w:rPr>
          <w:bCs/>
          <w:sz w:val="26"/>
          <w:szCs w:val="26"/>
        </w:rPr>
        <w:t xml:space="preserve"> </w:t>
      </w:r>
      <w:r w:rsidRPr="009808CF">
        <w:rPr>
          <w:bCs/>
          <w:sz w:val="26"/>
          <w:szCs w:val="26"/>
        </w:rPr>
        <w:t xml:space="preserve">kopējā VID administrēto valsts budžeta ieņēmumu plāna izpilde 2011.gadam tiks nodrošināta </w:t>
      </w:r>
      <w:r w:rsidR="009808CF" w:rsidRPr="009808CF">
        <w:rPr>
          <w:bCs/>
          <w:sz w:val="26"/>
          <w:szCs w:val="26"/>
        </w:rPr>
        <w:t xml:space="preserve">102% apmērā, virs plāna iekasējot 78,52 milj. latu. </w:t>
      </w:r>
    </w:p>
    <w:p w:rsidR="004B3EA8" w:rsidRPr="00FF730F" w:rsidRDefault="004B3EA8" w:rsidP="005A32F2">
      <w:pPr>
        <w:ind w:left="720"/>
        <w:jc w:val="both"/>
        <w:rPr>
          <w:sz w:val="26"/>
          <w:szCs w:val="26"/>
        </w:rPr>
      </w:pPr>
    </w:p>
    <w:p w:rsidR="00661370" w:rsidRPr="00FF730F" w:rsidRDefault="007C05FF" w:rsidP="00881223">
      <w:pPr>
        <w:numPr>
          <w:ilvl w:val="0"/>
          <w:numId w:val="12"/>
        </w:numPr>
        <w:ind w:left="0" w:firstLine="0"/>
        <w:jc w:val="center"/>
        <w:rPr>
          <w:sz w:val="26"/>
          <w:szCs w:val="26"/>
        </w:rPr>
      </w:pPr>
      <w:r>
        <w:rPr>
          <w:b/>
          <w:sz w:val="26"/>
          <w:szCs w:val="26"/>
        </w:rPr>
        <w:t xml:space="preserve">Finanšu ministrijas un VID attīstības plānošanas dokumenti </w:t>
      </w:r>
      <w:r w:rsidR="00881223">
        <w:rPr>
          <w:b/>
          <w:sz w:val="26"/>
          <w:szCs w:val="26"/>
        </w:rPr>
        <w:br/>
      </w:r>
      <w:r>
        <w:rPr>
          <w:b/>
          <w:sz w:val="26"/>
          <w:szCs w:val="26"/>
        </w:rPr>
        <w:t xml:space="preserve">nodokļu iekasēšanas uzlabošanai </w:t>
      </w:r>
    </w:p>
    <w:p w:rsidR="00211C92" w:rsidRPr="00FF730F" w:rsidRDefault="00211C92" w:rsidP="00401A3C">
      <w:pPr>
        <w:ind w:firstLine="720"/>
        <w:jc w:val="both"/>
        <w:rPr>
          <w:sz w:val="26"/>
          <w:szCs w:val="26"/>
          <w:highlight w:val="yellow"/>
        </w:rPr>
      </w:pPr>
    </w:p>
    <w:p w:rsidR="001439EA" w:rsidRDefault="008C0D6A" w:rsidP="00881223">
      <w:pPr>
        <w:ind w:firstLine="720"/>
        <w:jc w:val="both"/>
        <w:rPr>
          <w:sz w:val="26"/>
          <w:szCs w:val="26"/>
        </w:rPr>
      </w:pPr>
      <w:r>
        <w:rPr>
          <w:sz w:val="26"/>
          <w:szCs w:val="26"/>
        </w:rPr>
        <w:t>Nodokļu iekasēšanas uzlabošanai un ēnu ekonomikas apkarošanai 2011.gadā VID darbība galvenokārt tiek veikta</w:t>
      </w:r>
      <w:r w:rsidR="00881223">
        <w:rPr>
          <w:sz w:val="26"/>
          <w:szCs w:val="26"/>
        </w:rPr>
        <w:t>,</w:t>
      </w:r>
      <w:r>
        <w:rPr>
          <w:sz w:val="26"/>
          <w:szCs w:val="26"/>
        </w:rPr>
        <w:t xml:space="preserve"> īstenojot</w:t>
      </w:r>
      <w:r w:rsidR="001439EA">
        <w:rPr>
          <w:sz w:val="26"/>
          <w:szCs w:val="26"/>
        </w:rPr>
        <w:t>:</w:t>
      </w:r>
    </w:p>
    <w:p w:rsidR="001439EA" w:rsidRPr="001439EA" w:rsidRDefault="008C0D6A" w:rsidP="00881223">
      <w:pPr>
        <w:numPr>
          <w:ilvl w:val="0"/>
          <w:numId w:val="15"/>
        </w:numPr>
        <w:tabs>
          <w:tab w:val="left" w:pos="993"/>
        </w:tabs>
        <w:ind w:left="0" w:firstLine="720"/>
        <w:jc w:val="both"/>
        <w:rPr>
          <w:bCs/>
          <w:sz w:val="26"/>
          <w:szCs w:val="26"/>
        </w:rPr>
      </w:pPr>
      <w:r>
        <w:rPr>
          <w:sz w:val="26"/>
          <w:szCs w:val="26"/>
        </w:rPr>
        <w:t xml:space="preserve">ar Ministru kabineta 2010.gada 26.augusta rīkojumu Nr.513 apstiprinātā </w:t>
      </w:r>
      <w:r w:rsidR="00881223" w:rsidRPr="00881223">
        <w:rPr>
          <w:sz w:val="26"/>
          <w:szCs w:val="26"/>
        </w:rPr>
        <w:t>“</w:t>
      </w:r>
      <w:r>
        <w:rPr>
          <w:sz w:val="26"/>
          <w:szCs w:val="26"/>
        </w:rPr>
        <w:t>Pasākumu plāna ēnu ekonomikas apkarošanai un godīgas konkurences nodrošināšanai 2010.</w:t>
      </w:r>
      <w:r w:rsidR="00881223">
        <w:rPr>
          <w:sz w:val="26"/>
          <w:szCs w:val="26"/>
        </w:rPr>
        <w:t>–</w:t>
      </w:r>
      <w:r>
        <w:rPr>
          <w:sz w:val="26"/>
          <w:szCs w:val="26"/>
        </w:rPr>
        <w:t>2013.gadam” pasākumus</w:t>
      </w:r>
      <w:r w:rsidR="00881223">
        <w:rPr>
          <w:sz w:val="26"/>
          <w:szCs w:val="26"/>
        </w:rPr>
        <w:t>;</w:t>
      </w:r>
    </w:p>
    <w:p w:rsidR="001439EA" w:rsidRPr="001439EA" w:rsidRDefault="001439EA" w:rsidP="00881223">
      <w:pPr>
        <w:numPr>
          <w:ilvl w:val="0"/>
          <w:numId w:val="15"/>
        </w:numPr>
        <w:tabs>
          <w:tab w:val="left" w:pos="993"/>
        </w:tabs>
        <w:ind w:left="0" w:firstLine="720"/>
        <w:jc w:val="both"/>
        <w:rPr>
          <w:bCs/>
          <w:sz w:val="26"/>
          <w:szCs w:val="26"/>
        </w:rPr>
      </w:pPr>
      <w:r>
        <w:rPr>
          <w:sz w:val="26"/>
          <w:szCs w:val="26"/>
        </w:rPr>
        <w:t xml:space="preserve">2010.gada 28.oktobrī apstiprinātās </w:t>
      </w:r>
      <w:r w:rsidR="00315698" w:rsidRPr="001439EA">
        <w:rPr>
          <w:sz w:val="26"/>
          <w:szCs w:val="26"/>
        </w:rPr>
        <w:t>VID nodokļu saistību izpildes stratēģij</w:t>
      </w:r>
      <w:r>
        <w:rPr>
          <w:sz w:val="26"/>
          <w:szCs w:val="26"/>
        </w:rPr>
        <w:t>as</w:t>
      </w:r>
      <w:r w:rsidR="00315698" w:rsidRPr="001439EA">
        <w:rPr>
          <w:sz w:val="26"/>
          <w:szCs w:val="26"/>
        </w:rPr>
        <w:t xml:space="preserve"> 2010.</w:t>
      </w:r>
      <w:r w:rsidR="00881223">
        <w:rPr>
          <w:sz w:val="26"/>
          <w:szCs w:val="26"/>
        </w:rPr>
        <w:t>–</w:t>
      </w:r>
      <w:r w:rsidR="00315698" w:rsidRPr="001439EA">
        <w:rPr>
          <w:sz w:val="26"/>
          <w:szCs w:val="26"/>
        </w:rPr>
        <w:t>2013.gadam</w:t>
      </w:r>
      <w:r w:rsidR="00315698" w:rsidRPr="00182799">
        <w:rPr>
          <w:b/>
        </w:rPr>
        <w:t xml:space="preserve"> </w:t>
      </w:r>
      <w:r w:rsidRPr="001439EA">
        <w:rPr>
          <w:sz w:val="26"/>
          <w:szCs w:val="26"/>
        </w:rPr>
        <w:t>īstenošanas plāna uzdevumus</w:t>
      </w:r>
      <w:r w:rsidR="00881223">
        <w:rPr>
          <w:sz w:val="26"/>
          <w:szCs w:val="26"/>
        </w:rPr>
        <w:t>;</w:t>
      </w:r>
    </w:p>
    <w:p w:rsidR="001439EA" w:rsidRDefault="001439EA" w:rsidP="00881223">
      <w:pPr>
        <w:numPr>
          <w:ilvl w:val="0"/>
          <w:numId w:val="15"/>
        </w:numPr>
        <w:tabs>
          <w:tab w:val="left" w:pos="993"/>
        </w:tabs>
        <w:ind w:left="0" w:firstLine="720"/>
        <w:jc w:val="both"/>
        <w:rPr>
          <w:bCs/>
          <w:sz w:val="26"/>
          <w:szCs w:val="26"/>
        </w:rPr>
      </w:pPr>
      <w:r>
        <w:rPr>
          <w:bCs/>
          <w:sz w:val="26"/>
          <w:szCs w:val="26"/>
        </w:rPr>
        <w:t xml:space="preserve">2011.gada 16.februārī apstiprinātās </w:t>
      </w:r>
      <w:r w:rsidR="00315698" w:rsidRPr="001439EA">
        <w:rPr>
          <w:bCs/>
          <w:sz w:val="26"/>
          <w:szCs w:val="26"/>
        </w:rPr>
        <w:t>VID darbības un attīstības stratēģija</w:t>
      </w:r>
      <w:r w:rsidRPr="001439EA">
        <w:rPr>
          <w:bCs/>
          <w:sz w:val="26"/>
          <w:szCs w:val="26"/>
        </w:rPr>
        <w:t>s</w:t>
      </w:r>
      <w:r w:rsidR="00315698" w:rsidRPr="001439EA">
        <w:rPr>
          <w:bCs/>
          <w:sz w:val="26"/>
          <w:szCs w:val="26"/>
        </w:rPr>
        <w:t xml:space="preserve"> 2011.</w:t>
      </w:r>
      <w:r w:rsidR="00881223">
        <w:rPr>
          <w:bCs/>
          <w:sz w:val="26"/>
          <w:szCs w:val="26"/>
        </w:rPr>
        <w:t>–</w:t>
      </w:r>
      <w:r w:rsidR="00315698" w:rsidRPr="001439EA">
        <w:rPr>
          <w:bCs/>
          <w:sz w:val="26"/>
          <w:szCs w:val="26"/>
        </w:rPr>
        <w:t>2013.gadam</w:t>
      </w:r>
      <w:r>
        <w:rPr>
          <w:bCs/>
          <w:sz w:val="26"/>
          <w:szCs w:val="26"/>
        </w:rPr>
        <w:t xml:space="preserve"> īstenošanas plāna uzdevumus.</w:t>
      </w:r>
    </w:p>
    <w:p w:rsidR="00315698" w:rsidRDefault="00E5309F" w:rsidP="00EC42DB">
      <w:pPr>
        <w:ind w:firstLine="709"/>
        <w:jc w:val="both"/>
        <w:rPr>
          <w:sz w:val="26"/>
          <w:szCs w:val="26"/>
        </w:rPr>
      </w:pPr>
      <w:r>
        <w:rPr>
          <w:sz w:val="26"/>
          <w:szCs w:val="26"/>
        </w:rPr>
        <w:t xml:space="preserve">Līdz ar </w:t>
      </w:r>
      <w:r w:rsidR="001439EA" w:rsidRPr="001439EA">
        <w:rPr>
          <w:sz w:val="26"/>
          <w:szCs w:val="26"/>
        </w:rPr>
        <w:t>VID nodokļu saistību izpildes stratēģij</w:t>
      </w:r>
      <w:r w:rsidR="001439EA">
        <w:rPr>
          <w:sz w:val="26"/>
          <w:szCs w:val="26"/>
        </w:rPr>
        <w:t>a</w:t>
      </w:r>
      <w:r>
        <w:rPr>
          <w:sz w:val="26"/>
          <w:szCs w:val="26"/>
        </w:rPr>
        <w:t>s</w:t>
      </w:r>
      <w:r w:rsidR="001439EA" w:rsidRPr="001439EA">
        <w:rPr>
          <w:sz w:val="26"/>
          <w:szCs w:val="26"/>
        </w:rPr>
        <w:t xml:space="preserve"> 2010.</w:t>
      </w:r>
      <w:r w:rsidR="00881223">
        <w:rPr>
          <w:sz w:val="26"/>
          <w:szCs w:val="26"/>
        </w:rPr>
        <w:t>–</w:t>
      </w:r>
      <w:r w:rsidR="001439EA" w:rsidRPr="001439EA">
        <w:rPr>
          <w:sz w:val="26"/>
          <w:szCs w:val="26"/>
        </w:rPr>
        <w:t>2013.gadam</w:t>
      </w:r>
      <w:r w:rsidR="00315698" w:rsidRPr="001439EA">
        <w:rPr>
          <w:bCs/>
          <w:sz w:val="26"/>
          <w:szCs w:val="26"/>
        </w:rPr>
        <w:t xml:space="preserve"> </w:t>
      </w:r>
      <w:r w:rsidR="001439EA">
        <w:rPr>
          <w:bCs/>
          <w:sz w:val="26"/>
          <w:szCs w:val="26"/>
        </w:rPr>
        <w:t>izstrād</w:t>
      </w:r>
      <w:r>
        <w:rPr>
          <w:bCs/>
          <w:sz w:val="26"/>
          <w:szCs w:val="26"/>
        </w:rPr>
        <w:t>i un īstenošanas uzsākšanu tika panākta jauna pieeja darbības plānošanā, kas sekmēja būtisku nodokļu iekasēšanas uzlabošanu. Šī stratēģija tika izstrādāta</w:t>
      </w:r>
      <w:r w:rsidR="001439EA">
        <w:rPr>
          <w:bCs/>
          <w:sz w:val="26"/>
          <w:szCs w:val="26"/>
        </w:rPr>
        <w:t xml:space="preserve"> saskaņā ar </w:t>
      </w:r>
      <w:r>
        <w:rPr>
          <w:bCs/>
          <w:sz w:val="26"/>
          <w:szCs w:val="26"/>
        </w:rPr>
        <w:t xml:space="preserve">riska pārvaldības principiem un </w:t>
      </w:r>
      <w:r w:rsidR="001439EA">
        <w:rPr>
          <w:bCs/>
          <w:sz w:val="26"/>
          <w:szCs w:val="26"/>
        </w:rPr>
        <w:t>Starptautiskā Valūtas fonda</w:t>
      </w:r>
      <w:r w:rsidR="00356D0F" w:rsidRPr="00356D0F">
        <w:rPr>
          <w:sz w:val="28"/>
          <w:szCs w:val="28"/>
        </w:rPr>
        <w:t xml:space="preserve"> </w:t>
      </w:r>
      <w:r w:rsidR="00356D0F" w:rsidRPr="00356D0F">
        <w:rPr>
          <w:sz w:val="26"/>
          <w:szCs w:val="26"/>
        </w:rPr>
        <w:t>(turpmāk – SVF)</w:t>
      </w:r>
      <w:r w:rsidR="00356D0F">
        <w:rPr>
          <w:sz w:val="28"/>
          <w:szCs w:val="28"/>
        </w:rPr>
        <w:t xml:space="preserve"> </w:t>
      </w:r>
      <w:r w:rsidR="00356D0F" w:rsidRPr="00356D0F">
        <w:rPr>
          <w:sz w:val="26"/>
          <w:szCs w:val="26"/>
        </w:rPr>
        <w:t>Fiskālo lietu departamenta 2010.gada septembra tehniskās palīdzības ziņojuma ieteikumiem</w:t>
      </w:r>
      <w:r w:rsidR="00881223">
        <w:rPr>
          <w:sz w:val="26"/>
          <w:szCs w:val="26"/>
        </w:rPr>
        <w:t>,</w:t>
      </w:r>
      <w:r w:rsidR="00356D0F">
        <w:rPr>
          <w:sz w:val="26"/>
          <w:szCs w:val="26"/>
        </w:rPr>
        <w:t xml:space="preserve"> un </w:t>
      </w:r>
      <w:r>
        <w:rPr>
          <w:sz w:val="26"/>
          <w:szCs w:val="26"/>
        </w:rPr>
        <w:t xml:space="preserve">tā tika </w:t>
      </w:r>
      <w:r w:rsidR="00356D0F">
        <w:rPr>
          <w:sz w:val="26"/>
          <w:szCs w:val="26"/>
        </w:rPr>
        <w:t>atzinīgi novērtēta SVF tehniskās palīdzības 2011.gada jūnija misijas laikā.</w:t>
      </w:r>
    </w:p>
    <w:p w:rsidR="00A50CC9" w:rsidRDefault="00A50CC9" w:rsidP="00EC42DB">
      <w:pPr>
        <w:ind w:firstLine="709"/>
        <w:jc w:val="both"/>
        <w:rPr>
          <w:sz w:val="26"/>
          <w:szCs w:val="26"/>
        </w:rPr>
      </w:pPr>
      <w:r>
        <w:rPr>
          <w:sz w:val="26"/>
          <w:szCs w:val="26"/>
        </w:rPr>
        <w:t xml:space="preserve">Nodokļu administrēšanas darbības turpmākai uzlabošanai 2011.gada 9.septembrī finanšu ministrs apstiprināja Finanšu ministrijas resora plānu nodokļu administrēšanas uzlabošanai 2011.−2013.gadam, kurā iekļauti pasākumi SVF tehniskās palīdzības misijas 2011.gada augusta ziņojumā </w:t>
      </w:r>
      <w:r w:rsidR="00881223" w:rsidRPr="00881223">
        <w:rPr>
          <w:sz w:val="26"/>
          <w:szCs w:val="26"/>
        </w:rPr>
        <w:t>“</w:t>
      </w:r>
      <w:r>
        <w:rPr>
          <w:sz w:val="26"/>
          <w:szCs w:val="26"/>
        </w:rPr>
        <w:t>Nodokļu administrācijas prioritātes ēnu ekonomikas apkarošanai” sniegto rekomendāciju ieviešanai.</w:t>
      </w:r>
    </w:p>
    <w:p w:rsidR="0027006F" w:rsidRDefault="00EC42DB" w:rsidP="00EC42DB">
      <w:pPr>
        <w:ind w:firstLine="709"/>
        <w:jc w:val="both"/>
        <w:rPr>
          <w:sz w:val="26"/>
          <w:szCs w:val="26"/>
        </w:rPr>
      </w:pPr>
      <w:r>
        <w:rPr>
          <w:sz w:val="26"/>
          <w:szCs w:val="26"/>
        </w:rPr>
        <w:t xml:space="preserve">Nodokļu iekasēšanas uzlabošanas un ēnu ekonomikas apkarošanas </w:t>
      </w:r>
      <w:r w:rsidR="00EE3150">
        <w:rPr>
          <w:sz w:val="26"/>
          <w:szCs w:val="26"/>
        </w:rPr>
        <w:t xml:space="preserve">preventīvie, uzraudzības un kontroles </w:t>
      </w:r>
      <w:r>
        <w:rPr>
          <w:sz w:val="26"/>
          <w:szCs w:val="26"/>
        </w:rPr>
        <w:t xml:space="preserve">pasākumi VID tiek īstenoti </w:t>
      </w:r>
      <w:r w:rsidR="00A61201">
        <w:rPr>
          <w:sz w:val="26"/>
          <w:szCs w:val="26"/>
        </w:rPr>
        <w:t>šādos</w:t>
      </w:r>
      <w:r>
        <w:rPr>
          <w:sz w:val="26"/>
          <w:szCs w:val="26"/>
        </w:rPr>
        <w:t xml:space="preserve"> pamata </w:t>
      </w:r>
      <w:r w:rsidR="00873924">
        <w:rPr>
          <w:sz w:val="26"/>
          <w:szCs w:val="26"/>
        </w:rPr>
        <w:t>virzienos, kuri atspoguļo būtiskākos nodokļu ieņēmumu</w:t>
      </w:r>
      <w:r w:rsidR="00A61201">
        <w:rPr>
          <w:sz w:val="26"/>
          <w:szCs w:val="26"/>
        </w:rPr>
        <w:t>s</w:t>
      </w:r>
      <w:r w:rsidR="00873924">
        <w:rPr>
          <w:sz w:val="26"/>
          <w:szCs w:val="26"/>
        </w:rPr>
        <w:t xml:space="preserve"> </w:t>
      </w:r>
      <w:r w:rsidR="00A61201">
        <w:rPr>
          <w:sz w:val="26"/>
          <w:szCs w:val="26"/>
        </w:rPr>
        <w:t xml:space="preserve">apdraudošos </w:t>
      </w:r>
      <w:r w:rsidR="00873924">
        <w:rPr>
          <w:sz w:val="26"/>
          <w:szCs w:val="26"/>
        </w:rPr>
        <w:t>riskus:</w:t>
      </w:r>
    </w:p>
    <w:p w:rsidR="00A61201" w:rsidRDefault="00881223" w:rsidP="00F55147">
      <w:pPr>
        <w:numPr>
          <w:ilvl w:val="0"/>
          <w:numId w:val="15"/>
        </w:numPr>
        <w:tabs>
          <w:tab w:val="left" w:pos="993"/>
        </w:tabs>
        <w:ind w:left="0" w:firstLine="720"/>
        <w:jc w:val="both"/>
        <w:rPr>
          <w:sz w:val="26"/>
          <w:szCs w:val="26"/>
        </w:rPr>
      </w:pPr>
      <w:r>
        <w:rPr>
          <w:sz w:val="26"/>
          <w:szCs w:val="26"/>
        </w:rPr>
        <w:t>p</w:t>
      </w:r>
      <w:r w:rsidR="00A61201">
        <w:rPr>
          <w:sz w:val="26"/>
          <w:szCs w:val="26"/>
        </w:rPr>
        <w:t>ilnīgas nodokļu saistību izpildes veicināšana, atklājot un novēršot ienākumu un darījumu nedeklarēšanu</w:t>
      </w:r>
      <w:r w:rsidR="00E5009A">
        <w:rPr>
          <w:sz w:val="26"/>
          <w:szCs w:val="26"/>
        </w:rPr>
        <w:t xml:space="preserve"> un </w:t>
      </w:r>
      <w:r>
        <w:rPr>
          <w:sz w:val="26"/>
          <w:szCs w:val="26"/>
        </w:rPr>
        <w:t xml:space="preserve">krāpšanu saistībā ar </w:t>
      </w:r>
      <w:r w:rsidR="00E5009A">
        <w:rPr>
          <w:sz w:val="26"/>
          <w:szCs w:val="26"/>
        </w:rPr>
        <w:t>pievienotās vērtības nodok</w:t>
      </w:r>
      <w:r>
        <w:rPr>
          <w:sz w:val="26"/>
          <w:szCs w:val="26"/>
        </w:rPr>
        <w:t>li</w:t>
      </w:r>
      <w:r w:rsidR="00E5009A">
        <w:rPr>
          <w:sz w:val="26"/>
          <w:szCs w:val="26"/>
        </w:rPr>
        <w:t xml:space="preserve"> (</w:t>
      </w:r>
      <w:r w:rsidR="00E5009A" w:rsidRPr="00356D0F">
        <w:rPr>
          <w:sz w:val="26"/>
          <w:szCs w:val="26"/>
        </w:rPr>
        <w:t>turpmāk –</w:t>
      </w:r>
      <w:r w:rsidR="00E5009A">
        <w:rPr>
          <w:sz w:val="26"/>
          <w:szCs w:val="26"/>
        </w:rPr>
        <w:t xml:space="preserve"> PVN)</w:t>
      </w:r>
      <w:r w:rsidR="00A61201">
        <w:rPr>
          <w:sz w:val="26"/>
          <w:szCs w:val="26"/>
        </w:rPr>
        <w:t>;</w:t>
      </w:r>
    </w:p>
    <w:p w:rsidR="00873924" w:rsidRDefault="00F55147" w:rsidP="00F55147">
      <w:pPr>
        <w:numPr>
          <w:ilvl w:val="0"/>
          <w:numId w:val="15"/>
        </w:numPr>
        <w:tabs>
          <w:tab w:val="left" w:pos="993"/>
        </w:tabs>
        <w:ind w:left="0" w:firstLine="720"/>
        <w:jc w:val="both"/>
        <w:rPr>
          <w:sz w:val="26"/>
          <w:szCs w:val="26"/>
        </w:rPr>
      </w:pPr>
      <w:r>
        <w:rPr>
          <w:sz w:val="26"/>
          <w:szCs w:val="26"/>
        </w:rPr>
        <w:t>c</w:t>
      </w:r>
      <w:r w:rsidR="00DD6F5C">
        <w:rPr>
          <w:sz w:val="26"/>
          <w:szCs w:val="26"/>
        </w:rPr>
        <w:t>īņa pret nelegālo</w:t>
      </w:r>
      <w:r w:rsidR="00873924">
        <w:rPr>
          <w:sz w:val="26"/>
          <w:szCs w:val="26"/>
        </w:rPr>
        <w:t xml:space="preserve"> nodarbinātību un algu izmaksām aploksnēs;</w:t>
      </w:r>
    </w:p>
    <w:p w:rsidR="00873924" w:rsidRDefault="00F55147" w:rsidP="00F55147">
      <w:pPr>
        <w:numPr>
          <w:ilvl w:val="0"/>
          <w:numId w:val="15"/>
        </w:numPr>
        <w:tabs>
          <w:tab w:val="left" w:pos="993"/>
        </w:tabs>
        <w:ind w:left="0" w:firstLine="720"/>
        <w:jc w:val="both"/>
        <w:rPr>
          <w:sz w:val="26"/>
          <w:szCs w:val="26"/>
        </w:rPr>
      </w:pPr>
      <w:r>
        <w:rPr>
          <w:sz w:val="26"/>
          <w:szCs w:val="26"/>
        </w:rPr>
        <w:t>a</w:t>
      </w:r>
      <w:r w:rsidR="00873924">
        <w:rPr>
          <w:sz w:val="26"/>
          <w:szCs w:val="26"/>
        </w:rPr>
        <w:t>kcīzes preču kontrabandas un nelegālās tirdzniecības apkarošana;</w:t>
      </w:r>
    </w:p>
    <w:p w:rsidR="000B3A2C" w:rsidRDefault="00F55147" w:rsidP="00F55147">
      <w:pPr>
        <w:numPr>
          <w:ilvl w:val="0"/>
          <w:numId w:val="15"/>
        </w:numPr>
        <w:tabs>
          <w:tab w:val="left" w:pos="993"/>
        </w:tabs>
        <w:ind w:left="0" w:firstLine="720"/>
        <w:jc w:val="both"/>
        <w:rPr>
          <w:sz w:val="26"/>
          <w:szCs w:val="26"/>
        </w:rPr>
      </w:pPr>
      <w:r>
        <w:rPr>
          <w:sz w:val="26"/>
          <w:szCs w:val="26"/>
        </w:rPr>
        <w:lastRenderedPageBreak/>
        <w:t>n</w:t>
      </w:r>
      <w:r w:rsidR="0013599B">
        <w:rPr>
          <w:sz w:val="26"/>
          <w:szCs w:val="26"/>
        </w:rPr>
        <w:t>oziedzīgu nodarījumu atklāšana un novēršana valsts ieņēmumu jomā.</w:t>
      </w:r>
    </w:p>
    <w:p w:rsidR="00EE3150" w:rsidRDefault="00EE3150" w:rsidP="00EE3150">
      <w:pPr>
        <w:ind w:left="360"/>
        <w:jc w:val="both"/>
        <w:rPr>
          <w:sz w:val="26"/>
          <w:szCs w:val="26"/>
        </w:rPr>
      </w:pPr>
    </w:p>
    <w:p w:rsidR="00E5009A" w:rsidRDefault="00E5009A" w:rsidP="00F55147">
      <w:pPr>
        <w:numPr>
          <w:ilvl w:val="0"/>
          <w:numId w:val="12"/>
        </w:numPr>
        <w:ind w:left="0" w:firstLine="0"/>
        <w:jc w:val="center"/>
        <w:rPr>
          <w:b/>
          <w:sz w:val="26"/>
          <w:szCs w:val="26"/>
        </w:rPr>
      </w:pPr>
      <w:r w:rsidRPr="001B681D">
        <w:rPr>
          <w:b/>
          <w:sz w:val="26"/>
          <w:szCs w:val="26"/>
        </w:rPr>
        <w:t xml:space="preserve">Pilnīgas nodokļu saistību izpildes veicināšana, atklājot un novēršot ienākumu un darījumu nedeklarēšanu un </w:t>
      </w:r>
      <w:r w:rsidR="00F55147">
        <w:rPr>
          <w:b/>
          <w:sz w:val="26"/>
          <w:szCs w:val="26"/>
        </w:rPr>
        <w:t xml:space="preserve">krāpšanu saistībā ar </w:t>
      </w:r>
      <w:r w:rsidRPr="001B681D">
        <w:rPr>
          <w:b/>
          <w:sz w:val="26"/>
          <w:szCs w:val="26"/>
        </w:rPr>
        <w:t xml:space="preserve">PVN </w:t>
      </w:r>
    </w:p>
    <w:p w:rsidR="00C15297" w:rsidRPr="001B681D" w:rsidRDefault="00C15297" w:rsidP="00C15297">
      <w:pPr>
        <w:ind w:left="360"/>
        <w:jc w:val="center"/>
        <w:rPr>
          <w:b/>
          <w:sz w:val="26"/>
          <w:szCs w:val="26"/>
        </w:rPr>
      </w:pPr>
    </w:p>
    <w:p w:rsidR="00AF3399" w:rsidRDefault="00EF1F80" w:rsidP="00AF3399">
      <w:pPr>
        <w:ind w:firstLine="709"/>
        <w:jc w:val="both"/>
        <w:rPr>
          <w:sz w:val="26"/>
          <w:szCs w:val="26"/>
        </w:rPr>
      </w:pPr>
      <w:r>
        <w:rPr>
          <w:sz w:val="26"/>
          <w:szCs w:val="26"/>
        </w:rPr>
        <w:t>Lai veicinātu p</w:t>
      </w:r>
      <w:r w:rsidRPr="00EF1F80">
        <w:rPr>
          <w:sz w:val="26"/>
          <w:szCs w:val="26"/>
        </w:rPr>
        <w:t>ilnīg</w:t>
      </w:r>
      <w:r>
        <w:rPr>
          <w:sz w:val="26"/>
          <w:szCs w:val="26"/>
        </w:rPr>
        <w:t>u</w:t>
      </w:r>
      <w:r w:rsidRPr="00EF1F80">
        <w:rPr>
          <w:sz w:val="26"/>
          <w:szCs w:val="26"/>
        </w:rPr>
        <w:t xml:space="preserve"> nodokļu saistību izpild</w:t>
      </w:r>
      <w:r>
        <w:rPr>
          <w:sz w:val="26"/>
          <w:szCs w:val="26"/>
        </w:rPr>
        <w:t xml:space="preserve">i, </w:t>
      </w:r>
      <w:r w:rsidRPr="00EF1F80">
        <w:rPr>
          <w:sz w:val="26"/>
          <w:szCs w:val="26"/>
        </w:rPr>
        <w:t>atklājot un novēršot ienākumu un darījumu nedeklarēšanu</w:t>
      </w:r>
      <w:r>
        <w:rPr>
          <w:sz w:val="26"/>
          <w:szCs w:val="26"/>
        </w:rPr>
        <w:t xml:space="preserve">, kā arī </w:t>
      </w:r>
      <w:r w:rsidR="00F55147">
        <w:rPr>
          <w:sz w:val="26"/>
          <w:szCs w:val="26"/>
        </w:rPr>
        <w:t xml:space="preserve">krāpšanu saistībā ar </w:t>
      </w:r>
      <w:r w:rsidRPr="00EF1F80">
        <w:rPr>
          <w:sz w:val="26"/>
          <w:szCs w:val="26"/>
        </w:rPr>
        <w:t>PVN</w:t>
      </w:r>
      <w:r w:rsidR="00AF3399">
        <w:rPr>
          <w:sz w:val="26"/>
          <w:szCs w:val="26"/>
        </w:rPr>
        <w:t>,</w:t>
      </w:r>
      <w:r w:rsidR="00AF3399" w:rsidRPr="00AF3399">
        <w:rPr>
          <w:sz w:val="26"/>
          <w:szCs w:val="26"/>
        </w:rPr>
        <w:t xml:space="preserve"> </w:t>
      </w:r>
      <w:r w:rsidR="00AF3399">
        <w:rPr>
          <w:sz w:val="26"/>
          <w:szCs w:val="26"/>
        </w:rPr>
        <w:t>VID veic gan preventīvos, gan uzraudzības, gan kontroles pasākumus.</w:t>
      </w:r>
    </w:p>
    <w:p w:rsidR="00AF3399" w:rsidRDefault="00AF3399" w:rsidP="00C40933">
      <w:pPr>
        <w:ind w:firstLine="709"/>
        <w:jc w:val="both"/>
        <w:rPr>
          <w:sz w:val="26"/>
          <w:szCs w:val="26"/>
        </w:rPr>
      </w:pPr>
      <w:r>
        <w:rPr>
          <w:sz w:val="26"/>
          <w:szCs w:val="26"/>
        </w:rPr>
        <w:t>S</w:t>
      </w:r>
      <w:r w:rsidR="00C40933" w:rsidRPr="00DA75E9">
        <w:rPr>
          <w:sz w:val="26"/>
          <w:szCs w:val="26"/>
        </w:rPr>
        <w:t>ākot ar 2010.gada 1.jūliju</w:t>
      </w:r>
      <w:r>
        <w:rPr>
          <w:sz w:val="26"/>
          <w:szCs w:val="26"/>
        </w:rPr>
        <w:t>,</w:t>
      </w:r>
      <w:r w:rsidR="00C40933">
        <w:rPr>
          <w:sz w:val="26"/>
          <w:szCs w:val="26"/>
        </w:rPr>
        <w:t xml:space="preserve"> VID ir ieviesta jauna </w:t>
      </w:r>
      <w:r w:rsidR="00C40933" w:rsidRPr="00DA75E9">
        <w:rPr>
          <w:sz w:val="26"/>
          <w:szCs w:val="26"/>
        </w:rPr>
        <w:t xml:space="preserve">PVN pārmaksas </w:t>
      </w:r>
      <w:r>
        <w:rPr>
          <w:sz w:val="26"/>
          <w:szCs w:val="26"/>
        </w:rPr>
        <w:t>izvērtēšanas</w:t>
      </w:r>
      <w:r w:rsidR="00C40933" w:rsidRPr="00DA75E9">
        <w:rPr>
          <w:sz w:val="26"/>
          <w:szCs w:val="26"/>
        </w:rPr>
        <w:t xml:space="preserve"> kārtīb</w:t>
      </w:r>
      <w:r w:rsidR="00C40933">
        <w:rPr>
          <w:sz w:val="26"/>
          <w:szCs w:val="26"/>
        </w:rPr>
        <w:t>a</w:t>
      </w:r>
      <w:r w:rsidR="00C40933">
        <w:rPr>
          <w:sz w:val="26"/>
          <w:szCs w:val="26"/>
        </w:rPr>
        <w:t xml:space="preserve">, kas balstīta uz </w:t>
      </w:r>
      <w:r w:rsidR="005A072D">
        <w:rPr>
          <w:sz w:val="26"/>
          <w:szCs w:val="26"/>
        </w:rPr>
        <w:t xml:space="preserve">informācijas sistēmā iestrādātiem riska kritērijiem un ļauj operatīvi izvērtēt PVN pārmaksas pamatotību, tādējādi novēršot PVN izkrāpšanu, savukārt godprātīgiem nodokļu maksātājiem </w:t>
      </w:r>
      <w:r>
        <w:rPr>
          <w:sz w:val="26"/>
          <w:szCs w:val="26"/>
        </w:rPr>
        <w:t xml:space="preserve">– </w:t>
      </w:r>
      <w:r w:rsidR="005A072D">
        <w:rPr>
          <w:sz w:val="26"/>
          <w:szCs w:val="26"/>
        </w:rPr>
        <w:t xml:space="preserve">ātrāk veikt PVN pārmaksu </w:t>
      </w:r>
      <w:r>
        <w:rPr>
          <w:sz w:val="26"/>
          <w:szCs w:val="26"/>
        </w:rPr>
        <w:t>izvērtēšanu</w:t>
      </w:r>
      <w:r w:rsidR="005A072D">
        <w:rPr>
          <w:sz w:val="26"/>
          <w:szCs w:val="26"/>
        </w:rPr>
        <w:t>.</w:t>
      </w:r>
      <w:r w:rsidR="00C40933">
        <w:rPr>
          <w:sz w:val="26"/>
          <w:szCs w:val="26"/>
        </w:rPr>
        <w:t xml:space="preserve"> </w:t>
      </w:r>
      <w:r w:rsidR="005A072D">
        <w:rPr>
          <w:sz w:val="26"/>
          <w:szCs w:val="26"/>
        </w:rPr>
        <w:t>Vidēji 2011.gadā PVN pārmaksas tiek atm</w:t>
      </w:r>
      <w:r>
        <w:rPr>
          <w:sz w:val="26"/>
          <w:szCs w:val="26"/>
        </w:rPr>
        <w:t>aksātas 19 dienu laikā, savukārt godprātīgiem nodokļu maksātājiem – 3 līdz 5 dienu laikā.</w:t>
      </w:r>
    </w:p>
    <w:p w:rsidR="00A17D46" w:rsidRDefault="00A17D46" w:rsidP="00757BF2">
      <w:pPr>
        <w:ind w:firstLine="709"/>
        <w:jc w:val="both"/>
        <w:rPr>
          <w:sz w:val="26"/>
          <w:szCs w:val="26"/>
        </w:rPr>
      </w:pPr>
      <w:r>
        <w:rPr>
          <w:sz w:val="26"/>
          <w:szCs w:val="26"/>
        </w:rPr>
        <w:t>Ja deklarēto PVN pārmaksu atmaksu ticamības novērtējumu rezultātā tiek konstatēts, ka atmaksa pieprasīta nepamatoti, tiek pieņemts lēmums neatmaksāt PVN, tādējādi novēršot nodokļu ieņēmumu zudumus.</w:t>
      </w:r>
    </w:p>
    <w:p w:rsidR="00A17D46" w:rsidRPr="002F6D4C" w:rsidRDefault="00A17D46" w:rsidP="00757BF2">
      <w:pPr>
        <w:ind w:firstLine="709"/>
        <w:jc w:val="both"/>
        <w:rPr>
          <w:sz w:val="26"/>
          <w:szCs w:val="26"/>
        </w:rPr>
      </w:pPr>
      <w:r w:rsidRPr="002F6D4C">
        <w:rPr>
          <w:sz w:val="26"/>
          <w:szCs w:val="26"/>
        </w:rPr>
        <w:t xml:space="preserve">2011.gada sešos mēnešos atteiktas </w:t>
      </w:r>
      <w:r w:rsidR="00AE3D18">
        <w:rPr>
          <w:sz w:val="26"/>
          <w:szCs w:val="26"/>
        </w:rPr>
        <w:t xml:space="preserve">nepamatoti pieprasītās </w:t>
      </w:r>
      <w:r w:rsidRPr="002F6D4C">
        <w:rPr>
          <w:sz w:val="26"/>
          <w:szCs w:val="26"/>
        </w:rPr>
        <w:t>PVN p</w:t>
      </w:r>
      <w:r w:rsidR="0058771C" w:rsidRPr="002F6D4C">
        <w:rPr>
          <w:sz w:val="26"/>
          <w:szCs w:val="26"/>
        </w:rPr>
        <w:t xml:space="preserve">ārmaksu atmaksas 37 710,6 tūkst. latu apjomā, kas ir  2,8 reizes jeb par 27 821,1 tūkst. latu vairāk nekā 2010.gada sešos mēnešos. </w:t>
      </w:r>
    </w:p>
    <w:p w:rsidR="002F6D4C" w:rsidRPr="002F6D4C" w:rsidRDefault="0058771C" w:rsidP="00757BF2">
      <w:pPr>
        <w:ind w:firstLine="709"/>
        <w:jc w:val="both"/>
        <w:rPr>
          <w:sz w:val="26"/>
          <w:szCs w:val="26"/>
        </w:rPr>
      </w:pPr>
      <w:r w:rsidRPr="002F6D4C">
        <w:rPr>
          <w:sz w:val="26"/>
          <w:szCs w:val="26"/>
        </w:rPr>
        <w:t xml:space="preserve">2011.gada deviņos mēnešos atteiktas </w:t>
      </w:r>
      <w:r w:rsidR="00AE3D18">
        <w:rPr>
          <w:sz w:val="26"/>
          <w:szCs w:val="26"/>
        </w:rPr>
        <w:t xml:space="preserve">nepamatoti pieprasītās </w:t>
      </w:r>
      <w:r w:rsidRPr="002F6D4C">
        <w:rPr>
          <w:sz w:val="26"/>
          <w:szCs w:val="26"/>
        </w:rPr>
        <w:t>PVN pārmaks</w:t>
      </w:r>
      <w:r w:rsidR="00F55147">
        <w:rPr>
          <w:sz w:val="26"/>
          <w:szCs w:val="26"/>
        </w:rPr>
        <w:t>u</w:t>
      </w:r>
      <w:r w:rsidRPr="002F6D4C">
        <w:rPr>
          <w:sz w:val="26"/>
          <w:szCs w:val="26"/>
        </w:rPr>
        <w:t xml:space="preserve"> atmaksas 47 753,8 tūkst. latu apjomā, kas ir 1,65 reizes jeb par </w:t>
      </w:r>
      <w:r w:rsidR="002F6D4C" w:rsidRPr="002F6D4C">
        <w:rPr>
          <w:sz w:val="26"/>
          <w:szCs w:val="26"/>
        </w:rPr>
        <w:t>29 260,9 tūkst. latu vairāk nekā 2010.gada deviņos mēnešos.</w:t>
      </w:r>
    </w:p>
    <w:p w:rsidR="00BF3D3F" w:rsidRDefault="002F6D4C" w:rsidP="00757BF2">
      <w:pPr>
        <w:ind w:firstLine="709"/>
        <w:jc w:val="both"/>
        <w:rPr>
          <w:color w:val="1F497D"/>
        </w:rPr>
      </w:pPr>
      <w:r w:rsidRPr="002F6D4C">
        <w:rPr>
          <w:sz w:val="26"/>
          <w:szCs w:val="26"/>
        </w:rPr>
        <w:t xml:space="preserve">Tas ir ievērojams nodokļu zudumu </w:t>
      </w:r>
      <w:r>
        <w:rPr>
          <w:sz w:val="26"/>
          <w:szCs w:val="26"/>
        </w:rPr>
        <w:t xml:space="preserve">novērsums, </w:t>
      </w:r>
      <w:r w:rsidRPr="00BF3D3F">
        <w:rPr>
          <w:sz w:val="26"/>
          <w:szCs w:val="26"/>
        </w:rPr>
        <w:t xml:space="preserve">kas izskaidrojams </w:t>
      </w:r>
      <w:r w:rsidR="00BF3D3F">
        <w:rPr>
          <w:sz w:val="26"/>
          <w:szCs w:val="26"/>
        </w:rPr>
        <w:t xml:space="preserve">gan </w:t>
      </w:r>
      <w:r w:rsidRPr="00BF3D3F">
        <w:rPr>
          <w:sz w:val="26"/>
          <w:szCs w:val="26"/>
        </w:rPr>
        <w:t>ar</w:t>
      </w:r>
      <w:r>
        <w:rPr>
          <w:sz w:val="26"/>
          <w:szCs w:val="26"/>
        </w:rPr>
        <w:t xml:space="preserve"> </w:t>
      </w:r>
      <w:r w:rsidR="0058771C" w:rsidRPr="002F6D4C">
        <w:rPr>
          <w:sz w:val="26"/>
          <w:szCs w:val="26"/>
        </w:rPr>
        <w:t xml:space="preserve"> </w:t>
      </w:r>
      <w:r w:rsidR="00BF3D3F">
        <w:rPr>
          <w:sz w:val="26"/>
          <w:szCs w:val="26"/>
        </w:rPr>
        <w:t>nodokļu administrēšanas pasākumu efektivitātes paaugstināšanos, gan ar izmaiņām nodokļa atmaksas kārtībā PVN pārmaksām, kuras ir izveidojušās, sākot ar 2010.gada 1.jūliju.</w:t>
      </w:r>
    </w:p>
    <w:p w:rsidR="00C1316A" w:rsidRDefault="00C1316A" w:rsidP="00757BF2">
      <w:pPr>
        <w:ind w:firstLine="709"/>
        <w:jc w:val="both"/>
        <w:rPr>
          <w:sz w:val="26"/>
          <w:szCs w:val="26"/>
        </w:rPr>
      </w:pPr>
      <w:r>
        <w:rPr>
          <w:sz w:val="26"/>
          <w:szCs w:val="26"/>
        </w:rPr>
        <w:t>Pašreizējā ekonomikas atveseļošanās</w:t>
      </w:r>
      <w:r w:rsidRPr="00C1316A">
        <w:rPr>
          <w:sz w:val="26"/>
          <w:szCs w:val="26"/>
        </w:rPr>
        <w:t xml:space="preserve"> </w:t>
      </w:r>
      <w:r>
        <w:rPr>
          <w:sz w:val="26"/>
          <w:szCs w:val="26"/>
        </w:rPr>
        <w:t>periodā,</w:t>
      </w:r>
      <w:r w:rsidRPr="00C1316A">
        <w:rPr>
          <w:sz w:val="26"/>
          <w:szCs w:val="26"/>
        </w:rPr>
        <w:t xml:space="preserve"> </w:t>
      </w:r>
      <w:r>
        <w:rPr>
          <w:sz w:val="26"/>
          <w:szCs w:val="26"/>
        </w:rPr>
        <w:t>kad ir svarīgi panākt nodokļu saistību izpildes disciplīnas paaugstināšan</w:t>
      </w:r>
      <w:r w:rsidR="00F55147">
        <w:rPr>
          <w:sz w:val="26"/>
          <w:szCs w:val="26"/>
        </w:rPr>
        <w:t>o</w:t>
      </w:r>
      <w:r>
        <w:rPr>
          <w:sz w:val="26"/>
          <w:szCs w:val="26"/>
        </w:rPr>
        <w:t xml:space="preserve">s, VID tiek stiprināti nodokļu kontroles pasākumi, uz ko ir norādījis arī </w:t>
      </w:r>
      <w:r w:rsidR="00F66A30">
        <w:rPr>
          <w:sz w:val="26"/>
          <w:szCs w:val="26"/>
        </w:rPr>
        <w:t>SVF</w:t>
      </w:r>
      <w:r>
        <w:rPr>
          <w:sz w:val="26"/>
          <w:szCs w:val="26"/>
        </w:rPr>
        <w:t>.</w:t>
      </w:r>
    </w:p>
    <w:p w:rsidR="00F66A30" w:rsidRDefault="00C1316A" w:rsidP="00757BF2">
      <w:pPr>
        <w:ind w:firstLine="709"/>
        <w:jc w:val="both"/>
        <w:rPr>
          <w:sz w:val="26"/>
          <w:szCs w:val="26"/>
        </w:rPr>
      </w:pPr>
      <w:r>
        <w:rPr>
          <w:sz w:val="26"/>
          <w:szCs w:val="26"/>
        </w:rPr>
        <w:t xml:space="preserve">2011.gada sešos mēnešos veikti 686 nodokļu auditi, kas ir par 132 vairāk nekā 2010.gada sešos mēnešos. 2011.gada deviņos mēnešos veikti 1024 nodokļu auditi, kas ir par 139 vairāk nekā iepriekšējā gada attiecīgajā periodā. </w:t>
      </w:r>
    </w:p>
    <w:p w:rsidR="00FF11F6" w:rsidRDefault="00C1316A" w:rsidP="00FF11F6">
      <w:pPr>
        <w:ind w:firstLine="709"/>
        <w:jc w:val="both"/>
        <w:rPr>
          <w:sz w:val="26"/>
          <w:szCs w:val="26"/>
        </w:rPr>
      </w:pPr>
      <w:r>
        <w:rPr>
          <w:sz w:val="26"/>
          <w:szCs w:val="26"/>
        </w:rPr>
        <w:t>Tematiskās pārbaudes 2011.gada sešos mēnešos un arī deviņos mēnešos veiktas par 16</w:t>
      </w:r>
      <w:r w:rsidR="00F55147">
        <w:rPr>
          <w:sz w:val="26"/>
          <w:szCs w:val="26"/>
        </w:rPr>
        <w:t> </w:t>
      </w:r>
      <w:r>
        <w:rPr>
          <w:sz w:val="26"/>
          <w:szCs w:val="26"/>
        </w:rPr>
        <w:t>% mazāk nekā iepriekšējā gada attiecīgajā periodā.</w:t>
      </w:r>
      <w:r w:rsidR="00FF11F6" w:rsidRPr="00FF11F6">
        <w:rPr>
          <w:sz w:val="26"/>
          <w:szCs w:val="26"/>
        </w:rPr>
        <w:t xml:space="preserve"> </w:t>
      </w:r>
      <w:r w:rsidR="00FF11F6">
        <w:rPr>
          <w:sz w:val="26"/>
          <w:szCs w:val="26"/>
        </w:rPr>
        <w:t>Tematisko pārbaužu skaita samazinājumu salīdzinājumā ar 2010.gada attiecīgajiem pārskata periodiem ir ietekmējušas izmaiņas kontroles darba plānošanā – veicot mazāku pārbaužu skaitu, panākt būtisku pārkāpumu savlaicīgu konstatēšanu un novēršanu, kā arī dot iespēju nodokļu maksātājam pašam novērst tematisko pārbaužu laikā atklātās kļūdas un neatbilstības.</w:t>
      </w:r>
      <w:r w:rsidR="0083686A">
        <w:rPr>
          <w:sz w:val="26"/>
          <w:szCs w:val="26"/>
        </w:rPr>
        <w:t xml:space="preserve"> Ir pieaudzis tematisko pārbaužu skaits, kurās piemērots naudas sods. </w:t>
      </w:r>
    </w:p>
    <w:p w:rsidR="0083686A" w:rsidRDefault="0083686A" w:rsidP="0083686A">
      <w:pPr>
        <w:ind w:firstLine="709"/>
        <w:jc w:val="both"/>
        <w:rPr>
          <w:sz w:val="26"/>
          <w:szCs w:val="26"/>
        </w:rPr>
      </w:pPr>
      <w:r>
        <w:rPr>
          <w:sz w:val="26"/>
          <w:szCs w:val="26"/>
        </w:rPr>
        <w:t xml:space="preserve">Salīdzinājumā ar 2010.gada attiecīgajiem periodiem mazāks ir veikto PVN datu atbilstības pārbaužu skaits, kas izskaidrojams ar </w:t>
      </w:r>
      <w:r w:rsidR="00F55147">
        <w:rPr>
          <w:sz w:val="26"/>
          <w:szCs w:val="26"/>
        </w:rPr>
        <w:t xml:space="preserve">to, </w:t>
      </w:r>
      <w:r>
        <w:rPr>
          <w:sz w:val="26"/>
          <w:szCs w:val="26"/>
        </w:rPr>
        <w:t xml:space="preserve">ka 2010.gadā tas bija jauns pārbaudes veids, tādējādi sākotnēji tas tika veikts par pārkāpumiem, kas nebija novērsti iepriekšējos gados. Jāatzīmē, ka 2011.gada deviņos mēnešos nodokļu maksātāju pašu precizēto summu apjoms ir būtiski </w:t>
      </w:r>
      <w:r w:rsidR="00F55147">
        <w:rPr>
          <w:sz w:val="26"/>
          <w:szCs w:val="26"/>
        </w:rPr>
        <w:t>palielinājies</w:t>
      </w:r>
      <w:r>
        <w:rPr>
          <w:sz w:val="26"/>
          <w:szCs w:val="26"/>
        </w:rPr>
        <w:t xml:space="preserve"> salīdzinājumā ar iepriekšējā gada attiecīgo periodu. </w:t>
      </w:r>
    </w:p>
    <w:p w:rsidR="00DA2900" w:rsidRDefault="00DA2900" w:rsidP="00A17D46">
      <w:pPr>
        <w:ind w:firstLine="709"/>
        <w:jc w:val="right"/>
      </w:pPr>
    </w:p>
    <w:p w:rsidR="00DA2900" w:rsidRDefault="00DA2900" w:rsidP="00A17D46">
      <w:pPr>
        <w:ind w:firstLine="709"/>
        <w:jc w:val="right"/>
      </w:pPr>
    </w:p>
    <w:p w:rsidR="001B3C2C" w:rsidRDefault="001B3C2C" w:rsidP="00A17D46">
      <w:pPr>
        <w:ind w:firstLine="709"/>
        <w:jc w:val="right"/>
      </w:pPr>
    </w:p>
    <w:p w:rsidR="00851B2C" w:rsidRDefault="00C1316A" w:rsidP="00136093">
      <w:pPr>
        <w:ind w:firstLine="709"/>
        <w:jc w:val="right"/>
      </w:pPr>
      <w:r w:rsidRPr="00DA2900">
        <w:t>3</w:t>
      </w:r>
      <w:r w:rsidR="00A17D46" w:rsidRPr="00DA2900">
        <w:t>.1.tabula</w:t>
      </w:r>
    </w:p>
    <w:p w:rsidR="00F66A30" w:rsidRDefault="00F66A30" w:rsidP="00851B2C">
      <w:pPr>
        <w:ind w:firstLine="709"/>
        <w:jc w:val="right"/>
      </w:pPr>
      <w:r>
        <w:t xml:space="preserve">Nodokļu </w:t>
      </w:r>
      <w:r w:rsidR="00932A5F">
        <w:t>kontroles pasākumu</w:t>
      </w:r>
      <w:r>
        <w:t xml:space="preserve"> rezultāti</w:t>
      </w:r>
    </w:p>
    <w:p w:rsidR="00F66A30" w:rsidRPr="00A17D46" w:rsidRDefault="00F66A30" w:rsidP="00F66A30">
      <w:pPr>
        <w:ind w:firstLine="709"/>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60"/>
        <w:gridCol w:w="1559"/>
        <w:gridCol w:w="1417"/>
        <w:gridCol w:w="1843"/>
      </w:tblGrid>
      <w:tr w:rsidR="00A17D46" w:rsidRPr="007262BE" w:rsidTr="00F55147">
        <w:tc>
          <w:tcPr>
            <w:tcW w:w="2943" w:type="dxa"/>
            <w:shd w:val="clear" w:color="auto" w:fill="auto"/>
            <w:vAlign w:val="center"/>
          </w:tcPr>
          <w:p w:rsidR="00A17D46" w:rsidRPr="007262BE" w:rsidRDefault="00BF3D3F" w:rsidP="006F4153">
            <w:pPr>
              <w:tabs>
                <w:tab w:val="center" w:pos="4153"/>
                <w:tab w:val="right" w:pos="8306"/>
              </w:tabs>
              <w:jc w:val="center"/>
              <w:rPr>
                <w:sz w:val="20"/>
                <w:szCs w:val="20"/>
              </w:rPr>
            </w:pPr>
            <w:r>
              <w:rPr>
                <w:sz w:val="20"/>
                <w:szCs w:val="20"/>
              </w:rPr>
              <w:t>Rādītāji</w:t>
            </w:r>
          </w:p>
        </w:tc>
        <w:tc>
          <w:tcPr>
            <w:tcW w:w="1560" w:type="dxa"/>
            <w:shd w:val="clear" w:color="auto" w:fill="auto"/>
            <w:vAlign w:val="center"/>
          </w:tcPr>
          <w:p w:rsidR="00A17D46" w:rsidRPr="005F2D94" w:rsidRDefault="00A17D46" w:rsidP="006F4153">
            <w:pPr>
              <w:tabs>
                <w:tab w:val="center" w:pos="4153"/>
                <w:tab w:val="right" w:pos="8306"/>
              </w:tabs>
              <w:jc w:val="center"/>
              <w:rPr>
                <w:b/>
                <w:sz w:val="20"/>
                <w:szCs w:val="20"/>
              </w:rPr>
            </w:pPr>
            <w:r w:rsidRPr="005F2D94">
              <w:rPr>
                <w:b/>
                <w:sz w:val="20"/>
                <w:szCs w:val="20"/>
              </w:rPr>
              <w:t>2011.g.sešos mēnešos</w:t>
            </w:r>
          </w:p>
        </w:tc>
        <w:tc>
          <w:tcPr>
            <w:tcW w:w="1559" w:type="dxa"/>
            <w:shd w:val="clear" w:color="auto" w:fill="auto"/>
            <w:vAlign w:val="center"/>
          </w:tcPr>
          <w:p w:rsidR="00A17D46" w:rsidRPr="007262BE" w:rsidRDefault="00A17D46" w:rsidP="006F4153">
            <w:pPr>
              <w:tabs>
                <w:tab w:val="center" w:pos="4153"/>
                <w:tab w:val="right" w:pos="8306"/>
              </w:tabs>
              <w:jc w:val="center"/>
              <w:rPr>
                <w:sz w:val="20"/>
                <w:szCs w:val="20"/>
              </w:rPr>
            </w:pPr>
            <w:r w:rsidRPr="007262BE">
              <w:rPr>
                <w:sz w:val="20"/>
                <w:szCs w:val="20"/>
              </w:rPr>
              <w:t>Izmaiņas salīdzinājumā ar 2010.g.sešiem mēnešiem</w:t>
            </w:r>
          </w:p>
        </w:tc>
        <w:tc>
          <w:tcPr>
            <w:tcW w:w="1417" w:type="dxa"/>
            <w:shd w:val="clear" w:color="auto" w:fill="auto"/>
            <w:vAlign w:val="center"/>
          </w:tcPr>
          <w:p w:rsidR="00A17D46" w:rsidRPr="005F2D94" w:rsidRDefault="00A17D46" w:rsidP="006F4153">
            <w:pPr>
              <w:tabs>
                <w:tab w:val="center" w:pos="4153"/>
                <w:tab w:val="right" w:pos="8306"/>
              </w:tabs>
              <w:jc w:val="center"/>
              <w:rPr>
                <w:b/>
                <w:sz w:val="20"/>
                <w:szCs w:val="20"/>
              </w:rPr>
            </w:pPr>
            <w:r w:rsidRPr="005F2D94">
              <w:rPr>
                <w:b/>
                <w:sz w:val="20"/>
                <w:szCs w:val="20"/>
              </w:rPr>
              <w:t>2011.g. deviņos mēnešos</w:t>
            </w:r>
          </w:p>
        </w:tc>
        <w:tc>
          <w:tcPr>
            <w:tcW w:w="1843" w:type="dxa"/>
            <w:shd w:val="clear" w:color="auto" w:fill="auto"/>
            <w:vAlign w:val="center"/>
          </w:tcPr>
          <w:p w:rsidR="00A17D46" w:rsidRPr="007262BE" w:rsidRDefault="00A17D46" w:rsidP="006F4153">
            <w:pPr>
              <w:tabs>
                <w:tab w:val="center" w:pos="4153"/>
                <w:tab w:val="right" w:pos="8306"/>
              </w:tabs>
              <w:jc w:val="center"/>
              <w:rPr>
                <w:sz w:val="20"/>
                <w:szCs w:val="20"/>
              </w:rPr>
            </w:pPr>
            <w:r w:rsidRPr="007262BE">
              <w:rPr>
                <w:sz w:val="20"/>
                <w:szCs w:val="20"/>
              </w:rPr>
              <w:t>Izmaiņas salīdzinājumā ar 2010.g.deviņiem mēnešiem</w:t>
            </w:r>
          </w:p>
        </w:tc>
      </w:tr>
      <w:tr w:rsidR="00A17D46" w:rsidRPr="007262BE" w:rsidTr="00F55147">
        <w:tc>
          <w:tcPr>
            <w:tcW w:w="2943" w:type="dxa"/>
          </w:tcPr>
          <w:p w:rsidR="00A17D46" w:rsidRPr="007262BE" w:rsidRDefault="00BF3D3F" w:rsidP="006F4153">
            <w:pPr>
              <w:tabs>
                <w:tab w:val="center" w:pos="4153"/>
                <w:tab w:val="right" w:pos="8306"/>
              </w:tabs>
              <w:rPr>
                <w:sz w:val="20"/>
                <w:szCs w:val="20"/>
              </w:rPr>
            </w:pPr>
            <w:r>
              <w:rPr>
                <w:sz w:val="20"/>
                <w:szCs w:val="20"/>
              </w:rPr>
              <w:t>Nodokļu auditos papildus aprēķinātā summa, tūkst. Ls</w:t>
            </w:r>
          </w:p>
        </w:tc>
        <w:tc>
          <w:tcPr>
            <w:tcW w:w="1560" w:type="dxa"/>
          </w:tcPr>
          <w:p w:rsidR="00A17D46" w:rsidRPr="005F2D94" w:rsidRDefault="00BF3D3F" w:rsidP="00BF3D3F">
            <w:pPr>
              <w:tabs>
                <w:tab w:val="center" w:pos="4153"/>
                <w:tab w:val="right" w:pos="8306"/>
              </w:tabs>
              <w:jc w:val="center"/>
              <w:rPr>
                <w:b/>
                <w:sz w:val="20"/>
                <w:szCs w:val="20"/>
              </w:rPr>
            </w:pPr>
            <w:r>
              <w:rPr>
                <w:b/>
                <w:sz w:val="20"/>
                <w:szCs w:val="20"/>
              </w:rPr>
              <w:t>130 049,3</w:t>
            </w:r>
          </w:p>
        </w:tc>
        <w:tc>
          <w:tcPr>
            <w:tcW w:w="1559" w:type="dxa"/>
          </w:tcPr>
          <w:p w:rsidR="00A17D46" w:rsidRPr="007262BE" w:rsidRDefault="00BF3D3F" w:rsidP="006F4153">
            <w:pPr>
              <w:tabs>
                <w:tab w:val="center" w:pos="4153"/>
                <w:tab w:val="right" w:pos="8306"/>
              </w:tabs>
              <w:jc w:val="center"/>
              <w:rPr>
                <w:sz w:val="20"/>
                <w:szCs w:val="20"/>
              </w:rPr>
            </w:pPr>
            <w:r>
              <w:rPr>
                <w:sz w:val="20"/>
                <w:szCs w:val="20"/>
              </w:rPr>
              <w:t>+65 880</w:t>
            </w:r>
          </w:p>
        </w:tc>
        <w:tc>
          <w:tcPr>
            <w:tcW w:w="1417" w:type="dxa"/>
          </w:tcPr>
          <w:p w:rsidR="00A17D46" w:rsidRPr="005F2D94" w:rsidRDefault="00BF3D3F" w:rsidP="006F4153">
            <w:pPr>
              <w:tabs>
                <w:tab w:val="center" w:pos="4153"/>
                <w:tab w:val="right" w:pos="8306"/>
              </w:tabs>
              <w:jc w:val="center"/>
              <w:rPr>
                <w:b/>
                <w:sz w:val="20"/>
                <w:szCs w:val="20"/>
              </w:rPr>
            </w:pPr>
            <w:r>
              <w:rPr>
                <w:b/>
                <w:sz w:val="20"/>
                <w:szCs w:val="20"/>
              </w:rPr>
              <w:t>167 603,5</w:t>
            </w:r>
          </w:p>
        </w:tc>
        <w:tc>
          <w:tcPr>
            <w:tcW w:w="1843" w:type="dxa"/>
          </w:tcPr>
          <w:p w:rsidR="00A17D46" w:rsidRPr="007262BE" w:rsidRDefault="00BF3D3F" w:rsidP="006F4153">
            <w:pPr>
              <w:tabs>
                <w:tab w:val="center" w:pos="4153"/>
                <w:tab w:val="right" w:pos="8306"/>
              </w:tabs>
              <w:jc w:val="center"/>
              <w:rPr>
                <w:sz w:val="20"/>
                <w:szCs w:val="20"/>
              </w:rPr>
            </w:pPr>
            <w:r>
              <w:rPr>
                <w:sz w:val="20"/>
                <w:szCs w:val="20"/>
              </w:rPr>
              <w:t>+68 539</w:t>
            </w:r>
          </w:p>
        </w:tc>
      </w:tr>
      <w:tr w:rsidR="00C21FC7" w:rsidRPr="007262BE" w:rsidTr="00F55147">
        <w:tc>
          <w:tcPr>
            <w:tcW w:w="2943" w:type="dxa"/>
            <w:shd w:val="clear" w:color="auto" w:fill="auto"/>
          </w:tcPr>
          <w:p w:rsidR="00C21FC7" w:rsidRDefault="00C21FC7" w:rsidP="00C21FC7">
            <w:pPr>
              <w:tabs>
                <w:tab w:val="center" w:pos="4153"/>
                <w:tab w:val="right" w:pos="8306"/>
              </w:tabs>
              <w:rPr>
                <w:sz w:val="20"/>
                <w:szCs w:val="20"/>
              </w:rPr>
            </w:pPr>
            <w:r>
              <w:rPr>
                <w:sz w:val="20"/>
                <w:szCs w:val="20"/>
              </w:rPr>
              <w:t>Datu atbilstības pārbaužu rezultātā papildus aprēķinātie maksājumi, tūkst. Ls</w:t>
            </w:r>
          </w:p>
        </w:tc>
        <w:tc>
          <w:tcPr>
            <w:tcW w:w="1560" w:type="dxa"/>
            <w:shd w:val="clear" w:color="auto" w:fill="auto"/>
          </w:tcPr>
          <w:p w:rsidR="00C21FC7" w:rsidRDefault="00C21FC7" w:rsidP="000E083B">
            <w:pPr>
              <w:tabs>
                <w:tab w:val="center" w:pos="4153"/>
                <w:tab w:val="right" w:pos="8306"/>
              </w:tabs>
              <w:jc w:val="center"/>
              <w:rPr>
                <w:b/>
                <w:sz w:val="20"/>
                <w:szCs w:val="20"/>
              </w:rPr>
            </w:pPr>
            <w:r>
              <w:rPr>
                <w:b/>
                <w:sz w:val="20"/>
                <w:szCs w:val="20"/>
              </w:rPr>
              <w:t>3 256,9</w:t>
            </w:r>
          </w:p>
        </w:tc>
        <w:tc>
          <w:tcPr>
            <w:tcW w:w="1559" w:type="dxa"/>
            <w:shd w:val="clear" w:color="auto" w:fill="auto"/>
          </w:tcPr>
          <w:p w:rsidR="00C21FC7" w:rsidRDefault="00C21FC7" w:rsidP="000E083B">
            <w:pPr>
              <w:tabs>
                <w:tab w:val="center" w:pos="4153"/>
                <w:tab w:val="right" w:pos="8306"/>
              </w:tabs>
              <w:jc w:val="center"/>
              <w:rPr>
                <w:sz w:val="20"/>
                <w:szCs w:val="20"/>
              </w:rPr>
            </w:pPr>
            <w:r>
              <w:rPr>
                <w:sz w:val="20"/>
                <w:szCs w:val="20"/>
              </w:rPr>
              <w:t>−4 387,1</w:t>
            </w:r>
          </w:p>
        </w:tc>
        <w:tc>
          <w:tcPr>
            <w:tcW w:w="1417" w:type="dxa"/>
            <w:shd w:val="clear" w:color="auto" w:fill="auto"/>
          </w:tcPr>
          <w:p w:rsidR="00C21FC7" w:rsidRDefault="00C21FC7" w:rsidP="000E083B">
            <w:pPr>
              <w:tabs>
                <w:tab w:val="center" w:pos="4153"/>
                <w:tab w:val="right" w:pos="8306"/>
              </w:tabs>
              <w:jc w:val="center"/>
              <w:rPr>
                <w:b/>
                <w:sz w:val="20"/>
                <w:szCs w:val="20"/>
              </w:rPr>
            </w:pPr>
            <w:r>
              <w:rPr>
                <w:b/>
                <w:sz w:val="20"/>
                <w:szCs w:val="20"/>
              </w:rPr>
              <w:t>3 054,6</w:t>
            </w:r>
          </w:p>
        </w:tc>
        <w:tc>
          <w:tcPr>
            <w:tcW w:w="1843" w:type="dxa"/>
            <w:shd w:val="clear" w:color="auto" w:fill="auto"/>
          </w:tcPr>
          <w:p w:rsidR="00C21FC7" w:rsidRDefault="00C21FC7" w:rsidP="000E083B">
            <w:pPr>
              <w:tabs>
                <w:tab w:val="center" w:pos="4153"/>
                <w:tab w:val="right" w:pos="8306"/>
              </w:tabs>
              <w:jc w:val="center"/>
              <w:rPr>
                <w:sz w:val="20"/>
                <w:szCs w:val="20"/>
              </w:rPr>
            </w:pPr>
            <w:r>
              <w:rPr>
                <w:sz w:val="20"/>
                <w:szCs w:val="20"/>
              </w:rPr>
              <w:t>−9 793,6</w:t>
            </w:r>
          </w:p>
        </w:tc>
      </w:tr>
      <w:tr w:rsidR="00C21FC7" w:rsidRPr="007262BE" w:rsidTr="00F55147">
        <w:tc>
          <w:tcPr>
            <w:tcW w:w="2943" w:type="dxa"/>
            <w:shd w:val="clear" w:color="auto" w:fill="auto"/>
          </w:tcPr>
          <w:p w:rsidR="00C21FC7" w:rsidRDefault="00C21FC7" w:rsidP="00C21FC7">
            <w:pPr>
              <w:tabs>
                <w:tab w:val="center" w:pos="4153"/>
                <w:tab w:val="right" w:pos="8306"/>
              </w:tabs>
              <w:rPr>
                <w:sz w:val="20"/>
                <w:szCs w:val="20"/>
              </w:rPr>
            </w:pPr>
            <w:r>
              <w:rPr>
                <w:sz w:val="20"/>
                <w:szCs w:val="20"/>
              </w:rPr>
              <w:t>Nodokļu maksātāju pašu labojumu/precizējumu summa saskaņā ar datu atbilstības pārbaužu lēmumiem, tūkst. Ls</w:t>
            </w:r>
          </w:p>
        </w:tc>
        <w:tc>
          <w:tcPr>
            <w:tcW w:w="1560" w:type="dxa"/>
            <w:shd w:val="clear" w:color="auto" w:fill="auto"/>
          </w:tcPr>
          <w:p w:rsidR="00C21FC7" w:rsidRDefault="00C21FC7" w:rsidP="000E083B">
            <w:pPr>
              <w:tabs>
                <w:tab w:val="center" w:pos="4153"/>
                <w:tab w:val="right" w:pos="8306"/>
              </w:tabs>
              <w:jc w:val="center"/>
              <w:rPr>
                <w:b/>
                <w:sz w:val="20"/>
                <w:szCs w:val="20"/>
              </w:rPr>
            </w:pPr>
            <w:r>
              <w:rPr>
                <w:b/>
                <w:sz w:val="20"/>
                <w:szCs w:val="20"/>
              </w:rPr>
              <w:t>413,4</w:t>
            </w:r>
          </w:p>
        </w:tc>
        <w:tc>
          <w:tcPr>
            <w:tcW w:w="1559" w:type="dxa"/>
            <w:shd w:val="clear" w:color="auto" w:fill="auto"/>
          </w:tcPr>
          <w:p w:rsidR="00C21FC7" w:rsidRDefault="00C21FC7" w:rsidP="000E083B">
            <w:pPr>
              <w:tabs>
                <w:tab w:val="center" w:pos="4153"/>
                <w:tab w:val="right" w:pos="8306"/>
              </w:tabs>
              <w:jc w:val="center"/>
              <w:rPr>
                <w:sz w:val="20"/>
                <w:szCs w:val="20"/>
              </w:rPr>
            </w:pPr>
            <w:r>
              <w:rPr>
                <w:sz w:val="20"/>
                <w:szCs w:val="20"/>
              </w:rPr>
              <w:t>−170</w:t>
            </w:r>
          </w:p>
        </w:tc>
        <w:tc>
          <w:tcPr>
            <w:tcW w:w="1417" w:type="dxa"/>
            <w:shd w:val="clear" w:color="auto" w:fill="auto"/>
          </w:tcPr>
          <w:p w:rsidR="00C21FC7" w:rsidRDefault="00C21FC7" w:rsidP="000E083B">
            <w:pPr>
              <w:tabs>
                <w:tab w:val="center" w:pos="4153"/>
                <w:tab w:val="right" w:pos="8306"/>
              </w:tabs>
              <w:jc w:val="center"/>
              <w:rPr>
                <w:b/>
                <w:sz w:val="20"/>
                <w:szCs w:val="20"/>
              </w:rPr>
            </w:pPr>
            <w:r>
              <w:rPr>
                <w:b/>
                <w:sz w:val="20"/>
                <w:szCs w:val="20"/>
              </w:rPr>
              <w:t>872,4</w:t>
            </w:r>
          </w:p>
        </w:tc>
        <w:tc>
          <w:tcPr>
            <w:tcW w:w="1843" w:type="dxa"/>
            <w:shd w:val="clear" w:color="auto" w:fill="auto"/>
          </w:tcPr>
          <w:p w:rsidR="00C21FC7" w:rsidRDefault="00C21FC7" w:rsidP="000E083B">
            <w:pPr>
              <w:tabs>
                <w:tab w:val="center" w:pos="4153"/>
                <w:tab w:val="right" w:pos="8306"/>
              </w:tabs>
              <w:jc w:val="center"/>
              <w:rPr>
                <w:sz w:val="20"/>
                <w:szCs w:val="20"/>
              </w:rPr>
            </w:pPr>
            <w:r>
              <w:rPr>
                <w:sz w:val="20"/>
                <w:szCs w:val="20"/>
              </w:rPr>
              <w:t>+224,9</w:t>
            </w:r>
          </w:p>
        </w:tc>
      </w:tr>
      <w:tr w:rsidR="00C21FC7" w:rsidRPr="007262BE" w:rsidTr="00F55147">
        <w:tc>
          <w:tcPr>
            <w:tcW w:w="2943" w:type="dxa"/>
            <w:shd w:val="clear" w:color="auto" w:fill="auto"/>
          </w:tcPr>
          <w:p w:rsidR="00C21FC7" w:rsidRPr="007262BE" w:rsidRDefault="00C21FC7" w:rsidP="00C21FC7">
            <w:pPr>
              <w:tabs>
                <w:tab w:val="center" w:pos="4153"/>
                <w:tab w:val="right" w:pos="8306"/>
              </w:tabs>
              <w:rPr>
                <w:sz w:val="20"/>
                <w:szCs w:val="20"/>
              </w:rPr>
            </w:pPr>
            <w:r>
              <w:rPr>
                <w:sz w:val="20"/>
                <w:szCs w:val="20"/>
              </w:rPr>
              <w:t>Tematisko pārbaužu rezultātā piemērots naudas sods saskaņā ar LAPK, tūkst. Ls</w:t>
            </w:r>
          </w:p>
        </w:tc>
        <w:tc>
          <w:tcPr>
            <w:tcW w:w="1560" w:type="dxa"/>
            <w:shd w:val="clear" w:color="auto" w:fill="auto"/>
          </w:tcPr>
          <w:p w:rsidR="00C21FC7" w:rsidRPr="005F2D94" w:rsidRDefault="00C21FC7" w:rsidP="006F4153">
            <w:pPr>
              <w:tabs>
                <w:tab w:val="center" w:pos="4153"/>
                <w:tab w:val="right" w:pos="8306"/>
              </w:tabs>
              <w:jc w:val="center"/>
              <w:rPr>
                <w:b/>
                <w:sz w:val="20"/>
                <w:szCs w:val="20"/>
              </w:rPr>
            </w:pPr>
            <w:r>
              <w:rPr>
                <w:b/>
                <w:sz w:val="20"/>
                <w:szCs w:val="20"/>
              </w:rPr>
              <w:t>963,3</w:t>
            </w:r>
          </w:p>
        </w:tc>
        <w:tc>
          <w:tcPr>
            <w:tcW w:w="1559" w:type="dxa"/>
            <w:shd w:val="clear" w:color="auto" w:fill="auto"/>
          </w:tcPr>
          <w:p w:rsidR="00C21FC7" w:rsidRPr="007262BE" w:rsidRDefault="00C21FC7" w:rsidP="006F4153">
            <w:pPr>
              <w:tabs>
                <w:tab w:val="center" w:pos="4153"/>
                <w:tab w:val="right" w:pos="8306"/>
              </w:tabs>
              <w:jc w:val="center"/>
              <w:rPr>
                <w:sz w:val="20"/>
                <w:szCs w:val="20"/>
              </w:rPr>
            </w:pPr>
            <w:r>
              <w:rPr>
                <w:sz w:val="20"/>
                <w:szCs w:val="20"/>
              </w:rPr>
              <w:t>+235,7</w:t>
            </w:r>
          </w:p>
        </w:tc>
        <w:tc>
          <w:tcPr>
            <w:tcW w:w="1417" w:type="dxa"/>
            <w:shd w:val="clear" w:color="auto" w:fill="auto"/>
          </w:tcPr>
          <w:p w:rsidR="00C21FC7" w:rsidRPr="005F2D94" w:rsidRDefault="00C21FC7" w:rsidP="006F4153">
            <w:pPr>
              <w:tabs>
                <w:tab w:val="center" w:pos="4153"/>
                <w:tab w:val="right" w:pos="8306"/>
              </w:tabs>
              <w:jc w:val="center"/>
              <w:rPr>
                <w:b/>
                <w:sz w:val="20"/>
                <w:szCs w:val="20"/>
              </w:rPr>
            </w:pPr>
            <w:r>
              <w:rPr>
                <w:b/>
                <w:sz w:val="20"/>
                <w:szCs w:val="20"/>
              </w:rPr>
              <w:t>1330,7</w:t>
            </w:r>
          </w:p>
        </w:tc>
        <w:tc>
          <w:tcPr>
            <w:tcW w:w="1843" w:type="dxa"/>
            <w:shd w:val="clear" w:color="auto" w:fill="auto"/>
          </w:tcPr>
          <w:p w:rsidR="00C21FC7" w:rsidRPr="007262BE" w:rsidRDefault="00C21FC7" w:rsidP="00932A5F">
            <w:pPr>
              <w:tabs>
                <w:tab w:val="center" w:pos="4153"/>
                <w:tab w:val="right" w:pos="8306"/>
              </w:tabs>
              <w:jc w:val="center"/>
              <w:rPr>
                <w:sz w:val="20"/>
                <w:szCs w:val="20"/>
              </w:rPr>
            </w:pPr>
            <w:r>
              <w:rPr>
                <w:sz w:val="20"/>
                <w:szCs w:val="20"/>
              </w:rPr>
              <w:t>−631</w:t>
            </w:r>
          </w:p>
        </w:tc>
      </w:tr>
      <w:tr w:rsidR="00C21FC7" w:rsidRPr="007262BE" w:rsidTr="00F55147">
        <w:tc>
          <w:tcPr>
            <w:tcW w:w="2943" w:type="dxa"/>
            <w:shd w:val="clear" w:color="auto" w:fill="auto"/>
          </w:tcPr>
          <w:p w:rsidR="00C21FC7" w:rsidRDefault="00C21FC7" w:rsidP="006F4153">
            <w:pPr>
              <w:tabs>
                <w:tab w:val="center" w:pos="4153"/>
                <w:tab w:val="right" w:pos="8306"/>
              </w:tabs>
              <w:rPr>
                <w:sz w:val="20"/>
                <w:szCs w:val="20"/>
              </w:rPr>
            </w:pPr>
            <w:r>
              <w:rPr>
                <w:sz w:val="20"/>
                <w:szCs w:val="20"/>
              </w:rPr>
              <w:t>Nodokļu maksātāj</w:t>
            </w:r>
            <w:r w:rsidR="00F55147">
              <w:rPr>
                <w:sz w:val="20"/>
                <w:szCs w:val="20"/>
              </w:rPr>
              <w:t>u</w:t>
            </w:r>
            <w:r>
              <w:rPr>
                <w:sz w:val="20"/>
                <w:szCs w:val="20"/>
              </w:rPr>
              <w:t>, kuri paši precizējuši deklarācijas tematisko pārbaužu laikā</w:t>
            </w:r>
            <w:r w:rsidR="00F55147">
              <w:rPr>
                <w:sz w:val="20"/>
                <w:szCs w:val="20"/>
              </w:rPr>
              <w:t>,</w:t>
            </w:r>
            <w:r>
              <w:rPr>
                <w:sz w:val="20"/>
                <w:szCs w:val="20"/>
              </w:rPr>
              <w:t xml:space="preserve"> nodokļu summa, tūkst. Ls</w:t>
            </w:r>
          </w:p>
        </w:tc>
        <w:tc>
          <w:tcPr>
            <w:tcW w:w="1560" w:type="dxa"/>
            <w:shd w:val="clear" w:color="auto" w:fill="auto"/>
          </w:tcPr>
          <w:p w:rsidR="00C21FC7" w:rsidRDefault="00C21FC7" w:rsidP="006F4153">
            <w:pPr>
              <w:tabs>
                <w:tab w:val="center" w:pos="4153"/>
                <w:tab w:val="right" w:pos="8306"/>
              </w:tabs>
              <w:jc w:val="center"/>
              <w:rPr>
                <w:b/>
                <w:sz w:val="20"/>
                <w:szCs w:val="20"/>
              </w:rPr>
            </w:pPr>
            <w:r>
              <w:rPr>
                <w:b/>
                <w:sz w:val="20"/>
                <w:szCs w:val="20"/>
              </w:rPr>
              <w:t>1 294,6</w:t>
            </w:r>
          </w:p>
        </w:tc>
        <w:tc>
          <w:tcPr>
            <w:tcW w:w="1559" w:type="dxa"/>
            <w:shd w:val="clear" w:color="auto" w:fill="auto"/>
          </w:tcPr>
          <w:p w:rsidR="00C21FC7" w:rsidRDefault="00C21FC7" w:rsidP="006F4153">
            <w:pPr>
              <w:tabs>
                <w:tab w:val="center" w:pos="4153"/>
                <w:tab w:val="right" w:pos="8306"/>
              </w:tabs>
              <w:jc w:val="center"/>
              <w:rPr>
                <w:sz w:val="20"/>
                <w:szCs w:val="20"/>
              </w:rPr>
            </w:pPr>
            <w:r>
              <w:rPr>
                <w:sz w:val="20"/>
                <w:szCs w:val="20"/>
              </w:rPr>
              <w:t>+530,2</w:t>
            </w:r>
          </w:p>
        </w:tc>
        <w:tc>
          <w:tcPr>
            <w:tcW w:w="1417" w:type="dxa"/>
            <w:shd w:val="clear" w:color="auto" w:fill="auto"/>
          </w:tcPr>
          <w:p w:rsidR="00C21FC7" w:rsidRDefault="00C21FC7" w:rsidP="006F4153">
            <w:pPr>
              <w:tabs>
                <w:tab w:val="center" w:pos="4153"/>
                <w:tab w:val="right" w:pos="8306"/>
              </w:tabs>
              <w:jc w:val="center"/>
              <w:rPr>
                <w:b/>
                <w:sz w:val="20"/>
                <w:szCs w:val="20"/>
              </w:rPr>
            </w:pPr>
            <w:r>
              <w:rPr>
                <w:b/>
                <w:sz w:val="20"/>
                <w:szCs w:val="20"/>
              </w:rPr>
              <w:t>2 025,2</w:t>
            </w:r>
          </w:p>
        </w:tc>
        <w:tc>
          <w:tcPr>
            <w:tcW w:w="1843" w:type="dxa"/>
            <w:shd w:val="clear" w:color="auto" w:fill="auto"/>
          </w:tcPr>
          <w:p w:rsidR="00C21FC7" w:rsidRDefault="00C21FC7" w:rsidP="006F4153">
            <w:pPr>
              <w:tabs>
                <w:tab w:val="center" w:pos="4153"/>
                <w:tab w:val="right" w:pos="8306"/>
              </w:tabs>
              <w:jc w:val="center"/>
              <w:rPr>
                <w:sz w:val="20"/>
                <w:szCs w:val="20"/>
              </w:rPr>
            </w:pPr>
            <w:r>
              <w:rPr>
                <w:sz w:val="20"/>
                <w:szCs w:val="20"/>
              </w:rPr>
              <w:t>+738,8</w:t>
            </w:r>
          </w:p>
        </w:tc>
      </w:tr>
    </w:tbl>
    <w:p w:rsidR="00EE3150" w:rsidRDefault="00EE3150" w:rsidP="00EF1F80">
      <w:pPr>
        <w:ind w:left="360"/>
        <w:rPr>
          <w:b/>
          <w:sz w:val="26"/>
          <w:szCs w:val="26"/>
        </w:rPr>
      </w:pPr>
    </w:p>
    <w:p w:rsidR="00EE4EBF" w:rsidRPr="00EF092F" w:rsidRDefault="00481EA7" w:rsidP="00EE4EBF">
      <w:pPr>
        <w:jc w:val="both"/>
        <w:rPr>
          <w:sz w:val="26"/>
          <w:szCs w:val="26"/>
        </w:rPr>
      </w:pPr>
      <w:r>
        <w:rPr>
          <w:b/>
          <w:sz w:val="26"/>
          <w:szCs w:val="26"/>
        </w:rPr>
        <w:tab/>
      </w:r>
      <w:r w:rsidRPr="00481EA7">
        <w:rPr>
          <w:sz w:val="26"/>
          <w:szCs w:val="26"/>
        </w:rPr>
        <w:t xml:space="preserve">Veikto nodokļu </w:t>
      </w:r>
      <w:r w:rsidR="00C21FC7">
        <w:rPr>
          <w:sz w:val="26"/>
          <w:szCs w:val="26"/>
        </w:rPr>
        <w:t>kontroles pasākumu</w:t>
      </w:r>
      <w:r w:rsidRPr="00481EA7">
        <w:rPr>
          <w:sz w:val="26"/>
          <w:szCs w:val="26"/>
        </w:rPr>
        <w:t xml:space="preserve"> rezultāti </w:t>
      </w:r>
      <w:r w:rsidR="00EF092F">
        <w:rPr>
          <w:sz w:val="26"/>
          <w:szCs w:val="26"/>
        </w:rPr>
        <w:t>sasniegti</w:t>
      </w:r>
      <w:r w:rsidRPr="00481EA7">
        <w:rPr>
          <w:sz w:val="26"/>
          <w:szCs w:val="26"/>
        </w:rPr>
        <w:t xml:space="preserve"> </w:t>
      </w:r>
      <w:r w:rsidR="00EF092F">
        <w:rPr>
          <w:sz w:val="26"/>
          <w:szCs w:val="26"/>
        </w:rPr>
        <w:t xml:space="preserve">ar esošajiem resursiem, </w:t>
      </w:r>
      <w:r w:rsidR="00C21FC7">
        <w:rPr>
          <w:sz w:val="26"/>
          <w:szCs w:val="26"/>
        </w:rPr>
        <w:t>rūpīg</w:t>
      </w:r>
      <w:r w:rsidR="00EF092F">
        <w:rPr>
          <w:sz w:val="26"/>
          <w:szCs w:val="26"/>
        </w:rPr>
        <w:t>i</w:t>
      </w:r>
      <w:r w:rsidR="00C21FC7">
        <w:rPr>
          <w:sz w:val="26"/>
          <w:szCs w:val="26"/>
        </w:rPr>
        <w:t xml:space="preserve"> plāno</w:t>
      </w:r>
      <w:r w:rsidR="00EF092F">
        <w:rPr>
          <w:sz w:val="26"/>
          <w:szCs w:val="26"/>
        </w:rPr>
        <w:t>jot</w:t>
      </w:r>
      <w:r w:rsidR="00C21FC7">
        <w:rPr>
          <w:sz w:val="26"/>
          <w:szCs w:val="26"/>
        </w:rPr>
        <w:t xml:space="preserve"> darb</w:t>
      </w:r>
      <w:r w:rsidR="00EF092F">
        <w:rPr>
          <w:sz w:val="26"/>
          <w:szCs w:val="26"/>
        </w:rPr>
        <w:t>u un</w:t>
      </w:r>
      <w:r w:rsidR="00C21FC7">
        <w:rPr>
          <w:sz w:val="26"/>
          <w:szCs w:val="26"/>
        </w:rPr>
        <w:t xml:space="preserve"> mainot kontroles darba</w:t>
      </w:r>
      <w:r w:rsidR="00EF092F" w:rsidRPr="00EF092F">
        <w:rPr>
          <w:sz w:val="26"/>
          <w:szCs w:val="26"/>
        </w:rPr>
        <w:t xml:space="preserve"> </w:t>
      </w:r>
      <w:r w:rsidR="00EF092F">
        <w:rPr>
          <w:sz w:val="26"/>
          <w:szCs w:val="26"/>
        </w:rPr>
        <w:t>pieeju</w:t>
      </w:r>
      <w:r w:rsidR="00D8644B">
        <w:rPr>
          <w:sz w:val="26"/>
          <w:szCs w:val="26"/>
        </w:rPr>
        <w:t>.</w:t>
      </w:r>
      <w:r w:rsidR="00C21FC7">
        <w:rPr>
          <w:sz w:val="26"/>
          <w:szCs w:val="26"/>
        </w:rPr>
        <w:t xml:space="preserve"> </w:t>
      </w:r>
      <w:r w:rsidR="008A35B7">
        <w:rPr>
          <w:sz w:val="26"/>
          <w:szCs w:val="26"/>
        </w:rPr>
        <w:t>I</w:t>
      </w:r>
      <w:r w:rsidR="00EF092F">
        <w:rPr>
          <w:sz w:val="26"/>
          <w:szCs w:val="26"/>
        </w:rPr>
        <w:t>evērojam</w:t>
      </w:r>
      <w:r w:rsidR="008A35B7">
        <w:rPr>
          <w:sz w:val="26"/>
          <w:szCs w:val="26"/>
        </w:rPr>
        <w:t>s</w:t>
      </w:r>
      <w:r w:rsidR="00EF092F">
        <w:rPr>
          <w:sz w:val="26"/>
          <w:szCs w:val="26"/>
        </w:rPr>
        <w:t xml:space="preserve"> uzlabojum</w:t>
      </w:r>
      <w:r w:rsidR="008A35B7">
        <w:rPr>
          <w:sz w:val="26"/>
          <w:szCs w:val="26"/>
        </w:rPr>
        <w:t>s</w:t>
      </w:r>
      <w:r w:rsidR="00EF092F">
        <w:rPr>
          <w:sz w:val="26"/>
          <w:szCs w:val="26"/>
        </w:rPr>
        <w:t xml:space="preserve"> ēnu ekonomikas samazināšanā </w:t>
      </w:r>
      <w:r w:rsidR="008A35B7">
        <w:rPr>
          <w:sz w:val="26"/>
          <w:szCs w:val="26"/>
        </w:rPr>
        <w:t>tiktu</w:t>
      </w:r>
      <w:r w:rsidR="00EF092F">
        <w:rPr>
          <w:sz w:val="26"/>
          <w:szCs w:val="26"/>
        </w:rPr>
        <w:t xml:space="preserve"> panākt</w:t>
      </w:r>
      <w:r w:rsidR="008A35B7">
        <w:rPr>
          <w:sz w:val="26"/>
          <w:szCs w:val="26"/>
        </w:rPr>
        <w:t>s,</w:t>
      </w:r>
      <w:r w:rsidR="00EF092F">
        <w:rPr>
          <w:sz w:val="26"/>
          <w:szCs w:val="26"/>
        </w:rPr>
        <w:t xml:space="preserve"> palielinot </w:t>
      </w:r>
      <w:r w:rsidR="00EE4EBF">
        <w:rPr>
          <w:sz w:val="26"/>
          <w:szCs w:val="26"/>
        </w:rPr>
        <w:t xml:space="preserve">kontrolē nodarbināto skaitu ar mērķi </w:t>
      </w:r>
      <w:r w:rsidR="008A35B7">
        <w:rPr>
          <w:sz w:val="26"/>
          <w:szCs w:val="26"/>
        </w:rPr>
        <w:t>nodrošināt</w:t>
      </w:r>
      <w:r w:rsidR="00EE4EBF">
        <w:rPr>
          <w:sz w:val="26"/>
          <w:szCs w:val="26"/>
        </w:rPr>
        <w:t xml:space="preserve"> kontrolējamo nodokļu maksātāju skaita pieaugumu</w:t>
      </w:r>
      <w:r w:rsidR="008A35B7">
        <w:rPr>
          <w:sz w:val="26"/>
          <w:szCs w:val="26"/>
        </w:rPr>
        <w:t>, kas izriet arī no SVF sniegtajām rekomendācijām.</w:t>
      </w:r>
    </w:p>
    <w:p w:rsidR="00EF092F" w:rsidRPr="00EF092F" w:rsidRDefault="00EF092F" w:rsidP="00EF092F">
      <w:pPr>
        <w:jc w:val="both"/>
        <w:rPr>
          <w:sz w:val="26"/>
          <w:szCs w:val="26"/>
        </w:rPr>
      </w:pPr>
      <w:r w:rsidRPr="00EF092F">
        <w:rPr>
          <w:sz w:val="26"/>
          <w:szCs w:val="26"/>
        </w:rPr>
        <w:t xml:space="preserve"> </w:t>
      </w:r>
    </w:p>
    <w:p w:rsidR="00481EA7" w:rsidRDefault="00481EA7" w:rsidP="009C2753">
      <w:pPr>
        <w:jc w:val="both"/>
        <w:rPr>
          <w:sz w:val="26"/>
          <w:szCs w:val="26"/>
        </w:rPr>
      </w:pPr>
    </w:p>
    <w:p w:rsidR="00AC7A23" w:rsidRPr="00AC7A23" w:rsidRDefault="00C15297" w:rsidP="00C15297">
      <w:pPr>
        <w:rPr>
          <w:sz w:val="26"/>
          <w:szCs w:val="26"/>
        </w:rPr>
      </w:pPr>
      <w:r>
        <w:rPr>
          <w:sz w:val="26"/>
          <w:szCs w:val="26"/>
        </w:rPr>
        <w:tab/>
      </w:r>
    </w:p>
    <w:p w:rsidR="00EE3150" w:rsidRDefault="00EE3150" w:rsidP="00F55147">
      <w:pPr>
        <w:numPr>
          <w:ilvl w:val="0"/>
          <w:numId w:val="12"/>
        </w:numPr>
        <w:ind w:left="0" w:firstLine="0"/>
        <w:jc w:val="center"/>
        <w:rPr>
          <w:b/>
          <w:sz w:val="26"/>
          <w:szCs w:val="26"/>
        </w:rPr>
      </w:pPr>
      <w:r w:rsidRPr="00EE3150">
        <w:rPr>
          <w:b/>
          <w:sz w:val="26"/>
          <w:szCs w:val="26"/>
        </w:rPr>
        <w:t>Cīņa pret ne</w:t>
      </w:r>
      <w:r w:rsidR="00DD6F5C">
        <w:rPr>
          <w:b/>
          <w:sz w:val="26"/>
          <w:szCs w:val="26"/>
        </w:rPr>
        <w:t>legālo</w:t>
      </w:r>
      <w:r w:rsidRPr="00EE3150">
        <w:rPr>
          <w:b/>
          <w:sz w:val="26"/>
          <w:szCs w:val="26"/>
        </w:rPr>
        <w:t xml:space="preserve"> nodarbinātību un algu izmaksām aploksnēs</w:t>
      </w:r>
    </w:p>
    <w:p w:rsidR="002A7ECF" w:rsidRDefault="002A7ECF" w:rsidP="002A7ECF">
      <w:pPr>
        <w:ind w:left="720"/>
        <w:jc w:val="both"/>
        <w:rPr>
          <w:sz w:val="26"/>
          <w:szCs w:val="26"/>
        </w:rPr>
      </w:pPr>
    </w:p>
    <w:p w:rsidR="00EE3150" w:rsidRDefault="002A7ECF" w:rsidP="002A7ECF">
      <w:pPr>
        <w:ind w:firstLine="720"/>
        <w:jc w:val="both"/>
        <w:rPr>
          <w:sz w:val="26"/>
          <w:szCs w:val="26"/>
        </w:rPr>
      </w:pPr>
      <w:r w:rsidRPr="002A7ECF">
        <w:rPr>
          <w:sz w:val="26"/>
          <w:szCs w:val="26"/>
        </w:rPr>
        <w:t xml:space="preserve">VID </w:t>
      </w:r>
      <w:r>
        <w:rPr>
          <w:sz w:val="26"/>
          <w:szCs w:val="26"/>
        </w:rPr>
        <w:t>īstenoto preventīvo pasākumu rezultātā fiziskās personas ir reģistrējušās kā nodokļu maksātāji, iesniegušas nodokļu deklarācijas un deklarējušas ienākumus no saimnieciskās darbības. Nodokļu maksātāji</w:t>
      </w:r>
      <w:r w:rsidR="00F55147">
        <w:rPr>
          <w:sz w:val="26"/>
          <w:szCs w:val="26"/>
        </w:rPr>
        <w:t xml:space="preserve"> </w:t>
      </w:r>
      <w:r w:rsidR="00DA2900">
        <w:rPr>
          <w:sz w:val="26"/>
          <w:szCs w:val="26"/>
        </w:rPr>
        <w:t>−</w:t>
      </w:r>
      <w:r w:rsidR="00F55147">
        <w:rPr>
          <w:sz w:val="26"/>
          <w:szCs w:val="26"/>
        </w:rPr>
        <w:t xml:space="preserve"> </w:t>
      </w:r>
      <w:r>
        <w:rPr>
          <w:sz w:val="26"/>
          <w:szCs w:val="26"/>
        </w:rPr>
        <w:t>juridiskās personas</w:t>
      </w:r>
      <w:r w:rsidR="00F55147">
        <w:rPr>
          <w:sz w:val="26"/>
          <w:szCs w:val="26"/>
        </w:rPr>
        <w:t xml:space="preserve"> –</w:t>
      </w:r>
      <w:r>
        <w:rPr>
          <w:sz w:val="26"/>
          <w:szCs w:val="26"/>
        </w:rPr>
        <w:t xml:space="preserve"> ir legalizējuši darba ņēmējus, palielinājuši saviem darbiniekiem darba samaksu. </w:t>
      </w:r>
    </w:p>
    <w:p w:rsidR="00DA2900" w:rsidRDefault="00DA2900" w:rsidP="002A7ECF">
      <w:pPr>
        <w:ind w:firstLine="720"/>
        <w:jc w:val="both"/>
        <w:rPr>
          <w:sz w:val="26"/>
          <w:szCs w:val="26"/>
        </w:rPr>
      </w:pPr>
      <w:r>
        <w:rPr>
          <w:sz w:val="26"/>
          <w:szCs w:val="26"/>
        </w:rPr>
        <w:t>Īstenojot p</w:t>
      </w:r>
      <w:r w:rsidR="007A3A1A">
        <w:rPr>
          <w:sz w:val="26"/>
          <w:szCs w:val="26"/>
        </w:rPr>
        <w:t>reventīv</w:t>
      </w:r>
      <w:r>
        <w:rPr>
          <w:sz w:val="26"/>
          <w:szCs w:val="26"/>
        </w:rPr>
        <w:t>os pasākumus</w:t>
      </w:r>
      <w:r w:rsidR="00F55147">
        <w:rPr>
          <w:sz w:val="26"/>
          <w:szCs w:val="26"/>
        </w:rPr>
        <w:t>,</w:t>
      </w:r>
      <w:r>
        <w:rPr>
          <w:sz w:val="26"/>
          <w:szCs w:val="26"/>
        </w:rPr>
        <w:t xml:space="preserve"> fiziskajām personām 2011.gada sešos mēnešos nosūtīti 645 paziņojumi ar atgādinājumu reģistrēties. 2011.gada deviņos mēnešos nosūtīti 1666 atgādinājumi. </w:t>
      </w:r>
    </w:p>
    <w:p w:rsidR="007A3A1A" w:rsidRPr="002A7ECF" w:rsidRDefault="00DA2900" w:rsidP="002A7ECF">
      <w:pPr>
        <w:ind w:firstLine="720"/>
        <w:jc w:val="both"/>
        <w:rPr>
          <w:sz w:val="26"/>
          <w:szCs w:val="26"/>
        </w:rPr>
      </w:pPr>
      <w:r>
        <w:rPr>
          <w:sz w:val="26"/>
          <w:szCs w:val="26"/>
        </w:rPr>
        <w:t>Ieguldītā</w:t>
      </w:r>
      <w:r w:rsidR="007A3A1A">
        <w:rPr>
          <w:sz w:val="26"/>
          <w:szCs w:val="26"/>
        </w:rPr>
        <w:t xml:space="preserve"> darba rezultātus 2011.gada sešos mēnešos un deviņos mēnešos raksturo </w:t>
      </w:r>
      <w:r>
        <w:rPr>
          <w:sz w:val="26"/>
          <w:szCs w:val="26"/>
        </w:rPr>
        <w:t>4</w:t>
      </w:r>
      <w:r w:rsidR="00152012">
        <w:rPr>
          <w:sz w:val="26"/>
          <w:szCs w:val="26"/>
        </w:rPr>
        <w:t>.1.tabula</w:t>
      </w:r>
      <w:r>
        <w:rPr>
          <w:sz w:val="26"/>
          <w:szCs w:val="26"/>
        </w:rPr>
        <w:t>s rādītāji</w:t>
      </w:r>
      <w:r w:rsidR="00152012">
        <w:rPr>
          <w:sz w:val="26"/>
          <w:szCs w:val="26"/>
        </w:rPr>
        <w:t>.</w:t>
      </w:r>
    </w:p>
    <w:p w:rsidR="00EE3150" w:rsidRPr="00152012" w:rsidRDefault="00DA2900" w:rsidP="00152012">
      <w:pPr>
        <w:jc w:val="right"/>
      </w:pPr>
      <w:r>
        <w:t>4</w:t>
      </w:r>
      <w:r w:rsidR="00152012" w:rsidRPr="00152012">
        <w:t>.1.tabula</w:t>
      </w:r>
    </w:p>
    <w:p w:rsidR="00695C91" w:rsidRPr="00695C91" w:rsidRDefault="00152012" w:rsidP="00F55147">
      <w:pPr>
        <w:jc w:val="center"/>
      </w:pPr>
      <w:r w:rsidRPr="00152012">
        <w:t>Preventīvā dar</w:t>
      </w:r>
      <w:r w:rsidR="00695C91">
        <w:t xml:space="preserve">ba rezultāti </w:t>
      </w:r>
      <w:r w:rsidR="00695C91" w:rsidRPr="00695C91">
        <w:t>cīņai pret nelegālo nodarbinātību un algu izmaksām aploksnēs</w:t>
      </w:r>
    </w:p>
    <w:p w:rsidR="00152012" w:rsidRPr="00152012" w:rsidRDefault="00152012" w:rsidP="00152012">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418"/>
        <w:gridCol w:w="1701"/>
        <w:gridCol w:w="992"/>
        <w:gridCol w:w="1559"/>
      </w:tblGrid>
      <w:tr w:rsidR="00152012" w:rsidRPr="00EB0F86" w:rsidTr="00F21D38">
        <w:tc>
          <w:tcPr>
            <w:tcW w:w="3652" w:type="dxa"/>
            <w:shd w:val="clear" w:color="auto" w:fill="auto"/>
            <w:vAlign w:val="center"/>
          </w:tcPr>
          <w:p w:rsidR="00152012" w:rsidRPr="007262BE" w:rsidRDefault="00695C91" w:rsidP="009367FB">
            <w:pPr>
              <w:tabs>
                <w:tab w:val="center" w:pos="4153"/>
                <w:tab w:val="right" w:pos="8306"/>
              </w:tabs>
              <w:jc w:val="center"/>
              <w:rPr>
                <w:sz w:val="20"/>
                <w:szCs w:val="20"/>
              </w:rPr>
            </w:pPr>
            <w:r>
              <w:rPr>
                <w:sz w:val="20"/>
                <w:szCs w:val="20"/>
              </w:rPr>
              <w:t>Rādītāji</w:t>
            </w:r>
          </w:p>
        </w:tc>
        <w:tc>
          <w:tcPr>
            <w:tcW w:w="1418" w:type="dxa"/>
            <w:shd w:val="clear" w:color="auto" w:fill="auto"/>
            <w:vAlign w:val="center"/>
          </w:tcPr>
          <w:p w:rsidR="00152012" w:rsidRPr="005F2D94" w:rsidRDefault="00152012" w:rsidP="009367FB">
            <w:pPr>
              <w:tabs>
                <w:tab w:val="center" w:pos="4153"/>
                <w:tab w:val="right" w:pos="8306"/>
              </w:tabs>
              <w:jc w:val="center"/>
              <w:rPr>
                <w:b/>
                <w:sz w:val="20"/>
                <w:szCs w:val="20"/>
              </w:rPr>
            </w:pPr>
            <w:r w:rsidRPr="005F2D94">
              <w:rPr>
                <w:b/>
                <w:sz w:val="20"/>
                <w:szCs w:val="20"/>
              </w:rPr>
              <w:t>2011.g.sešos mēnešos</w:t>
            </w:r>
          </w:p>
        </w:tc>
        <w:tc>
          <w:tcPr>
            <w:tcW w:w="1701" w:type="dxa"/>
            <w:shd w:val="clear" w:color="auto" w:fill="auto"/>
            <w:vAlign w:val="center"/>
          </w:tcPr>
          <w:p w:rsidR="00152012" w:rsidRPr="007262BE" w:rsidRDefault="00152012" w:rsidP="009367FB">
            <w:pPr>
              <w:tabs>
                <w:tab w:val="center" w:pos="4153"/>
                <w:tab w:val="right" w:pos="8306"/>
              </w:tabs>
              <w:jc w:val="center"/>
              <w:rPr>
                <w:sz w:val="20"/>
                <w:szCs w:val="20"/>
              </w:rPr>
            </w:pPr>
            <w:r w:rsidRPr="007262BE">
              <w:rPr>
                <w:sz w:val="20"/>
                <w:szCs w:val="20"/>
              </w:rPr>
              <w:t>Izmaiņas salīdzinājumā ar 2010.g.sešiem mēnešiem</w:t>
            </w:r>
          </w:p>
        </w:tc>
        <w:tc>
          <w:tcPr>
            <w:tcW w:w="992" w:type="dxa"/>
            <w:shd w:val="clear" w:color="auto" w:fill="auto"/>
            <w:vAlign w:val="center"/>
          </w:tcPr>
          <w:p w:rsidR="00152012" w:rsidRPr="005F2D94" w:rsidRDefault="00152012" w:rsidP="009367FB">
            <w:pPr>
              <w:tabs>
                <w:tab w:val="center" w:pos="4153"/>
                <w:tab w:val="right" w:pos="8306"/>
              </w:tabs>
              <w:jc w:val="center"/>
              <w:rPr>
                <w:b/>
                <w:sz w:val="20"/>
                <w:szCs w:val="20"/>
              </w:rPr>
            </w:pPr>
            <w:r w:rsidRPr="005F2D94">
              <w:rPr>
                <w:b/>
                <w:sz w:val="20"/>
                <w:szCs w:val="20"/>
              </w:rPr>
              <w:t>2011.g. deviņos mēnešos</w:t>
            </w:r>
          </w:p>
        </w:tc>
        <w:tc>
          <w:tcPr>
            <w:tcW w:w="1559" w:type="dxa"/>
            <w:shd w:val="clear" w:color="auto" w:fill="auto"/>
            <w:vAlign w:val="center"/>
          </w:tcPr>
          <w:p w:rsidR="00152012" w:rsidRPr="007262BE" w:rsidRDefault="00152012" w:rsidP="009367FB">
            <w:pPr>
              <w:tabs>
                <w:tab w:val="center" w:pos="4153"/>
                <w:tab w:val="right" w:pos="8306"/>
              </w:tabs>
              <w:jc w:val="center"/>
              <w:rPr>
                <w:sz w:val="20"/>
                <w:szCs w:val="20"/>
              </w:rPr>
            </w:pPr>
            <w:r w:rsidRPr="007262BE">
              <w:rPr>
                <w:sz w:val="20"/>
                <w:szCs w:val="20"/>
              </w:rPr>
              <w:t>Izmaiņas salīdzinājumā ar 2010.g.deviņiem mēnešiem</w:t>
            </w:r>
          </w:p>
        </w:tc>
      </w:tr>
      <w:tr w:rsidR="00152012" w:rsidRPr="00EB0F86" w:rsidTr="00F21D38">
        <w:tc>
          <w:tcPr>
            <w:tcW w:w="3652" w:type="dxa"/>
          </w:tcPr>
          <w:p w:rsidR="00152012" w:rsidRPr="007262BE" w:rsidRDefault="00731AFA" w:rsidP="009367FB">
            <w:pPr>
              <w:tabs>
                <w:tab w:val="center" w:pos="4153"/>
                <w:tab w:val="right" w:pos="8306"/>
              </w:tabs>
              <w:rPr>
                <w:sz w:val="20"/>
                <w:szCs w:val="20"/>
              </w:rPr>
            </w:pPr>
            <w:r w:rsidRPr="007262BE">
              <w:rPr>
                <w:sz w:val="20"/>
                <w:szCs w:val="20"/>
              </w:rPr>
              <w:t xml:space="preserve">Legalizēto darba ņēmēju rezultātā </w:t>
            </w:r>
            <w:r w:rsidRPr="007262BE">
              <w:rPr>
                <w:sz w:val="20"/>
                <w:szCs w:val="20"/>
              </w:rPr>
              <w:lastRenderedPageBreak/>
              <w:t xml:space="preserve">palielinātās valsts sociālās apdrošināšanas obligātās iemaksas </w:t>
            </w:r>
            <w:r w:rsidR="00567189">
              <w:rPr>
                <w:sz w:val="20"/>
                <w:szCs w:val="20"/>
              </w:rPr>
              <w:t xml:space="preserve">(turpmāk – VSAOI) </w:t>
            </w:r>
            <w:r w:rsidRPr="007262BE">
              <w:rPr>
                <w:sz w:val="20"/>
                <w:szCs w:val="20"/>
              </w:rPr>
              <w:t>budžetā, tūkst. latu</w:t>
            </w:r>
          </w:p>
        </w:tc>
        <w:tc>
          <w:tcPr>
            <w:tcW w:w="1418" w:type="dxa"/>
          </w:tcPr>
          <w:p w:rsidR="00152012" w:rsidRPr="005F2D94" w:rsidRDefault="00731AFA" w:rsidP="009367FB">
            <w:pPr>
              <w:tabs>
                <w:tab w:val="center" w:pos="4153"/>
                <w:tab w:val="right" w:pos="8306"/>
              </w:tabs>
              <w:jc w:val="center"/>
              <w:rPr>
                <w:b/>
                <w:sz w:val="20"/>
                <w:szCs w:val="20"/>
              </w:rPr>
            </w:pPr>
            <w:r w:rsidRPr="005F2D94">
              <w:rPr>
                <w:b/>
                <w:sz w:val="20"/>
                <w:szCs w:val="20"/>
              </w:rPr>
              <w:lastRenderedPageBreak/>
              <w:t>275,90</w:t>
            </w:r>
          </w:p>
        </w:tc>
        <w:tc>
          <w:tcPr>
            <w:tcW w:w="1701" w:type="dxa"/>
          </w:tcPr>
          <w:p w:rsidR="00152012" w:rsidRPr="007262BE" w:rsidRDefault="00731AFA" w:rsidP="009367FB">
            <w:pPr>
              <w:tabs>
                <w:tab w:val="center" w:pos="4153"/>
                <w:tab w:val="right" w:pos="8306"/>
              </w:tabs>
              <w:jc w:val="center"/>
              <w:rPr>
                <w:sz w:val="20"/>
                <w:szCs w:val="20"/>
              </w:rPr>
            </w:pPr>
            <w:r w:rsidRPr="007262BE">
              <w:rPr>
                <w:sz w:val="20"/>
                <w:szCs w:val="20"/>
              </w:rPr>
              <w:t>+ 68,24</w:t>
            </w:r>
          </w:p>
        </w:tc>
        <w:tc>
          <w:tcPr>
            <w:tcW w:w="992" w:type="dxa"/>
          </w:tcPr>
          <w:p w:rsidR="00152012" w:rsidRPr="005F2D94" w:rsidRDefault="00731AFA" w:rsidP="009367FB">
            <w:pPr>
              <w:tabs>
                <w:tab w:val="center" w:pos="4153"/>
                <w:tab w:val="right" w:pos="8306"/>
              </w:tabs>
              <w:jc w:val="center"/>
              <w:rPr>
                <w:b/>
                <w:sz w:val="20"/>
                <w:szCs w:val="20"/>
              </w:rPr>
            </w:pPr>
            <w:r w:rsidRPr="005F2D94">
              <w:rPr>
                <w:b/>
                <w:sz w:val="20"/>
                <w:szCs w:val="20"/>
              </w:rPr>
              <w:t>354,80</w:t>
            </w:r>
          </w:p>
        </w:tc>
        <w:tc>
          <w:tcPr>
            <w:tcW w:w="1559" w:type="dxa"/>
          </w:tcPr>
          <w:p w:rsidR="00152012" w:rsidRPr="007262BE" w:rsidRDefault="00731AFA" w:rsidP="009367FB">
            <w:pPr>
              <w:tabs>
                <w:tab w:val="center" w:pos="4153"/>
                <w:tab w:val="right" w:pos="8306"/>
              </w:tabs>
              <w:jc w:val="center"/>
              <w:rPr>
                <w:sz w:val="20"/>
                <w:szCs w:val="20"/>
              </w:rPr>
            </w:pPr>
            <w:r w:rsidRPr="007262BE">
              <w:rPr>
                <w:sz w:val="20"/>
                <w:szCs w:val="20"/>
              </w:rPr>
              <w:t>+ 45,02</w:t>
            </w:r>
          </w:p>
        </w:tc>
      </w:tr>
      <w:tr w:rsidR="00152012" w:rsidRPr="00EB0F86" w:rsidTr="00F21D38">
        <w:tc>
          <w:tcPr>
            <w:tcW w:w="3652" w:type="dxa"/>
            <w:shd w:val="clear" w:color="auto" w:fill="auto"/>
          </w:tcPr>
          <w:p w:rsidR="00152012" w:rsidRPr="007262BE" w:rsidRDefault="00731AFA" w:rsidP="00567189">
            <w:pPr>
              <w:tabs>
                <w:tab w:val="center" w:pos="4153"/>
                <w:tab w:val="right" w:pos="8306"/>
              </w:tabs>
              <w:rPr>
                <w:sz w:val="20"/>
                <w:szCs w:val="20"/>
              </w:rPr>
            </w:pPr>
            <w:r w:rsidRPr="007262BE">
              <w:rPr>
                <w:sz w:val="20"/>
                <w:szCs w:val="20"/>
              </w:rPr>
              <w:lastRenderedPageBreak/>
              <w:t>Darba ņēmēju darba samaksas palieli</w:t>
            </w:r>
            <w:r w:rsidR="00567189">
              <w:rPr>
                <w:sz w:val="20"/>
                <w:szCs w:val="20"/>
              </w:rPr>
              <w:t>nāšanas rezultātā palielinātās VSAOI</w:t>
            </w:r>
            <w:r w:rsidRPr="007262BE">
              <w:rPr>
                <w:sz w:val="20"/>
                <w:szCs w:val="20"/>
              </w:rPr>
              <w:t xml:space="preserve"> budžetā, tūkst. latu</w:t>
            </w:r>
          </w:p>
        </w:tc>
        <w:tc>
          <w:tcPr>
            <w:tcW w:w="1418" w:type="dxa"/>
            <w:shd w:val="clear" w:color="auto" w:fill="auto"/>
          </w:tcPr>
          <w:p w:rsidR="00152012" w:rsidRPr="005F2D94" w:rsidRDefault="00731AFA" w:rsidP="009367FB">
            <w:pPr>
              <w:tabs>
                <w:tab w:val="center" w:pos="4153"/>
                <w:tab w:val="right" w:pos="8306"/>
              </w:tabs>
              <w:jc w:val="center"/>
              <w:rPr>
                <w:b/>
                <w:sz w:val="20"/>
                <w:szCs w:val="20"/>
              </w:rPr>
            </w:pPr>
            <w:r w:rsidRPr="005F2D94">
              <w:rPr>
                <w:b/>
                <w:sz w:val="20"/>
                <w:szCs w:val="20"/>
              </w:rPr>
              <w:t>7,20</w:t>
            </w:r>
          </w:p>
        </w:tc>
        <w:tc>
          <w:tcPr>
            <w:tcW w:w="1701" w:type="dxa"/>
            <w:shd w:val="clear" w:color="auto" w:fill="auto"/>
          </w:tcPr>
          <w:p w:rsidR="00152012" w:rsidRPr="007262BE" w:rsidRDefault="00731AFA" w:rsidP="009367FB">
            <w:pPr>
              <w:tabs>
                <w:tab w:val="center" w:pos="4153"/>
                <w:tab w:val="right" w:pos="8306"/>
              </w:tabs>
              <w:jc w:val="center"/>
              <w:rPr>
                <w:sz w:val="20"/>
                <w:szCs w:val="20"/>
              </w:rPr>
            </w:pPr>
            <w:r w:rsidRPr="007262BE">
              <w:rPr>
                <w:sz w:val="20"/>
                <w:szCs w:val="20"/>
              </w:rPr>
              <w:t>+5,14</w:t>
            </w:r>
          </w:p>
        </w:tc>
        <w:tc>
          <w:tcPr>
            <w:tcW w:w="992" w:type="dxa"/>
            <w:shd w:val="clear" w:color="auto" w:fill="auto"/>
          </w:tcPr>
          <w:p w:rsidR="00152012" w:rsidRPr="005F2D94" w:rsidRDefault="00731AFA" w:rsidP="009367FB">
            <w:pPr>
              <w:tabs>
                <w:tab w:val="center" w:pos="4153"/>
                <w:tab w:val="right" w:pos="8306"/>
              </w:tabs>
              <w:jc w:val="center"/>
              <w:rPr>
                <w:b/>
                <w:sz w:val="20"/>
                <w:szCs w:val="20"/>
              </w:rPr>
            </w:pPr>
            <w:r w:rsidRPr="005F2D94">
              <w:rPr>
                <w:b/>
                <w:sz w:val="20"/>
                <w:szCs w:val="20"/>
              </w:rPr>
              <w:t>10,5</w:t>
            </w:r>
          </w:p>
        </w:tc>
        <w:tc>
          <w:tcPr>
            <w:tcW w:w="1559" w:type="dxa"/>
            <w:shd w:val="clear" w:color="auto" w:fill="auto"/>
          </w:tcPr>
          <w:p w:rsidR="00152012" w:rsidRPr="007262BE" w:rsidRDefault="00731AFA" w:rsidP="009367FB">
            <w:pPr>
              <w:tabs>
                <w:tab w:val="center" w:pos="4153"/>
                <w:tab w:val="right" w:pos="8306"/>
              </w:tabs>
              <w:jc w:val="center"/>
              <w:rPr>
                <w:sz w:val="20"/>
                <w:szCs w:val="20"/>
              </w:rPr>
            </w:pPr>
            <w:r w:rsidRPr="007262BE">
              <w:rPr>
                <w:sz w:val="20"/>
                <w:szCs w:val="20"/>
              </w:rPr>
              <w:t>+ 4,29</w:t>
            </w:r>
          </w:p>
        </w:tc>
      </w:tr>
    </w:tbl>
    <w:p w:rsidR="00A84CB2" w:rsidRPr="00A84CB2" w:rsidRDefault="006D20EE" w:rsidP="00F21D38">
      <w:pPr>
        <w:ind w:firstLine="720"/>
        <w:jc w:val="both"/>
        <w:rPr>
          <w:sz w:val="26"/>
          <w:szCs w:val="26"/>
        </w:rPr>
      </w:pPr>
      <w:r w:rsidRPr="00A84CB2">
        <w:rPr>
          <w:sz w:val="26"/>
          <w:szCs w:val="26"/>
        </w:rPr>
        <w:t>Ieviešot SVF tehniskās palīdzības 2011.gada jūnija misijas ieteikumus, p</w:t>
      </w:r>
      <w:r w:rsidR="009A18FF" w:rsidRPr="00A84CB2">
        <w:rPr>
          <w:sz w:val="26"/>
          <w:szCs w:val="26"/>
        </w:rPr>
        <w:t xml:space="preserve">reventīvā darba uzlabošanai </w:t>
      </w:r>
      <w:r w:rsidRPr="00A84CB2">
        <w:rPr>
          <w:sz w:val="26"/>
          <w:szCs w:val="26"/>
        </w:rPr>
        <w:t xml:space="preserve">turpmāk saistībā ar nereģistrētās uzņēmējdarbības </w:t>
      </w:r>
      <w:r w:rsidR="00A84CB2" w:rsidRPr="00A84CB2">
        <w:rPr>
          <w:sz w:val="26"/>
          <w:szCs w:val="26"/>
        </w:rPr>
        <w:t xml:space="preserve">un aplokšņu algu </w:t>
      </w:r>
      <w:r w:rsidRPr="00A84CB2">
        <w:rPr>
          <w:sz w:val="26"/>
          <w:szCs w:val="26"/>
        </w:rPr>
        <w:t xml:space="preserve">apkarošanu, </w:t>
      </w:r>
      <w:r w:rsidR="009A18FF" w:rsidRPr="00A84CB2">
        <w:rPr>
          <w:sz w:val="26"/>
          <w:szCs w:val="26"/>
        </w:rPr>
        <w:t xml:space="preserve">VID </w:t>
      </w:r>
      <w:r w:rsidRPr="00A84CB2">
        <w:rPr>
          <w:sz w:val="26"/>
          <w:szCs w:val="26"/>
        </w:rPr>
        <w:t>2011.gada augustā ir izveidota</w:t>
      </w:r>
      <w:r w:rsidR="00A84CB2" w:rsidRPr="00A84CB2">
        <w:rPr>
          <w:sz w:val="26"/>
          <w:szCs w:val="26"/>
        </w:rPr>
        <w:t>s divas projekta grupas:</w:t>
      </w:r>
    </w:p>
    <w:p w:rsidR="00A84CB2" w:rsidRPr="009808CF" w:rsidRDefault="00F21D38" w:rsidP="00F21D38">
      <w:pPr>
        <w:numPr>
          <w:ilvl w:val="0"/>
          <w:numId w:val="15"/>
        </w:numPr>
        <w:jc w:val="both"/>
        <w:rPr>
          <w:sz w:val="26"/>
          <w:szCs w:val="26"/>
        </w:rPr>
      </w:pPr>
      <w:r w:rsidRPr="009808CF">
        <w:rPr>
          <w:sz w:val="26"/>
          <w:szCs w:val="26"/>
        </w:rPr>
        <w:t>s</w:t>
      </w:r>
      <w:r w:rsidR="006D20EE" w:rsidRPr="009808CF">
        <w:rPr>
          <w:sz w:val="26"/>
          <w:szCs w:val="26"/>
        </w:rPr>
        <w:t>aimnieciskās darbības reģistrācijas nodrošināšanas projektu grupa</w:t>
      </w:r>
      <w:r w:rsidR="006315F3" w:rsidRPr="009808CF">
        <w:rPr>
          <w:sz w:val="26"/>
          <w:szCs w:val="26"/>
        </w:rPr>
        <w:t>;</w:t>
      </w:r>
      <w:r w:rsidR="00A84CB2" w:rsidRPr="009808CF">
        <w:rPr>
          <w:sz w:val="26"/>
          <w:szCs w:val="26"/>
        </w:rPr>
        <w:t xml:space="preserve"> </w:t>
      </w:r>
    </w:p>
    <w:p w:rsidR="006D20EE" w:rsidRPr="009808CF" w:rsidRDefault="00F21D38" w:rsidP="00F21D38">
      <w:pPr>
        <w:numPr>
          <w:ilvl w:val="0"/>
          <w:numId w:val="15"/>
        </w:numPr>
        <w:jc w:val="both"/>
        <w:rPr>
          <w:sz w:val="26"/>
          <w:szCs w:val="26"/>
        </w:rPr>
      </w:pPr>
      <w:r w:rsidRPr="009808CF">
        <w:rPr>
          <w:sz w:val="26"/>
          <w:szCs w:val="26"/>
        </w:rPr>
        <w:t>p</w:t>
      </w:r>
      <w:r w:rsidR="00A84CB2" w:rsidRPr="009808CF">
        <w:rPr>
          <w:sz w:val="26"/>
          <w:szCs w:val="26"/>
        </w:rPr>
        <w:t>rojekta grupa cīņā pret algu izmaksām aploksnēs.</w:t>
      </w:r>
    </w:p>
    <w:p w:rsidR="00695C91" w:rsidRDefault="00695C91" w:rsidP="006315F3">
      <w:pPr>
        <w:ind w:firstLine="720"/>
        <w:jc w:val="both"/>
        <w:rPr>
          <w:sz w:val="26"/>
          <w:szCs w:val="26"/>
        </w:rPr>
      </w:pPr>
      <w:r>
        <w:rPr>
          <w:sz w:val="26"/>
          <w:szCs w:val="26"/>
        </w:rPr>
        <w:t>Cīņai pret nelegālo nodarbinātību un algu izmaksām aploksnēs VID veicis virkni kontroles pasākumu, kuru rezultātā sasniegts gan preventīvs efekts, gan represīva ietekme uz nodokļu maksātāju izturēšanos pret nodokļu saistību izpildi</w:t>
      </w:r>
      <w:r w:rsidR="00DA2900">
        <w:rPr>
          <w:sz w:val="26"/>
          <w:szCs w:val="26"/>
        </w:rPr>
        <w:t>. 2011.gada sešos un deviņos mēnešos veiktas:</w:t>
      </w:r>
    </w:p>
    <w:p w:rsidR="00DA2900" w:rsidRDefault="006315F3" w:rsidP="006315F3">
      <w:pPr>
        <w:numPr>
          <w:ilvl w:val="0"/>
          <w:numId w:val="15"/>
        </w:numPr>
        <w:tabs>
          <w:tab w:val="left" w:pos="993"/>
        </w:tabs>
        <w:ind w:left="0" w:firstLine="720"/>
        <w:jc w:val="both"/>
        <w:rPr>
          <w:sz w:val="26"/>
          <w:szCs w:val="26"/>
        </w:rPr>
      </w:pPr>
      <w:r>
        <w:rPr>
          <w:sz w:val="26"/>
          <w:szCs w:val="26"/>
        </w:rPr>
        <w:t>d</w:t>
      </w:r>
      <w:r w:rsidR="00DA2900">
        <w:rPr>
          <w:sz w:val="26"/>
          <w:szCs w:val="26"/>
        </w:rPr>
        <w:t>arba devēju tematiskās pārbaudes – sešos mēnešos 2482, deviņos mēnešos 3884;</w:t>
      </w:r>
    </w:p>
    <w:p w:rsidR="00DA2900" w:rsidRDefault="006315F3" w:rsidP="006315F3">
      <w:pPr>
        <w:numPr>
          <w:ilvl w:val="0"/>
          <w:numId w:val="15"/>
        </w:numPr>
        <w:tabs>
          <w:tab w:val="left" w:pos="993"/>
        </w:tabs>
        <w:ind w:left="0" w:firstLine="720"/>
        <w:jc w:val="both"/>
        <w:rPr>
          <w:sz w:val="26"/>
          <w:szCs w:val="26"/>
        </w:rPr>
      </w:pPr>
      <w:r>
        <w:rPr>
          <w:sz w:val="26"/>
          <w:szCs w:val="26"/>
        </w:rPr>
        <w:t>n</w:t>
      </w:r>
      <w:r w:rsidR="007200D6">
        <w:rPr>
          <w:sz w:val="26"/>
          <w:szCs w:val="26"/>
        </w:rPr>
        <w:t xml:space="preserve">odokļu auditi </w:t>
      </w:r>
      <w:r w:rsidR="007200D6" w:rsidRPr="007200D6">
        <w:rPr>
          <w:sz w:val="26"/>
          <w:szCs w:val="26"/>
        </w:rPr>
        <w:t>juridiskajām personām, kur auditēts VSAOI</w:t>
      </w:r>
      <w:r>
        <w:rPr>
          <w:sz w:val="26"/>
          <w:szCs w:val="26"/>
        </w:rPr>
        <w:t>,</w:t>
      </w:r>
      <w:r w:rsidR="007200D6">
        <w:rPr>
          <w:sz w:val="26"/>
          <w:szCs w:val="26"/>
        </w:rPr>
        <w:t xml:space="preserve"> – sešos mēnešos 270, deviņos mēnešos 419;</w:t>
      </w:r>
    </w:p>
    <w:p w:rsidR="007200D6" w:rsidRDefault="007200D6" w:rsidP="006315F3">
      <w:pPr>
        <w:numPr>
          <w:ilvl w:val="0"/>
          <w:numId w:val="15"/>
        </w:numPr>
        <w:tabs>
          <w:tab w:val="left" w:pos="993"/>
        </w:tabs>
        <w:ind w:left="0" w:firstLine="720"/>
        <w:jc w:val="both"/>
        <w:rPr>
          <w:sz w:val="26"/>
          <w:szCs w:val="26"/>
        </w:rPr>
      </w:pPr>
      <w:r w:rsidRPr="007200D6">
        <w:rPr>
          <w:sz w:val="26"/>
          <w:szCs w:val="26"/>
        </w:rPr>
        <w:t>nodokļu auditi juridiskajām personām, kur auditēts iedzīvotāju ienākuma nodoklis (turpmāk – IIN)</w:t>
      </w:r>
      <w:r w:rsidR="006315F3">
        <w:rPr>
          <w:sz w:val="26"/>
          <w:szCs w:val="26"/>
        </w:rPr>
        <w:t>,</w:t>
      </w:r>
      <w:r>
        <w:rPr>
          <w:sz w:val="26"/>
          <w:szCs w:val="26"/>
        </w:rPr>
        <w:t xml:space="preserve"> – sešos mēnešos 271 un deviņos mēnešos 426.</w:t>
      </w:r>
    </w:p>
    <w:p w:rsidR="007200D6" w:rsidRPr="007200D6" w:rsidRDefault="007200D6" w:rsidP="007200D6">
      <w:pPr>
        <w:ind w:firstLine="709"/>
        <w:jc w:val="both"/>
        <w:rPr>
          <w:sz w:val="26"/>
          <w:szCs w:val="26"/>
        </w:rPr>
      </w:pPr>
      <w:r>
        <w:rPr>
          <w:sz w:val="26"/>
          <w:szCs w:val="26"/>
        </w:rPr>
        <w:t xml:space="preserve">Visu veikto kontroles pasākumu skaits cīņai pret nelegālo nodarbinātību un algu izmaksām aploksnēs ir </w:t>
      </w:r>
      <w:r w:rsidR="006315F3">
        <w:rPr>
          <w:sz w:val="26"/>
          <w:szCs w:val="26"/>
        </w:rPr>
        <w:t>palielinājies,</w:t>
      </w:r>
      <w:r>
        <w:rPr>
          <w:sz w:val="26"/>
          <w:szCs w:val="26"/>
        </w:rPr>
        <w:t xml:space="preserve"> salīdzinot ar 2010.gada attiecīgajiem periodiem. </w:t>
      </w:r>
    </w:p>
    <w:p w:rsidR="00695C91" w:rsidRDefault="00695C91" w:rsidP="00695C91">
      <w:pPr>
        <w:ind w:firstLine="851"/>
        <w:jc w:val="both"/>
        <w:rPr>
          <w:sz w:val="26"/>
          <w:szCs w:val="26"/>
        </w:rPr>
      </w:pPr>
    </w:p>
    <w:p w:rsidR="00695C91" w:rsidRPr="00695C91" w:rsidRDefault="007200D6" w:rsidP="00695C91">
      <w:pPr>
        <w:ind w:firstLine="851"/>
        <w:jc w:val="right"/>
      </w:pPr>
      <w:r>
        <w:t>4</w:t>
      </w:r>
      <w:r w:rsidR="00695C91" w:rsidRPr="00695C91">
        <w:t>.2.tabula</w:t>
      </w:r>
    </w:p>
    <w:p w:rsidR="00695C91" w:rsidRPr="00695C91" w:rsidRDefault="00695C91" w:rsidP="006315F3">
      <w:pPr>
        <w:jc w:val="center"/>
      </w:pPr>
      <w:r w:rsidRPr="00695C91">
        <w:t>Kontroles pasākumu rezultāti cīņai pret nelegālo nodarbinātību un algu izmaksām aploksnēs</w:t>
      </w:r>
    </w:p>
    <w:p w:rsidR="00695C91" w:rsidRPr="00A84CB2" w:rsidRDefault="00695C91" w:rsidP="00695C91">
      <w:pPr>
        <w:ind w:firstLine="851"/>
        <w:jc w:val="center"/>
        <w:rPr>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60"/>
        <w:gridCol w:w="1559"/>
        <w:gridCol w:w="1417"/>
        <w:gridCol w:w="1701"/>
      </w:tblGrid>
      <w:tr w:rsidR="00F702A1" w:rsidRPr="007262BE" w:rsidTr="006315F3">
        <w:tc>
          <w:tcPr>
            <w:tcW w:w="2943" w:type="dxa"/>
            <w:shd w:val="clear" w:color="auto" w:fill="auto"/>
            <w:vAlign w:val="center"/>
          </w:tcPr>
          <w:p w:rsidR="00F702A1" w:rsidRPr="007262BE" w:rsidRDefault="00F702A1" w:rsidP="006F4153">
            <w:pPr>
              <w:tabs>
                <w:tab w:val="center" w:pos="4153"/>
                <w:tab w:val="right" w:pos="8306"/>
              </w:tabs>
              <w:jc w:val="center"/>
              <w:rPr>
                <w:sz w:val="20"/>
                <w:szCs w:val="20"/>
              </w:rPr>
            </w:pPr>
            <w:r>
              <w:rPr>
                <w:sz w:val="20"/>
                <w:szCs w:val="20"/>
              </w:rPr>
              <w:t>Rādītāji</w:t>
            </w:r>
          </w:p>
        </w:tc>
        <w:tc>
          <w:tcPr>
            <w:tcW w:w="1560" w:type="dxa"/>
            <w:shd w:val="clear" w:color="auto" w:fill="auto"/>
            <w:vAlign w:val="center"/>
          </w:tcPr>
          <w:p w:rsidR="00F702A1" w:rsidRPr="005F2D94" w:rsidRDefault="00F702A1" w:rsidP="006F4153">
            <w:pPr>
              <w:tabs>
                <w:tab w:val="center" w:pos="4153"/>
                <w:tab w:val="right" w:pos="8306"/>
              </w:tabs>
              <w:jc w:val="center"/>
              <w:rPr>
                <w:b/>
                <w:sz w:val="20"/>
                <w:szCs w:val="20"/>
              </w:rPr>
            </w:pPr>
            <w:r w:rsidRPr="005F2D94">
              <w:rPr>
                <w:b/>
                <w:sz w:val="20"/>
                <w:szCs w:val="20"/>
              </w:rPr>
              <w:t>2011.g.sešos mēnešos</w:t>
            </w:r>
          </w:p>
        </w:tc>
        <w:tc>
          <w:tcPr>
            <w:tcW w:w="1559" w:type="dxa"/>
            <w:shd w:val="clear" w:color="auto" w:fill="auto"/>
            <w:vAlign w:val="center"/>
          </w:tcPr>
          <w:p w:rsidR="00F702A1" w:rsidRPr="007262BE" w:rsidRDefault="00F702A1" w:rsidP="006F4153">
            <w:pPr>
              <w:tabs>
                <w:tab w:val="center" w:pos="4153"/>
                <w:tab w:val="right" w:pos="8306"/>
              </w:tabs>
              <w:jc w:val="center"/>
              <w:rPr>
                <w:sz w:val="20"/>
                <w:szCs w:val="20"/>
              </w:rPr>
            </w:pPr>
            <w:r w:rsidRPr="007262BE">
              <w:rPr>
                <w:sz w:val="20"/>
                <w:szCs w:val="20"/>
              </w:rPr>
              <w:t>Izmaiņas salīdzinājumā ar 2010.g.sešiem mēnešiem</w:t>
            </w:r>
          </w:p>
        </w:tc>
        <w:tc>
          <w:tcPr>
            <w:tcW w:w="1417" w:type="dxa"/>
            <w:shd w:val="clear" w:color="auto" w:fill="auto"/>
            <w:vAlign w:val="center"/>
          </w:tcPr>
          <w:p w:rsidR="00F702A1" w:rsidRPr="005F2D94" w:rsidRDefault="00F702A1" w:rsidP="006F4153">
            <w:pPr>
              <w:tabs>
                <w:tab w:val="center" w:pos="4153"/>
                <w:tab w:val="right" w:pos="8306"/>
              </w:tabs>
              <w:jc w:val="center"/>
              <w:rPr>
                <w:b/>
                <w:sz w:val="20"/>
                <w:szCs w:val="20"/>
              </w:rPr>
            </w:pPr>
            <w:r w:rsidRPr="005F2D94">
              <w:rPr>
                <w:b/>
                <w:sz w:val="20"/>
                <w:szCs w:val="20"/>
              </w:rPr>
              <w:t>2011.g. deviņos mēnešos</w:t>
            </w:r>
          </w:p>
        </w:tc>
        <w:tc>
          <w:tcPr>
            <w:tcW w:w="1701" w:type="dxa"/>
            <w:shd w:val="clear" w:color="auto" w:fill="auto"/>
            <w:vAlign w:val="center"/>
          </w:tcPr>
          <w:p w:rsidR="00F702A1" w:rsidRPr="007262BE" w:rsidRDefault="00F702A1" w:rsidP="006F4153">
            <w:pPr>
              <w:tabs>
                <w:tab w:val="center" w:pos="4153"/>
                <w:tab w:val="right" w:pos="8306"/>
              </w:tabs>
              <w:jc w:val="center"/>
              <w:rPr>
                <w:sz w:val="20"/>
                <w:szCs w:val="20"/>
              </w:rPr>
            </w:pPr>
            <w:r w:rsidRPr="007262BE">
              <w:rPr>
                <w:sz w:val="20"/>
                <w:szCs w:val="20"/>
              </w:rPr>
              <w:t>Izmaiņas salīdzinājumā ar 2010.g.deviņiem mēnešiem</w:t>
            </w:r>
          </w:p>
        </w:tc>
      </w:tr>
      <w:tr w:rsidR="00FE3831" w:rsidRPr="007262BE" w:rsidTr="006315F3">
        <w:tc>
          <w:tcPr>
            <w:tcW w:w="2943" w:type="dxa"/>
          </w:tcPr>
          <w:p w:rsidR="00FE3831" w:rsidRDefault="007200D6" w:rsidP="007200D6">
            <w:pPr>
              <w:tabs>
                <w:tab w:val="center" w:pos="4153"/>
                <w:tab w:val="right" w:pos="8306"/>
              </w:tabs>
              <w:rPr>
                <w:sz w:val="20"/>
                <w:szCs w:val="20"/>
              </w:rPr>
            </w:pPr>
            <w:r>
              <w:rPr>
                <w:sz w:val="20"/>
                <w:szCs w:val="20"/>
              </w:rPr>
              <w:t>Darba devēju tematiskajās pārbaudēs p</w:t>
            </w:r>
            <w:r w:rsidR="00FE3831">
              <w:rPr>
                <w:sz w:val="20"/>
                <w:szCs w:val="20"/>
              </w:rPr>
              <w:t>iemērots naudas sods, tūkst. Ls</w:t>
            </w:r>
          </w:p>
        </w:tc>
        <w:tc>
          <w:tcPr>
            <w:tcW w:w="1560" w:type="dxa"/>
          </w:tcPr>
          <w:p w:rsidR="00FE3831" w:rsidRPr="005F2D94" w:rsidRDefault="00FE3831" w:rsidP="006F4153">
            <w:pPr>
              <w:tabs>
                <w:tab w:val="center" w:pos="4153"/>
                <w:tab w:val="right" w:pos="8306"/>
              </w:tabs>
              <w:jc w:val="center"/>
              <w:rPr>
                <w:b/>
                <w:sz w:val="20"/>
                <w:szCs w:val="20"/>
              </w:rPr>
            </w:pPr>
            <w:r>
              <w:rPr>
                <w:b/>
                <w:sz w:val="20"/>
                <w:szCs w:val="20"/>
              </w:rPr>
              <w:t>18,2</w:t>
            </w:r>
          </w:p>
        </w:tc>
        <w:tc>
          <w:tcPr>
            <w:tcW w:w="1559" w:type="dxa"/>
          </w:tcPr>
          <w:p w:rsidR="00FE3831" w:rsidRPr="007262BE" w:rsidRDefault="00FE3831" w:rsidP="006F4153">
            <w:pPr>
              <w:tabs>
                <w:tab w:val="center" w:pos="4153"/>
                <w:tab w:val="right" w:pos="8306"/>
              </w:tabs>
              <w:jc w:val="center"/>
              <w:rPr>
                <w:sz w:val="20"/>
                <w:szCs w:val="20"/>
              </w:rPr>
            </w:pPr>
            <w:r>
              <w:rPr>
                <w:sz w:val="20"/>
                <w:szCs w:val="20"/>
              </w:rPr>
              <w:t>+8,8</w:t>
            </w:r>
          </w:p>
        </w:tc>
        <w:tc>
          <w:tcPr>
            <w:tcW w:w="1417" w:type="dxa"/>
          </w:tcPr>
          <w:p w:rsidR="00FE3831" w:rsidRPr="005F2D94" w:rsidRDefault="00FE3831" w:rsidP="006F4153">
            <w:pPr>
              <w:tabs>
                <w:tab w:val="center" w:pos="4153"/>
                <w:tab w:val="right" w:pos="8306"/>
              </w:tabs>
              <w:jc w:val="center"/>
              <w:rPr>
                <w:b/>
                <w:sz w:val="20"/>
                <w:szCs w:val="20"/>
              </w:rPr>
            </w:pPr>
            <w:r>
              <w:rPr>
                <w:b/>
                <w:sz w:val="20"/>
                <w:szCs w:val="20"/>
              </w:rPr>
              <w:t>47,5</w:t>
            </w:r>
          </w:p>
        </w:tc>
        <w:tc>
          <w:tcPr>
            <w:tcW w:w="1701" w:type="dxa"/>
          </w:tcPr>
          <w:p w:rsidR="00FE3831" w:rsidRPr="007262BE" w:rsidRDefault="00FE3831" w:rsidP="006F4153">
            <w:pPr>
              <w:tabs>
                <w:tab w:val="center" w:pos="4153"/>
                <w:tab w:val="right" w:pos="8306"/>
              </w:tabs>
              <w:jc w:val="center"/>
              <w:rPr>
                <w:sz w:val="20"/>
                <w:szCs w:val="20"/>
              </w:rPr>
            </w:pPr>
            <w:r>
              <w:rPr>
                <w:sz w:val="20"/>
                <w:szCs w:val="20"/>
              </w:rPr>
              <w:t>+33,9</w:t>
            </w:r>
          </w:p>
        </w:tc>
      </w:tr>
      <w:tr w:rsidR="003E6885" w:rsidRPr="007262BE" w:rsidTr="006315F3">
        <w:tc>
          <w:tcPr>
            <w:tcW w:w="2943" w:type="dxa"/>
          </w:tcPr>
          <w:p w:rsidR="003E6885" w:rsidRPr="007262BE" w:rsidRDefault="007200D6" w:rsidP="007200D6">
            <w:pPr>
              <w:tabs>
                <w:tab w:val="center" w:pos="4153"/>
                <w:tab w:val="right" w:pos="8306"/>
              </w:tabs>
              <w:rPr>
                <w:sz w:val="20"/>
                <w:szCs w:val="20"/>
              </w:rPr>
            </w:pPr>
            <w:r>
              <w:rPr>
                <w:sz w:val="20"/>
                <w:szCs w:val="20"/>
              </w:rPr>
              <w:t>Tematisko pārbaužu rezultātā nodokļu maksātāji paši aprēķinājuši iemaksai budžetā VSAOI</w:t>
            </w:r>
            <w:r w:rsidR="003E6885">
              <w:rPr>
                <w:sz w:val="20"/>
                <w:szCs w:val="20"/>
              </w:rPr>
              <w:t>, tūkst. Ls</w:t>
            </w:r>
          </w:p>
        </w:tc>
        <w:tc>
          <w:tcPr>
            <w:tcW w:w="1560" w:type="dxa"/>
          </w:tcPr>
          <w:p w:rsidR="003E6885" w:rsidRPr="005F2D94" w:rsidRDefault="003E6885" w:rsidP="006F4153">
            <w:pPr>
              <w:tabs>
                <w:tab w:val="center" w:pos="4153"/>
                <w:tab w:val="right" w:pos="8306"/>
              </w:tabs>
              <w:jc w:val="center"/>
              <w:rPr>
                <w:b/>
                <w:sz w:val="20"/>
                <w:szCs w:val="20"/>
              </w:rPr>
            </w:pPr>
            <w:r>
              <w:rPr>
                <w:b/>
                <w:sz w:val="20"/>
                <w:szCs w:val="20"/>
              </w:rPr>
              <w:t>128,1</w:t>
            </w:r>
          </w:p>
        </w:tc>
        <w:tc>
          <w:tcPr>
            <w:tcW w:w="1559" w:type="dxa"/>
          </w:tcPr>
          <w:p w:rsidR="003E6885" w:rsidRPr="007262BE" w:rsidRDefault="003E6885" w:rsidP="006F4153">
            <w:pPr>
              <w:tabs>
                <w:tab w:val="center" w:pos="4153"/>
                <w:tab w:val="right" w:pos="8306"/>
              </w:tabs>
              <w:jc w:val="center"/>
              <w:rPr>
                <w:sz w:val="20"/>
                <w:szCs w:val="20"/>
              </w:rPr>
            </w:pPr>
            <w:r>
              <w:rPr>
                <w:sz w:val="20"/>
                <w:szCs w:val="20"/>
              </w:rPr>
              <w:t>+80,4</w:t>
            </w:r>
          </w:p>
        </w:tc>
        <w:tc>
          <w:tcPr>
            <w:tcW w:w="1417" w:type="dxa"/>
          </w:tcPr>
          <w:p w:rsidR="003E6885" w:rsidRPr="005F2D94" w:rsidRDefault="003E6885" w:rsidP="006F4153">
            <w:pPr>
              <w:tabs>
                <w:tab w:val="center" w:pos="4153"/>
                <w:tab w:val="right" w:pos="8306"/>
              </w:tabs>
              <w:jc w:val="center"/>
              <w:rPr>
                <w:b/>
                <w:sz w:val="20"/>
                <w:szCs w:val="20"/>
              </w:rPr>
            </w:pPr>
            <w:r>
              <w:rPr>
                <w:b/>
                <w:sz w:val="20"/>
                <w:szCs w:val="20"/>
              </w:rPr>
              <w:t>270,5</w:t>
            </w:r>
          </w:p>
        </w:tc>
        <w:tc>
          <w:tcPr>
            <w:tcW w:w="1701" w:type="dxa"/>
          </w:tcPr>
          <w:p w:rsidR="003E6885" w:rsidRPr="007262BE" w:rsidRDefault="003E6885" w:rsidP="006F4153">
            <w:pPr>
              <w:tabs>
                <w:tab w:val="center" w:pos="4153"/>
                <w:tab w:val="right" w:pos="8306"/>
              </w:tabs>
              <w:jc w:val="center"/>
              <w:rPr>
                <w:sz w:val="20"/>
                <w:szCs w:val="20"/>
              </w:rPr>
            </w:pPr>
            <w:r>
              <w:rPr>
                <w:sz w:val="20"/>
                <w:szCs w:val="20"/>
              </w:rPr>
              <w:t>+179,3</w:t>
            </w:r>
          </w:p>
        </w:tc>
      </w:tr>
      <w:tr w:rsidR="003E6885" w:rsidRPr="007262BE" w:rsidTr="006315F3">
        <w:tc>
          <w:tcPr>
            <w:tcW w:w="2943" w:type="dxa"/>
          </w:tcPr>
          <w:p w:rsidR="003E6885" w:rsidRDefault="007200D6" w:rsidP="007200D6">
            <w:pPr>
              <w:tabs>
                <w:tab w:val="center" w:pos="4153"/>
                <w:tab w:val="right" w:pos="8306"/>
              </w:tabs>
              <w:rPr>
                <w:sz w:val="20"/>
                <w:szCs w:val="20"/>
              </w:rPr>
            </w:pPr>
            <w:r>
              <w:rPr>
                <w:sz w:val="20"/>
                <w:szCs w:val="20"/>
              </w:rPr>
              <w:t>Nodokļu auditu rezultātā p</w:t>
            </w:r>
            <w:r w:rsidR="003E6885">
              <w:rPr>
                <w:sz w:val="20"/>
                <w:szCs w:val="20"/>
              </w:rPr>
              <w:t>apildus aprēķināts VSAOI un soda nauda, tūkst. Ls</w:t>
            </w:r>
          </w:p>
        </w:tc>
        <w:tc>
          <w:tcPr>
            <w:tcW w:w="1560" w:type="dxa"/>
          </w:tcPr>
          <w:p w:rsidR="003E6885" w:rsidRPr="005F2D94" w:rsidRDefault="003E6885" w:rsidP="006F4153">
            <w:pPr>
              <w:tabs>
                <w:tab w:val="center" w:pos="4153"/>
                <w:tab w:val="right" w:pos="8306"/>
              </w:tabs>
              <w:jc w:val="center"/>
              <w:rPr>
                <w:b/>
                <w:sz w:val="20"/>
                <w:szCs w:val="20"/>
              </w:rPr>
            </w:pPr>
            <w:r>
              <w:rPr>
                <w:b/>
                <w:sz w:val="20"/>
                <w:szCs w:val="20"/>
              </w:rPr>
              <w:t>1192,5</w:t>
            </w:r>
          </w:p>
        </w:tc>
        <w:tc>
          <w:tcPr>
            <w:tcW w:w="1559" w:type="dxa"/>
          </w:tcPr>
          <w:p w:rsidR="003E6885" w:rsidRPr="007262BE" w:rsidRDefault="003E6885" w:rsidP="006F4153">
            <w:pPr>
              <w:tabs>
                <w:tab w:val="center" w:pos="4153"/>
                <w:tab w:val="right" w:pos="8306"/>
              </w:tabs>
              <w:jc w:val="center"/>
              <w:rPr>
                <w:sz w:val="20"/>
                <w:szCs w:val="20"/>
              </w:rPr>
            </w:pPr>
            <w:r>
              <w:rPr>
                <w:sz w:val="20"/>
                <w:szCs w:val="20"/>
              </w:rPr>
              <w:t>+312,3</w:t>
            </w:r>
          </w:p>
        </w:tc>
        <w:tc>
          <w:tcPr>
            <w:tcW w:w="1417" w:type="dxa"/>
          </w:tcPr>
          <w:p w:rsidR="003E6885" w:rsidRPr="005F2D94" w:rsidRDefault="003E6885" w:rsidP="006F4153">
            <w:pPr>
              <w:tabs>
                <w:tab w:val="center" w:pos="4153"/>
                <w:tab w:val="right" w:pos="8306"/>
              </w:tabs>
              <w:jc w:val="center"/>
              <w:rPr>
                <w:b/>
                <w:sz w:val="20"/>
                <w:szCs w:val="20"/>
              </w:rPr>
            </w:pPr>
            <w:r>
              <w:rPr>
                <w:b/>
                <w:sz w:val="20"/>
                <w:szCs w:val="20"/>
              </w:rPr>
              <w:t>1577,0</w:t>
            </w:r>
          </w:p>
        </w:tc>
        <w:tc>
          <w:tcPr>
            <w:tcW w:w="1701" w:type="dxa"/>
          </w:tcPr>
          <w:p w:rsidR="003E6885" w:rsidRPr="007262BE" w:rsidRDefault="003E6885" w:rsidP="006F4153">
            <w:pPr>
              <w:tabs>
                <w:tab w:val="center" w:pos="4153"/>
                <w:tab w:val="right" w:pos="8306"/>
              </w:tabs>
              <w:jc w:val="center"/>
              <w:rPr>
                <w:sz w:val="20"/>
                <w:szCs w:val="20"/>
              </w:rPr>
            </w:pPr>
            <w:r>
              <w:rPr>
                <w:sz w:val="20"/>
                <w:szCs w:val="20"/>
              </w:rPr>
              <w:t>+626,6</w:t>
            </w:r>
          </w:p>
        </w:tc>
      </w:tr>
      <w:tr w:rsidR="003E6885" w:rsidRPr="007262BE" w:rsidTr="006315F3">
        <w:tc>
          <w:tcPr>
            <w:tcW w:w="2943" w:type="dxa"/>
          </w:tcPr>
          <w:p w:rsidR="003E6885" w:rsidRDefault="007200D6" w:rsidP="007200D6">
            <w:pPr>
              <w:tabs>
                <w:tab w:val="center" w:pos="4153"/>
                <w:tab w:val="right" w:pos="8306"/>
              </w:tabs>
              <w:rPr>
                <w:sz w:val="20"/>
                <w:szCs w:val="20"/>
              </w:rPr>
            </w:pPr>
            <w:r>
              <w:rPr>
                <w:sz w:val="20"/>
                <w:szCs w:val="20"/>
              </w:rPr>
              <w:t>Nodokļu auditu rezultātā p</w:t>
            </w:r>
            <w:r w:rsidR="003E6885">
              <w:rPr>
                <w:sz w:val="20"/>
                <w:szCs w:val="20"/>
              </w:rPr>
              <w:t>apildus aprēķināts IIN un soda nauda, tūkst. Ls</w:t>
            </w:r>
          </w:p>
        </w:tc>
        <w:tc>
          <w:tcPr>
            <w:tcW w:w="1560" w:type="dxa"/>
          </w:tcPr>
          <w:p w:rsidR="003E6885" w:rsidRPr="005F2D94" w:rsidRDefault="003E6885" w:rsidP="006F4153">
            <w:pPr>
              <w:tabs>
                <w:tab w:val="center" w:pos="4153"/>
                <w:tab w:val="right" w:pos="8306"/>
              </w:tabs>
              <w:jc w:val="center"/>
              <w:rPr>
                <w:b/>
                <w:sz w:val="20"/>
                <w:szCs w:val="20"/>
              </w:rPr>
            </w:pPr>
            <w:r>
              <w:rPr>
                <w:b/>
                <w:sz w:val="20"/>
                <w:szCs w:val="20"/>
              </w:rPr>
              <w:t>596,1</w:t>
            </w:r>
          </w:p>
        </w:tc>
        <w:tc>
          <w:tcPr>
            <w:tcW w:w="1559" w:type="dxa"/>
          </w:tcPr>
          <w:p w:rsidR="003E6885" w:rsidRPr="007262BE" w:rsidRDefault="003E6885" w:rsidP="006F4153">
            <w:pPr>
              <w:tabs>
                <w:tab w:val="center" w:pos="4153"/>
                <w:tab w:val="right" w:pos="8306"/>
              </w:tabs>
              <w:jc w:val="center"/>
              <w:rPr>
                <w:sz w:val="20"/>
                <w:szCs w:val="20"/>
              </w:rPr>
            </w:pPr>
            <w:r>
              <w:rPr>
                <w:sz w:val="20"/>
                <w:szCs w:val="20"/>
              </w:rPr>
              <w:t>+380,1</w:t>
            </w:r>
          </w:p>
        </w:tc>
        <w:tc>
          <w:tcPr>
            <w:tcW w:w="1417" w:type="dxa"/>
          </w:tcPr>
          <w:p w:rsidR="003E6885" w:rsidRPr="005F2D94" w:rsidRDefault="003E6885" w:rsidP="006F4153">
            <w:pPr>
              <w:tabs>
                <w:tab w:val="center" w:pos="4153"/>
                <w:tab w:val="right" w:pos="8306"/>
              </w:tabs>
              <w:jc w:val="center"/>
              <w:rPr>
                <w:b/>
                <w:sz w:val="20"/>
                <w:szCs w:val="20"/>
              </w:rPr>
            </w:pPr>
            <w:r>
              <w:rPr>
                <w:b/>
                <w:sz w:val="20"/>
                <w:szCs w:val="20"/>
              </w:rPr>
              <w:t>684,3</w:t>
            </w:r>
          </w:p>
        </w:tc>
        <w:tc>
          <w:tcPr>
            <w:tcW w:w="1701" w:type="dxa"/>
          </w:tcPr>
          <w:p w:rsidR="003E6885" w:rsidRPr="007262BE" w:rsidRDefault="003E6885" w:rsidP="006F4153">
            <w:pPr>
              <w:tabs>
                <w:tab w:val="center" w:pos="4153"/>
                <w:tab w:val="right" w:pos="8306"/>
              </w:tabs>
              <w:jc w:val="center"/>
              <w:rPr>
                <w:sz w:val="20"/>
                <w:szCs w:val="20"/>
              </w:rPr>
            </w:pPr>
            <w:r>
              <w:rPr>
                <w:sz w:val="20"/>
                <w:szCs w:val="20"/>
              </w:rPr>
              <w:t>+424,0</w:t>
            </w:r>
          </w:p>
        </w:tc>
      </w:tr>
    </w:tbl>
    <w:p w:rsidR="006D20EE" w:rsidRDefault="006D20EE" w:rsidP="00EE3150">
      <w:pPr>
        <w:jc w:val="both"/>
        <w:rPr>
          <w:sz w:val="26"/>
          <w:szCs w:val="26"/>
          <w:highlight w:val="yellow"/>
        </w:rPr>
      </w:pPr>
    </w:p>
    <w:p w:rsidR="003E6885" w:rsidRDefault="003E6885" w:rsidP="00EE3150">
      <w:pPr>
        <w:jc w:val="both"/>
        <w:rPr>
          <w:sz w:val="26"/>
          <w:szCs w:val="26"/>
        </w:rPr>
      </w:pPr>
      <w:r w:rsidRPr="003E6885">
        <w:rPr>
          <w:sz w:val="26"/>
          <w:szCs w:val="26"/>
        </w:rPr>
        <w:tab/>
      </w:r>
      <w:r w:rsidR="007200D6">
        <w:rPr>
          <w:sz w:val="26"/>
          <w:szCs w:val="26"/>
        </w:rPr>
        <w:t xml:space="preserve">Lai gan visu kontroles pasākumu rezultāti ir uzlabojušies, īpaši </w:t>
      </w:r>
      <w:r w:rsidRPr="003E6885">
        <w:rPr>
          <w:sz w:val="26"/>
          <w:szCs w:val="26"/>
        </w:rPr>
        <w:t xml:space="preserve">jāuzsver </w:t>
      </w:r>
      <w:r w:rsidR="007200D6">
        <w:rPr>
          <w:sz w:val="26"/>
          <w:szCs w:val="26"/>
        </w:rPr>
        <w:t xml:space="preserve">tas, ka </w:t>
      </w:r>
      <w:r>
        <w:rPr>
          <w:sz w:val="26"/>
          <w:szCs w:val="26"/>
        </w:rPr>
        <w:t xml:space="preserve">darba devēju tematisko pārbaužu </w:t>
      </w:r>
      <w:r w:rsidR="007200D6">
        <w:rPr>
          <w:sz w:val="26"/>
          <w:szCs w:val="26"/>
        </w:rPr>
        <w:t xml:space="preserve">laikā </w:t>
      </w:r>
      <w:r>
        <w:rPr>
          <w:sz w:val="26"/>
          <w:szCs w:val="26"/>
        </w:rPr>
        <w:t xml:space="preserve">2011.gada deviņos mēnešos 1240 nodokļu maksātāji paši </w:t>
      </w:r>
      <w:r w:rsidR="007200D6">
        <w:rPr>
          <w:sz w:val="26"/>
          <w:szCs w:val="26"/>
        </w:rPr>
        <w:t>aprēķinājuši</w:t>
      </w:r>
      <w:r>
        <w:rPr>
          <w:sz w:val="26"/>
          <w:szCs w:val="26"/>
        </w:rPr>
        <w:t xml:space="preserve"> </w:t>
      </w:r>
      <w:r w:rsidR="007200D6">
        <w:rPr>
          <w:sz w:val="26"/>
          <w:szCs w:val="26"/>
        </w:rPr>
        <w:t xml:space="preserve">papildus </w:t>
      </w:r>
      <w:r>
        <w:rPr>
          <w:sz w:val="26"/>
          <w:szCs w:val="26"/>
        </w:rPr>
        <w:t>iemaksai valsts budžetā VSAOI un IIN 270,5</w:t>
      </w:r>
      <w:r w:rsidR="006315F3">
        <w:rPr>
          <w:sz w:val="26"/>
          <w:szCs w:val="26"/>
        </w:rPr>
        <w:t> </w:t>
      </w:r>
      <w:r>
        <w:rPr>
          <w:sz w:val="26"/>
          <w:szCs w:val="26"/>
        </w:rPr>
        <w:t>tūkst. latu apmērā, kas trīs reizes pārsniedz 2010.gada attiecīgā perioda rādītājus.</w:t>
      </w:r>
    </w:p>
    <w:p w:rsidR="003E6885" w:rsidRPr="003E6885" w:rsidRDefault="003E6885" w:rsidP="00EE3150">
      <w:pPr>
        <w:jc w:val="both"/>
        <w:rPr>
          <w:sz w:val="26"/>
          <w:szCs w:val="26"/>
        </w:rPr>
      </w:pPr>
    </w:p>
    <w:p w:rsidR="009A18FF" w:rsidRPr="009A18FF" w:rsidRDefault="009A18FF" w:rsidP="006315F3">
      <w:pPr>
        <w:numPr>
          <w:ilvl w:val="0"/>
          <w:numId w:val="12"/>
        </w:numPr>
        <w:ind w:left="0" w:firstLine="0"/>
        <w:jc w:val="center"/>
        <w:rPr>
          <w:b/>
          <w:bCs/>
          <w:sz w:val="26"/>
          <w:szCs w:val="26"/>
        </w:rPr>
      </w:pPr>
      <w:r w:rsidRPr="009A18FF">
        <w:rPr>
          <w:b/>
          <w:sz w:val="26"/>
          <w:szCs w:val="26"/>
        </w:rPr>
        <w:t>Akcīzes preču kontrabandas un nelegālās tirdzniecības apkarošana</w:t>
      </w:r>
    </w:p>
    <w:p w:rsidR="009A18FF" w:rsidRDefault="009A18FF" w:rsidP="009A18FF">
      <w:pPr>
        <w:ind w:left="720"/>
        <w:rPr>
          <w:b/>
          <w:sz w:val="26"/>
          <w:szCs w:val="26"/>
        </w:rPr>
      </w:pPr>
    </w:p>
    <w:p w:rsidR="000F5D45" w:rsidRDefault="000F5D45" w:rsidP="000F5D45">
      <w:pPr>
        <w:pStyle w:val="ListParagraph"/>
        <w:ind w:left="0" w:firstLine="709"/>
        <w:jc w:val="both"/>
        <w:rPr>
          <w:rFonts w:ascii="Times New Roman" w:hAnsi="Times New Roman"/>
          <w:sz w:val="26"/>
          <w:szCs w:val="26"/>
        </w:rPr>
      </w:pPr>
      <w:r>
        <w:rPr>
          <w:rFonts w:ascii="Times New Roman" w:hAnsi="Times New Roman"/>
          <w:sz w:val="26"/>
          <w:szCs w:val="26"/>
        </w:rPr>
        <w:lastRenderedPageBreak/>
        <w:t>L</w:t>
      </w:r>
      <w:r w:rsidRPr="009A18FF">
        <w:rPr>
          <w:rFonts w:ascii="Times New Roman" w:hAnsi="Times New Roman"/>
          <w:sz w:val="26"/>
          <w:szCs w:val="26"/>
        </w:rPr>
        <w:t xml:space="preserve">egālā </w:t>
      </w:r>
      <w:r>
        <w:rPr>
          <w:rFonts w:ascii="Times New Roman" w:hAnsi="Times New Roman"/>
          <w:sz w:val="26"/>
          <w:szCs w:val="26"/>
        </w:rPr>
        <w:t xml:space="preserve">akcīzes preču </w:t>
      </w:r>
      <w:r w:rsidRPr="009A18FF">
        <w:rPr>
          <w:rFonts w:ascii="Times New Roman" w:hAnsi="Times New Roman"/>
          <w:sz w:val="26"/>
          <w:szCs w:val="26"/>
        </w:rPr>
        <w:t>tirgus apjomu kāpums liecina par veiksmīgu VID uzraudzības un administrēšanas darbu</w:t>
      </w:r>
      <w:r>
        <w:rPr>
          <w:rFonts w:ascii="Times New Roman" w:hAnsi="Times New Roman"/>
          <w:sz w:val="26"/>
          <w:szCs w:val="26"/>
        </w:rPr>
        <w:t>:</w:t>
      </w:r>
    </w:p>
    <w:p w:rsidR="000F5D45" w:rsidRDefault="000F5D45" w:rsidP="006315F3">
      <w:pPr>
        <w:pStyle w:val="ListParagraph"/>
        <w:numPr>
          <w:ilvl w:val="0"/>
          <w:numId w:val="15"/>
        </w:numPr>
        <w:tabs>
          <w:tab w:val="left" w:pos="1134"/>
        </w:tabs>
        <w:ind w:left="0" w:firstLine="720"/>
        <w:jc w:val="both"/>
        <w:rPr>
          <w:rFonts w:ascii="Times New Roman" w:hAnsi="Times New Roman"/>
          <w:sz w:val="26"/>
          <w:szCs w:val="26"/>
        </w:rPr>
      </w:pPr>
      <w:r>
        <w:rPr>
          <w:rFonts w:ascii="Times New Roman" w:hAnsi="Times New Roman"/>
          <w:sz w:val="26"/>
          <w:szCs w:val="26"/>
        </w:rPr>
        <w:t>2011.gada sešos mēnešos</w:t>
      </w:r>
      <w:r w:rsidRPr="009A18FF">
        <w:rPr>
          <w:rFonts w:ascii="Times New Roman" w:hAnsi="Times New Roman"/>
          <w:sz w:val="26"/>
          <w:szCs w:val="26"/>
        </w:rPr>
        <w:t xml:space="preserve"> legālo cigarešu aprites rādītāji salīdzinājumā ar iepriekšēj</w:t>
      </w:r>
      <w:r>
        <w:rPr>
          <w:rFonts w:ascii="Times New Roman" w:hAnsi="Times New Roman"/>
          <w:sz w:val="26"/>
          <w:szCs w:val="26"/>
        </w:rPr>
        <w:t xml:space="preserve">ā </w:t>
      </w:r>
      <w:r w:rsidRPr="009A18FF">
        <w:rPr>
          <w:rFonts w:ascii="Times New Roman" w:hAnsi="Times New Roman"/>
          <w:sz w:val="26"/>
          <w:szCs w:val="26"/>
        </w:rPr>
        <w:t>gad</w:t>
      </w:r>
      <w:r>
        <w:rPr>
          <w:rFonts w:ascii="Times New Roman" w:hAnsi="Times New Roman"/>
          <w:sz w:val="26"/>
          <w:szCs w:val="26"/>
        </w:rPr>
        <w:t>a sešiem mēnešiem</w:t>
      </w:r>
      <w:r w:rsidRPr="009A18FF">
        <w:rPr>
          <w:rFonts w:ascii="Times New Roman" w:hAnsi="Times New Roman"/>
          <w:sz w:val="26"/>
          <w:szCs w:val="26"/>
        </w:rPr>
        <w:t xml:space="preserve"> palielinājušies par 15</w:t>
      </w:r>
      <w:r w:rsidR="006315F3">
        <w:rPr>
          <w:rFonts w:ascii="Times New Roman" w:hAnsi="Times New Roman"/>
          <w:sz w:val="26"/>
          <w:szCs w:val="26"/>
        </w:rPr>
        <w:t> </w:t>
      </w:r>
      <w:r w:rsidRPr="009A18FF">
        <w:rPr>
          <w:rFonts w:ascii="Times New Roman" w:hAnsi="Times New Roman"/>
          <w:sz w:val="26"/>
          <w:szCs w:val="26"/>
        </w:rPr>
        <w:t xml:space="preserve">%, </w:t>
      </w:r>
      <w:r>
        <w:rPr>
          <w:rFonts w:ascii="Times New Roman" w:hAnsi="Times New Roman"/>
          <w:sz w:val="26"/>
          <w:szCs w:val="26"/>
        </w:rPr>
        <w:t>bet deviņos mēnešos</w:t>
      </w:r>
      <w:r w:rsidR="006A4D4F">
        <w:rPr>
          <w:rFonts w:ascii="Times New Roman" w:hAnsi="Times New Roman"/>
          <w:sz w:val="26"/>
          <w:szCs w:val="26"/>
        </w:rPr>
        <w:t xml:space="preserve"> −</w:t>
      </w:r>
      <w:r>
        <w:rPr>
          <w:rFonts w:ascii="Times New Roman" w:hAnsi="Times New Roman"/>
          <w:sz w:val="26"/>
          <w:szCs w:val="26"/>
        </w:rPr>
        <w:t xml:space="preserve"> </w:t>
      </w:r>
      <w:r w:rsidR="006A4D4F">
        <w:rPr>
          <w:rFonts w:ascii="Times New Roman" w:hAnsi="Times New Roman"/>
          <w:sz w:val="26"/>
          <w:szCs w:val="26"/>
        </w:rPr>
        <w:t>par 11</w:t>
      </w:r>
      <w:r w:rsidR="006315F3">
        <w:rPr>
          <w:rFonts w:ascii="Times New Roman" w:hAnsi="Times New Roman"/>
          <w:sz w:val="26"/>
          <w:szCs w:val="26"/>
        </w:rPr>
        <w:t> </w:t>
      </w:r>
      <w:r w:rsidR="006A4D4F">
        <w:rPr>
          <w:rFonts w:ascii="Times New Roman" w:hAnsi="Times New Roman"/>
          <w:sz w:val="26"/>
          <w:szCs w:val="26"/>
        </w:rPr>
        <w:t xml:space="preserve">%, kas </w:t>
      </w:r>
      <w:r w:rsidR="007D2206">
        <w:rPr>
          <w:rFonts w:ascii="Times New Roman" w:hAnsi="Times New Roman"/>
          <w:sz w:val="26"/>
          <w:szCs w:val="26"/>
        </w:rPr>
        <w:t xml:space="preserve">liecina par legālā tirgus būtisku </w:t>
      </w:r>
      <w:r w:rsidR="006315F3">
        <w:rPr>
          <w:rFonts w:ascii="Times New Roman" w:hAnsi="Times New Roman"/>
          <w:sz w:val="26"/>
          <w:szCs w:val="26"/>
        </w:rPr>
        <w:t>palielinājumu</w:t>
      </w:r>
      <w:r w:rsidR="00877210">
        <w:rPr>
          <w:rFonts w:ascii="Times New Roman" w:hAnsi="Times New Roman"/>
          <w:sz w:val="26"/>
          <w:szCs w:val="26"/>
        </w:rPr>
        <w:t>;</w:t>
      </w:r>
    </w:p>
    <w:p w:rsidR="009A18FF" w:rsidRDefault="006315F3" w:rsidP="006315F3">
      <w:pPr>
        <w:pStyle w:val="ListParagraph"/>
        <w:numPr>
          <w:ilvl w:val="0"/>
          <w:numId w:val="15"/>
        </w:numPr>
        <w:tabs>
          <w:tab w:val="left" w:pos="1134"/>
        </w:tabs>
        <w:ind w:left="0" w:firstLine="720"/>
        <w:jc w:val="both"/>
        <w:rPr>
          <w:rFonts w:ascii="Times New Roman" w:hAnsi="Times New Roman"/>
          <w:sz w:val="26"/>
          <w:szCs w:val="26"/>
        </w:rPr>
      </w:pPr>
      <w:r>
        <w:rPr>
          <w:rFonts w:ascii="Times New Roman" w:hAnsi="Times New Roman"/>
          <w:sz w:val="26"/>
          <w:szCs w:val="26"/>
        </w:rPr>
        <w:t>l</w:t>
      </w:r>
      <w:r w:rsidR="009A18FF" w:rsidRPr="000F5D45">
        <w:rPr>
          <w:rFonts w:ascii="Times New Roman" w:hAnsi="Times New Roman"/>
          <w:sz w:val="26"/>
          <w:szCs w:val="26"/>
        </w:rPr>
        <w:t>egālo alkoholisko dzērienu</w:t>
      </w:r>
      <w:r w:rsidR="009A18FF" w:rsidRPr="009A18FF">
        <w:rPr>
          <w:rFonts w:ascii="Times New Roman" w:hAnsi="Times New Roman"/>
          <w:sz w:val="26"/>
          <w:szCs w:val="26"/>
        </w:rPr>
        <w:t xml:space="preserve"> </w:t>
      </w:r>
      <w:r w:rsidR="000F5D45" w:rsidRPr="009A18FF">
        <w:rPr>
          <w:rFonts w:ascii="Times New Roman" w:hAnsi="Times New Roman"/>
          <w:sz w:val="26"/>
          <w:szCs w:val="26"/>
        </w:rPr>
        <w:t xml:space="preserve">patēriņam nodotais daudzums </w:t>
      </w:r>
      <w:r w:rsidR="000F5D45">
        <w:rPr>
          <w:rFonts w:ascii="Times New Roman" w:hAnsi="Times New Roman"/>
          <w:sz w:val="26"/>
          <w:szCs w:val="26"/>
        </w:rPr>
        <w:t xml:space="preserve">2011.gada sešos mēnešos </w:t>
      </w:r>
      <w:r w:rsidR="000F5D45" w:rsidRPr="009A18FF">
        <w:rPr>
          <w:rFonts w:ascii="Times New Roman" w:hAnsi="Times New Roman"/>
          <w:sz w:val="26"/>
          <w:szCs w:val="26"/>
        </w:rPr>
        <w:t>bija par 5</w:t>
      </w:r>
      <w:r>
        <w:rPr>
          <w:rFonts w:ascii="Times New Roman" w:hAnsi="Times New Roman"/>
          <w:sz w:val="26"/>
          <w:szCs w:val="26"/>
        </w:rPr>
        <w:t> </w:t>
      </w:r>
      <w:r w:rsidR="000F5D45" w:rsidRPr="009A18FF">
        <w:rPr>
          <w:rFonts w:ascii="Times New Roman" w:hAnsi="Times New Roman"/>
          <w:sz w:val="26"/>
          <w:szCs w:val="26"/>
        </w:rPr>
        <w:t>% lielāk</w:t>
      </w:r>
      <w:r w:rsidR="000F5D45">
        <w:rPr>
          <w:rFonts w:ascii="Times New Roman" w:hAnsi="Times New Roman"/>
          <w:sz w:val="26"/>
          <w:szCs w:val="26"/>
        </w:rPr>
        <w:t>s nekā 2010.gada sešos mēnešos</w:t>
      </w:r>
      <w:r w:rsidR="009A18FF" w:rsidRPr="009A18FF">
        <w:rPr>
          <w:rFonts w:ascii="Times New Roman" w:hAnsi="Times New Roman"/>
          <w:sz w:val="26"/>
          <w:szCs w:val="26"/>
        </w:rPr>
        <w:t xml:space="preserve">, </w:t>
      </w:r>
      <w:r w:rsidR="000F5D45">
        <w:rPr>
          <w:rFonts w:ascii="Times New Roman" w:hAnsi="Times New Roman"/>
          <w:sz w:val="26"/>
          <w:szCs w:val="26"/>
        </w:rPr>
        <w:t>bet deviņos</w:t>
      </w:r>
      <w:r w:rsidR="009A18FF" w:rsidRPr="009A18FF">
        <w:rPr>
          <w:rFonts w:ascii="Times New Roman" w:hAnsi="Times New Roman"/>
          <w:sz w:val="26"/>
          <w:szCs w:val="26"/>
        </w:rPr>
        <w:t xml:space="preserve"> mēnešos – stabils 4</w:t>
      </w:r>
      <w:r>
        <w:rPr>
          <w:rFonts w:ascii="Times New Roman" w:hAnsi="Times New Roman"/>
          <w:sz w:val="26"/>
          <w:szCs w:val="26"/>
        </w:rPr>
        <w:t> </w:t>
      </w:r>
      <w:r w:rsidR="009A18FF" w:rsidRPr="009A18FF">
        <w:rPr>
          <w:rFonts w:ascii="Times New Roman" w:hAnsi="Times New Roman"/>
          <w:sz w:val="26"/>
          <w:szCs w:val="26"/>
        </w:rPr>
        <w:t>% palielinājums salīdzinājumā ar iepriekšējā gada attiecīgo periodu</w:t>
      </w:r>
      <w:r w:rsidR="00877210">
        <w:rPr>
          <w:rFonts w:ascii="Times New Roman" w:hAnsi="Times New Roman"/>
          <w:sz w:val="26"/>
          <w:szCs w:val="26"/>
        </w:rPr>
        <w:t>;</w:t>
      </w:r>
    </w:p>
    <w:p w:rsidR="009A18FF" w:rsidRDefault="006315F3" w:rsidP="006315F3">
      <w:pPr>
        <w:pStyle w:val="ListParagraph"/>
        <w:numPr>
          <w:ilvl w:val="0"/>
          <w:numId w:val="15"/>
        </w:numPr>
        <w:tabs>
          <w:tab w:val="left" w:pos="1134"/>
        </w:tabs>
        <w:ind w:left="0" w:firstLine="720"/>
        <w:jc w:val="both"/>
        <w:rPr>
          <w:rFonts w:ascii="Times New Roman" w:hAnsi="Times New Roman"/>
          <w:sz w:val="26"/>
          <w:szCs w:val="26"/>
        </w:rPr>
      </w:pPr>
      <w:r>
        <w:rPr>
          <w:rFonts w:ascii="Times New Roman" w:hAnsi="Times New Roman"/>
          <w:sz w:val="26"/>
          <w:szCs w:val="26"/>
        </w:rPr>
        <w:t>l</w:t>
      </w:r>
      <w:r w:rsidR="009A18FF" w:rsidRPr="000F5D45">
        <w:rPr>
          <w:rFonts w:ascii="Times New Roman" w:hAnsi="Times New Roman"/>
          <w:sz w:val="26"/>
          <w:szCs w:val="26"/>
        </w:rPr>
        <w:t>egālo naftas produktu (degvielas)</w:t>
      </w:r>
      <w:r w:rsidR="009A18FF" w:rsidRPr="009A18FF">
        <w:rPr>
          <w:rFonts w:ascii="Times New Roman" w:hAnsi="Times New Roman"/>
          <w:sz w:val="26"/>
          <w:szCs w:val="26"/>
        </w:rPr>
        <w:t xml:space="preserve"> aprites rādītāji </w:t>
      </w:r>
      <w:r w:rsidR="00877210">
        <w:rPr>
          <w:rFonts w:ascii="Times New Roman" w:hAnsi="Times New Roman"/>
          <w:sz w:val="26"/>
          <w:szCs w:val="26"/>
        </w:rPr>
        <w:t xml:space="preserve">2011.gada sešos mēnešos </w:t>
      </w:r>
      <w:r w:rsidR="009A18FF" w:rsidRPr="009A18FF">
        <w:rPr>
          <w:rFonts w:ascii="Times New Roman" w:hAnsi="Times New Roman"/>
          <w:sz w:val="26"/>
          <w:szCs w:val="26"/>
        </w:rPr>
        <w:t xml:space="preserve">bija 2010.gada līmenī, bet </w:t>
      </w:r>
      <w:r w:rsidR="00877210">
        <w:rPr>
          <w:rFonts w:ascii="Times New Roman" w:hAnsi="Times New Roman"/>
          <w:sz w:val="26"/>
          <w:szCs w:val="26"/>
        </w:rPr>
        <w:t>astoņos</w:t>
      </w:r>
      <w:r w:rsidR="009A18FF" w:rsidRPr="009A18FF">
        <w:rPr>
          <w:rFonts w:ascii="Times New Roman" w:hAnsi="Times New Roman"/>
          <w:sz w:val="26"/>
          <w:szCs w:val="26"/>
        </w:rPr>
        <w:t xml:space="preserve"> mēnešos jau ir vērojams legālās degvielas patēriņa kāpums</w:t>
      </w:r>
      <w:r w:rsidR="00877210">
        <w:rPr>
          <w:rFonts w:ascii="Times New Roman" w:hAnsi="Times New Roman"/>
          <w:sz w:val="26"/>
          <w:szCs w:val="26"/>
        </w:rPr>
        <w:t xml:space="preserve"> par </w:t>
      </w:r>
      <w:r w:rsidR="009A18FF" w:rsidRPr="009A18FF">
        <w:rPr>
          <w:rFonts w:ascii="Times New Roman" w:hAnsi="Times New Roman"/>
          <w:sz w:val="26"/>
          <w:szCs w:val="26"/>
        </w:rPr>
        <w:t>3</w:t>
      </w:r>
      <w:r>
        <w:rPr>
          <w:rFonts w:ascii="Times New Roman" w:hAnsi="Times New Roman"/>
          <w:sz w:val="26"/>
          <w:szCs w:val="26"/>
        </w:rPr>
        <w:t> </w:t>
      </w:r>
      <w:r w:rsidR="009A18FF" w:rsidRPr="009A18FF">
        <w:rPr>
          <w:rFonts w:ascii="Times New Roman" w:hAnsi="Times New Roman"/>
          <w:sz w:val="26"/>
          <w:szCs w:val="26"/>
        </w:rPr>
        <w:t>% salīdzinājumā ar 2010.gada attiecīgo periodu.</w:t>
      </w:r>
    </w:p>
    <w:p w:rsidR="002F1D82" w:rsidRDefault="002F1D82" w:rsidP="002F1D82">
      <w:pPr>
        <w:pStyle w:val="ListParagraph"/>
        <w:jc w:val="both"/>
        <w:rPr>
          <w:rFonts w:ascii="Times New Roman" w:hAnsi="Times New Roman"/>
          <w:sz w:val="26"/>
          <w:szCs w:val="26"/>
        </w:rPr>
      </w:pPr>
    </w:p>
    <w:p w:rsidR="002F1D82" w:rsidRDefault="002F1D82" w:rsidP="002F1D82">
      <w:pPr>
        <w:pStyle w:val="ListParagraph"/>
        <w:ind w:left="0" w:firstLine="720"/>
        <w:jc w:val="both"/>
        <w:rPr>
          <w:rFonts w:ascii="Times New Roman" w:hAnsi="Times New Roman"/>
          <w:sz w:val="26"/>
          <w:szCs w:val="26"/>
        </w:rPr>
      </w:pPr>
      <w:r>
        <w:rPr>
          <w:rFonts w:ascii="Times New Roman" w:hAnsi="Times New Roman"/>
          <w:sz w:val="26"/>
          <w:szCs w:val="26"/>
        </w:rPr>
        <w:t xml:space="preserve">2011.gada sešos mēnešos veiktas 752 akcīzes preču aprites uzraudzības pārbaudes, kas ir par 365 pārbaudēm vairāk </w:t>
      </w:r>
      <w:r w:rsidR="006315F3">
        <w:rPr>
          <w:rFonts w:ascii="Times New Roman" w:hAnsi="Times New Roman"/>
          <w:sz w:val="26"/>
          <w:szCs w:val="26"/>
        </w:rPr>
        <w:t>ne</w:t>
      </w:r>
      <w:r>
        <w:rPr>
          <w:rFonts w:ascii="Times New Roman" w:hAnsi="Times New Roman"/>
          <w:sz w:val="26"/>
          <w:szCs w:val="26"/>
        </w:rPr>
        <w:t xml:space="preserve">kā 2010.gada sešos mēnešos. 2011.gada deviņos mēnešos veiktas 1171 pārbaudes, kas ir par 521 pārbaudi vairāk </w:t>
      </w:r>
      <w:r w:rsidR="006315F3">
        <w:rPr>
          <w:rFonts w:ascii="Times New Roman" w:hAnsi="Times New Roman"/>
          <w:sz w:val="26"/>
          <w:szCs w:val="26"/>
        </w:rPr>
        <w:t>ne</w:t>
      </w:r>
      <w:r>
        <w:rPr>
          <w:rFonts w:ascii="Times New Roman" w:hAnsi="Times New Roman"/>
          <w:sz w:val="26"/>
          <w:szCs w:val="26"/>
        </w:rPr>
        <w:t xml:space="preserve">kā 2010.gada attiecīgajā periodā. </w:t>
      </w:r>
    </w:p>
    <w:p w:rsidR="002F1D82" w:rsidRDefault="002F1D82" w:rsidP="002F1D82">
      <w:pPr>
        <w:ind w:firstLine="720"/>
        <w:rPr>
          <w:sz w:val="26"/>
          <w:szCs w:val="26"/>
        </w:rPr>
      </w:pPr>
      <w:r>
        <w:rPr>
          <w:sz w:val="26"/>
          <w:szCs w:val="26"/>
        </w:rPr>
        <w:t>Lai novērstu kontrabandas preču ievešanu valstī, pastiprināti tiek veikti akcīzes preču nelikumīgas pārvietošanas un muitas noteikumu pārkāpumu kontroles pasākumi.</w:t>
      </w:r>
    </w:p>
    <w:p w:rsidR="002F1D82" w:rsidRDefault="002F1D82" w:rsidP="002F1D82">
      <w:pPr>
        <w:pStyle w:val="ListParagraph"/>
        <w:ind w:left="0" w:firstLine="720"/>
        <w:jc w:val="both"/>
        <w:rPr>
          <w:rFonts w:ascii="Times New Roman" w:hAnsi="Times New Roman"/>
          <w:sz w:val="26"/>
          <w:szCs w:val="26"/>
        </w:rPr>
      </w:pPr>
      <w:r>
        <w:rPr>
          <w:rFonts w:ascii="Times New Roman" w:hAnsi="Times New Roman"/>
          <w:sz w:val="26"/>
          <w:szCs w:val="26"/>
        </w:rPr>
        <w:t xml:space="preserve">2011.gada sešos mēnešos veiktas 30 868 muitas fiziskās pārbaudes, kas ir par 7675 pārbaudēm vairāk </w:t>
      </w:r>
      <w:r w:rsidR="006315F3">
        <w:rPr>
          <w:rFonts w:ascii="Times New Roman" w:hAnsi="Times New Roman"/>
          <w:sz w:val="26"/>
          <w:szCs w:val="26"/>
        </w:rPr>
        <w:t>ne</w:t>
      </w:r>
      <w:r>
        <w:rPr>
          <w:rFonts w:ascii="Times New Roman" w:hAnsi="Times New Roman"/>
          <w:sz w:val="26"/>
          <w:szCs w:val="26"/>
        </w:rPr>
        <w:t xml:space="preserve">kā 2010.gada sešos mēnešos. 2011.gada deviņos mēnešos veiktas 36 093 pārbaudes, kas ir par 7384 pārbaudēm vairāk </w:t>
      </w:r>
      <w:r w:rsidR="006315F3">
        <w:rPr>
          <w:rFonts w:ascii="Times New Roman" w:hAnsi="Times New Roman"/>
          <w:sz w:val="26"/>
          <w:szCs w:val="26"/>
        </w:rPr>
        <w:t>ne</w:t>
      </w:r>
      <w:r>
        <w:rPr>
          <w:rFonts w:ascii="Times New Roman" w:hAnsi="Times New Roman"/>
          <w:sz w:val="26"/>
          <w:szCs w:val="26"/>
        </w:rPr>
        <w:t xml:space="preserve">kā 2010.gada attiecīgajā periodā. </w:t>
      </w:r>
    </w:p>
    <w:p w:rsidR="00107642" w:rsidRDefault="001B38C3" w:rsidP="001B38C3">
      <w:pPr>
        <w:pStyle w:val="ListParagraph"/>
        <w:ind w:left="0" w:firstLine="720"/>
        <w:jc w:val="both"/>
        <w:rPr>
          <w:rFonts w:ascii="Times New Roman" w:hAnsi="Times New Roman"/>
          <w:sz w:val="26"/>
          <w:szCs w:val="26"/>
        </w:rPr>
      </w:pPr>
      <w:r>
        <w:rPr>
          <w:rFonts w:ascii="Times New Roman" w:hAnsi="Times New Roman"/>
          <w:sz w:val="26"/>
          <w:szCs w:val="26"/>
        </w:rPr>
        <w:t xml:space="preserve">2011.gada sešos mēnešos </w:t>
      </w:r>
      <w:r w:rsidRPr="001B38C3">
        <w:rPr>
          <w:rFonts w:ascii="Times New Roman" w:hAnsi="Times New Roman"/>
          <w:sz w:val="26"/>
          <w:szCs w:val="26"/>
        </w:rPr>
        <w:t>veikt</w:t>
      </w:r>
      <w:r>
        <w:rPr>
          <w:rFonts w:ascii="Times New Roman" w:hAnsi="Times New Roman"/>
          <w:sz w:val="26"/>
          <w:szCs w:val="26"/>
        </w:rPr>
        <w:t>i</w:t>
      </w:r>
      <w:r w:rsidRPr="001B38C3">
        <w:rPr>
          <w:rFonts w:ascii="Times New Roman" w:hAnsi="Times New Roman"/>
          <w:sz w:val="26"/>
          <w:szCs w:val="26"/>
        </w:rPr>
        <w:t xml:space="preserve"> </w:t>
      </w:r>
      <w:r>
        <w:rPr>
          <w:rFonts w:ascii="Times New Roman" w:hAnsi="Times New Roman"/>
          <w:sz w:val="26"/>
          <w:szCs w:val="26"/>
        </w:rPr>
        <w:t xml:space="preserve">477 </w:t>
      </w:r>
      <w:r w:rsidRPr="001B38C3">
        <w:rPr>
          <w:rFonts w:ascii="Times New Roman" w:hAnsi="Times New Roman"/>
          <w:sz w:val="26"/>
          <w:szCs w:val="26"/>
        </w:rPr>
        <w:t>muitas un akcīzes daļējie auditi</w:t>
      </w:r>
      <w:r>
        <w:rPr>
          <w:rFonts w:ascii="Times New Roman" w:hAnsi="Times New Roman"/>
          <w:sz w:val="26"/>
          <w:szCs w:val="26"/>
        </w:rPr>
        <w:t xml:space="preserve">, kas ir par 400 vairāk </w:t>
      </w:r>
      <w:r w:rsidR="006315F3">
        <w:rPr>
          <w:rFonts w:ascii="Times New Roman" w:hAnsi="Times New Roman"/>
          <w:sz w:val="26"/>
          <w:szCs w:val="26"/>
        </w:rPr>
        <w:t>ne</w:t>
      </w:r>
      <w:r>
        <w:rPr>
          <w:rFonts w:ascii="Times New Roman" w:hAnsi="Times New Roman"/>
          <w:sz w:val="26"/>
          <w:szCs w:val="26"/>
        </w:rPr>
        <w:t>kā 2010.gada sešos mēnešos. 2011.gada deviņos mēnešos veikti 679</w:t>
      </w:r>
      <w:r w:rsidR="006315F3">
        <w:rPr>
          <w:rFonts w:ascii="Times New Roman" w:hAnsi="Times New Roman"/>
          <w:sz w:val="26"/>
          <w:szCs w:val="26"/>
        </w:rPr>
        <w:t> </w:t>
      </w:r>
      <w:r>
        <w:rPr>
          <w:rFonts w:ascii="Times New Roman" w:hAnsi="Times New Roman"/>
          <w:sz w:val="26"/>
          <w:szCs w:val="26"/>
        </w:rPr>
        <w:t>muitas auditi, kas ir par 559 vairāk nekā 2010.gada attiecīgajā periodā.</w:t>
      </w:r>
    </w:p>
    <w:p w:rsidR="00107642" w:rsidRDefault="00107642" w:rsidP="00107642">
      <w:pPr>
        <w:pStyle w:val="ListParagraph"/>
        <w:ind w:left="0" w:firstLine="720"/>
        <w:jc w:val="both"/>
        <w:rPr>
          <w:rFonts w:ascii="Times New Roman" w:hAnsi="Times New Roman"/>
          <w:sz w:val="26"/>
          <w:szCs w:val="26"/>
        </w:rPr>
      </w:pPr>
      <w:r>
        <w:rPr>
          <w:rFonts w:ascii="Times New Roman" w:hAnsi="Times New Roman"/>
          <w:sz w:val="26"/>
          <w:szCs w:val="26"/>
        </w:rPr>
        <w:t xml:space="preserve">2011.gada sešos mēnešos uzsākts 141 kriminālprocess muitas jomā, kas ir par 25 mazāk </w:t>
      </w:r>
      <w:r w:rsidR="006315F3">
        <w:rPr>
          <w:rFonts w:ascii="Times New Roman" w:hAnsi="Times New Roman"/>
          <w:sz w:val="26"/>
          <w:szCs w:val="26"/>
        </w:rPr>
        <w:t>ne</w:t>
      </w:r>
      <w:r>
        <w:rPr>
          <w:rFonts w:ascii="Times New Roman" w:hAnsi="Times New Roman"/>
          <w:sz w:val="26"/>
          <w:szCs w:val="26"/>
        </w:rPr>
        <w:t xml:space="preserve">kā 2010.gada sešos mēnešos. 2011.gada deviņos mēnešos </w:t>
      </w:r>
      <w:r w:rsidR="00BC1B06">
        <w:rPr>
          <w:rFonts w:ascii="Times New Roman" w:hAnsi="Times New Roman"/>
          <w:sz w:val="26"/>
          <w:szCs w:val="26"/>
        </w:rPr>
        <w:t>uzsākti 205</w:t>
      </w:r>
      <w:r w:rsidR="006315F3">
        <w:rPr>
          <w:rFonts w:ascii="Times New Roman" w:hAnsi="Times New Roman"/>
          <w:sz w:val="26"/>
          <w:szCs w:val="26"/>
        </w:rPr>
        <w:t> </w:t>
      </w:r>
      <w:r w:rsidR="00BC1B06">
        <w:rPr>
          <w:rFonts w:ascii="Times New Roman" w:hAnsi="Times New Roman"/>
          <w:sz w:val="26"/>
          <w:szCs w:val="26"/>
        </w:rPr>
        <w:t>kriminālprocesi</w:t>
      </w:r>
      <w:r>
        <w:rPr>
          <w:rFonts w:ascii="Times New Roman" w:hAnsi="Times New Roman"/>
          <w:sz w:val="26"/>
          <w:szCs w:val="26"/>
        </w:rPr>
        <w:t xml:space="preserve">, kas ir par </w:t>
      </w:r>
      <w:r w:rsidR="00BC1B06">
        <w:rPr>
          <w:rFonts w:ascii="Times New Roman" w:hAnsi="Times New Roman"/>
          <w:sz w:val="26"/>
          <w:szCs w:val="26"/>
        </w:rPr>
        <w:t>31 maz</w:t>
      </w:r>
      <w:r>
        <w:rPr>
          <w:rFonts w:ascii="Times New Roman" w:hAnsi="Times New Roman"/>
          <w:sz w:val="26"/>
          <w:szCs w:val="26"/>
        </w:rPr>
        <w:t xml:space="preserve">āk </w:t>
      </w:r>
      <w:r w:rsidR="006315F3">
        <w:rPr>
          <w:rFonts w:ascii="Times New Roman" w:hAnsi="Times New Roman"/>
          <w:sz w:val="26"/>
          <w:szCs w:val="26"/>
        </w:rPr>
        <w:t>ne</w:t>
      </w:r>
      <w:r>
        <w:rPr>
          <w:rFonts w:ascii="Times New Roman" w:hAnsi="Times New Roman"/>
          <w:sz w:val="26"/>
          <w:szCs w:val="26"/>
        </w:rPr>
        <w:t>kā 2010.gada attiecīgajā periodā.</w:t>
      </w:r>
      <w:r w:rsidR="00BC1B06">
        <w:rPr>
          <w:rFonts w:ascii="Times New Roman" w:hAnsi="Times New Roman"/>
          <w:sz w:val="26"/>
          <w:szCs w:val="26"/>
        </w:rPr>
        <w:t xml:space="preserve"> Arī kriminālvajāšanai nosūtīto kriminālprocesu skaits 2011.gada sešos un deviņos mēnešos ir mazāks nekā 2010.gada attiecīgajos periodos. Kriminālprocesu skaita samazinājums skaidrojams ar to struktūras izmaiņām – 2011.gadā ievērojami samazinājies atklāto narkotiku un psihotropo vielu pārvadājumu skaits, izmantojot pasta sūtījumus, kas liecina par muitas struktūrvienību veiksmīga darba rezultātiem iepriekšējos gados</w:t>
      </w:r>
      <w:r w:rsidR="00FD2FB9">
        <w:rPr>
          <w:rFonts w:ascii="Times New Roman" w:hAnsi="Times New Roman"/>
          <w:sz w:val="26"/>
          <w:szCs w:val="26"/>
        </w:rPr>
        <w:t xml:space="preserve"> tā pat ir palielinājies kriminālprocesu skaits akcīzes preču nelegālās aprites jomā, pieaudzis izņemto akcīzes preču apjoms</w:t>
      </w:r>
      <w:r w:rsidR="00BC1B06">
        <w:rPr>
          <w:rFonts w:ascii="Times New Roman" w:hAnsi="Times New Roman"/>
          <w:sz w:val="26"/>
          <w:szCs w:val="26"/>
        </w:rPr>
        <w:t xml:space="preserve">. </w:t>
      </w:r>
    </w:p>
    <w:p w:rsidR="009A18FF" w:rsidRPr="00877210" w:rsidRDefault="002F1D82" w:rsidP="00877210">
      <w:pPr>
        <w:ind w:firstLine="720"/>
        <w:jc w:val="right"/>
        <w:rPr>
          <w:bCs/>
        </w:rPr>
      </w:pPr>
      <w:r>
        <w:rPr>
          <w:bCs/>
        </w:rPr>
        <w:t>5</w:t>
      </w:r>
      <w:r w:rsidR="00877210" w:rsidRPr="00877210">
        <w:rPr>
          <w:bCs/>
        </w:rPr>
        <w:t>.1.tabula</w:t>
      </w:r>
    </w:p>
    <w:p w:rsidR="00877210" w:rsidRPr="00877210" w:rsidRDefault="00877210" w:rsidP="00877210">
      <w:pPr>
        <w:ind w:firstLine="720"/>
        <w:rPr>
          <w:bCs/>
        </w:rPr>
      </w:pPr>
    </w:p>
    <w:p w:rsidR="009A18FF" w:rsidRDefault="00877210" w:rsidP="009A18FF">
      <w:pPr>
        <w:jc w:val="center"/>
      </w:pPr>
      <w:r w:rsidRPr="00877210">
        <w:t xml:space="preserve">Akcīzes preču aprites </w:t>
      </w:r>
      <w:r w:rsidR="002F1D82">
        <w:t xml:space="preserve">un pārvietošanas </w:t>
      </w:r>
      <w:r w:rsidRPr="00877210">
        <w:t>kontroles pasākumu rezult</w:t>
      </w:r>
      <w:r w:rsidR="002F1D82">
        <w:t xml:space="preserve">āti </w:t>
      </w:r>
      <w:r w:rsidRPr="00877210">
        <w:t xml:space="preserve"> </w:t>
      </w:r>
    </w:p>
    <w:p w:rsidR="002F1D82" w:rsidRDefault="002F1D82" w:rsidP="009A18FF">
      <w:pPr>
        <w:jc w:val="center"/>
        <w:rPr>
          <w:sz w:val="26"/>
          <w:szCs w:val="2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60"/>
        <w:gridCol w:w="1559"/>
        <w:gridCol w:w="1417"/>
        <w:gridCol w:w="1560"/>
      </w:tblGrid>
      <w:tr w:rsidR="00877210" w:rsidRPr="00EB0F86" w:rsidTr="001B3C2C">
        <w:tc>
          <w:tcPr>
            <w:tcW w:w="2943" w:type="dxa"/>
            <w:shd w:val="clear" w:color="auto" w:fill="auto"/>
            <w:vAlign w:val="center"/>
          </w:tcPr>
          <w:p w:rsidR="00877210" w:rsidRPr="00EB0F86" w:rsidRDefault="003E6885" w:rsidP="009367FB">
            <w:pPr>
              <w:tabs>
                <w:tab w:val="center" w:pos="4153"/>
                <w:tab w:val="right" w:pos="8306"/>
              </w:tabs>
              <w:jc w:val="center"/>
              <w:rPr>
                <w:sz w:val="20"/>
                <w:szCs w:val="20"/>
              </w:rPr>
            </w:pPr>
            <w:r>
              <w:rPr>
                <w:sz w:val="20"/>
                <w:szCs w:val="20"/>
              </w:rPr>
              <w:t>Rādītāji</w:t>
            </w:r>
          </w:p>
        </w:tc>
        <w:tc>
          <w:tcPr>
            <w:tcW w:w="1560" w:type="dxa"/>
            <w:shd w:val="clear" w:color="auto" w:fill="auto"/>
            <w:vAlign w:val="center"/>
          </w:tcPr>
          <w:p w:rsidR="00877210" w:rsidRPr="005F2D94" w:rsidRDefault="00877210" w:rsidP="009367FB">
            <w:pPr>
              <w:tabs>
                <w:tab w:val="center" w:pos="4153"/>
                <w:tab w:val="right" w:pos="8306"/>
              </w:tabs>
              <w:jc w:val="center"/>
              <w:rPr>
                <w:b/>
                <w:sz w:val="20"/>
                <w:szCs w:val="20"/>
              </w:rPr>
            </w:pPr>
            <w:r w:rsidRPr="005F2D94">
              <w:rPr>
                <w:b/>
                <w:sz w:val="20"/>
                <w:szCs w:val="20"/>
              </w:rPr>
              <w:t>2011.g.sešos mēnešos</w:t>
            </w:r>
          </w:p>
        </w:tc>
        <w:tc>
          <w:tcPr>
            <w:tcW w:w="1559" w:type="dxa"/>
            <w:shd w:val="clear" w:color="auto" w:fill="auto"/>
            <w:vAlign w:val="center"/>
          </w:tcPr>
          <w:p w:rsidR="00877210" w:rsidRPr="00EB0F86" w:rsidRDefault="00877210" w:rsidP="009367FB">
            <w:pPr>
              <w:tabs>
                <w:tab w:val="center" w:pos="4153"/>
                <w:tab w:val="right" w:pos="8306"/>
              </w:tabs>
              <w:jc w:val="center"/>
              <w:rPr>
                <w:sz w:val="20"/>
                <w:szCs w:val="20"/>
              </w:rPr>
            </w:pPr>
            <w:r>
              <w:rPr>
                <w:sz w:val="20"/>
                <w:szCs w:val="20"/>
              </w:rPr>
              <w:t>Izmaiņas salīdzinājumā ar 2010.g.sešiem mēnešiem</w:t>
            </w:r>
          </w:p>
        </w:tc>
        <w:tc>
          <w:tcPr>
            <w:tcW w:w="1417" w:type="dxa"/>
            <w:shd w:val="clear" w:color="auto" w:fill="auto"/>
            <w:vAlign w:val="center"/>
          </w:tcPr>
          <w:p w:rsidR="00877210" w:rsidRPr="005F2D94" w:rsidRDefault="00877210" w:rsidP="009367FB">
            <w:pPr>
              <w:tabs>
                <w:tab w:val="center" w:pos="4153"/>
                <w:tab w:val="right" w:pos="8306"/>
              </w:tabs>
              <w:jc w:val="center"/>
              <w:rPr>
                <w:b/>
                <w:sz w:val="20"/>
                <w:szCs w:val="20"/>
              </w:rPr>
            </w:pPr>
            <w:r w:rsidRPr="005F2D94">
              <w:rPr>
                <w:b/>
                <w:sz w:val="20"/>
                <w:szCs w:val="20"/>
              </w:rPr>
              <w:t>2011.g. deviņos mēnešos</w:t>
            </w:r>
          </w:p>
        </w:tc>
        <w:tc>
          <w:tcPr>
            <w:tcW w:w="1560" w:type="dxa"/>
            <w:shd w:val="clear" w:color="auto" w:fill="auto"/>
            <w:vAlign w:val="center"/>
          </w:tcPr>
          <w:p w:rsidR="00877210" w:rsidRPr="00EB0F86" w:rsidRDefault="00877210" w:rsidP="009367FB">
            <w:pPr>
              <w:tabs>
                <w:tab w:val="center" w:pos="4153"/>
                <w:tab w:val="right" w:pos="8306"/>
              </w:tabs>
              <w:jc w:val="center"/>
              <w:rPr>
                <w:sz w:val="20"/>
                <w:szCs w:val="20"/>
              </w:rPr>
            </w:pPr>
            <w:r>
              <w:rPr>
                <w:sz w:val="20"/>
                <w:szCs w:val="20"/>
              </w:rPr>
              <w:t>Izmaiņas salīdzinājumā ar 2010.g.deviņiem mēnešiem</w:t>
            </w:r>
          </w:p>
        </w:tc>
      </w:tr>
      <w:tr w:rsidR="00877210" w:rsidRPr="00EB0F86" w:rsidTr="001B3C2C">
        <w:tc>
          <w:tcPr>
            <w:tcW w:w="2943" w:type="dxa"/>
            <w:shd w:val="clear" w:color="auto" w:fill="auto"/>
          </w:tcPr>
          <w:p w:rsidR="00877210" w:rsidRPr="00EB0F86" w:rsidRDefault="002F1D82" w:rsidP="002F1D82">
            <w:pPr>
              <w:tabs>
                <w:tab w:val="center" w:pos="4153"/>
                <w:tab w:val="right" w:pos="8306"/>
              </w:tabs>
              <w:rPr>
                <w:sz w:val="22"/>
                <w:szCs w:val="22"/>
              </w:rPr>
            </w:pPr>
            <w:r>
              <w:rPr>
                <w:sz w:val="22"/>
                <w:szCs w:val="22"/>
              </w:rPr>
              <w:t>Akcīzes preču aprites pārbaužu rezultātā p</w:t>
            </w:r>
            <w:r w:rsidR="00877210">
              <w:rPr>
                <w:sz w:val="22"/>
                <w:szCs w:val="22"/>
              </w:rPr>
              <w:t>iemērots naudas sods saskaņā ar LAPK, tūkst. Ls</w:t>
            </w:r>
          </w:p>
        </w:tc>
        <w:tc>
          <w:tcPr>
            <w:tcW w:w="1560" w:type="dxa"/>
            <w:shd w:val="clear" w:color="auto" w:fill="auto"/>
          </w:tcPr>
          <w:p w:rsidR="00877210" w:rsidRPr="005F2D94" w:rsidRDefault="00877210" w:rsidP="009367FB">
            <w:pPr>
              <w:tabs>
                <w:tab w:val="center" w:pos="4153"/>
                <w:tab w:val="right" w:pos="8306"/>
              </w:tabs>
              <w:jc w:val="center"/>
              <w:rPr>
                <w:b/>
                <w:sz w:val="22"/>
                <w:szCs w:val="22"/>
              </w:rPr>
            </w:pPr>
            <w:r w:rsidRPr="005F2D94">
              <w:rPr>
                <w:b/>
                <w:sz w:val="22"/>
                <w:szCs w:val="22"/>
              </w:rPr>
              <w:t>57,5</w:t>
            </w:r>
            <w:r w:rsidR="00DD113D" w:rsidRPr="005F2D94">
              <w:rPr>
                <w:b/>
                <w:sz w:val="22"/>
                <w:szCs w:val="22"/>
              </w:rPr>
              <w:t>0</w:t>
            </w:r>
          </w:p>
        </w:tc>
        <w:tc>
          <w:tcPr>
            <w:tcW w:w="1559" w:type="dxa"/>
            <w:shd w:val="clear" w:color="auto" w:fill="auto"/>
          </w:tcPr>
          <w:p w:rsidR="00877210" w:rsidRPr="00EB0F86" w:rsidRDefault="00877210" w:rsidP="009367FB">
            <w:pPr>
              <w:tabs>
                <w:tab w:val="center" w:pos="4153"/>
                <w:tab w:val="right" w:pos="8306"/>
              </w:tabs>
              <w:jc w:val="center"/>
              <w:rPr>
                <w:sz w:val="22"/>
                <w:szCs w:val="22"/>
              </w:rPr>
            </w:pPr>
            <w:r>
              <w:rPr>
                <w:sz w:val="22"/>
                <w:szCs w:val="22"/>
              </w:rPr>
              <w:t>+25,30</w:t>
            </w:r>
          </w:p>
        </w:tc>
        <w:tc>
          <w:tcPr>
            <w:tcW w:w="1417" w:type="dxa"/>
            <w:shd w:val="clear" w:color="auto" w:fill="auto"/>
          </w:tcPr>
          <w:p w:rsidR="00877210" w:rsidRPr="005F2D94" w:rsidRDefault="00877210" w:rsidP="009367FB">
            <w:pPr>
              <w:tabs>
                <w:tab w:val="center" w:pos="4153"/>
                <w:tab w:val="right" w:pos="8306"/>
              </w:tabs>
              <w:jc w:val="center"/>
              <w:rPr>
                <w:b/>
                <w:sz w:val="22"/>
                <w:szCs w:val="22"/>
              </w:rPr>
            </w:pPr>
            <w:r w:rsidRPr="005F2D94">
              <w:rPr>
                <w:b/>
                <w:sz w:val="22"/>
                <w:szCs w:val="22"/>
              </w:rPr>
              <w:t>94,23</w:t>
            </w:r>
          </w:p>
        </w:tc>
        <w:tc>
          <w:tcPr>
            <w:tcW w:w="1560" w:type="dxa"/>
            <w:shd w:val="clear" w:color="auto" w:fill="auto"/>
          </w:tcPr>
          <w:p w:rsidR="00877210" w:rsidRPr="00EB0F86" w:rsidRDefault="00877210" w:rsidP="009367FB">
            <w:pPr>
              <w:tabs>
                <w:tab w:val="center" w:pos="4153"/>
                <w:tab w:val="right" w:pos="8306"/>
              </w:tabs>
              <w:jc w:val="center"/>
              <w:rPr>
                <w:sz w:val="22"/>
                <w:szCs w:val="22"/>
              </w:rPr>
            </w:pPr>
            <w:r>
              <w:rPr>
                <w:sz w:val="22"/>
                <w:szCs w:val="22"/>
              </w:rPr>
              <w:t>+35,0</w:t>
            </w:r>
          </w:p>
        </w:tc>
      </w:tr>
      <w:tr w:rsidR="002F1D82" w:rsidRPr="00EB0F86" w:rsidTr="001B3C2C">
        <w:tc>
          <w:tcPr>
            <w:tcW w:w="2943" w:type="dxa"/>
            <w:shd w:val="clear" w:color="auto" w:fill="auto"/>
          </w:tcPr>
          <w:p w:rsidR="002F1D82" w:rsidRDefault="002F1D82" w:rsidP="000E083B">
            <w:pPr>
              <w:tabs>
                <w:tab w:val="center" w:pos="4153"/>
                <w:tab w:val="right" w:pos="8306"/>
              </w:tabs>
              <w:rPr>
                <w:sz w:val="22"/>
              </w:rPr>
            </w:pPr>
            <w:r>
              <w:rPr>
                <w:sz w:val="22"/>
                <w:szCs w:val="22"/>
              </w:rPr>
              <w:t>Izņemtas cigaretes, milj.</w:t>
            </w:r>
            <w:r w:rsidR="006315F3">
              <w:rPr>
                <w:sz w:val="22"/>
                <w:szCs w:val="22"/>
              </w:rPr>
              <w:t xml:space="preserve"> </w:t>
            </w:r>
            <w:r>
              <w:rPr>
                <w:sz w:val="22"/>
                <w:szCs w:val="22"/>
              </w:rPr>
              <w:t>gab.</w:t>
            </w:r>
          </w:p>
        </w:tc>
        <w:tc>
          <w:tcPr>
            <w:tcW w:w="1560" w:type="dxa"/>
            <w:shd w:val="clear" w:color="auto" w:fill="auto"/>
          </w:tcPr>
          <w:p w:rsidR="002F1D82" w:rsidRPr="00FC3733" w:rsidRDefault="001B38C3" w:rsidP="000E083B">
            <w:pPr>
              <w:tabs>
                <w:tab w:val="center" w:pos="4153"/>
                <w:tab w:val="right" w:pos="8306"/>
              </w:tabs>
              <w:jc w:val="center"/>
              <w:rPr>
                <w:b/>
                <w:sz w:val="22"/>
              </w:rPr>
            </w:pPr>
            <w:r>
              <w:rPr>
                <w:b/>
                <w:sz w:val="22"/>
              </w:rPr>
              <w:t>45,9</w:t>
            </w:r>
          </w:p>
        </w:tc>
        <w:tc>
          <w:tcPr>
            <w:tcW w:w="1559" w:type="dxa"/>
            <w:shd w:val="clear" w:color="auto" w:fill="auto"/>
          </w:tcPr>
          <w:p w:rsidR="002F1D82" w:rsidRPr="002F1D82" w:rsidRDefault="001B38C3" w:rsidP="000E083B">
            <w:pPr>
              <w:tabs>
                <w:tab w:val="center" w:pos="4153"/>
                <w:tab w:val="right" w:pos="8306"/>
              </w:tabs>
              <w:jc w:val="center"/>
              <w:rPr>
                <w:sz w:val="22"/>
              </w:rPr>
            </w:pPr>
            <w:r>
              <w:rPr>
                <w:sz w:val="22"/>
              </w:rPr>
              <w:t>+10,7</w:t>
            </w:r>
          </w:p>
        </w:tc>
        <w:tc>
          <w:tcPr>
            <w:tcW w:w="1417" w:type="dxa"/>
            <w:shd w:val="clear" w:color="auto" w:fill="auto"/>
          </w:tcPr>
          <w:p w:rsidR="002F1D82" w:rsidRPr="002F1D82" w:rsidRDefault="001B38C3" w:rsidP="000E083B">
            <w:pPr>
              <w:tabs>
                <w:tab w:val="center" w:pos="4153"/>
                <w:tab w:val="right" w:pos="8306"/>
              </w:tabs>
              <w:jc w:val="center"/>
              <w:rPr>
                <w:b/>
                <w:sz w:val="22"/>
              </w:rPr>
            </w:pPr>
            <w:r>
              <w:rPr>
                <w:b/>
                <w:sz w:val="22"/>
              </w:rPr>
              <w:t>78,3</w:t>
            </w:r>
          </w:p>
        </w:tc>
        <w:tc>
          <w:tcPr>
            <w:tcW w:w="1560" w:type="dxa"/>
            <w:shd w:val="clear" w:color="auto" w:fill="auto"/>
          </w:tcPr>
          <w:p w:rsidR="002F1D82" w:rsidRPr="002F1D82" w:rsidRDefault="001B38C3" w:rsidP="000E083B">
            <w:pPr>
              <w:tabs>
                <w:tab w:val="center" w:pos="4153"/>
                <w:tab w:val="right" w:pos="8306"/>
              </w:tabs>
              <w:jc w:val="center"/>
              <w:rPr>
                <w:sz w:val="22"/>
              </w:rPr>
            </w:pPr>
            <w:r>
              <w:rPr>
                <w:sz w:val="22"/>
              </w:rPr>
              <w:t>+31,8</w:t>
            </w:r>
          </w:p>
        </w:tc>
      </w:tr>
      <w:tr w:rsidR="002F1D82" w:rsidRPr="00EB0F86" w:rsidTr="001B3C2C">
        <w:tc>
          <w:tcPr>
            <w:tcW w:w="2943" w:type="dxa"/>
            <w:shd w:val="clear" w:color="auto" w:fill="auto"/>
          </w:tcPr>
          <w:p w:rsidR="002F1D82" w:rsidRDefault="002F1D82" w:rsidP="000E083B">
            <w:pPr>
              <w:tabs>
                <w:tab w:val="center" w:pos="4153"/>
                <w:tab w:val="right" w:pos="8306"/>
              </w:tabs>
              <w:rPr>
                <w:sz w:val="22"/>
              </w:rPr>
            </w:pPr>
            <w:r>
              <w:rPr>
                <w:sz w:val="22"/>
                <w:szCs w:val="22"/>
              </w:rPr>
              <w:t xml:space="preserve">Izņemti alkoholiskie dzērieni, </w:t>
            </w:r>
            <w:r>
              <w:rPr>
                <w:sz w:val="22"/>
                <w:szCs w:val="22"/>
              </w:rPr>
              <w:lastRenderedPageBreak/>
              <w:t>litri</w:t>
            </w:r>
          </w:p>
        </w:tc>
        <w:tc>
          <w:tcPr>
            <w:tcW w:w="1560" w:type="dxa"/>
            <w:shd w:val="clear" w:color="auto" w:fill="auto"/>
          </w:tcPr>
          <w:p w:rsidR="002F1D82" w:rsidRPr="00FC3733" w:rsidRDefault="001B38C3" w:rsidP="000E083B">
            <w:pPr>
              <w:tabs>
                <w:tab w:val="center" w:pos="4153"/>
                <w:tab w:val="right" w:pos="8306"/>
              </w:tabs>
              <w:jc w:val="center"/>
              <w:rPr>
                <w:b/>
                <w:sz w:val="22"/>
              </w:rPr>
            </w:pPr>
            <w:r>
              <w:rPr>
                <w:b/>
                <w:sz w:val="22"/>
              </w:rPr>
              <w:lastRenderedPageBreak/>
              <w:t>2371</w:t>
            </w:r>
          </w:p>
        </w:tc>
        <w:tc>
          <w:tcPr>
            <w:tcW w:w="1559" w:type="dxa"/>
            <w:shd w:val="clear" w:color="auto" w:fill="auto"/>
          </w:tcPr>
          <w:p w:rsidR="002F1D82" w:rsidRPr="002F1D82" w:rsidRDefault="001B38C3" w:rsidP="000E083B">
            <w:pPr>
              <w:tabs>
                <w:tab w:val="center" w:pos="4153"/>
                <w:tab w:val="right" w:pos="8306"/>
              </w:tabs>
              <w:jc w:val="center"/>
              <w:rPr>
                <w:sz w:val="22"/>
              </w:rPr>
            </w:pPr>
            <w:r>
              <w:rPr>
                <w:sz w:val="22"/>
              </w:rPr>
              <w:t>+2 045,65</w:t>
            </w:r>
          </w:p>
        </w:tc>
        <w:tc>
          <w:tcPr>
            <w:tcW w:w="1417" w:type="dxa"/>
            <w:shd w:val="clear" w:color="auto" w:fill="auto"/>
          </w:tcPr>
          <w:p w:rsidR="002F1D82" w:rsidRPr="002F1D82" w:rsidRDefault="001B38C3" w:rsidP="000E083B">
            <w:pPr>
              <w:tabs>
                <w:tab w:val="center" w:pos="4153"/>
                <w:tab w:val="right" w:pos="8306"/>
              </w:tabs>
              <w:jc w:val="center"/>
              <w:rPr>
                <w:b/>
                <w:sz w:val="22"/>
              </w:rPr>
            </w:pPr>
            <w:r>
              <w:rPr>
                <w:b/>
                <w:sz w:val="22"/>
              </w:rPr>
              <w:t>3 618,6</w:t>
            </w:r>
          </w:p>
        </w:tc>
        <w:tc>
          <w:tcPr>
            <w:tcW w:w="1560" w:type="dxa"/>
            <w:shd w:val="clear" w:color="auto" w:fill="auto"/>
          </w:tcPr>
          <w:p w:rsidR="002F1D82" w:rsidRPr="002F1D82" w:rsidRDefault="001B38C3" w:rsidP="000E083B">
            <w:pPr>
              <w:tabs>
                <w:tab w:val="center" w:pos="4153"/>
                <w:tab w:val="right" w:pos="8306"/>
              </w:tabs>
              <w:jc w:val="center"/>
              <w:rPr>
                <w:sz w:val="22"/>
              </w:rPr>
            </w:pPr>
            <w:r>
              <w:rPr>
                <w:sz w:val="22"/>
              </w:rPr>
              <w:t>+3 169,8</w:t>
            </w:r>
          </w:p>
        </w:tc>
      </w:tr>
      <w:tr w:rsidR="002F1D82" w:rsidRPr="00EB0F86" w:rsidTr="001B3C2C">
        <w:tc>
          <w:tcPr>
            <w:tcW w:w="2943" w:type="dxa"/>
            <w:shd w:val="clear" w:color="auto" w:fill="auto"/>
          </w:tcPr>
          <w:p w:rsidR="002F1D82" w:rsidRDefault="002F1D82" w:rsidP="000E083B">
            <w:pPr>
              <w:tabs>
                <w:tab w:val="center" w:pos="4153"/>
                <w:tab w:val="right" w:pos="8306"/>
              </w:tabs>
              <w:rPr>
                <w:sz w:val="22"/>
              </w:rPr>
            </w:pPr>
            <w:r>
              <w:rPr>
                <w:sz w:val="22"/>
                <w:szCs w:val="22"/>
              </w:rPr>
              <w:lastRenderedPageBreak/>
              <w:t>Izņemta degviela, litri</w:t>
            </w:r>
          </w:p>
        </w:tc>
        <w:tc>
          <w:tcPr>
            <w:tcW w:w="1560" w:type="dxa"/>
            <w:shd w:val="clear" w:color="auto" w:fill="auto"/>
          </w:tcPr>
          <w:p w:rsidR="002F1D82" w:rsidRPr="00FC3733" w:rsidRDefault="002F1D82" w:rsidP="000E083B">
            <w:pPr>
              <w:tabs>
                <w:tab w:val="center" w:pos="4153"/>
                <w:tab w:val="right" w:pos="8306"/>
              </w:tabs>
              <w:jc w:val="center"/>
              <w:rPr>
                <w:b/>
                <w:sz w:val="22"/>
              </w:rPr>
            </w:pPr>
            <w:r w:rsidRPr="00FC3733">
              <w:rPr>
                <w:b/>
                <w:sz w:val="22"/>
                <w:szCs w:val="22"/>
              </w:rPr>
              <w:t>32759</w:t>
            </w:r>
          </w:p>
        </w:tc>
        <w:tc>
          <w:tcPr>
            <w:tcW w:w="1559" w:type="dxa"/>
            <w:shd w:val="clear" w:color="auto" w:fill="auto"/>
          </w:tcPr>
          <w:p w:rsidR="002F1D82" w:rsidRPr="002F1D82" w:rsidRDefault="002F1D82" w:rsidP="001B38C3">
            <w:pPr>
              <w:tabs>
                <w:tab w:val="center" w:pos="4153"/>
                <w:tab w:val="right" w:pos="8306"/>
              </w:tabs>
              <w:ind w:left="360"/>
              <w:jc w:val="center"/>
              <w:rPr>
                <w:sz w:val="22"/>
              </w:rPr>
            </w:pPr>
            <w:r w:rsidRPr="002F1D82">
              <w:rPr>
                <w:sz w:val="22"/>
                <w:szCs w:val="22"/>
              </w:rPr>
              <w:t>+3</w:t>
            </w:r>
            <w:r w:rsidR="001B38C3">
              <w:rPr>
                <w:sz w:val="22"/>
                <w:szCs w:val="22"/>
              </w:rPr>
              <w:t>2</w:t>
            </w:r>
            <w:r w:rsidRPr="002F1D82">
              <w:rPr>
                <w:sz w:val="22"/>
                <w:szCs w:val="22"/>
              </w:rPr>
              <w:t xml:space="preserve"> </w:t>
            </w:r>
            <w:r w:rsidR="001B38C3">
              <w:rPr>
                <w:sz w:val="22"/>
                <w:szCs w:val="22"/>
              </w:rPr>
              <w:t>450</w:t>
            </w:r>
          </w:p>
        </w:tc>
        <w:tc>
          <w:tcPr>
            <w:tcW w:w="1417" w:type="dxa"/>
            <w:shd w:val="clear" w:color="auto" w:fill="auto"/>
          </w:tcPr>
          <w:p w:rsidR="002F1D82" w:rsidRPr="002F1D82" w:rsidRDefault="002F1D82" w:rsidP="000E083B">
            <w:pPr>
              <w:tabs>
                <w:tab w:val="center" w:pos="4153"/>
                <w:tab w:val="right" w:pos="8306"/>
              </w:tabs>
              <w:jc w:val="center"/>
              <w:rPr>
                <w:b/>
                <w:sz w:val="22"/>
              </w:rPr>
            </w:pPr>
            <w:r w:rsidRPr="002F1D82">
              <w:rPr>
                <w:b/>
                <w:sz w:val="22"/>
                <w:szCs w:val="22"/>
              </w:rPr>
              <w:t>36 721</w:t>
            </w:r>
          </w:p>
        </w:tc>
        <w:tc>
          <w:tcPr>
            <w:tcW w:w="1560" w:type="dxa"/>
            <w:shd w:val="clear" w:color="auto" w:fill="auto"/>
          </w:tcPr>
          <w:p w:rsidR="002F1D82" w:rsidRPr="002F1D82" w:rsidRDefault="002F1D82" w:rsidP="001B38C3">
            <w:pPr>
              <w:tabs>
                <w:tab w:val="center" w:pos="4153"/>
                <w:tab w:val="right" w:pos="8306"/>
              </w:tabs>
              <w:jc w:val="center"/>
              <w:rPr>
                <w:sz w:val="22"/>
              </w:rPr>
            </w:pPr>
            <w:r w:rsidRPr="002F1D82">
              <w:rPr>
                <w:sz w:val="22"/>
                <w:szCs w:val="22"/>
              </w:rPr>
              <w:t>+</w:t>
            </w:r>
            <w:r w:rsidR="001B38C3">
              <w:rPr>
                <w:sz w:val="22"/>
                <w:szCs w:val="22"/>
              </w:rPr>
              <w:t>30 5</w:t>
            </w:r>
            <w:r w:rsidRPr="002F1D82">
              <w:rPr>
                <w:sz w:val="22"/>
                <w:szCs w:val="22"/>
              </w:rPr>
              <w:t>6</w:t>
            </w:r>
            <w:r w:rsidR="001B38C3">
              <w:rPr>
                <w:sz w:val="22"/>
                <w:szCs w:val="22"/>
              </w:rPr>
              <w:t>0</w:t>
            </w:r>
          </w:p>
        </w:tc>
      </w:tr>
    </w:tbl>
    <w:p w:rsidR="003E6885" w:rsidRDefault="003E6885" w:rsidP="00AF20BD">
      <w:pPr>
        <w:jc w:val="right"/>
        <w:rPr>
          <w:sz w:val="26"/>
          <w:szCs w:val="26"/>
        </w:rPr>
      </w:pPr>
    </w:p>
    <w:p w:rsidR="004255F4" w:rsidRDefault="0049238D" w:rsidP="006315F3">
      <w:pPr>
        <w:jc w:val="both"/>
        <w:rPr>
          <w:sz w:val="26"/>
          <w:szCs w:val="26"/>
        </w:rPr>
      </w:pPr>
      <w:r>
        <w:rPr>
          <w:sz w:val="26"/>
          <w:szCs w:val="26"/>
        </w:rPr>
        <w:tab/>
      </w:r>
      <w:r w:rsidRPr="0049238D">
        <w:rPr>
          <w:sz w:val="26"/>
          <w:szCs w:val="26"/>
        </w:rPr>
        <w:t>Sadarb</w:t>
      </w:r>
      <w:r w:rsidR="006315F3">
        <w:rPr>
          <w:sz w:val="26"/>
          <w:szCs w:val="26"/>
        </w:rPr>
        <w:t>ībā</w:t>
      </w:r>
      <w:r w:rsidRPr="0049238D">
        <w:rPr>
          <w:sz w:val="26"/>
          <w:szCs w:val="26"/>
        </w:rPr>
        <w:t xml:space="preserve"> ar </w:t>
      </w:r>
      <w:r w:rsidRPr="0049238D">
        <w:rPr>
          <w:sz w:val="26"/>
          <w:szCs w:val="26"/>
          <w:lang w:val="sv-SE"/>
        </w:rPr>
        <w:t>citām valsts</w:t>
      </w:r>
      <w:r w:rsidRPr="0049238D">
        <w:rPr>
          <w:bCs/>
          <w:sz w:val="26"/>
          <w:szCs w:val="26"/>
          <w:lang w:val="sv-SE"/>
        </w:rPr>
        <w:t xml:space="preserve"> tiesīb</w:t>
      </w:r>
      <w:r w:rsidR="006315F3">
        <w:rPr>
          <w:bCs/>
          <w:sz w:val="26"/>
          <w:szCs w:val="26"/>
          <w:lang w:val="sv-SE"/>
        </w:rPr>
        <w:t>aizsardzības</w:t>
      </w:r>
      <w:r w:rsidRPr="0049238D">
        <w:rPr>
          <w:bCs/>
          <w:sz w:val="26"/>
          <w:szCs w:val="26"/>
          <w:lang w:val="sv-SE"/>
        </w:rPr>
        <w:t xml:space="preserve"> institūcijām</w:t>
      </w:r>
      <w:r w:rsidR="004255F4" w:rsidRPr="004255F4">
        <w:rPr>
          <w:bCs/>
          <w:sz w:val="26"/>
          <w:szCs w:val="26"/>
        </w:rPr>
        <w:t xml:space="preserve"> </w:t>
      </w:r>
      <w:r w:rsidR="004255F4" w:rsidRPr="0049238D">
        <w:rPr>
          <w:bCs/>
          <w:sz w:val="26"/>
          <w:szCs w:val="26"/>
        </w:rPr>
        <w:t>muitas kinologi</w:t>
      </w:r>
      <w:r w:rsidR="004255F4" w:rsidRPr="0049238D">
        <w:rPr>
          <w:b/>
          <w:bCs/>
          <w:sz w:val="26"/>
          <w:szCs w:val="26"/>
        </w:rPr>
        <w:t xml:space="preserve"> </w:t>
      </w:r>
      <w:r w:rsidR="004255F4" w:rsidRPr="0049238D">
        <w:rPr>
          <w:sz w:val="26"/>
          <w:szCs w:val="26"/>
        </w:rPr>
        <w:t>ar</w:t>
      </w:r>
      <w:r w:rsidR="004255F4" w:rsidRPr="0049238D">
        <w:rPr>
          <w:b/>
          <w:bCs/>
          <w:sz w:val="26"/>
          <w:szCs w:val="26"/>
        </w:rPr>
        <w:t xml:space="preserve"> </w:t>
      </w:r>
      <w:r w:rsidR="004255F4" w:rsidRPr="0049238D">
        <w:rPr>
          <w:sz w:val="26"/>
          <w:szCs w:val="26"/>
        </w:rPr>
        <w:t>darba suņiem</w:t>
      </w:r>
      <w:r w:rsidR="006315F3">
        <w:rPr>
          <w:sz w:val="26"/>
          <w:szCs w:val="26"/>
        </w:rPr>
        <w:t>:</w:t>
      </w:r>
    </w:p>
    <w:p w:rsidR="004255F4" w:rsidRPr="004255F4" w:rsidRDefault="0049238D" w:rsidP="006315F3">
      <w:pPr>
        <w:numPr>
          <w:ilvl w:val="0"/>
          <w:numId w:val="15"/>
        </w:numPr>
        <w:tabs>
          <w:tab w:val="left" w:pos="993"/>
        </w:tabs>
        <w:ind w:left="0" w:firstLine="720"/>
        <w:jc w:val="both"/>
        <w:rPr>
          <w:bCs/>
          <w:sz w:val="26"/>
          <w:szCs w:val="26"/>
          <w:lang w:val="sv-SE"/>
        </w:rPr>
      </w:pPr>
      <w:r w:rsidRPr="004255F4">
        <w:rPr>
          <w:sz w:val="26"/>
          <w:szCs w:val="26"/>
        </w:rPr>
        <w:t xml:space="preserve">2011.gada </w:t>
      </w:r>
      <w:r w:rsidR="004255F4" w:rsidRPr="004255F4">
        <w:rPr>
          <w:sz w:val="26"/>
          <w:szCs w:val="26"/>
        </w:rPr>
        <w:t>sešos</w:t>
      </w:r>
      <w:r w:rsidRPr="004255F4">
        <w:rPr>
          <w:sz w:val="26"/>
          <w:szCs w:val="26"/>
        </w:rPr>
        <w:t xml:space="preserve"> mēnešos</w:t>
      </w:r>
      <w:r w:rsidRPr="004255F4">
        <w:rPr>
          <w:b/>
          <w:bCs/>
          <w:sz w:val="26"/>
          <w:szCs w:val="26"/>
        </w:rPr>
        <w:t xml:space="preserve"> </w:t>
      </w:r>
      <w:r w:rsidRPr="004255F4">
        <w:rPr>
          <w:sz w:val="26"/>
          <w:szCs w:val="26"/>
        </w:rPr>
        <w:t xml:space="preserve">atklāja </w:t>
      </w:r>
      <w:r w:rsidR="004255F4" w:rsidRPr="004255F4">
        <w:rPr>
          <w:sz w:val="26"/>
          <w:szCs w:val="26"/>
        </w:rPr>
        <w:t>167 cigarešu kontrabandas gadījum</w:t>
      </w:r>
      <w:r w:rsidR="004255F4">
        <w:rPr>
          <w:sz w:val="26"/>
          <w:szCs w:val="26"/>
        </w:rPr>
        <w:t>us, k</w:t>
      </w:r>
      <w:r w:rsidR="0020665D">
        <w:rPr>
          <w:sz w:val="26"/>
          <w:szCs w:val="26"/>
        </w:rPr>
        <w:t xml:space="preserve">as ir par 73 gadījumiem vairāk </w:t>
      </w:r>
      <w:r w:rsidR="006315F3">
        <w:rPr>
          <w:sz w:val="26"/>
          <w:szCs w:val="26"/>
        </w:rPr>
        <w:t>ne</w:t>
      </w:r>
      <w:r w:rsidR="004255F4">
        <w:rPr>
          <w:sz w:val="26"/>
          <w:szCs w:val="26"/>
        </w:rPr>
        <w:t>kā iepriekšējā gada sešos mēnešos;</w:t>
      </w:r>
    </w:p>
    <w:p w:rsidR="004255F4" w:rsidRPr="004255F4" w:rsidRDefault="004255F4" w:rsidP="006315F3">
      <w:pPr>
        <w:numPr>
          <w:ilvl w:val="0"/>
          <w:numId w:val="15"/>
        </w:numPr>
        <w:tabs>
          <w:tab w:val="left" w:pos="993"/>
        </w:tabs>
        <w:ind w:left="0" w:firstLine="720"/>
        <w:jc w:val="both"/>
        <w:rPr>
          <w:bCs/>
          <w:sz w:val="26"/>
          <w:szCs w:val="26"/>
          <w:lang w:val="sv-SE"/>
        </w:rPr>
      </w:pPr>
      <w:r w:rsidRPr="004255F4">
        <w:rPr>
          <w:sz w:val="26"/>
          <w:szCs w:val="26"/>
        </w:rPr>
        <w:t xml:space="preserve">2011.gada </w:t>
      </w:r>
      <w:r>
        <w:rPr>
          <w:sz w:val="26"/>
          <w:szCs w:val="26"/>
        </w:rPr>
        <w:t>deviņos</w:t>
      </w:r>
      <w:r w:rsidRPr="004255F4">
        <w:rPr>
          <w:sz w:val="26"/>
          <w:szCs w:val="26"/>
        </w:rPr>
        <w:t xml:space="preserve"> mēnešos</w:t>
      </w:r>
      <w:r w:rsidRPr="004255F4">
        <w:rPr>
          <w:b/>
          <w:bCs/>
          <w:sz w:val="26"/>
          <w:szCs w:val="26"/>
        </w:rPr>
        <w:t xml:space="preserve"> </w:t>
      </w:r>
      <w:r w:rsidRPr="004255F4">
        <w:rPr>
          <w:sz w:val="26"/>
          <w:szCs w:val="26"/>
        </w:rPr>
        <w:t xml:space="preserve">atklāja </w:t>
      </w:r>
      <w:r>
        <w:rPr>
          <w:sz w:val="26"/>
          <w:szCs w:val="26"/>
        </w:rPr>
        <w:t>224</w:t>
      </w:r>
      <w:r w:rsidRPr="004255F4">
        <w:rPr>
          <w:sz w:val="26"/>
          <w:szCs w:val="26"/>
        </w:rPr>
        <w:t xml:space="preserve"> cigarešu kontrabandas gadījum</w:t>
      </w:r>
      <w:r>
        <w:rPr>
          <w:sz w:val="26"/>
          <w:szCs w:val="26"/>
        </w:rPr>
        <w:t xml:space="preserve">us, kas ir par 17 gadījumiem vairāk </w:t>
      </w:r>
      <w:r w:rsidR="006315F3">
        <w:rPr>
          <w:sz w:val="26"/>
          <w:szCs w:val="26"/>
        </w:rPr>
        <w:t>ne</w:t>
      </w:r>
      <w:r>
        <w:rPr>
          <w:sz w:val="26"/>
          <w:szCs w:val="26"/>
        </w:rPr>
        <w:t>kā iepriekšējā gada deviņos mēnešos.</w:t>
      </w:r>
    </w:p>
    <w:p w:rsidR="00453C4E" w:rsidRPr="00453C4E" w:rsidRDefault="0049238D" w:rsidP="004255F4">
      <w:pPr>
        <w:ind w:firstLine="709"/>
        <w:jc w:val="both"/>
        <w:rPr>
          <w:sz w:val="26"/>
          <w:szCs w:val="26"/>
          <w:lang w:val="sv-SE"/>
        </w:rPr>
      </w:pPr>
      <w:r w:rsidRPr="00453C4E">
        <w:rPr>
          <w:bCs/>
          <w:sz w:val="26"/>
          <w:szCs w:val="26"/>
          <w:lang w:val="sv-SE"/>
        </w:rPr>
        <w:t>Saskaņā ar 2010.</w:t>
      </w:r>
      <w:r w:rsidR="004255F4" w:rsidRPr="00453C4E">
        <w:rPr>
          <w:bCs/>
          <w:sz w:val="26"/>
          <w:szCs w:val="26"/>
          <w:lang w:val="sv-SE"/>
        </w:rPr>
        <w:t>gada 23.jūnija</w:t>
      </w:r>
      <w:r w:rsidRPr="00453C4E">
        <w:rPr>
          <w:bCs/>
          <w:sz w:val="26"/>
          <w:szCs w:val="26"/>
          <w:lang w:val="sv-SE"/>
        </w:rPr>
        <w:t xml:space="preserve"> grozījumiem Latvijas Administratīvo pārkāpumu kodeksā, kas </w:t>
      </w:r>
      <w:r w:rsidRPr="00453C4E">
        <w:rPr>
          <w:sz w:val="26"/>
          <w:szCs w:val="26"/>
          <w:lang w:val="sv-SE"/>
        </w:rPr>
        <w:t>paredz iespēju konfiscēt ne vien kontrabandas preces, bet arī to pārvietošanai izmantoto transportlīdzekli</w:t>
      </w:r>
      <w:r w:rsidR="006315F3">
        <w:rPr>
          <w:sz w:val="26"/>
          <w:szCs w:val="26"/>
          <w:lang w:val="sv-SE"/>
        </w:rPr>
        <w:t>:</w:t>
      </w:r>
    </w:p>
    <w:p w:rsidR="00453C4E" w:rsidRPr="00453C4E" w:rsidRDefault="00453C4E" w:rsidP="006315F3">
      <w:pPr>
        <w:numPr>
          <w:ilvl w:val="0"/>
          <w:numId w:val="15"/>
        </w:numPr>
        <w:tabs>
          <w:tab w:val="left" w:pos="993"/>
        </w:tabs>
        <w:ind w:left="0" w:firstLine="720"/>
        <w:jc w:val="both"/>
        <w:rPr>
          <w:bCs/>
          <w:sz w:val="26"/>
          <w:szCs w:val="26"/>
          <w:lang w:val="sv-SE"/>
        </w:rPr>
      </w:pPr>
      <w:r w:rsidRPr="00453C4E">
        <w:rPr>
          <w:sz w:val="26"/>
          <w:szCs w:val="26"/>
          <w:lang w:val="sv-SE"/>
        </w:rPr>
        <w:t>2011.gada sešos mēnešos</w:t>
      </w:r>
      <w:r w:rsidRPr="00453C4E">
        <w:rPr>
          <w:bCs/>
          <w:sz w:val="26"/>
          <w:szCs w:val="26"/>
          <w:lang w:val="sv-SE"/>
        </w:rPr>
        <w:t xml:space="preserve"> ir konfiscēt</w:t>
      </w:r>
      <w:r w:rsidR="006315F3">
        <w:rPr>
          <w:bCs/>
          <w:sz w:val="26"/>
          <w:szCs w:val="26"/>
          <w:lang w:val="sv-SE"/>
        </w:rPr>
        <w:t>s</w:t>
      </w:r>
      <w:r w:rsidRPr="00453C4E">
        <w:rPr>
          <w:bCs/>
          <w:sz w:val="26"/>
          <w:szCs w:val="26"/>
          <w:lang w:val="sv-SE"/>
        </w:rPr>
        <w:t xml:space="preserve"> 61 autom</w:t>
      </w:r>
      <w:r w:rsidR="006315F3">
        <w:rPr>
          <w:bCs/>
          <w:sz w:val="26"/>
          <w:szCs w:val="26"/>
          <w:lang w:val="sv-SE"/>
        </w:rPr>
        <w:t>obilis</w:t>
      </w:r>
      <w:r w:rsidRPr="00453C4E">
        <w:rPr>
          <w:bCs/>
          <w:sz w:val="26"/>
          <w:szCs w:val="26"/>
          <w:lang w:val="sv-SE"/>
        </w:rPr>
        <w:t xml:space="preserve"> un 7 puspiekabes, kas ir par 17 autom</w:t>
      </w:r>
      <w:r w:rsidR="006315F3">
        <w:rPr>
          <w:bCs/>
          <w:sz w:val="26"/>
          <w:szCs w:val="26"/>
          <w:lang w:val="sv-SE"/>
        </w:rPr>
        <w:t>obiļiem</w:t>
      </w:r>
      <w:r w:rsidRPr="00453C4E">
        <w:rPr>
          <w:bCs/>
          <w:sz w:val="26"/>
          <w:szCs w:val="26"/>
          <w:lang w:val="sv-SE"/>
        </w:rPr>
        <w:t xml:space="preserve"> un 2 puspiekabēm vairāk nekā </w:t>
      </w:r>
      <w:r w:rsidRPr="00453C4E">
        <w:rPr>
          <w:sz w:val="26"/>
          <w:szCs w:val="26"/>
        </w:rPr>
        <w:t xml:space="preserve">2010.gada 2.pusgadā; </w:t>
      </w:r>
    </w:p>
    <w:p w:rsidR="0049238D" w:rsidRPr="00453C4E" w:rsidRDefault="0049238D" w:rsidP="006315F3">
      <w:pPr>
        <w:numPr>
          <w:ilvl w:val="0"/>
          <w:numId w:val="15"/>
        </w:numPr>
        <w:tabs>
          <w:tab w:val="left" w:pos="993"/>
        </w:tabs>
        <w:ind w:left="0" w:firstLine="720"/>
        <w:jc w:val="both"/>
        <w:rPr>
          <w:bCs/>
          <w:sz w:val="26"/>
          <w:szCs w:val="26"/>
          <w:lang w:val="sv-SE"/>
        </w:rPr>
      </w:pPr>
      <w:r w:rsidRPr="00453C4E">
        <w:rPr>
          <w:sz w:val="26"/>
          <w:szCs w:val="26"/>
          <w:lang w:val="sv-SE"/>
        </w:rPr>
        <w:t xml:space="preserve">2011.gada </w:t>
      </w:r>
      <w:r w:rsidR="00453C4E" w:rsidRPr="00453C4E">
        <w:rPr>
          <w:sz w:val="26"/>
          <w:szCs w:val="26"/>
          <w:lang w:val="sv-SE"/>
        </w:rPr>
        <w:t>deviņos</w:t>
      </w:r>
      <w:r w:rsidRPr="00453C4E">
        <w:rPr>
          <w:sz w:val="26"/>
          <w:szCs w:val="26"/>
          <w:lang w:val="sv-SE"/>
        </w:rPr>
        <w:t xml:space="preserve"> mēnešos</w:t>
      </w:r>
      <w:r w:rsidRPr="00453C4E">
        <w:rPr>
          <w:bCs/>
          <w:sz w:val="26"/>
          <w:szCs w:val="26"/>
          <w:lang w:val="sv-SE"/>
        </w:rPr>
        <w:t xml:space="preserve"> ir konfiscēt</w:t>
      </w:r>
      <w:r w:rsidR="006315F3">
        <w:rPr>
          <w:bCs/>
          <w:sz w:val="26"/>
          <w:szCs w:val="26"/>
          <w:lang w:val="sv-SE"/>
        </w:rPr>
        <w:t>i</w:t>
      </w:r>
      <w:r w:rsidRPr="00453C4E">
        <w:rPr>
          <w:bCs/>
          <w:sz w:val="26"/>
          <w:szCs w:val="26"/>
          <w:lang w:val="sv-SE"/>
        </w:rPr>
        <w:t xml:space="preserve"> 96 autom</w:t>
      </w:r>
      <w:r w:rsidR="006315F3">
        <w:rPr>
          <w:bCs/>
          <w:sz w:val="26"/>
          <w:szCs w:val="26"/>
          <w:lang w:val="sv-SE"/>
        </w:rPr>
        <w:t>obiļi</w:t>
      </w:r>
      <w:r w:rsidRPr="00453C4E">
        <w:rPr>
          <w:bCs/>
          <w:sz w:val="26"/>
          <w:szCs w:val="26"/>
          <w:lang w:val="sv-SE"/>
        </w:rPr>
        <w:t xml:space="preserve"> un 7 puspiekabes</w:t>
      </w:r>
      <w:r w:rsidR="00453C4E" w:rsidRPr="00453C4E">
        <w:rPr>
          <w:bCs/>
          <w:sz w:val="26"/>
          <w:szCs w:val="26"/>
          <w:lang w:val="sv-SE"/>
        </w:rPr>
        <w:t xml:space="preserve">. </w:t>
      </w:r>
    </w:p>
    <w:p w:rsidR="000630C4" w:rsidRDefault="000630C4" w:rsidP="000630C4">
      <w:pPr>
        <w:rPr>
          <w:sz w:val="26"/>
          <w:szCs w:val="26"/>
        </w:rPr>
      </w:pPr>
    </w:p>
    <w:p w:rsidR="00AF20BD" w:rsidRDefault="001B681D" w:rsidP="006315F3">
      <w:pPr>
        <w:numPr>
          <w:ilvl w:val="0"/>
          <w:numId w:val="12"/>
        </w:numPr>
        <w:ind w:left="0" w:firstLine="0"/>
        <w:jc w:val="center"/>
        <w:rPr>
          <w:b/>
          <w:sz w:val="26"/>
          <w:szCs w:val="26"/>
        </w:rPr>
      </w:pPr>
      <w:r w:rsidRPr="007A04C8">
        <w:rPr>
          <w:b/>
          <w:sz w:val="26"/>
          <w:szCs w:val="26"/>
        </w:rPr>
        <w:t xml:space="preserve">Noziedzīgu nodarījumu atklāšana un novēršana valsts ieņēmumu </w:t>
      </w:r>
      <w:r w:rsidR="007A04C8">
        <w:rPr>
          <w:b/>
          <w:sz w:val="26"/>
          <w:szCs w:val="26"/>
        </w:rPr>
        <w:t>jomā</w:t>
      </w:r>
    </w:p>
    <w:p w:rsidR="007A04C8" w:rsidRPr="007A04C8" w:rsidRDefault="007A04C8" w:rsidP="007A04C8">
      <w:pPr>
        <w:ind w:left="360"/>
        <w:jc w:val="center"/>
        <w:rPr>
          <w:b/>
          <w:sz w:val="26"/>
          <w:szCs w:val="26"/>
        </w:rPr>
      </w:pPr>
    </w:p>
    <w:p w:rsidR="00EF274C" w:rsidRDefault="00EF274C" w:rsidP="006315F3">
      <w:pPr>
        <w:ind w:firstLine="851"/>
        <w:jc w:val="both"/>
        <w:rPr>
          <w:sz w:val="26"/>
          <w:szCs w:val="26"/>
        </w:rPr>
      </w:pPr>
      <w:r>
        <w:rPr>
          <w:sz w:val="26"/>
          <w:szCs w:val="26"/>
        </w:rPr>
        <w:t>Organizētās noziedzības apkarošana ir b</w:t>
      </w:r>
      <w:r w:rsidRPr="00EF274C">
        <w:rPr>
          <w:sz w:val="26"/>
          <w:szCs w:val="26"/>
        </w:rPr>
        <w:t>ūtisk</w:t>
      </w:r>
      <w:r>
        <w:rPr>
          <w:sz w:val="26"/>
          <w:szCs w:val="26"/>
        </w:rPr>
        <w:t xml:space="preserve">a ēnu ekonomikas īpatsvara mazināšanā. </w:t>
      </w:r>
    </w:p>
    <w:p w:rsidR="00EF274C" w:rsidRDefault="00EF274C" w:rsidP="00DC78F1">
      <w:pPr>
        <w:ind w:firstLine="851"/>
        <w:jc w:val="both"/>
        <w:rPr>
          <w:sz w:val="26"/>
          <w:szCs w:val="26"/>
        </w:rPr>
      </w:pPr>
      <w:r>
        <w:rPr>
          <w:sz w:val="26"/>
          <w:szCs w:val="26"/>
        </w:rPr>
        <w:t>VID 2011.gada sešos mēnešos apturējis 8 organizēt</w:t>
      </w:r>
      <w:r w:rsidR="00DC78F1">
        <w:rPr>
          <w:sz w:val="26"/>
          <w:szCs w:val="26"/>
        </w:rPr>
        <w:t>u</w:t>
      </w:r>
      <w:r>
        <w:rPr>
          <w:sz w:val="26"/>
          <w:szCs w:val="26"/>
        </w:rPr>
        <w:t xml:space="preserve"> noziedzī</w:t>
      </w:r>
      <w:r w:rsidR="00DC78F1">
        <w:rPr>
          <w:sz w:val="26"/>
          <w:szCs w:val="26"/>
        </w:rPr>
        <w:t>gu</w:t>
      </w:r>
      <w:r>
        <w:rPr>
          <w:sz w:val="26"/>
          <w:szCs w:val="26"/>
        </w:rPr>
        <w:t xml:space="preserve"> grupējumu darbību, kas ir tikpat daudz, cik 2010.gada sešos mēnešos.</w:t>
      </w:r>
    </w:p>
    <w:p w:rsidR="00AF20BD" w:rsidRPr="00EF274C" w:rsidRDefault="00EF274C" w:rsidP="00DC78F1">
      <w:pPr>
        <w:ind w:firstLine="851"/>
        <w:jc w:val="both"/>
        <w:rPr>
          <w:sz w:val="26"/>
          <w:szCs w:val="26"/>
        </w:rPr>
      </w:pPr>
      <w:r>
        <w:rPr>
          <w:sz w:val="26"/>
          <w:szCs w:val="26"/>
        </w:rPr>
        <w:t>2011.gada deviņos mēnešos apturēta 9 organizēt</w:t>
      </w:r>
      <w:r w:rsidR="00DC78F1">
        <w:rPr>
          <w:sz w:val="26"/>
          <w:szCs w:val="26"/>
        </w:rPr>
        <w:t>u</w:t>
      </w:r>
      <w:r>
        <w:rPr>
          <w:sz w:val="26"/>
          <w:szCs w:val="26"/>
        </w:rPr>
        <w:t xml:space="preserve"> noziedzī</w:t>
      </w:r>
      <w:r w:rsidR="00DC78F1">
        <w:rPr>
          <w:sz w:val="26"/>
          <w:szCs w:val="26"/>
        </w:rPr>
        <w:t xml:space="preserve">gu </w:t>
      </w:r>
      <w:r>
        <w:rPr>
          <w:sz w:val="26"/>
          <w:szCs w:val="26"/>
        </w:rPr>
        <w:t xml:space="preserve">grupējumu darbība, kas ir tikpat daudz, cik iepriekšējā gada attiecīgajā periodā.  </w:t>
      </w:r>
    </w:p>
    <w:p w:rsidR="000630C4" w:rsidRPr="000630C4" w:rsidRDefault="000630C4" w:rsidP="000630C4">
      <w:pPr>
        <w:pStyle w:val="ListParagraph"/>
        <w:tabs>
          <w:tab w:val="left" w:pos="851"/>
        </w:tabs>
        <w:ind w:left="0"/>
        <w:jc w:val="both"/>
        <w:rPr>
          <w:rFonts w:ascii="Times New Roman" w:hAnsi="Times New Roman"/>
          <w:sz w:val="26"/>
          <w:szCs w:val="26"/>
        </w:rPr>
      </w:pPr>
      <w:r>
        <w:rPr>
          <w:sz w:val="26"/>
          <w:szCs w:val="26"/>
        </w:rPr>
        <w:tab/>
      </w:r>
      <w:r w:rsidRPr="000630C4">
        <w:rPr>
          <w:rFonts w:ascii="Times New Roman" w:hAnsi="Times New Roman"/>
          <w:sz w:val="26"/>
          <w:szCs w:val="26"/>
        </w:rPr>
        <w:t xml:space="preserve">Cīņa ar organizēto noziedzību </w:t>
      </w:r>
      <w:r w:rsidR="003E5A5D">
        <w:rPr>
          <w:rFonts w:ascii="Times New Roman" w:hAnsi="Times New Roman"/>
          <w:sz w:val="26"/>
          <w:szCs w:val="26"/>
        </w:rPr>
        <w:t xml:space="preserve">nozīmīgi </w:t>
      </w:r>
      <w:r w:rsidRPr="003E5A5D">
        <w:rPr>
          <w:rFonts w:ascii="Times New Roman" w:hAnsi="Times New Roman"/>
          <w:sz w:val="26"/>
          <w:szCs w:val="26"/>
        </w:rPr>
        <w:t>ietekmē</w:t>
      </w:r>
      <w:r w:rsidRPr="000630C4">
        <w:rPr>
          <w:rFonts w:ascii="Times New Roman" w:hAnsi="Times New Roman"/>
          <w:sz w:val="26"/>
          <w:szCs w:val="26"/>
        </w:rPr>
        <w:t xml:space="preserve"> PVN ieņēmumu plāna izpildi, jo</w:t>
      </w:r>
      <w:r w:rsidR="00DC78F1">
        <w:rPr>
          <w:rFonts w:ascii="Times New Roman" w:hAnsi="Times New Roman"/>
          <w:sz w:val="26"/>
          <w:szCs w:val="26"/>
        </w:rPr>
        <w:t>,</w:t>
      </w:r>
      <w:r w:rsidRPr="000630C4">
        <w:rPr>
          <w:rFonts w:ascii="Times New Roman" w:hAnsi="Times New Roman"/>
          <w:sz w:val="26"/>
          <w:szCs w:val="26"/>
        </w:rPr>
        <w:t xml:space="preserve"> vēršoties pret organizēt</w:t>
      </w:r>
      <w:r w:rsidR="00DC78F1">
        <w:rPr>
          <w:rFonts w:ascii="Times New Roman" w:hAnsi="Times New Roman"/>
          <w:sz w:val="26"/>
          <w:szCs w:val="26"/>
        </w:rPr>
        <w:t>iem</w:t>
      </w:r>
      <w:r w:rsidRPr="000630C4">
        <w:rPr>
          <w:rFonts w:ascii="Times New Roman" w:hAnsi="Times New Roman"/>
          <w:sz w:val="26"/>
          <w:szCs w:val="26"/>
        </w:rPr>
        <w:t xml:space="preserve"> noziedzī</w:t>
      </w:r>
      <w:r w:rsidR="00DC78F1">
        <w:rPr>
          <w:rFonts w:ascii="Times New Roman" w:hAnsi="Times New Roman"/>
          <w:sz w:val="26"/>
          <w:szCs w:val="26"/>
        </w:rPr>
        <w:t>giem</w:t>
      </w:r>
      <w:r w:rsidRPr="000630C4">
        <w:rPr>
          <w:rFonts w:ascii="Times New Roman" w:hAnsi="Times New Roman"/>
          <w:sz w:val="26"/>
          <w:szCs w:val="26"/>
        </w:rPr>
        <w:t xml:space="preserve"> grupējumiem</w:t>
      </w:r>
      <w:r w:rsidR="00DC78F1">
        <w:rPr>
          <w:rFonts w:ascii="Times New Roman" w:hAnsi="Times New Roman"/>
          <w:sz w:val="26"/>
          <w:szCs w:val="26"/>
        </w:rPr>
        <w:t>,</w:t>
      </w:r>
      <w:r w:rsidRPr="000630C4">
        <w:rPr>
          <w:rFonts w:ascii="Times New Roman" w:hAnsi="Times New Roman"/>
          <w:sz w:val="26"/>
          <w:szCs w:val="26"/>
        </w:rPr>
        <w:t xml:space="preserve"> </w:t>
      </w:r>
      <w:r w:rsidR="00DC78F1">
        <w:rPr>
          <w:rFonts w:ascii="Times New Roman" w:hAnsi="Times New Roman"/>
          <w:sz w:val="26"/>
          <w:szCs w:val="26"/>
        </w:rPr>
        <w:t>vienlaikus</w:t>
      </w:r>
      <w:r w:rsidRPr="000630C4">
        <w:rPr>
          <w:rFonts w:ascii="Times New Roman" w:hAnsi="Times New Roman"/>
          <w:sz w:val="26"/>
          <w:szCs w:val="26"/>
        </w:rPr>
        <w:t xml:space="preserve"> notiek vēršanās arī pret </w:t>
      </w:r>
      <w:r w:rsidR="00DC78F1">
        <w:rPr>
          <w:rFonts w:ascii="Times New Roman" w:hAnsi="Times New Roman"/>
          <w:sz w:val="26"/>
          <w:szCs w:val="26"/>
        </w:rPr>
        <w:t>faktiski</w:t>
      </w:r>
      <w:r w:rsidRPr="000630C4">
        <w:rPr>
          <w:rFonts w:ascii="Times New Roman" w:hAnsi="Times New Roman"/>
          <w:sz w:val="26"/>
          <w:szCs w:val="26"/>
        </w:rPr>
        <w:t xml:space="preserve"> strādājošiem uzņēmumiem un to amatpersonām, kuras, lai izvairītos no nodokļu nomaksas</w:t>
      </w:r>
      <w:r w:rsidR="003E5A5D">
        <w:rPr>
          <w:rFonts w:ascii="Times New Roman" w:hAnsi="Times New Roman"/>
          <w:sz w:val="26"/>
          <w:szCs w:val="26"/>
        </w:rPr>
        <w:t>,</w:t>
      </w:r>
      <w:r w:rsidRPr="000630C4">
        <w:rPr>
          <w:rFonts w:ascii="Times New Roman" w:hAnsi="Times New Roman"/>
          <w:sz w:val="26"/>
          <w:szCs w:val="26"/>
        </w:rPr>
        <w:t xml:space="preserve"> izmanto organizēt</w:t>
      </w:r>
      <w:r w:rsidR="00DC78F1">
        <w:rPr>
          <w:rFonts w:ascii="Times New Roman" w:hAnsi="Times New Roman"/>
          <w:sz w:val="26"/>
          <w:szCs w:val="26"/>
        </w:rPr>
        <w:t>us</w:t>
      </w:r>
      <w:r w:rsidRPr="000630C4">
        <w:rPr>
          <w:rFonts w:ascii="Times New Roman" w:hAnsi="Times New Roman"/>
          <w:sz w:val="26"/>
          <w:szCs w:val="26"/>
        </w:rPr>
        <w:t xml:space="preserve"> noziedzī</w:t>
      </w:r>
      <w:r w:rsidR="00DC78F1">
        <w:rPr>
          <w:rFonts w:ascii="Times New Roman" w:hAnsi="Times New Roman"/>
          <w:sz w:val="26"/>
          <w:szCs w:val="26"/>
        </w:rPr>
        <w:t>gus</w:t>
      </w:r>
      <w:r w:rsidRPr="000630C4">
        <w:rPr>
          <w:rFonts w:ascii="Times New Roman" w:hAnsi="Times New Roman"/>
          <w:sz w:val="26"/>
          <w:szCs w:val="26"/>
        </w:rPr>
        <w:t xml:space="preserve"> grupējumu</w:t>
      </w:r>
      <w:r w:rsidR="003E5A5D">
        <w:rPr>
          <w:rFonts w:ascii="Times New Roman" w:hAnsi="Times New Roman"/>
          <w:sz w:val="26"/>
          <w:szCs w:val="26"/>
        </w:rPr>
        <w:t>s</w:t>
      </w:r>
      <w:r w:rsidRPr="000630C4">
        <w:rPr>
          <w:rFonts w:ascii="Times New Roman" w:hAnsi="Times New Roman"/>
          <w:sz w:val="26"/>
          <w:szCs w:val="26"/>
        </w:rPr>
        <w:t xml:space="preserve">, deklarējot VID </w:t>
      </w:r>
      <w:r w:rsidR="00DC78F1">
        <w:rPr>
          <w:rFonts w:ascii="Times New Roman" w:hAnsi="Times New Roman"/>
          <w:sz w:val="26"/>
          <w:szCs w:val="26"/>
        </w:rPr>
        <w:t>faktiski</w:t>
      </w:r>
      <w:r w:rsidRPr="000630C4">
        <w:rPr>
          <w:rFonts w:ascii="Times New Roman" w:hAnsi="Times New Roman"/>
          <w:sz w:val="26"/>
          <w:szCs w:val="26"/>
        </w:rPr>
        <w:t xml:space="preserve"> nenotikušus darījumus. </w:t>
      </w:r>
    </w:p>
    <w:p w:rsidR="000630C4" w:rsidRDefault="0004044C" w:rsidP="000630C4">
      <w:pPr>
        <w:pStyle w:val="ListParagraph"/>
        <w:tabs>
          <w:tab w:val="left" w:pos="993"/>
        </w:tabs>
        <w:ind w:left="0" w:firstLine="709"/>
        <w:jc w:val="both"/>
        <w:rPr>
          <w:rFonts w:ascii="Times New Roman" w:hAnsi="Times New Roman"/>
          <w:sz w:val="26"/>
          <w:szCs w:val="26"/>
        </w:rPr>
      </w:pPr>
      <w:r>
        <w:rPr>
          <w:rFonts w:ascii="Times New Roman" w:hAnsi="Times New Roman"/>
          <w:sz w:val="26"/>
          <w:szCs w:val="26"/>
        </w:rPr>
        <w:t>VID</w:t>
      </w:r>
      <w:r w:rsidR="000630C4" w:rsidRPr="000630C4">
        <w:rPr>
          <w:rFonts w:ascii="Times New Roman" w:hAnsi="Times New Roman"/>
          <w:sz w:val="26"/>
          <w:szCs w:val="26"/>
        </w:rPr>
        <w:t xml:space="preserve"> darbības rezultātā panākts, ka patiesā labuma guvēji, kas izmanto organizēto noziedzīgo grupējumu izveidotās “naudas atmazgāšanas” shēmas, laboja PVN deklarācijas un iemaksāja valsts budžetā 2011.gada deviņos mēnešos 191</w:t>
      </w:r>
      <w:r>
        <w:rPr>
          <w:rFonts w:ascii="Times New Roman" w:hAnsi="Times New Roman"/>
          <w:sz w:val="26"/>
          <w:szCs w:val="26"/>
        </w:rPr>
        <w:t>,</w:t>
      </w:r>
      <w:r w:rsidR="000630C4" w:rsidRPr="000630C4">
        <w:rPr>
          <w:rFonts w:ascii="Times New Roman" w:hAnsi="Times New Roman"/>
          <w:sz w:val="26"/>
          <w:szCs w:val="26"/>
        </w:rPr>
        <w:t>92</w:t>
      </w:r>
      <w:r w:rsidR="00DC78F1">
        <w:rPr>
          <w:rFonts w:ascii="Times New Roman" w:hAnsi="Times New Roman"/>
          <w:sz w:val="26"/>
          <w:szCs w:val="26"/>
        </w:rPr>
        <w:t> </w:t>
      </w:r>
      <w:r>
        <w:rPr>
          <w:rFonts w:ascii="Times New Roman" w:hAnsi="Times New Roman"/>
          <w:sz w:val="26"/>
          <w:szCs w:val="26"/>
        </w:rPr>
        <w:t xml:space="preserve">tūkst. latu, </w:t>
      </w:r>
      <w:r w:rsidR="000630C4" w:rsidRPr="000630C4">
        <w:rPr>
          <w:rFonts w:ascii="Times New Roman" w:hAnsi="Times New Roman"/>
          <w:sz w:val="26"/>
          <w:szCs w:val="26"/>
        </w:rPr>
        <w:t xml:space="preserve">kas ir gandrīz 2010.gada </w:t>
      </w:r>
      <w:r>
        <w:rPr>
          <w:rFonts w:ascii="Times New Roman" w:hAnsi="Times New Roman"/>
          <w:sz w:val="26"/>
          <w:szCs w:val="26"/>
        </w:rPr>
        <w:t xml:space="preserve">attiecīgajā periodā </w:t>
      </w:r>
      <w:r w:rsidR="000630C4" w:rsidRPr="000630C4">
        <w:rPr>
          <w:rFonts w:ascii="Times New Roman" w:hAnsi="Times New Roman"/>
          <w:sz w:val="26"/>
          <w:szCs w:val="26"/>
        </w:rPr>
        <w:t>iemaksātā apjoma līmenī.</w:t>
      </w:r>
    </w:p>
    <w:p w:rsidR="000630C4" w:rsidRPr="000630C4" w:rsidRDefault="00022EC7" w:rsidP="006F4153">
      <w:pPr>
        <w:pStyle w:val="ListParagraph"/>
        <w:tabs>
          <w:tab w:val="left" w:pos="993"/>
        </w:tabs>
        <w:ind w:left="0" w:firstLine="709"/>
        <w:jc w:val="both"/>
        <w:rPr>
          <w:rFonts w:ascii="Times New Roman" w:hAnsi="Times New Roman"/>
          <w:sz w:val="26"/>
          <w:szCs w:val="26"/>
        </w:rPr>
      </w:pPr>
      <w:r>
        <w:rPr>
          <w:rFonts w:ascii="Times New Roman" w:hAnsi="Times New Roman"/>
          <w:sz w:val="26"/>
          <w:szCs w:val="26"/>
        </w:rPr>
        <w:t xml:space="preserve">Noziedzīgi iegūtu līdzekļu legalizācijas, nodokļu krāpšanas un apzinātas izvairīšanās no nodokļu nomaksas apkarošanai valsts ieņēmumu jomā </w:t>
      </w:r>
      <w:r w:rsidR="006F4153">
        <w:rPr>
          <w:rFonts w:ascii="Times New Roman" w:hAnsi="Times New Roman"/>
          <w:sz w:val="26"/>
          <w:szCs w:val="26"/>
        </w:rPr>
        <w:t>nozīmīgs</w:t>
      </w:r>
      <w:r w:rsidR="000630C4" w:rsidRPr="000630C4">
        <w:rPr>
          <w:rFonts w:ascii="Times New Roman" w:hAnsi="Times New Roman"/>
          <w:sz w:val="26"/>
          <w:szCs w:val="26"/>
        </w:rPr>
        <w:t xml:space="preserve"> darbības rādītājs ir kriminālvajāšanas uzsākšanai nosūtīto kriminālprocesu skaits</w:t>
      </w:r>
      <w:r w:rsidR="006F4153">
        <w:rPr>
          <w:rFonts w:ascii="Times New Roman" w:hAnsi="Times New Roman"/>
          <w:sz w:val="26"/>
          <w:szCs w:val="26"/>
        </w:rPr>
        <w:t xml:space="preserve">. </w:t>
      </w:r>
    </w:p>
    <w:p w:rsidR="000630C4" w:rsidRPr="000630C4" w:rsidRDefault="000630C4" w:rsidP="000630C4">
      <w:pPr>
        <w:pStyle w:val="ListParagraph"/>
        <w:tabs>
          <w:tab w:val="left" w:pos="993"/>
        </w:tabs>
        <w:ind w:left="0" w:firstLine="709"/>
        <w:jc w:val="both"/>
        <w:rPr>
          <w:rFonts w:ascii="Times New Roman" w:hAnsi="Times New Roman"/>
          <w:sz w:val="26"/>
          <w:szCs w:val="26"/>
        </w:rPr>
      </w:pPr>
      <w:r w:rsidRPr="000630C4">
        <w:rPr>
          <w:rFonts w:ascii="Times New Roman" w:hAnsi="Times New Roman"/>
          <w:sz w:val="26"/>
          <w:szCs w:val="26"/>
        </w:rPr>
        <w:t xml:space="preserve">2011.gada </w:t>
      </w:r>
      <w:r w:rsidR="006F4153">
        <w:rPr>
          <w:rFonts w:ascii="Times New Roman" w:hAnsi="Times New Roman"/>
          <w:sz w:val="26"/>
          <w:szCs w:val="26"/>
        </w:rPr>
        <w:t>sešos</w:t>
      </w:r>
      <w:r w:rsidRPr="000630C4">
        <w:rPr>
          <w:rFonts w:ascii="Times New Roman" w:hAnsi="Times New Roman"/>
          <w:sz w:val="26"/>
          <w:szCs w:val="26"/>
        </w:rPr>
        <w:t xml:space="preserve"> mēnešos </w:t>
      </w:r>
      <w:r w:rsidR="006F4153">
        <w:rPr>
          <w:rFonts w:ascii="Times New Roman" w:hAnsi="Times New Roman"/>
          <w:sz w:val="26"/>
          <w:szCs w:val="26"/>
        </w:rPr>
        <w:t>VID</w:t>
      </w:r>
      <w:r w:rsidRPr="000630C4">
        <w:rPr>
          <w:rFonts w:ascii="Times New Roman" w:hAnsi="Times New Roman"/>
          <w:sz w:val="26"/>
          <w:szCs w:val="26"/>
        </w:rPr>
        <w:t xml:space="preserve"> ir nosūtīji</w:t>
      </w:r>
      <w:r w:rsidR="006F4153">
        <w:rPr>
          <w:rFonts w:ascii="Times New Roman" w:hAnsi="Times New Roman"/>
          <w:sz w:val="26"/>
          <w:szCs w:val="26"/>
        </w:rPr>
        <w:t>s</w:t>
      </w:r>
      <w:r w:rsidRPr="000630C4">
        <w:rPr>
          <w:rFonts w:ascii="Times New Roman" w:hAnsi="Times New Roman"/>
          <w:sz w:val="26"/>
          <w:szCs w:val="26"/>
        </w:rPr>
        <w:t xml:space="preserve"> kriminālvajāšanas uzsākšanai 69</w:t>
      </w:r>
      <w:r w:rsidR="00DC78F1">
        <w:rPr>
          <w:rFonts w:ascii="Times New Roman" w:hAnsi="Times New Roman"/>
          <w:sz w:val="26"/>
          <w:szCs w:val="26"/>
        </w:rPr>
        <w:t> </w:t>
      </w:r>
      <w:r w:rsidRPr="000630C4">
        <w:rPr>
          <w:rFonts w:ascii="Times New Roman" w:hAnsi="Times New Roman"/>
          <w:sz w:val="26"/>
          <w:szCs w:val="26"/>
        </w:rPr>
        <w:t>kriminālprocesus par prioritārajiem noziedzīgajiem nodarījumiem</w:t>
      </w:r>
      <w:r w:rsidR="006F4153">
        <w:rPr>
          <w:rFonts w:ascii="Times New Roman" w:hAnsi="Times New Roman"/>
          <w:sz w:val="26"/>
          <w:szCs w:val="26"/>
        </w:rPr>
        <w:t xml:space="preserve"> −</w:t>
      </w:r>
      <w:r w:rsidR="00273E0D">
        <w:rPr>
          <w:rFonts w:ascii="Times New Roman" w:hAnsi="Times New Roman"/>
          <w:sz w:val="26"/>
          <w:szCs w:val="26"/>
        </w:rPr>
        <w:t xml:space="preserve"> </w:t>
      </w:r>
      <w:r w:rsidRPr="00273E0D">
        <w:rPr>
          <w:rFonts w:ascii="Times New Roman" w:hAnsi="Times New Roman"/>
          <w:sz w:val="26"/>
          <w:szCs w:val="26"/>
        </w:rPr>
        <w:t>izvairīšanās no nodokļu nomaksas, noziedzīgi iegūtu līdzekļu legalizēšana, krāpšan</w:t>
      </w:r>
      <w:r w:rsidR="00DC78F1">
        <w:rPr>
          <w:rFonts w:ascii="Times New Roman" w:hAnsi="Times New Roman"/>
          <w:sz w:val="26"/>
          <w:szCs w:val="26"/>
        </w:rPr>
        <w:t>a –</w:t>
      </w:r>
      <w:r w:rsidRPr="000630C4">
        <w:rPr>
          <w:rFonts w:ascii="Times New Roman" w:hAnsi="Times New Roman"/>
          <w:sz w:val="26"/>
          <w:szCs w:val="26"/>
        </w:rPr>
        <w:t>, kas ir par 10</w:t>
      </w:r>
      <w:r w:rsidR="00DC78F1">
        <w:rPr>
          <w:rFonts w:ascii="Times New Roman" w:hAnsi="Times New Roman"/>
          <w:sz w:val="26"/>
          <w:szCs w:val="26"/>
        </w:rPr>
        <w:t> </w:t>
      </w:r>
      <w:r w:rsidRPr="000630C4">
        <w:rPr>
          <w:rFonts w:ascii="Times New Roman" w:hAnsi="Times New Roman"/>
          <w:sz w:val="26"/>
          <w:szCs w:val="26"/>
        </w:rPr>
        <w:t xml:space="preserve">% vairāk nekā 2010.gada </w:t>
      </w:r>
      <w:r w:rsidR="00273E0D">
        <w:rPr>
          <w:rFonts w:ascii="Times New Roman" w:hAnsi="Times New Roman"/>
          <w:sz w:val="26"/>
          <w:szCs w:val="26"/>
        </w:rPr>
        <w:t>attiecīgajā</w:t>
      </w:r>
      <w:r w:rsidRPr="000630C4">
        <w:rPr>
          <w:rFonts w:ascii="Times New Roman" w:hAnsi="Times New Roman"/>
          <w:sz w:val="26"/>
          <w:szCs w:val="26"/>
        </w:rPr>
        <w:t xml:space="preserve"> periodā</w:t>
      </w:r>
      <w:r w:rsidR="00DC78F1">
        <w:rPr>
          <w:rFonts w:ascii="Times New Roman" w:hAnsi="Times New Roman"/>
          <w:sz w:val="26"/>
          <w:szCs w:val="26"/>
        </w:rPr>
        <w:t>,</w:t>
      </w:r>
      <w:r w:rsidRPr="000630C4">
        <w:rPr>
          <w:rFonts w:ascii="Times New Roman" w:hAnsi="Times New Roman"/>
          <w:sz w:val="26"/>
          <w:szCs w:val="26"/>
        </w:rPr>
        <w:t xml:space="preserve"> un šajos kriminālprocesos konstatēto valstij nodarīto zaudējumu apmērs ir </w:t>
      </w:r>
      <w:r w:rsidR="00C60C44">
        <w:rPr>
          <w:rFonts w:ascii="Times New Roman" w:hAnsi="Times New Roman"/>
          <w:sz w:val="26"/>
          <w:szCs w:val="26"/>
        </w:rPr>
        <w:t>7 419,2</w:t>
      </w:r>
      <w:r w:rsidR="00273E0D">
        <w:rPr>
          <w:rFonts w:ascii="Times New Roman" w:hAnsi="Times New Roman"/>
          <w:sz w:val="26"/>
          <w:szCs w:val="26"/>
        </w:rPr>
        <w:t xml:space="preserve"> tūkst. latu</w:t>
      </w:r>
      <w:r w:rsidRPr="000630C4">
        <w:rPr>
          <w:rFonts w:ascii="Times New Roman" w:hAnsi="Times New Roman"/>
          <w:sz w:val="26"/>
          <w:szCs w:val="26"/>
        </w:rPr>
        <w:t xml:space="preserve">. </w:t>
      </w:r>
    </w:p>
    <w:p w:rsidR="000630C4" w:rsidRDefault="000630C4" w:rsidP="000630C4">
      <w:pPr>
        <w:pStyle w:val="ListParagraph"/>
        <w:tabs>
          <w:tab w:val="left" w:pos="993"/>
        </w:tabs>
        <w:ind w:left="0" w:firstLine="709"/>
        <w:jc w:val="both"/>
        <w:rPr>
          <w:rFonts w:ascii="Times New Roman" w:hAnsi="Times New Roman"/>
          <w:sz w:val="26"/>
          <w:szCs w:val="26"/>
        </w:rPr>
      </w:pPr>
      <w:r w:rsidRPr="000630C4">
        <w:rPr>
          <w:rFonts w:ascii="Times New Roman" w:hAnsi="Times New Roman"/>
          <w:sz w:val="26"/>
          <w:szCs w:val="26"/>
        </w:rPr>
        <w:t xml:space="preserve">2011.gada </w:t>
      </w:r>
      <w:r w:rsidR="00273E0D">
        <w:rPr>
          <w:rFonts w:ascii="Times New Roman" w:hAnsi="Times New Roman"/>
          <w:sz w:val="26"/>
          <w:szCs w:val="26"/>
        </w:rPr>
        <w:t xml:space="preserve">deviņos mēnešos </w:t>
      </w:r>
      <w:r w:rsidRPr="000630C4">
        <w:rPr>
          <w:rFonts w:ascii="Times New Roman" w:hAnsi="Times New Roman"/>
          <w:sz w:val="26"/>
          <w:szCs w:val="26"/>
        </w:rPr>
        <w:t>kriminālvajāšanas uzsākšanai nosūtī</w:t>
      </w:r>
      <w:r w:rsidR="00273E0D">
        <w:rPr>
          <w:rFonts w:ascii="Times New Roman" w:hAnsi="Times New Roman"/>
          <w:sz w:val="26"/>
          <w:szCs w:val="26"/>
        </w:rPr>
        <w:t>ts 101</w:t>
      </w:r>
      <w:r w:rsidR="00DC78F1">
        <w:rPr>
          <w:rFonts w:ascii="Times New Roman" w:hAnsi="Times New Roman"/>
          <w:sz w:val="26"/>
          <w:szCs w:val="26"/>
        </w:rPr>
        <w:t> </w:t>
      </w:r>
      <w:r w:rsidR="00273E0D">
        <w:rPr>
          <w:rFonts w:ascii="Times New Roman" w:hAnsi="Times New Roman"/>
          <w:sz w:val="26"/>
          <w:szCs w:val="26"/>
        </w:rPr>
        <w:t>kriminālprocess</w:t>
      </w:r>
      <w:r w:rsidRPr="000630C4">
        <w:rPr>
          <w:rFonts w:ascii="Times New Roman" w:hAnsi="Times New Roman"/>
          <w:sz w:val="26"/>
          <w:szCs w:val="26"/>
        </w:rPr>
        <w:t xml:space="preserve"> par prioritārajiem noziedzīgajiem nodarījumiem,</w:t>
      </w:r>
      <w:r w:rsidRPr="000630C4">
        <w:rPr>
          <w:rFonts w:ascii="Times New Roman" w:hAnsi="Times New Roman"/>
          <w:i/>
          <w:sz w:val="26"/>
          <w:szCs w:val="26"/>
        </w:rPr>
        <w:t xml:space="preserve"> </w:t>
      </w:r>
      <w:r w:rsidRPr="000630C4">
        <w:rPr>
          <w:rFonts w:ascii="Times New Roman" w:hAnsi="Times New Roman"/>
          <w:sz w:val="26"/>
          <w:szCs w:val="26"/>
        </w:rPr>
        <w:t>kas ir par 15</w:t>
      </w:r>
      <w:r w:rsidR="00DC78F1">
        <w:rPr>
          <w:rFonts w:ascii="Times New Roman" w:hAnsi="Times New Roman"/>
          <w:sz w:val="26"/>
          <w:szCs w:val="26"/>
        </w:rPr>
        <w:t> </w:t>
      </w:r>
      <w:r w:rsidRPr="000630C4">
        <w:rPr>
          <w:rFonts w:ascii="Times New Roman" w:hAnsi="Times New Roman"/>
          <w:sz w:val="26"/>
          <w:szCs w:val="26"/>
        </w:rPr>
        <w:t xml:space="preserve">% vairāk nekā 2010.gada </w:t>
      </w:r>
      <w:r w:rsidR="00273E0D">
        <w:rPr>
          <w:rFonts w:ascii="Times New Roman" w:hAnsi="Times New Roman"/>
          <w:sz w:val="26"/>
          <w:szCs w:val="26"/>
        </w:rPr>
        <w:t>deviņos</w:t>
      </w:r>
      <w:r w:rsidRPr="000630C4">
        <w:rPr>
          <w:rFonts w:ascii="Times New Roman" w:hAnsi="Times New Roman"/>
          <w:sz w:val="26"/>
          <w:szCs w:val="26"/>
        </w:rPr>
        <w:t xml:space="preserve"> mēnešos</w:t>
      </w:r>
      <w:r w:rsidR="00DC78F1">
        <w:rPr>
          <w:rFonts w:ascii="Times New Roman" w:hAnsi="Times New Roman"/>
          <w:sz w:val="26"/>
          <w:szCs w:val="26"/>
        </w:rPr>
        <w:t>,</w:t>
      </w:r>
      <w:r w:rsidRPr="000630C4">
        <w:rPr>
          <w:rFonts w:ascii="Times New Roman" w:hAnsi="Times New Roman"/>
          <w:sz w:val="26"/>
          <w:szCs w:val="26"/>
        </w:rPr>
        <w:t xml:space="preserve"> un šajos kriminālprocesos konstatēto valstij nodarīto zaudējumu apmērs ir </w:t>
      </w:r>
      <w:r w:rsidRPr="00C60C44">
        <w:rPr>
          <w:rFonts w:ascii="Times New Roman" w:hAnsi="Times New Roman"/>
          <w:sz w:val="26"/>
          <w:szCs w:val="26"/>
        </w:rPr>
        <w:t>11</w:t>
      </w:r>
      <w:r w:rsidR="00C60C44" w:rsidRPr="00C60C44">
        <w:rPr>
          <w:rFonts w:ascii="Times New Roman" w:hAnsi="Times New Roman"/>
          <w:sz w:val="26"/>
          <w:szCs w:val="26"/>
        </w:rPr>
        <w:t> </w:t>
      </w:r>
      <w:r w:rsidRPr="00C60C44">
        <w:rPr>
          <w:rFonts w:ascii="Times New Roman" w:hAnsi="Times New Roman"/>
          <w:sz w:val="26"/>
          <w:szCs w:val="26"/>
        </w:rPr>
        <w:t>276</w:t>
      </w:r>
      <w:r w:rsidR="00C60C44" w:rsidRPr="00C60C44">
        <w:rPr>
          <w:rFonts w:ascii="Times New Roman" w:hAnsi="Times New Roman"/>
          <w:sz w:val="26"/>
          <w:szCs w:val="26"/>
        </w:rPr>
        <w:t>,</w:t>
      </w:r>
      <w:r w:rsidR="00AF2C46" w:rsidRPr="00C60C44">
        <w:rPr>
          <w:rFonts w:ascii="Times New Roman" w:hAnsi="Times New Roman"/>
          <w:sz w:val="26"/>
          <w:szCs w:val="26"/>
        </w:rPr>
        <w:t> </w:t>
      </w:r>
      <w:r w:rsidR="00C60C44" w:rsidRPr="00C60C44">
        <w:rPr>
          <w:rFonts w:ascii="Times New Roman" w:hAnsi="Times New Roman"/>
          <w:sz w:val="26"/>
          <w:szCs w:val="26"/>
        </w:rPr>
        <w:t>6</w:t>
      </w:r>
      <w:r w:rsidR="00AF2C46" w:rsidRPr="00C60C44">
        <w:rPr>
          <w:rFonts w:ascii="Times New Roman" w:hAnsi="Times New Roman"/>
          <w:sz w:val="26"/>
          <w:szCs w:val="26"/>
        </w:rPr>
        <w:t xml:space="preserve"> tūkst</w:t>
      </w:r>
      <w:r w:rsidRPr="00C60C44">
        <w:rPr>
          <w:rFonts w:ascii="Times New Roman" w:hAnsi="Times New Roman"/>
          <w:sz w:val="26"/>
          <w:szCs w:val="26"/>
        </w:rPr>
        <w:t>.</w:t>
      </w:r>
      <w:r w:rsidR="00AF2C46" w:rsidRPr="00C60C44">
        <w:rPr>
          <w:rFonts w:ascii="Times New Roman" w:hAnsi="Times New Roman"/>
          <w:sz w:val="26"/>
          <w:szCs w:val="26"/>
        </w:rPr>
        <w:t xml:space="preserve"> latu</w:t>
      </w:r>
      <w:r w:rsidR="00AF2C46">
        <w:rPr>
          <w:rFonts w:ascii="Times New Roman" w:hAnsi="Times New Roman"/>
          <w:sz w:val="26"/>
          <w:szCs w:val="26"/>
        </w:rPr>
        <w:t>.</w:t>
      </w:r>
      <w:r w:rsidRPr="000630C4">
        <w:rPr>
          <w:rFonts w:ascii="Times New Roman" w:hAnsi="Times New Roman"/>
          <w:sz w:val="26"/>
          <w:szCs w:val="26"/>
        </w:rPr>
        <w:t xml:space="preserve"> </w:t>
      </w:r>
    </w:p>
    <w:p w:rsidR="008E7F74" w:rsidRDefault="008E7F74" w:rsidP="000630C4">
      <w:pPr>
        <w:pStyle w:val="ListParagraph"/>
        <w:tabs>
          <w:tab w:val="left" w:pos="993"/>
        </w:tabs>
        <w:ind w:left="0" w:firstLine="709"/>
        <w:jc w:val="both"/>
        <w:rPr>
          <w:rFonts w:ascii="Times New Roman" w:hAnsi="Times New Roman"/>
          <w:sz w:val="26"/>
          <w:szCs w:val="26"/>
        </w:rPr>
      </w:pPr>
    </w:p>
    <w:p w:rsidR="000630C4" w:rsidRDefault="00DC78F1" w:rsidP="00AF368F">
      <w:pPr>
        <w:pStyle w:val="ListParagraph"/>
        <w:tabs>
          <w:tab w:val="left" w:pos="993"/>
        </w:tabs>
        <w:ind w:left="0" w:firstLine="709"/>
        <w:jc w:val="both"/>
        <w:rPr>
          <w:rFonts w:ascii="Times New Roman" w:hAnsi="Times New Roman"/>
          <w:sz w:val="26"/>
          <w:szCs w:val="26"/>
        </w:rPr>
      </w:pPr>
      <w:r w:rsidRPr="009808CF">
        <w:rPr>
          <w:rFonts w:ascii="Times New Roman" w:hAnsi="Times New Roman"/>
          <w:sz w:val="26"/>
          <w:szCs w:val="26"/>
        </w:rPr>
        <w:lastRenderedPageBreak/>
        <w:t>Ņemot vērā minēto,</w:t>
      </w:r>
      <w:r w:rsidR="00AF368F" w:rsidRPr="009808CF">
        <w:rPr>
          <w:rFonts w:ascii="Times New Roman" w:hAnsi="Times New Roman"/>
          <w:sz w:val="26"/>
          <w:szCs w:val="26"/>
        </w:rPr>
        <w:t xml:space="preserve"> var secināt, ka </w:t>
      </w:r>
      <w:r w:rsidR="009808CF">
        <w:rPr>
          <w:rFonts w:ascii="Times New Roman" w:hAnsi="Times New Roman"/>
          <w:sz w:val="26"/>
          <w:szCs w:val="26"/>
        </w:rPr>
        <w:t xml:space="preserve">nozīmīgā </w:t>
      </w:r>
      <w:r w:rsidR="00AF368F" w:rsidRPr="009808CF">
        <w:rPr>
          <w:rFonts w:ascii="Times New Roman" w:hAnsi="Times New Roman"/>
          <w:sz w:val="26"/>
          <w:szCs w:val="26"/>
        </w:rPr>
        <w:t>VID darbinieku ieguldījuma</w:t>
      </w:r>
      <w:r w:rsidR="005532AB">
        <w:rPr>
          <w:rFonts w:ascii="Times New Roman" w:hAnsi="Times New Roman"/>
          <w:sz w:val="26"/>
          <w:szCs w:val="26"/>
        </w:rPr>
        <w:t xml:space="preserve"> rezultātā,</w:t>
      </w:r>
      <w:r w:rsidR="00AF368F" w:rsidRPr="009808CF">
        <w:rPr>
          <w:rFonts w:ascii="Times New Roman" w:hAnsi="Times New Roman"/>
          <w:sz w:val="26"/>
          <w:szCs w:val="26"/>
        </w:rPr>
        <w:t xml:space="preserve"> ir panākta būtiska nodokļu iekasēšanas uzlabošana, īstenojot ēnu ekonomikas apkarošanas un godīgas konkurences veicināšanas plāna pasākumus. Par to liecina rezultatīvo rādītāju </w:t>
      </w:r>
      <w:r w:rsidRPr="009808CF">
        <w:rPr>
          <w:rFonts w:ascii="Times New Roman" w:hAnsi="Times New Roman"/>
          <w:sz w:val="26"/>
          <w:szCs w:val="26"/>
        </w:rPr>
        <w:t>palielinājums</w:t>
      </w:r>
      <w:r w:rsidR="00AF368F" w:rsidRPr="009808CF">
        <w:rPr>
          <w:rFonts w:ascii="Times New Roman" w:hAnsi="Times New Roman"/>
          <w:sz w:val="26"/>
          <w:szCs w:val="26"/>
        </w:rPr>
        <w:t xml:space="preserve"> prioritārajās darbības jomās 2011.gada sešos un deviņos mēnešos salīdzinājumā ar 2010.gada sešiem un deviņiem mēnešiem. </w:t>
      </w:r>
    </w:p>
    <w:p w:rsidR="005532AB" w:rsidRPr="000630C4" w:rsidRDefault="005532AB" w:rsidP="00AF368F">
      <w:pPr>
        <w:pStyle w:val="ListParagraph"/>
        <w:tabs>
          <w:tab w:val="left" w:pos="993"/>
        </w:tabs>
        <w:ind w:left="0" w:firstLine="709"/>
        <w:jc w:val="both"/>
        <w:rPr>
          <w:rFonts w:ascii="Times New Roman" w:hAnsi="Times New Roman"/>
          <w:sz w:val="26"/>
          <w:szCs w:val="26"/>
        </w:rPr>
      </w:pPr>
    </w:p>
    <w:p w:rsidR="00F000E1" w:rsidRPr="009A122F" w:rsidRDefault="00F000E1" w:rsidP="009A122F">
      <w:pPr>
        <w:pStyle w:val="ListParagraph"/>
        <w:numPr>
          <w:ilvl w:val="0"/>
          <w:numId w:val="12"/>
        </w:numPr>
        <w:ind w:left="0" w:firstLine="0"/>
        <w:jc w:val="center"/>
        <w:rPr>
          <w:rFonts w:ascii="Times New Roman" w:hAnsi="Times New Roman"/>
          <w:b/>
          <w:sz w:val="26"/>
          <w:szCs w:val="26"/>
        </w:rPr>
      </w:pPr>
      <w:r w:rsidRPr="009A122F">
        <w:rPr>
          <w:rFonts w:ascii="Times New Roman" w:hAnsi="Times New Roman"/>
          <w:b/>
          <w:sz w:val="26"/>
          <w:szCs w:val="26"/>
        </w:rPr>
        <w:t>Kopsavilkums un priekšlikumi</w:t>
      </w:r>
    </w:p>
    <w:p w:rsidR="00F000E1" w:rsidRDefault="00F000E1" w:rsidP="00F000E1">
      <w:pPr>
        <w:rPr>
          <w:b/>
          <w:sz w:val="26"/>
          <w:szCs w:val="26"/>
        </w:rPr>
      </w:pPr>
    </w:p>
    <w:p w:rsidR="00F000E1" w:rsidRDefault="00F000E1" w:rsidP="00F000E1">
      <w:pPr>
        <w:jc w:val="both"/>
        <w:rPr>
          <w:sz w:val="26"/>
          <w:szCs w:val="26"/>
        </w:rPr>
      </w:pPr>
      <w:r>
        <w:rPr>
          <w:sz w:val="26"/>
          <w:szCs w:val="26"/>
        </w:rPr>
        <w:tab/>
        <w:t>Kopumā vērtējot 2011.gada sešu un deviņu mēnešu darba rezultātus var secināt, ka ir panākta būtiska nodokļu iekasēšanas uzlabošana, īstenojot ēnu ekonomikas apkarošanas un godīgas konkurences veicināšanas plāna pasākumus. Par to liecina rezultatīvo rādītāju palielinājums prioritārajās darbības jomās 2011.gada sešos un deviņos mēnešos salīdzinājumā ar 2010.gada sešiem un deviņiem mēnešiem. Šie darba rezultāti ir sasniegti nozīmīgā VID darbinieku ieguldījuma rezultātā, pārskatot un nosakot jaunas prioritātes</w:t>
      </w:r>
      <w:r w:rsidR="00EE2CFE">
        <w:rPr>
          <w:sz w:val="26"/>
          <w:szCs w:val="26"/>
        </w:rPr>
        <w:t xml:space="preserve"> un plānojot darbu saskaņā ar riska vadības principiem</w:t>
      </w:r>
      <w:r>
        <w:rPr>
          <w:sz w:val="26"/>
          <w:szCs w:val="26"/>
        </w:rPr>
        <w:t>, kā arī veicot resursu optimizēšanas pasākumus.</w:t>
      </w:r>
    </w:p>
    <w:p w:rsidR="00F000E1" w:rsidRDefault="00F000E1" w:rsidP="00F000E1">
      <w:pPr>
        <w:pStyle w:val="ListParagraph"/>
        <w:tabs>
          <w:tab w:val="left" w:pos="993"/>
        </w:tabs>
        <w:jc w:val="both"/>
        <w:rPr>
          <w:rFonts w:ascii="Times New Roman" w:hAnsi="Times New Roman"/>
          <w:sz w:val="26"/>
          <w:szCs w:val="26"/>
        </w:rPr>
      </w:pPr>
      <w:r>
        <w:rPr>
          <w:rFonts w:ascii="Times New Roman" w:hAnsi="Times New Roman"/>
          <w:sz w:val="24"/>
          <w:szCs w:val="24"/>
        </w:rPr>
        <w:t xml:space="preserve"> </w:t>
      </w:r>
      <w:r>
        <w:rPr>
          <w:rFonts w:ascii="Times New Roman" w:hAnsi="Times New Roman"/>
          <w:sz w:val="26"/>
          <w:szCs w:val="26"/>
        </w:rPr>
        <w:t xml:space="preserve"> </w:t>
      </w:r>
    </w:p>
    <w:p w:rsidR="00F000E1" w:rsidRDefault="00F000E1" w:rsidP="00F000E1">
      <w:pPr>
        <w:ind w:left="360"/>
        <w:jc w:val="center"/>
        <w:rPr>
          <w:b/>
          <w:sz w:val="26"/>
          <w:szCs w:val="26"/>
        </w:rPr>
      </w:pPr>
    </w:p>
    <w:p w:rsidR="002B5DC8" w:rsidRDefault="00F000E1" w:rsidP="002B5DC8">
      <w:pPr>
        <w:ind w:firstLine="720"/>
        <w:jc w:val="both"/>
        <w:rPr>
          <w:sz w:val="26"/>
          <w:szCs w:val="26"/>
        </w:rPr>
      </w:pPr>
      <w:r>
        <w:rPr>
          <w:sz w:val="26"/>
          <w:szCs w:val="26"/>
        </w:rPr>
        <w:t xml:space="preserve">VID nodrošinās </w:t>
      </w:r>
      <w:r w:rsidR="00C129DE">
        <w:rPr>
          <w:sz w:val="26"/>
          <w:szCs w:val="26"/>
        </w:rPr>
        <w:t xml:space="preserve">VID administrēto budžeta ieņēmumu plāna izpildi 2011.gadam, tajā skaitā </w:t>
      </w:r>
      <w:r w:rsidR="00635EE5">
        <w:rPr>
          <w:sz w:val="26"/>
          <w:szCs w:val="26"/>
        </w:rPr>
        <w:t xml:space="preserve">ieņēmumu plāna </w:t>
      </w:r>
      <w:r w:rsidR="00635EE5">
        <w:rPr>
          <w:bCs/>
          <w:sz w:val="26"/>
          <w:szCs w:val="26"/>
        </w:rPr>
        <w:t xml:space="preserve">palielinājumu </w:t>
      </w:r>
      <w:r w:rsidR="00EE4EBF">
        <w:rPr>
          <w:bCs/>
          <w:sz w:val="26"/>
          <w:szCs w:val="26"/>
        </w:rPr>
        <w:t xml:space="preserve">par </w:t>
      </w:r>
      <w:r w:rsidR="00F50C8E">
        <w:rPr>
          <w:bCs/>
          <w:sz w:val="26"/>
          <w:szCs w:val="26"/>
        </w:rPr>
        <w:t xml:space="preserve">2,7 % jeb </w:t>
      </w:r>
      <w:r w:rsidR="00EE4EBF">
        <w:rPr>
          <w:bCs/>
          <w:sz w:val="26"/>
          <w:szCs w:val="26"/>
        </w:rPr>
        <w:t xml:space="preserve">103,95 milj. latu </w:t>
      </w:r>
      <w:r w:rsidR="00635EE5">
        <w:rPr>
          <w:bCs/>
          <w:sz w:val="26"/>
          <w:szCs w:val="26"/>
        </w:rPr>
        <w:t xml:space="preserve">saskaņā ar grozījumiem likumā </w:t>
      </w:r>
      <w:r w:rsidR="00635EE5" w:rsidRPr="00881223">
        <w:rPr>
          <w:bCs/>
          <w:sz w:val="26"/>
          <w:szCs w:val="26"/>
        </w:rPr>
        <w:t>“</w:t>
      </w:r>
      <w:r w:rsidR="00635EE5">
        <w:rPr>
          <w:bCs/>
          <w:sz w:val="26"/>
          <w:szCs w:val="26"/>
        </w:rPr>
        <w:t>Par valsts budžetu 2011.gadam”, kas stājās spēkā 2011.gada 30.aprīlī</w:t>
      </w:r>
      <w:r w:rsidR="00F50C8E">
        <w:rPr>
          <w:bCs/>
          <w:sz w:val="26"/>
          <w:szCs w:val="26"/>
        </w:rPr>
        <w:t>.</w:t>
      </w:r>
      <w:r>
        <w:rPr>
          <w:sz w:val="26"/>
          <w:szCs w:val="26"/>
        </w:rPr>
        <w:t xml:space="preserve"> </w:t>
      </w:r>
      <w:r w:rsidR="00635EE5">
        <w:rPr>
          <w:sz w:val="26"/>
          <w:szCs w:val="26"/>
        </w:rPr>
        <w:t>Ī</w:t>
      </w:r>
      <w:r>
        <w:rPr>
          <w:sz w:val="26"/>
          <w:szCs w:val="26"/>
        </w:rPr>
        <w:t>stenojot pasākumus ēnu ekonomikas apkarošanai un godīgas konkurences veicināšanai,</w:t>
      </w:r>
      <w:r w:rsidR="00C129DE">
        <w:rPr>
          <w:sz w:val="26"/>
          <w:szCs w:val="26"/>
        </w:rPr>
        <w:t xml:space="preserve"> tiks nodrošināta nodokļu iekasēšanas</w:t>
      </w:r>
      <w:r>
        <w:rPr>
          <w:sz w:val="26"/>
          <w:szCs w:val="26"/>
        </w:rPr>
        <w:t xml:space="preserve"> </w:t>
      </w:r>
      <w:r w:rsidR="00635EE5">
        <w:rPr>
          <w:sz w:val="26"/>
          <w:szCs w:val="26"/>
        </w:rPr>
        <w:t xml:space="preserve">būtiska uzlabošanās, </w:t>
      </w:r>
      <w:r>
        <w:rPr>
          <w:sz w:val="26"/>
          <w:szCs w:val="26"/>
        </w:rPr>
        <w:t xml:space="preserve">panākot </w:t>
      </w:r>
      <w:r w:rsidR="00635EE5">
        <w:rPr>
          <w:sz w:val="26"/>
          <w:szCs w:val="26"/>
        </w:rPr>
        <w:t xml:space="preserve">VID administrēto budžeta </w:t>
      </w:r>
      <w:r>
        <w:rPr>
          <w:sz w:val="26"/>
          <w:szCs w:val="26"/>
        </w:rPr>
        <w:t xml:space="preserve">ieņēmumu plāna </w:t>
      </w:r>
      <w:r w:rsidR="00635EE5">
        <w:rPr>
          <w:sz w:val="26"/>
          <w:szCs w:val="26"/>
        </w:rPr>
        <w:t xml:space="preserve">2011.gadam </w:t>
      </w:r>
      <w:r>
        <w:rPr>
          <w:sz w:val="26"/>
          <w:szCs w:val="26"/>
        </w:rPr>
        <w:t>pārsniegšanu par 2% jeb 78,52 milj.</w:t>
      </w:r>
      <w:r w:rsidR="00EF092F">
        <w:rPr>
          <w:sz w:val="26"/>
          <w:szCs w:val="26"/>
        </w:rPr>
        <w:t xml:space="preserve"> </w:t>
      </w:r>
      <w:r>
        <w:rPr>
          <w:sz w:val="26"/>
          <w:szCs w:val="26"/>
        </w:rPr>
        <w:t>latu</w:t>
      </w:r>
      <w:r w:rsidR="0079185D">
        <w:rPr>
          <w:sz w:val="26"/>
          <w:szCs w:val="26"/>
        </w:rPr>
        <w:t xml:space="preserve"> kopumā iekasējot 4,00 miljardus latu,</w:t>
      </w:r>
      <w:r w:rsidR="00F50C8E">
        <w:rPr>
          <w:sz w:val="26"/>
          <w:szCs w:val="26"/>
        </w:rPr>
        <w:t xml:space="preserve"> kas</w:t>
      </w:r>
      <w:r w:rsidR="00EF092F">
        <w:rPr>
          <w:sz w:val="26"/>
          <w:szCs w:val="26"/>
        </w:rPr>
        <w:t xml:space="preserve"> salīdzin</w:t>
      </w:r>
      <w:r w:rsidR="00F50C8E">
        <w:rPr>
          <w:sz w:val="26"/>
          <w:szCs w:val="26"/>
        </w:rPr>
        <w:t>ājumā</w:t>
      </w:r>
      <w:r w:rsidR="00EF092F">
        <w:rPr>
          <w:sz w:val="26"/>
          <w:szCs w:val="26"/>
        </w:rPr>
        <w:t xml:space="preserve"> ar 2010.gada faktiskajiem ieņēmumiem</w:t>
      </w:r>
      <w:r w:rsidR="00F50C8E">
        <w:rPr>
          <w:sz w:val="26"/>
          <w:szCs w:val="26"/>
        </w:rPr>
        <w:t xml:space="preserve">  ir</w:t>
      </w:r>
      <w:r w:rsidR="00EF092F">
        <w:rPr>
          <w:sz w:val="26"/>
          <w:szCs w:val="26"/>
        </w:rPr>
        <w:t xml:space="preserve"> par </w:t>
      </w:r>
      <w:r w:rsidR="00F50C8E">
        <w:rPr>
          <w:sz w:val="26"/>
          <w:szCs w:val="26"/>
        </w:rPr>
        <w:t xml:space="preserve">10%  jeb </w:t>
      </w:r>
      <w:r w:rsidR="00EF092F">
        <w:rPr>
          <w:sz w:val="26"/>
          <w:szCs w:val="26"/>
        </w:rPr>
        <w:t>361,3 milj. latu  vairāk</w:t>
      </w:r>
      <w:r>
        <w:rPr>
          <w:sz w:val="26"/>
          <w:szCs w:val="26"/>
        </w:rPr>
        <w:t>.</w:t>
      </w:r>
    </w:p>
    <w:p w:rsidR="0026624C" w:rsidRPr="00D815EE" w:rsidRDefault="0026624C" w:rsidP="0026624C">
      <w:pPr>
        <w:ind w:firstLine="720"/>
        <w:jc w:val="both"/>
        <w:rPr>
          <w:sz w:val="26"/>
          <w:szCs w:val="26"/>
        </w:rPr>
      </w:pPr>
      <w:r w:rsidRPr="00D815EE">
        <w:rPr>
          <w:sz w:val="26"/>
          <w:szCs w:val="26"/>
        </w:rPr>
        <w:t xml:space="preserve">Līdz ar to tiks izpildīts likuma „Par valsts budžetu 2011.gadam” 54.pantā noteiktais, ka VID nodrošina papildu ieņēmumu iekasēšanu 45 000 000 latu apmērā virs 2011.gada valsts budžetā plānotajiem VID administrētajiem valsts budžeta nodokļu un nenodokļu ieņēmumiem, realizējot ēnu ekonomikas apkarošanas pasākumus, ko lielā mērā sekmējusi iespējamība motivēt darbiniekus augstu darba rezultātu sasniegšanā.  </w:t>
      </w:r>
    </w:p>
    <w:p w:rsidR="0026624C" w:rsidRPr="00D815EE" w:rsidRDefault="0026624C" w:rsidP="0026624C">
      <w:pPr>
        <w:ind w:firstLine="720"/>
        <w:jc w:val="both"/>
        <w:rPr>
          <w:sz w:val="26"/>
          <w:szCs w:val="26"/>
        </w:rPr>
      </w:pPr>
      <w:r w:rsidRPr="00D815EE">
        <w:rPr>
          <w:sz w:val="26"/>
          <w:szCs w:val="26"/>
        </w:rPr>
        <w:t>Piešķirot finansējumu darbinieku motivēšanai 2 270 815 latu apmērā</w:t>
      </w:r>
      <w:r w:rsidR="00CE6487" w:rsidRPr="00D815EE">
        <w:rPr>
          <w:sz w:val="26"/>
          <w:szCs w:val="26"/>
        </w:rPr>
        <w:t>,</w:t>
      </w:r>
      <w:r w:rsidRPr="00D815EE">
        <w:rPr>
          <w:sz w:val="26"/>
          <w:szCs w:val="26"/>
        </w:rPr>
        <w:t xml:space="preserve"> tiks </w:t>
      </w:r>
      <w:r w:rsidR="00CE6487" w:rsidRPr="00D815EE">
        <w:rPr>
          <w:sz w:val="26"/>
          <w:szCs w:val="26"/>
        </w:rPr>
        <w:t>celta</w:t>
      </w:r>
      <w:r w:rsidRPr="00D815EE">
        <w:rPr>
          <w:sz w:val="26"/>
          <w:szCs w:val="26"/>
        </w:rPr>
        <w:t xml:space="preserve"> darbinieku motivācija arī turpmāk, nodrošinot, ka papildus ieņēmumi valsts budžetā ievērojami pārsniegs ieguldītos līdzekļus darbinieku motivēšanai.</w:t>
      </w:r>
    </w:p>
    <w:p w:rsidR="0026624C" w:rsidRDefault="0026624C" w:rsidP="002B5DC8">
      <w:pPr>
        <w:ind w:firstLine="720"/>
        <w:jc w:val="both"/>
        <w:rPr>
          <w:sz w:val="26"/>
          <w:szCs w:val="26"/>
        </w:rPr>
      </w:pPr>
    </w:p>
    <w:p w:rsidR="00F267C9" w:rsidRPr="00F267C9" w:rsidRDefault="00507E1D" w:rsidP="002B5DC8">
      <w:pPr>
        <w:ind w:firstLine="720"/>
        <w:jc w:val="both"/>
        <w:rPr>
          <w:b/>
          <w:sz w:val="26"/>
          <w:szCs w:val="26"/>
          <w:u w:val="single"/>
        </w:rPr>
      </w:pPr>
      <w:r w:rsidRPr="00507E1D">
        <w:rPr>
          <w:b/>
          <w:sz w:val="26"/>
          <w:szCs w:val="26"/>
          <w:u w:val="single"/>
        </w:rPr>
        <w:t>Priekšlikumi:</w:t>
      </w:r>
    </w:p>
    <w:p w:rsidR="00F000E1" w:rsidRDefault="00F000E1" w:rsidP="00F000E1">
      <w:pPr>
        <w:numPr>
          <w:ilvl w:val="0"/>
          <w:numId w:val="17"/>
        </w:numPr>
        <w:tabs>
          <w:tab w:val="left" w:pos="1134"/>
        </w:tabs>
        <w:ind w:left="0" w:firstLine="720"/>
        <w:jc w:val="both"/>
        <w:rPr>
          <w:sz w:val="26"/>
          <w:szCs w:val="26"/>
        </w:rPr>
      </w:pPr>
      <w:r>
        <w:rPr>
          <w:sz w:val="26"/>
          <w:szCs w:val="26"/>
        </w:rPr>
        <w:t xml:space="preserve">Lai motivētu VID amatpersonas (darbiniekus) par ieguldījumu  nodokļu iekasēšanas un darbības izpildes rādītāju uzlabošanā un muitas politikas īstenošanā, kas sekmējusi ēnu ekonomikas mazināšanos un veicinājusi godīgu konkurenci, piešķirt finansējumu darbinieku motivēšanai 2 270 815 latu apmērā, </w:t>
      </w:r>
      <w:r w:rsidR="00A1316B">
        <w:rPr>
          <w:sz w:val="26"/>
          <w:szCs w:val="26"/>
        </w:rPr>
        <w:t>tādejādi VID darbinieki tiktu prēmēti 2011.gada novembrī</w:t>
      </w:r>
      <w:r>
        <w:rPr>
          <w:sz w:val="26"/>
          <w:szCs w:val="26"/>
        </w:rPr>
        <w:t xml:space="preserve">. </w:t>
      </w:r>
    </w:p>
    <w:p w:rsidR="009F40E2" w:rsidRPr="009F40E2" w:rsidRDefault="009F40E2" w:rsidP="009F40E2">
      <w:pPr>
        <w:tabs>
          <w:tab w:val="left" w:pos="1134"/>
        </w:tabs>
        <w:ind w:firstLine="720"/>
        <w:jc w:val="both"/>
        <w:rPr>
          <w:sz w:val="26"/>
          <w:szCs w:val="26"/>
        </w:rPr>
      </w:pPr>
      <w:r w:rsidRPr="009F40E2">
        <w:rPr>
          <w:sz w:val="26"/>
          <w:szCs w:val="26"/>
        </w:rPr>
        <w:t xml:space="preserve">VID darbiniekiem prēmijas ir paredzētas piešķirt saskaņā ar VID 2011.gada 3.oktobra iekšējiem noteikumiem Nr.35 „Valsts ieņēmumu dienesta ierēdņu un darbinieku materiālās stimulēšanas un prēmēšanas kartība”. Materiālās stimulēšanas un prēmēšanas komisija lemj par prēmēšanai piešķirtā finansējuma sadali starp servisa/uzraudzības, kontroles un atbalsta funkciju īstenojošām pastāvīgajām </w:t>
      </w:r>
      <w:r w:rsidRPr="009F40E2">
        <w:rPr>
          <w:sz w:val="26"/>
          <w:szCs w:val="26"/>
        </w:rPr>
        <w:lastRenderedPageBreak/>
        <w:t>struktūrvienībām un pēc tam tiek individuāli vērtēts katrs  VID darbinieks atbilstoši minētajos iekšējos noteikumos noteiktajiem  kritērijiem  un noteikts prēmijas apmērs</w:t>
      </w:r>
      <w:r w:rsidR="00A40A4A">
        <w:rPr>
          <w:sz w:val="26"/>
          <w:szCs w:val="26"/>
        </w:rPr>
        <w:t>, atbilstoši ieguldījumam ēnu ekonomikas apkarošanā.</w:t>
      </w:r>
      <w:r w:rsidRPr="009F40E2">
        <w:rPr>
          <w:sz w:val="26"/>
          <w:szCs w:val="26"/>
        </w:rPr>
        <w:t xml:space="preserve"> VID darbinieku prēmēšanai nepieciešamā finansējuma kopējais  apmērs ir  75% apmērā no faktiski strādājošo VID darbinieku vidējās mēnešalgas kopsummas atbilstoši VID amatu vietu sarakstam uz </w:t>
      </w:r>
      <w:r>
        <w:rPr>
          <w:sz w:val="26"/>
          <w:szCs w:val="26"/>
        </w:rPr>
        <w:t xml:space="preserve">2011.gada </w:t>
      </w:r>
      <w:r w:rsidRPr="009F40E2">
        <w:rPr>
          <w:sz w:val="26"/>
          <w:szCs w:val="26"/>
        </w:rPr>
        <w:t>30.</w:t>
      </w:r>
      <w:r>
        <w:rPr>
          <w:sz w:val="26"/>
          <w:szCs w:val="26"/>
        </w:rPr>
        <w:t>septembri</w:t>
      </w:r>
      <w:r w:rsidRPr="009F40E2">
        <w:rPr>
          <w:sz w:val="26"/>
          <w:szCs w:val="26"/>
        </w:rPr>
        <w:t>.</w:t>
      </w:r>
    </w:p>
    <w:p w:rsidR="0026624C" w:rsidRDefault="00FC39E3" w:rsidP="00C01AA9">
      <w:pPr>
        <w:ind w:firstLine="709"/>
        <w:jc w:val="both"/>
        <w:rPr>
          <w:sz w:val="26"/>
          <w:szCs w:val="26"/>
        </w:rPr>
      </w:pPr>
      <w:r>
        <w:rPr>
          <w:sz w:val="26"/>
          <w:szCs w:val="26"/>
        </w:rPr>
        <w:t>2</w:t>
      </w:r>
      <w:r w:rsidR="00D815EE">
        <w:rPr>
          <w:sz w:val="26"/>
          <w:szCs w:val="26"/>
        </w:rPr>
        <w:t xml:space="preserve">. </w:t>
      </w:r>
      <w:r w:rsidR="00E22087">
        <w:rPr>
          <w:sz w:val="26"/>
          <w:szCs w:val="26"/>
        </w:rPr>
        <w:t>Lai panāktu ievērojamu uzlabojumu ēnu ekonomikas samazināšanā</w:t>
      </w:r>
      <w:r w:rsidR="008A35B7">
        <w:rPr>
          <w:sz w:val="26"/>
          <w:szCs w:val="26"/>
        </w:rPr>
        <w:t xml:space="preserve"> arī</w:t>
      </w:r>
      <w:r w:rsidR="00751ED7">
        <w:rPr>
          <w:sz w:val="26"/>
          <w:szCs w:val="26"/>
        </w:rPr>
        <w:t xml:space="preserve"> turpmāk</w:t>
      </w:r>
      <w:r w:rsidR="00E22087">
        <w:rPr>
          <w:sz w:val="26"/>
          <w:szCs w:val="26"/>
        </w:rPr>
        <w:t xml:space="preserve">, </w:t>
      </w:r>
      <w:r w:rsidR="008A35B7">
        <w:rPr>
          <w:sz w:val="26"/>
          <w:szCs w:val="26"/>
        </w:rPr>
        <w:t>ir</w:t>
      </w:r>
      <w:r w:rsidR="00E22087">
        <w:rPr>
          <w:sz w:val="26"/>
          <w:szCs w:val="26"/>
        </w:rPr>
        <w:t xml:space="preserve"> jānodrošina </w:t>
      </w:r>
      <w:r w:rsidR="00E22087" w:rsidRPr="00EF092F">
        <w:rPr>
          <w:sz w:val="26"/>
          <w:szCs w:val="26"/>
        </w:rPr>
        <w:t>augsta riska n</w:t>
      </w:r>
      <w:r w:rsidR="00E22087">
        <w:rPr>
          <w:sz w:val="26"/>
          <w:szCs w:val="26"/>
        </w:rPr>
        <w:t>odokļu maksātāju pārbaužu skaita palielinājums.</w:t>
      </w:r>
    </w:p>
    <w:p w:rsidR="00C01AA9" w:rsidRDefault="0026624C" w:rsidP="0026624C">
      <w:pPr>
        <w:ind w:firstLine="709"/>
        <w:jc w:val="both"/>
        <w:rPr>
          <w:sz w:val="26"/>
          <w:szCs w:val="26"/>
        </w:rPr>
      </w:pPr>
      <w:r w:rsidRPr="00D815EE">
        <w:rPr>
          <w:sz w:val="26"/>
          <w:szCs w:val="26"/>
        </w:rPr>
        <w:t xml:space="preserve">Šādu ieteikumu ir sniedzis </w:t>
      </w:r>
      <w:r w:rsidR="00197355">
        <w:rPr>
          <w:sz w:val="26"/>
          <w:szCs w:val="26"/>
        </w:rPr>
        <w:t xml:space="preserve">arī </w:t>
      </w:r>
      <w:r w:rsidRPr="00D815EE">
        <w:rPr>
          <w:sz w:val="26"/>
          <w:szCs w:val="26"/>
        </w:rPr>
        <w:t>SVF 201</w:t>
      </w:r>
      <w:r w:rsidR="00743181" w:rsidRPr="00D815EE">
        <w:rPr>
          <w:sz w:val="26"/>
          <w:szCs w:val="26"/>
        </w:rPr>
        <w:t>1</w:t>
      </w:r>
      <w:r w:rsidRPr="00D815EE">
        <w:rPr>
          <w:sz w:val="26"/>
          <w:szCs w:val="26"/>
        </w:rPr>
        <w:t xml:space="preserve">.gada augusta ziņojumā un tā nozīmīgumu atkārtoti akcentējis 2011.gada oktobra pārskata misijas laikā, uzsverot, ka kontroles darbinieku un pārbaužu skaita palielināšana ir viens no priekšnosacījumiem veiksmīgai sarunu noslēgšanai. </w:t>
      </w:r>
      <w:r w:rsidR="00A72093" w:rsidRPr="00D36DF7">
        <w:rPr>
          <w:sz w:val="26"/>
          <w:szCs w:val="26"/>
        </w:rPr>
        <w:t>Tā kā</w:t>
      </w:r>
      <w:r w:rsidR="00BF53C3" w:rsidRPr="00D36DF7">
        <w:rPr>
          <w:sz w:val="26"/>
          <w:szCs w:val="26"/>
        </w:rPr>
        <w:t xml:space="preserve"> ar kontroles pasākumiem ir nepieciešams aptvert </w:t>
      </w:r>
      <w:r w:rsidR="00A72093" w:rsidRPr="00D36DF7">
        <w:rPr>
          <w:sz w:val="26"/>
          <w:szCs w:val="26"/>
        </w:rPr>
        <w:t>lielāku nodokļu maksātāju loku, tad VID ir</w:t>
      </w:r>
      <w:r w:rsidR="00040F92" w:rsidRPr="00D36DF7">
        <w:rPr>
          <w:sz w:val="26"/>
          <w:szCs w:val="26"/>
        </w:rPr>
        <w:t xml:space="preserve"> </w:t>
      </w:r>
      <w:r w:rsidR="00C75172">
        <w:rPr>
          <w:sz w:val="26"/>
          <w:szCs w:val="26"/>
        </w:rPr>
        <w:t>jāpalielina</w:t>
      </w:r>
      <w:r w:rsidR="00A72093" w:rsidRPr="00D36DF7">
        <w:rPr>
          <w:sz w:val="26"/>
          <w:szCs w:val="26"/>
        </w:rPr>
        <w:t xml:space="preserve"> resursi kontroles kapacitātes celšanai. Tādējādi VID sagatavos Informatīvo ziņojumu iesniegšanai Ministru kabinetā par VID kontroles kapacitātes palielināšanas stratēģiju un  nepieciešamību palielināt nodokļu maksātāju kontrolē nodarbināto skaitu.</w:t>
      </w:r>
      <w:r w:rsidR="00C01AA9" w:rsidRPr="00EF092F">
        <w:rPr>
          <w:sz w:val="26"/>
          <w:szCs w:val="26"/>
        </w:rPr>
        <w:t xml:space="preserve"> </w:t>
      </w:r>
    </w:p>
    <w:p w:rsidR="00A209E4" w:rsidRDefault="00A209E4" w:rsidP="00A209E4">
      <w:pPr>
        <w:tabs>
          <w:tab w:val="left" w:pos="1134"/>
        </w:tabs>
        <w:ind w:left="720"/>
        <w:jc w:val="both"/>
        <w:rPr>
          <w:sz w:val="26"/>
          <w:szCs w:val="26"/>
        </w:rPr>
      </w:pPr>
    </w:p>
    <w:p w:rsidR="00D815EE" w:rsidRDefault="00D815EE" w:rsidP="00A209E4">
      <w:pPr>
        <w:tabs>
          <w:tab w:val="left" w:pos="1134"/>
        </w:tabs>
        <w:ind w:left="720"/>
        <w:jc w:val="both"/>
        <w:rPr>
          <w:sz w:val="26"/>
          <w:szCs w:val="26"/>
        </w:rPr>
      </w:pPr>
    </w:p>
    <w:p w:rsidR="00A209E4" w:rsidRDefault="00A209E4" w:rsidP="00A209E4">
      <w:pPr>
        <w:tabs>
          <w:tab w:val="left" w:pos="1134"/>
        </w:tabs>
        <w:ind w:left="720"/>
        <w:jc w:val="both"/>
        <w:rPr>
          <w:sz w:val="26"/>
          <w:szCs w:val="26"/>
        </w:rPr>
      </w:pPr>
      <w:r>
        <w:rPr>
          <w:sz w:val="26"/>
          <w:szCs w:val="26"/>
        </w:rPr>
        <w:t>Finanšu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A.Vilks</w:t>
      </w:r>
    </w:p>
    <w:p w:rsidR="00A209E4" w:rsidRDefault="00A209E4" w:rsidP="00A209E4">
      <w:pPr>
        <w:tabs>
          <w:tab w:val="left" w:pos="1134"/>
        </w:tabs>
        <w:ind w:left="720"/>
        <w:jc w:val="both"/>
        <w:rPr>
          <w:sz w:val="26"/>
          <w:szCs w:val="26"/>
        </w:rPr>
      </w:pPr>
    </w:p>
    <w:p w:rsidR="00A209E4" w:rsidRDefault="00A209E4" w:rsidP="00A209E4"/>
    <w:p w:rsidR="00A209E4" w:rsidRDefault="00A209E4" w:rsidP="00A209E4"/>
    <w:p w:rsidR="00F000E1" w:rsidRDefault="00F000E1" w:rsidP="00A209E4"/>
    <w:p w:rsidR="00F000E1" w:rsidRDefault="00F000E1" w:rsidP="00A209E4"/>
    <w:p w:rsidR="00F000E1" w:rsidRDefault="00F000E1" w:rsidP="00A209E4"/>
    <w:p w:rsidR="00F000E1" w:rsidRDefault="00F000E1" w:rsidP="00A209E4"/>
    <w:p w:rsidR="00FF26D5" w:rsidRDefault="00FF26D5" w:rsidP="00A209E4"/>
    <w:p w:rsidR="00FF26D5" w:rsidRDefault="00FF26D5" w:rsidP="00A209E4"/>
    <w:p w:rsidR="00FF26D5" w:rsidRDefault="00FF26D5" w:rsidP="00A209E4"/>
    <w:p w:rsidR="00FF26D5" w:rsidRDefault="00FF26D5" w:rsidP="00A209E4"/>
    <w:p w:rsidR="00FF26D5" w:rsidRDefault="00FF26D5" w:rsidP="00A209E4"/>
    <w:p w:rsidR="00FF26D5" w:rsidRDefault="00FF26D5" w:rsidP="00A209E4"/>
    <w:p w:rsidR="00FF26D5" w:rsidRDefault="00FF26D5" w:rsidP="00A209E4"/>
    <w:p w:rsidR="00FF26D5" w:rsidRDefault="00FF26D5" w:rsidP="00A209E4"/>
    <w:p w:rsidR="00FF26D5" w:rsidRDefault="00FF26D5" w:rsidP="00A209E4"/>
    <w:p w:rsidR="00F000E1" w:rsidRDefault="00F000E1" w:rsidP="00A209E4"/>
    <w:p w:rsidR="00F000E1" w:rsidRDefault="00F000E1" w:rsidP="00A209E4"/>
    <w:p w:rsidR="00A209E4" w:rsidRPr="00411681" w:rsidRDefault="00A209E4" w:rsidP="00A209E4">
      <w:pPr>
        <w:pStyle w:val="BodyTextIndent"/>
        <w:spacing w:after="0"/>
        <w:ind w:left="0"/>
        <w:rPr>
          <w:noProof/>
          <w:sz w:val="18"/>
          <w:szCs w:val="18"/>
        </w:rPr>
      </w:pPr>
      <w:r>
        <w:rPr>
          <w:noProof/>
          <w:sz w:val="18"/>
          <w:szCs w:val="18"/>
        </w:rPr>
        <w:t>06.10.2011. 12:25</w:t>
      </w:r>
    </w:p>
    <w:p w:rsidR="00A209E4" w:rsidRPr="006A42DE" w:rsidRDefault="00F57576" w:rsidP="00A209E4">
      <w:pPr>
        <w:pStyle w:val="BodyTextIndent"/>
        <w:spacing w:after="0"/>
        <w:ind w:left="0"/>
        <w:rPr>
          <w:noProof/>
          <w:sz w:val="20"/>
          <w:szCs w:val="18"/>
        </w:rPr>
      </w:pPr>
      <w:r>
        <w:rPr>
          <w:noProof/>
          <w:sz w:val="20"/>
          <w:szCs w:val="18"/>
        </w:rPr>
        <w:t>2</w:t>
      </w:r>
      <w:r w:rsidR="003311B0">
        <w:rPr>
          <w:noProof/>
          <w:sz w:val="20"/>
          <w:szCs w:val="18"/>
        </w:rPr>
        <w:t>918</w:t>
      </w:r>
    </w:p>
    <w:p w:rsidR="00A209E4" w:rsidRPr="00E748C0" w:rsidRDefault="00851B2C" w:rsidP="00A209E4">
      <w:pPr>
        <w:pStyle w:val="BodyTextIndent"/>
        <w:spacing w:after="0"/>
        <w:ind w:left="0"/>
        <w:rPr>
          <w:noProof/>
          <w:sz w:val="18"/>
          <w:szCs w:val="18"/>
        </w:rPr>
      </w:pPr>
      <w:r>
        <w:rPr>
          <w:noProof/>
          <w:sz w:val="18"/>
          <w:szCs w:val="18"/>
        </w:rPr>
        <w:t>R</w:t>
      </w:r>
      <w:r w:rsidR="00A209E4">
        <w:rPr>
          <w:noProof/>
          <w:sz w:val="18"/>
          <w:szCs w:val="18"/>
        </w:rPr>
        <w:t>.</w:t>
      </w:r>
      <w:r>
        <w:rPr>
          <w:noProof/>
          <w:sz w:val="18"/>
          <w:szCs w:val="18"/>
        </w:rPr>
        <w:t>Ervalde</w:t>
      </w:r>
    </w:p>
    <w:p w:rsidR="00A209E4" w:rsidRDefault="00A209E4" w:rsidP="00A209E4">
      <w:pPr>
        <w:pStyle w:val="BodyTextIndent"/>
        <w:spacing w:after="0"/>
        <w:ind w:left="0"/>
        <w:rPr>
          <w:sz w:val="16"/>
          <w:szCs w:val="16"/>
        </w:rPr>
      </w:pPr>
      <w:r>
        <w:rPr>
          <w:noProof/>
          <w:sz w:val="18"/>
          <w:szCs w:val="18"/>
        </w:rPr>
        <w:t>67028</w:t>
      </w:r>
      <w:r w:rsidR="00136093">
        <w:rPr>
          <w:noProof/>
          <w:sz w:val="18"/>
          <w:szCs w:val="18"/>
        </w:rPr>
        <w:t>601</w:t>
      </w:r>
      <w:r w:rsidRPr="00151676">
        <w:rPr>
          <w:noProof/>
          <w:sz w:val="18"/>
          <w:szCs w:val="18"/>
        </w:rPr>
        <w:t xml:space="preserve">, </w:t>
      </w:r>
      <w:r w:rsidR="00136093">
        <w:rPr>
          <w:noProof/>
          <w:sz w:val="18"/>
          <w:szCs w:val="18"/>
        </w:rPr>
        <w:t>Ruta.Ervalde@vid.gov.lv</w:t>
      </w:r>
    </w:p>
    <w:p w:rsidR="00AF368F" w:rsidRDefault="00AF368F" w:rsidP="00AF368F">
      <w:pPr>
        <w:rPr>
          <w:b/>
          <w:sz w:val="26"/>
          <w:szCs w:val="26"/>
        </w:rPr>
      </w:pPr>
    </w:p>
    <w:p w:rsidR="00DC78F1" w:rsidRDefault="00DC78F1" w:rsidP="00DC78F1">
      <w:pPr>
        <w:jc w:val="right"/>
        <w:rPr>
          <w:b/>
          <w:sz w:val="26"/>
          <w:szCs w:val="26"/>
        </w:rPr>
        <w:sectPr w:rsidR="00DC78F1" w:rsidSect="008C0D4C">
          <w:headerReference w:type="even" r:id="rId9"/>
          <w:headerReference w:type="default" r:id="rId10"/>
          <w:footerReference w:type="default" r:id="rId11"/>
          <w:footerReference w:type="first" r:id="rId12"/>
          <w:pgSz w:w="11906" w:h="16838"/>
          <w:pgMar w:top="851" w:right="1134" w:bottom="851" w:left="1701" w:header="709" w:footer="709" w:gutter="0"/>
          <w:cols w:space="708"/>
          <w:titlePg/>
          <w:docGrid w:linePitch="360"/>
        </w:sectPr>
      </w:pPr>
    </w:p>
    <w:p w:rsidR="00F31D67" w:rsidRDefault="00F31D67" w:rsidP="00DC78F1">
      <w:pPr>
        <w:jc w:val="right"/>
        <w:rPr>
          <w:sz w:val="26"/>
          <w:szCs w:val="26"/>
        </w:rPr>
      </w:pPr>
      <w:r w:rsidRPr="00F31D67">
        <w:rPr>
          <w:sz w:val="26"/>
          <w:szCs w:val="26"/>
        </w:rPr>
        <w:lastRenderedPageBreak/>
        <w:t>1.</w:t>
      </w:r>
      <w:r>
        <w:rPr>
          <w:sz w:val="26"/>
          <w:szCs w:val="26"/>
        </w:rPr>
        <w:t>pielikums</w:t>
      </w:r>
    </w:p>
    <w:p w:rsidR="00DC78F1" w:rsidRDefault="00DC78F1" w:rsidP="00DC78F1">
      <w:pPr>
        <w:jc w:val="right"/>
        <w:rPr>
          <w:sz w:val="26"/>
          <w:szCs w:val="26"/>
        </w:rPr>
      </w:pPr>
      <w:r>
        <w:rPr>
          <w:sz w:val="26"/>
          <w:szCs w:val="26"/>
        </w:rPr>
        <w:t>i</w:t>
      </w:r>
      <w:r w:rsidRPr="00DC78F1">
        <w:rPr>
          <w:sz w:val="26"/>
          <w:szCs w:val="26"/>
        </w:rPr>
        <w:t>nformatīvajam ziņojumam par 2011.gada</w:t>
      </w:r>
    </w:p>
    <w:p w:rsidR="00DC78F1" w:rsidRDefault="00DC78F1" w:rsidP="00DC78F1">
      <w:pPr>
        <w:jc w:val="right"/>
        <w:rPr>
          <w:sz w:val="26"/>
          <w:szCs w:val="26"/>
        </w:rPr>
      </w:pPr>
      <w:r w:rsidRPr="00DC78F1">
        <w:rPr>
          <w:sz w:val="26"/>
          <w:szCs w:val="26"/>
        </w:rPr>
        <w:t xml:space="preserve"> sešu un deviņu mēnešu laikā Valsts ieņēmumu dienesta</w:t>
      </w:r>
    </w:p>
    <w:p w:rsidR="00DC78F1" w:rsidRDefault="00DC78F1" w:rsidP="00DC78F1">
      <w:pPr>
        <w:jc w:val="right"/>
        <w:rPr>
          <w:sz w:val="26"/>
          <w:szCs w:val="26"/>
        </w:rPr>
      </w:pPr>
      <w:r w:rsidRPr="00DC78F1">
        <w:rPr>
          <w:sz w:val="26"/>
          <w:szCs w:val="26"/>
        </w:rPr>
        <w:t xml:space="preserve"> administrējošo darbību rezultātā būtiski uzlaboto</w:t>
      </w:r>
    </w:p>
    <w:p w:rsidR="00DC78F1" w:rsidRDefault="00DC78F1" w:rsidP="00DC78F1">
      <w:pPr>
        <w:jc w:val="right"/>
        <w:rPr>
          <w:sz w:val="26"/>
          <w:szCs w:val="26"/>
        </w:rPr>
      </w:pPr>
      <w:r w:rsidRPr="00DC78F1">
        <w:rPr>
          <w:sz w:val="26"/>
          <w:szCs w:val="26"/>
        </w:rPr>
        <w:t xml:space="preserve"> nodokļu iekasēšanu, īstenojot  pasākumu plānu</w:t>
      </w:r>
    </w:p>
    <w:p w:rsidR="00DC78F1" w:rsidRDefault="00DC78F1" w:rsidP="00DC78F1">
      <w:pPr>
        <w:jc w:val="right"/>
        <w:rPr>
          <w:sz w:val="26"/>
          <w:szCs w:val="26"/>
        </w:rPr>
      </w:pPr>
      <w:r w:rsidRPr="00DC78F1">
        <w:rPr>
          <w:sz w:val="26"/>
          <w:szCs w:val="26"/>
        </w:rPr>
        <w:t xml:space="preserve"> ēnu ekonomikas apkarošanai un godīgas konkurences</w:t>
      </w:r>
    </w:p>
    <w:p w:rsidR="00DC78F1" w:rsidRDefault="00DC78F1" w:rsidP="00DC78F1">
      <w:pPr>
        <w:jc w:val="right"/>
        <w:rPr>
          <w:sz w:val="26"/>
          <w:szCs w:val="26"/>
        </w:rPr>
      </w:pPr>
      <w:r w:rsidRPr="00DC78F1">
        <w:rPr>
          <w:sz w:val="26"/>
          <w:szCs w:val="26"/>
        </w:rPr>
        <w:t xml:space="preserve"> veicināšanai, un prognozētajiem uzlabojumiem</w:t>
      </w:r>
    </w:p>
    <w:p w:rsidR="00DC78F1" w:rsidRPr="00DC78F1" w:rsidRDefault="00DC78F1" w:rsidP="00DC78F1">
      <w:pPr>
        <w:jc w:val="right"/>
        <w:rPr>
          <w:sz w:val="26"/>
          <w:szCs w:val="26"/>
        </w:rPr>
      </w:pPr>
      <w:r w:rsidRPr="00DC78F1">
        <w:rPr>
          <w:sz w:val="26"/>
          <w:szCs w:val="26"/>
        </w:rPr>
        <w:t xml:space="preserve"> nodokļu iekasēšanā līdz 2011.gada beigām</w:t>
      </w:r>
    </w:p>
    <w:p w:rsidR="00F31D67" w:rsidRPr="00F31D67" w:rsidRDefault="00F31D67" w:rsidP="00F31D67">
      <w:pPr>
        <w:jc w:val="right"/>
        <w:rPr>
          <w:sz w:val="26"/>
          <w:szCs w:val="26"/>
        </w:rPr>
      </w:pPr>
    </w:p>
    <w:p w:rsidR="00F31D67" w:rsidRDefault="00F31D67" w:rsidP="00F31D67">
      <w:pPr>
        <w:jc w:val="center"/>
        <w:rPr>
          <w:bCs/>
          <w:iCs/>
          <w:sz w:val="26"/>
          <w:szCs w:val="26"/>
        </w:rPr>
      </w:pPr>
      <w:r w:rsidRPr="00E171E0">
        <w:rPr>
          <w:bCs/>
          <w:iCs/>
          <w:sz w:val="26"/>
          <w:szCs w:val="26"/>
        </w:rPr>
        <w:t>VID administrētie budžeta ieņēmumi 2011.gada 1.pusgadā, salīdzinot ar 2010.gada attiecīgā perioda ieņēmumiem un 2011.gada 1.pusgada plānu</w:t>
      </w:r>
    </w:p>
    <w:p w:rsidR="00E171E0" w:rsidRPr="00E171E0" w:rsidRDefault="00E171E0" w:rsidP="00F31D67">
      <w:pPr>
        <w:jc w:val="center"/>
        <w:rPr>
          <w:bCs/>
          <w:iCs/>
          <w:sz w:val="26"/>
          <w:szCs w:val="26"/>
        </w:rPr>
      </w:pPr>
    </w:p>
    <w:p w:rsidR="00F31D67" w:rsidRDefault="00F31D67" w:rsidP="00F31D67">
      <w:pPr>
        <w:pStyle w:val="BodyTextIndent"/>
        <w:ind w:hanging="709"/>
        <w:jc w:val="center"/>
      </w:pPr>
      <w:r w:rsidRPr="00804726">
        <w:object w:dxaOrig="11352" w:dyaOrig="8876">
          <v:shape id="_x0000_i1026" type="#_x0000_t75" style="width:503.3pt;height:402.8pt" o:ole="">
            <v:imagedata r:id="rId13" o:title=""/>
          </v:shape>
          <o:OLEObject Type="Embed" ProgID="Excel.Sheet.8" ShapeID="_x0000_i1026" DrawAspect="Content" ObjectID="_1380101236" r:id="rId14"/>
        </w:object>
      </w:r>
    </w:p>
    <w:p w:rsidR="00757301" w:rsidRDefault="00757301" w:rsidP="00F31D67">
      <w:pPr>
        <w:pStyle w:val="BodyTextIndent"/>
        <w:ind w:hanging="709"/>
        <w:jc w:val="center"/>
      </w:pPr>
    </w:p>
    <w:p w:rsidR="00757301" w:rsidRDefault="00757301" w:rsidP="00757301">
      <w:pPr>
        <w:pStyle w:val="BodyTextIndent"/>
        <w:ind w:hanging="709"/>
        <w:jc w:val="both"/>
      </w:pPr>
      <w:r>
        <w:tab/>
        <w:t>Finanšu ministrs</w:t>
      </w:r>
      <w:r>
        <w:tab/>
      </w:r>
      <w:r>
        <w:tab/>
      </w:r>
      <w:r>
        <w:tab/>
      </w:r>
      <w:r>
        <w:tab/>
      </w:r>
      <w:r>
        <w:tab/>
      </w:r>
      <w:r>
        <w:tab/>
      </w:r>
      <w:r>
        <w:tab/>
        <w:t>A.Vilks</w:t>
      </w:r>
    </w:p>
    <w:p w:rsidR="00DC78F1" w:rsidRDefault="00DC78F1" w:rsidP="003D13C9">
      <w:pPr>
        <w:tabs>
          <w:tab w:val="left" w:pos="720"/>
          <w:tab w:val="left" w:pos="6840"/>
        </w:tabs>
        <w:ind w:firstLine="720"/>
        <w:jc w:val="right"/>
        <w:rPr>
          <w:sz w:val="26"/>
          <w:szCs w:val="26"/>
        </w:rPr>
        <w:sectPr w:rsidR="00DC78F1" w:rsidSect="00ED0256">
          <w:footerReference w:type="first" r:id="rId15"/>
          <w:pgSz w:w="11906" w:h="16838"/>
          <w:pgMar w:top="1418" w:right="1134" w:bottom="1134" w:left="1701" w:header="709" w:footer="709" w:gutter="0"/>
          <w:cols w:space="708"/>
          <w:titlePg/>
          <w:docGrid w:linePitch="360"/>
        </w:sectPr>
      </w:pPr>
    </w:p>
    <w:p w:rsidR="00EC7BDE" w:rsidRDefault="003D13C9" w:rsidP="003D13C9">
      <w:pPr>
        <w:tabs>
          <w:tab w:val="left" w:pos="720"/>
          <w:tab w:val="left" w:pos="6840"/>
        </w:tabs>
        <w:ind w:firstLine="720"/>
        <w:jc w:val="right"/>
        <w:rPr>
          <w:sz w:val="26"/>
          <w:szCs w:val="26"/>
        </w:rPr>
      </w:pPr>
      <w:r>
        <w:rPr>
          <w:sz w:val="26"/>
          <w:szCs w:val="26"/>
        </w:rPr>
        <w:lastRenderedPageBreak/>
        <w:t>2.pielikums</w:t>
      </w:r>
    </w:p>
    <w:p w:rsidR="00DC78F1" w:rsidRDefault="00DC78F1" w:rsidP="00DC78F1">
      <w:pPr>
        <w:jc w:val="right"/>
        <w:rPr>
          <w:sz w:val="26"/>
          <w:szCs w:val="26"/>
        </w:rPr>
      </w:pPr>
      <w:r>
        <w:rPr>
          <w:sz w:val="26"/>
          <w:szCs w:val="26"/>
        </w:rPr>
        <w:t>i</w:t>
      </w:r>
      <w:r w:rsidRPr="00DC78F1">
        <w:rPr>
          <w:sz w:val="26"/>
          <w:szCs w:val="26"/>
        </w:rPr>
        <w:t>nformatīvajam ziņojumam par 2011.gada</w:t>
      </w:r>
    </w:p>
    <w:p w:rsidR="00DC78F1" w:rsidRDefault="00DC78F1" w:rsidP="00DC78F1">
      <w:pPr>
        <w:jc w:val="right"/>
        <w:rPr>
          <w:sz w:val="26"/>
          <w:szCs w:val="26"/>
        </w:rPr>
      </w:pPr>
      <w:r w:rsidRPr="00DC78F1">
        <w:rPr>
          <w:sz w:val="26"/>
          <w:szCs w:val="26"/>
        </w:rPr>
        <w:t xml:space="preserve"> sešu un deviņu mēnešu laikā Valsts ieņēmumu dienesta</w:t>
      </w:r>
    </w:p>
    <w:p w:rsidR="00DC78F1" w:rsidRDefault="00DC78F1" w:rsidP="00DC78F1">
      <w:pPr>
        <w:jc w:val="right"/>
        <w:rPr>
          <w:sz w:val="26"/>
          <w:szCs w:val="26"/>
        </w:rPr>
      </w:pPr>
      <w:r w:rsidRPr="00DC78F1">
        <w:rPr>
          <w:sz w:val="26"/>
          <w:szCs w:val="26"/>
        </w:rPr>
        <w:t xml:space="preserve"> administrējošo darbību rezultātā būtiski uzlaboto</w:t>
      </w:r>
    </w:p>
    <w:p w:rsidR="00DC78F1" w:rsidRDefault="00DC78F1" w:rsidP="00DC78F1">
      <w:pPr>
        <w:jc w:val="right"/>
        <w:rPr>
          <w:sz w:val="26"/>
          <w:szCs w:val="26"/>
        </w:rPr>
      </w:pPr>
      <w:r w:rsidRPr="00DC78F1">
        <w:rPr>
          <w:sz w:val="26"/>
          <w:szCs w:val="26"/>
        </w:rPr>
        <w:t xml:space="preserve"> nodokļu iekasēšanu, īstenojot  pasākumu plānu</w:t>
      </w:r>
    </w:p>
    <w:p w:rsidR="00DC78F1" w:rsidRDefault="00DC78F1" w:rsidP="00DC78F1">
      <w:pPr>
        <w:jc w:val="right"/>
        <w:rPr>
          <w:sz w:val="26"/>
          <w:szCs w:val="26"/>
        </w:rPr>
      </w:pPr>
      <w:r w:rsidRPr="00DC78F1">
        <w:rPr>
          <w:sz w:val="26"/>
          <w:szCs w:val="26"/>
        </w:rPr>
        <w:t xml:space="preserve"> ēnu ekonomikas apkarošanai un godīgas konkurences</w:t>
      </w:r>
    </w:p>
    <w:p w:rsidR="00DC78F1" w:rsidRDefault="00DC78F1" w:rsidP="00DC78F1">
      <w:pPr>
        <w:jc w:val="right"/>
        <w:rPr>
          <w:sz w:val="26"/>
          <w:szCs w:val="26"/>
        </w:rPr>
      </w:pPr>
      <w:r w:rsidRPr="00DC78F1">
        <w:rPr>
          <w:sz w:val="26"/>
          <w:szCs w:val="26"/>
        </w:rPr>
        <w:t xml:space="preserve"> veicināšanai, un prognozētajiem uzlabojumiem</w:t>
      </w:r>
    </w:p>
    <w:p w:rsidR="00DC78F1" w:rsidRPr="00DC78F1" w:rsidRDefault="00DC78F1" w:rsidP="00DC78F1">
      <w:pPr>
        <w:jc w:val="right"/>
        <w:rPr>
          <w:sz w:val="26"/>
          <w:szCs w:val="26"/>
        </w:rPr>
      </w:pPr>
      <w:r w:rsidRPr="00DC78F1">
        <w:rPr>
          <w:sz w:val="26"/>
          <w:szCs w:val="26"/>
        </w:rPr>
        <w:t xml:space="preserve"> nodokļu iekasēšanā līdz 2011.gada beigām</w:t>
      </w:r>
    </w:p>
    <w:p w:rsidR="003D13C9" w:rsidRDefault="003D13C9" w:rsidP="00F31D67">
      <w:pPr>
        <w:jc w:val="center"/>
        <w:rPr>
          <w:bCs/>
          <w:iCs/>
          <w:sz w:val="26"/>
          <w:szCs w:val="26"/>
        </w:rPr>
      </w:pPr>
    </w:p>
    <w:p w:rsidR="00F31D67" w:rsidRDefault="00F31D67" w:rsidP="00F31D67">
      <w:pPr>
        <w:jc w:val="center"/>
        <w:rPr>
          <w:bCs/>
          <w:iCs/>
          <w:sz w:val="26"/>
          <w:szCs w:val="26"/>
        </w:rPr>
      </w:pPr>
      <w:r w:rsidRPr="003D13C9">
        <w:rPr>
          <w:bCs/>
          <w:iCs/>
          <w:sz w:val="26"/>
          <w:szCs w:val="26"/>
        </w:rPr>
        <w:t>VID administrētie budžeta ieņēmumi 2011.gada deviņos mēnešos, salīdzinot ar 2010.gada attiecīgā perioda ieņēmumiem un 2011.gada deviņu mēnešu plānu</w:t>
      </w:r>
    </w:p>
    <w:p w:rsidR="00E171E0" w:rsidRPr="003D13C9" w:rsidRDefault="00E171E0" w:rsidP="00F31D67">
      <w:pPr>
        <w:jc w:val="center"/>
        <w:rPr>
          <w:bCs/>
          <w:iCs/>
          <w:sz w:val="26"/>
          <w:szCs w:val="26"/>
        </w:rPr>
      </w:pPr>
    </w:p>
    <w:p w:rsidR="00F31D67" w:rsidRDefault="00F31D67" w:rsidP="00F31D67">
      <w:pPr>
        <w:pStyle w:val="BodyTextIndent"/>
        <w:ind w:hanging="567"/>
        <w:jc w:val="center"/>
      </w:pPr>
      <w:r w:rsidRPr="00804726">
        <w:object w:dxaOrig="11352" w:dyaOrig="8876">
          <v:shape id="_x0000_i1027" type="#_x0000_t75" style="width:503.3pt;height:402.8pt" o:ole="">
            <v:imagedata r:id="rId16" o:title=""/>
          </v:shape>
          <o:OLEObject Type="Embed" ProgID="Excel.Sheet.8" ShapeID="_x0000_i1027" DrawAspect="Content" ObjectID="_1380101237" r:id="rId17"/>
        </w:object>
      </w:r>
    </w:p>
    <w:p w:rsidR="00757301" w:rsidRDefault="00757301" w:rsidP="00F31D67">
      <w:pPr>
        <w:pStyle w:val="BodyTextIndent"/>
        <w:ind w:hanging="567"/>
        <w:jc w:val="center"/>
      </w:pPr>
    </w:p>
    <w:p w:rsidR="00F86891" w:rsidRPr="00FF730F" w:rsidRDefault="00757301" w:rsidP="0017355C">
      <w:pPr>
        <w:tabs>
          <w:tab w:val="left" w:pos="720"/>
          <w:tab w:val="left" w:pos="6840"/>
        </w:tabs>
        <w:ind w:firstLine="720"/>
        <w:rPr>
          <w:sz w:val="26"/>
          <w:szCs w:val="26"/>
        </w:rPr>
      </w:pPr>
      <w:r>
        <w:rPr>
          <w:sz w:val="26"/>
          <w:szCs w:val="26"/>
        </w:rPr>
        <w:t>Finanšu ministrs</w:t>
      </w:r>
      <w:r>
        <w:rPr>
          <w:sz w:val="26"/>
          <w:szCs w:val="26"/>
        </w:rPr>
        <w:tab/>
      </w:r>
      <w:r>
        <w:rPr>
          <w:sz w:val="26"/>
          <w:szCs w:val="26"/>
        </w:rPr>
        <w:tab/>
        <w:t>A.Vilks</w:t>
      </w:r>
    </w:p>
    <w:p w:rsidR="00044613" w:rsidRPr="00FF730F" w:rsidRDefault="00044613" w:rsidP="0017355C">
      <w:pPr>
        <w:tabs>
          <w:tab w:val="left" w:pos="720"/>
          <w:tab w:val="left" w:pos="6840"/>
        </w:tabs>
        <w:ind w:firstLine="720"/>
        <w:rPr>
          <w:sz w:val="26"/>
          <w:szCs w:val="26"/>
        </w:rPr>
      </w:pPr>
    </w:p>
    <w:p w:rsidR="0017355C" w:rsidRPr="00FF730F" w:rsidRDefault="0017355C" w:rsidP="00DC78F1">
      <w:pPr>
        <w:rPr>
          <w:sz w:val="26"/>
          <w:szCs w:val="26"/>
        </w:rPr>
      </w:pPr>
    </w:p>
    <w:sectPr w:rsidR="0017355C" w:rsidRPr="00FF730F" w:rsidSect="00ED0256">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42" w:rsidRDefault="00E93242">
      <w:r>
        <w:separator/>
      </w:r>
    </w:p>
  </w:endnote>
  <w:endnote w:type="continuationSeparator" w:id="0">
    <w:p w:rsidR="00E93242" w:rsidRDefault="00E93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E4" w:rsidRPr="004624A2" w:rsidRDefault="00FF26D5" w:rsidP="00A209E4">
    <w:pPr>
      <w:rPr>
        <w:sz w:val="20"/>
      </w:rPr>
    </w:pPr>
    <w:r>
      <w:rPr>
        <w:sz w:val="20"/>
        <w:szCs w:val="20"/>
      </w:rPr>
      <w:t>FMZino_13</w:t>
    </w:r>
    <w:r w:rsidR="006F4153">
      <w:rPr>
        <w:sz w:val="20"/>
        <w:szCs w:val="20"/>
      </w:rPr>
      <w:t>1011_VID</w:t>
    </w:r>
    <w:r w:rsidR="00A209E4">
      <w:rPr>
        <w:sz w:val="20"/>
        <w:szCs w:val="20"/>
      </w:rPr>
      <w:t xml:space="preserve">rez.doc </w:t>
    </w:r>
    <w:r w:rsidR="00A209E4" w:rsidRPr="00E748C0">
      <w:rPr>
        <w:sz w:val="20"/>
      </w:rPr>
      <w:t>Par 2011.gada sešu un deviņu mēnešu laikā Valsts ieņēmumu dienesta administrējošo darbību rezultātā būtiski uzlaboto nodokļu iekasēšanu, īstenojot pasākumu plānu ēnu ekonomikas apkarošanai un godīgas konkurences veicināšanai un prognozētajiem uzlabojumiem līdz 2011.gada beigām</w:t>
    </w:r>
    <w:r w:rsidR="00A209E4">
      <w:rPr>
        <w:sz w:val="20"/>
      </w:rPr>
      <w:t xml:space="preserve">. </w:t>
    </w:r>
  </w:p>
  <w:p w:rsidR="006F4153" w:rsidRPr="00340DF1" w:rsidRDefault="006F4153" w:rsidP="00340DF1">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E4" w:rsidRPr="004624A2" w:rsidRDefault="00FF26D5" w:rsidP="00A209E4">
    <w:pPr>
      <w:rPr>
        <w:sz w:val="20"/>
      </w:rPr>
    </w:pPr>
    <w:r>
      <w:rPr>
        <w:sz w:val="20"/>
        <w:szCs w:val="20"/>
      </w:rPr>
      <w:t>FMZino_13</w:t>
    </w:r>
    <w:r w:rsidR="006F4153">
      <w:rPr>
        <w:sz w:val="20"/>
        <w:szCs w:val="20"/>
      </w:rPr>
      <w:t>1011_VID</w:t>
    </w:r>
    <w:r w:rsidR="00A209E4">
      <w:rPr>
        <w:sz w:val="20"/>
        <w:szCs w:val="20"/>
      </w:rPr>
      <w:t xml:space="preserve">rez.doc </w:t>
    </w:r>
    <w:r w:rsidR="00A209E4" w:rsidRPr="00E748C0">
      <w:rPr>
        <w:sz w:val="20"/>
      </w:rPr>
      <w:t>Par 2011.gada sešu un deviņu mēnešu laikā Valsts ieņēmumu dienesta administrējošo darbību rezultātā būtiski uzlaboto nodokļu iekasēšanu, īstenojot pasākumu plānu ēnu ekonomikas apkarošanai un godīgas konkurences veicināšanai un prognozētajiem uzlabojumiem līdz 2011.gada beigām</w:t>
    </w:r>
    <w:r w:rsidR="00A209E4">
      <w:rPr>
        <w:sz w:val="20"/>
      </w:rPr>
      <w:t xml:space="preserve">. </w:t>
    </w:r>
  </w:p>
  <w:p w:rsidR="006F4153" w:rsidRPr="00661370" w:rsidRDefault="006F4153" w:rsidP="00AD5D84">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F1" w:rsidRPr="00661370" w:rsidRDefault="00DC78F1" w:rsidP="00AD5D84">
    <w:pPr>
      <w:pStyle w:val="Footer"/>
      <w:rPr>
        <w:sz w:val="20"/>
        <w:szCs w:val="20"/>
      </w:rPr>
    </w:pPr>
    <w:r>
      <w:rPr>
        <w:sz w:val="20"/>
        <w:szCs w:val="20"/>
      </w:rPr>
      <w:t xml:space="preserve">FMZinop1_101011_VIDNodokļu iekasēšanas uzlabošana; Informatīvais ziņojums par Valsts ieņēmumu dienesta nodokļu iekasēšanas uzlabošanu 2011.gada sešu un deviņu mēnešu laikā.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F1" w:rsidRPr="00661370" w:rsidRDefault="00DC78F1" w:rsidP="00AD5D84">
    <w:pPr>
      <w:pStyle w:val="Footer"/>
      <w:rPr>
        <w:sz w:val="20"/>
        <w:szCs w:val="20"/>
      </w:rPr>
    </w:pPr>
    <w:r>
      <w:rPr>
        <w:sz w:val="20"/>
        <w:szCs w:val="20"/>
      </w:rPr>
      <w:t xml:space="preserve">FMZinop2_101011_VIDNodokļu iekasēšanas uzlabošana; Informatīvais ziņojums par Valsts ieņēmumu dienesta nodokļu iekasēšanas uzlabošanu 2011.gada sešu un deviņu mēnešu laikā.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42" w:rsidRDefault="00E93242">
      <w:r>
        <w:separator/>
      </w:r>
    </w:p>
  </w:footnote>
  <w:footnote w:type="continuationSeparator" w:id="0">
    <w:p w:rsidR="00E93242" w:rsidRDefault="00E93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53" w:rsidRDefault="00EC5BE4" w:rsidP="007929B5">
    <w:pPr>
      <w:pStyle w:val="Header"/>
      <w:framePr w:wrap="around" w:vAnchor="text" w:hAnchor="margin" w:xAlign="center" w:y="1"/>
      <w:rPr>
        <w:rStyle w:val="PageNumber"/>
      </w:rPr>
    </w:pPr>
    <w:r>
      <w:rPr>
        <w:rStyle w:val="PageNumber"/>
      </w:rPr>
      <w:fldChar w:fldCharType="begin"/>
    </w:r>
    <w:r w:rsidR="006F4153">
      <w:rPr>
        <w:rStyle w:val="PageNumber"/>
      </w:rPr>
      <w:instrText xml:space="preserve">PAGE  </w:instrText>
    </w:r>
    <w:r>
      <w:rPr>
        <w:rStyle w:val="PageNumber"/>
      </w:rPr>
      <w:fldChar w:fldCharType="end"/>
    </w:r>
  </w:p>
  <w:p w:rsidR="006F4153" w:rsidRDefault="006F41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53" w:rsidRPr="00881223" w:rsidRDefault="00EC5BE4" w:rsidP="007929B5">
    <w:pPr>
      <w:pStyle w:val="Header"/>
      <w:framePr w:wrap="around" w:vAnchor="text" w:hAnchor="margin" w:xAlign="center" w:y="1"/>
      <w:rPr>
        <w:rStyle w:val="PageNumber"/>
      </w:rPr>
    </w:pPr>
    <w:r w:rsidRPr="00881223">
      <w:rPr>
        <w:rStyle w:val="PageNumber"/>
      </w:rPr>
      <w:fldChar w:fldCharType="begin"/>
    </w:r>
    <w:r w:rsidR="006F4153" w:rsidRPr="00881223">
      <w:rPr>
        <w:rStyle w:val="PageNumber"/>
      </w:rPr>
      <w:instrText xml:space="preserve">PAGE  </w:instrText>
    </w:r>
    <w:r w:rsidRPr="00881223">
      <w:rPr>
        <w:rStyle w:val="PageNumber"/>
      </w:rPr>
      <w:fldChar w:fldCharType="separate"/>
    </w:r>
    <w:r w:rsidR="00AC5138">
      <w:rPr>
        <w:rStyle w:val="PageNumber"/>
        <w:noProof/>
      </w:rPr>
      <w:t>9</w:t>
    </w:r>
    <w:r w:rsidRPr="00881223">
      <w:rPr>
        <w:rStyle w:val="PageNumber"/>
      </w:rPr>
      <w:fldChar w:fldCharType="end"/>
    </w:r>
  </w:p>
  <w:p w:rsidR="006F4153" w:rsidRDefault="006F4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B06"/>
    <w:multiLevelType w:val="hybridMultilevel"/>
    <w:tmpl w:val="74DEF438"/>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2AD3596"/>
    <w:multiLevelType w:val="hybridMultilevel"/>
    <w:tmpl w:val="D8945B50"/>
    <w:lvl w:ilvl="0" w:tplc="EF10C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6F741D9"/>
    <w:multiLevelType w:val="hybridMultilevel"/>
    <w:tmpl w:val="B95A43F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9002BCD"/>
    <w:multiLevelType w:val="hybridMultilevel"/>
    <w:tmpl w:val="C9E616F8"/>
    <w:lvl w:ilvl="0" w:tplc="B95EC0C0">
      <w:start w:val="1"/>
      <w:numFmt w:val="decimal"/>
      <w:lvlText w:val="%1."/>
      <w:lvlJc w:val="left"/>
      <w:pPr>
        <w:ind w:left="3763"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CD40F27"/>
    <w:multiLevelType w:val="hybridMultilevel"/>
    <w:tmpl w:val="E7567C7A"/>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318F7D46"/>
    <w:multiLevelType w:val="hybridMultilevel"/>
    <w:tmpl w:val="684CA8C4"/>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3EF152EC"/>
    <w:multiLevelType w:val="hybridMultilevel"/>
    <w:tmpl w:val="A412E7B0"/>
    <w:lvl w:ilvl="0" w:tplc="3A541E6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6207FE6"/>
    <w:multiLevelType w:val="hybridMultilevel"/>
    <w:tmpl w:val="C04A54C6"/>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A64113D"/>
    <w:multiLevelType w:val="hybridMultilevel"/>
    <w:tmpl w:val="02EC7FE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54D07559"/>
    <w:multiLevelType w:val="hybridMultilevel"/>
    <w:tmpl w:val="B3FE9D2A"/>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5935035D"/>
    <w:multiLevelType w:val="hybridMultilevel"/>
    <w:tmpl w:val="642A263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15C5758"/>
    <w:multiLevelType w:val="hybridMultilevel"/>
    <w:tmpl w:val="20A60B7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633A67E5"/>
    <w:multiLevelType w:val="hybridMultilevel"/>
    <w:tmpl w:val="957E892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70E434B4"/>
    <w:multiLevelType w:val="hybridMultilevel"/>
    <w:tmpl w:val="29C6F67A"/>
    <w:lvl w:ilvl="0" w:tplc="45AC4756">
      <w:start w:val="1"/>
      <w:numFmt w:val="decimal"/>
      <w:pStyle w:val="Daaarnumuru"/>
      <w:lvlText w:val="(%1)"/>
      <w:lvlJc w:val="left"/>
      <w:pPr>
        <w:ind w:left="107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4">
    <w:nsid w:val="72D65563"/>
    <w:multiLevelType w:val="hybridMultilevel"/>
    <w:tmpl w:val="FE50EAF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4"/>
  </w:num>
  <w:num w:numId="4">
    <w:abstractNumId w:val="11"/>
  </w:num>
  <w:num w:numId="5">
    <w:abstractNumId w:val="10"/>
  </w:num>
  <w:num w:numId="6">
    <w:abstractNumId w:val="14"/>
  </w:num>
  <w:num w:numId="7">
    <w:abstractNumId w:val="0"/>
  </w:num>
  <w:num w:numId="8">
    <w:abstractNumId w:val="12"/>
  </w:num>
  <w:num w:numId="9">
    <w:abstractNumId w:val="7"/>
  </w:num>
  <w:num w:numId="10">
    <w:abstractNumId w:val="8"/>
  </w:num>
  <w:num w:numId="11">
    <w:abstractNumId w:val="5"/>
  </w:num>
  <w:num w:numId="12">
    <w:abstractNumId w:val="3"/>
  </w:num>
  <w:num w:numId="13">
    <w:abstractNumId w:val="9"/>
  </w:num>
  <w:num w:numId="14">
    <w:abstractNumId w:val="1"/>
  </w:num>
  <w:num w:numId="15">
    <w:abstractNumId w:val="6"/>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661370"/>
    <w:rsid w:val="00001B7D"/>
    <w:rsid w:val="0001463F"/>
    <w:rsid w:val="000228B2"/>
    <w:rsid w:val="00022EC7"/>
    <w:rsid w:val="000257D4"/>
    <w:rsid w:val="00032D2C"/>
    <w:rsid w:val="00035D08"/>
    <w:rsid w:val="0004044C"/>
    <w:rsid w:val="00040F92"/>
    <w:rsid w:val="00042DCC"/>
    <w:rsid w:val="00044613"/>
    <w:rsid w:val="00046AF5"/>
    <w:rsid w:val="0005062F"/>
    <w:rsid w:val="00055125"/>
    <w:rsid w:val="000618C3"/>
    <w:rsid w:val="000630C4"/>
    <w:rsid w:val="00063954"/>
    <w:rsid w:val="000652C9"/>
    <w:rsid w:val="00067DF5"/>
    <w:rsid w:val="00071F3E"/>
    <w:rsid w:val="000732B2"/>
    <w:rsid w:val="00074E98"/>
    <w:rsid w:val="00085D3C"/>
    <w:rsid w:val="000932B1"/>
    <w:rsid w:val="00093BA9"/>
    <w:rsid w:val="000950C1"/>
    <w:rsid w:val="000A3A8B"/>
    <w:rsid w:val="000A50E9"/>
    <w:rsid w:val="000A691B"/>
    <w:rsid w:val="000A6A68"/>
    <w:rsid w:val="000A6C92"/>
    <w:rsid w:val="000B00C1"/>
    <w:rsid w:val="000B3A2C"/>
    <w:rsid w:val="000B6714"/>
    <w:rsid w:val="000C046C"/>
    <w:rsid w:val="000C134C"/>
    <w:rsid w:val="000C1E3A"/>
    <w:rsid w:val="000D1F6A"/>
    <w:rsid w:val="000D42F4"/>
    <w:rsid w:val="000D4351"/>
    <w:rsid w:val="000D576A"/>
    <w:rsid w:val="000D7236"/>
    <w:rsid w:val="000E083B"/>
    <w:rsid w:val="000E2934"/>
    <w:rsid w:val="000E34EC"/>
    <w:rsid w:val="000F3957"/>
    <w:rsid w:val="000F5D45"/>
    <w:rsid w:val="00100F4F"/>
    <w:rsid w:val="00104FB0"/>
    <w:rsid w:val="001050BA"/>
    <w:rsid w:val="00107642"/>
    <w:rsid w:val="001102FC"/>
    <w:rsid w:val="00111757"/>
    <w:rsid w:val="0011241E"/>
    <w:rsid w:val="0011609B"/>
    <w:rsid w:val="0011731C"/>
    <w:rsid w:val="0012026F"/>
    <w:rsid w:val="001204F1"/>
    <w:rsid w:val="0012159A"/>
    <w:rsid w:val="00121BEC"/>
    <w:rsid w:val="00124153"/>
    <w:rsid w:val="0012682A"/>
    <w:rsid w:val="001320EB"/>
    <w:rsid w:val="0013249C"/>
    <w:rsid w:val="00133D44"/>
    <w:rsid w:val="00133E7D"/>
    <w:rsid w:val="0013599B"/>
    <w:rsid w:val="00135B47"/>
    <w:rsid w:val="00136093"/>
    <w:rsid w:val="001439EA"/>
    <w:rsid w:val="00152012"/>
    <w:rsid w:val="0016002B"/>
    <w:rsid w:val="001643E6"/>
    <w:rsid w:val="0017355C"/>
    <w:rsid w:val="0017412F"/>
    <w:rsid w:val="00176AE6"/>
    <w:rsid w:val="00185761"/>
    <w:rsid w:val="00197355"/>
    <w:rsid w:val="001A151B"/>
    <w:rsid w:val="001A5077"/>
    <w:rsid w:val="001A664B"/>
    <w:rsid w:val="001A756F"/>
    <w:rsid w:val="001B0B64"/>
    <w:rsid w:val="001B388C"/>
    <w:rsid w:val="001B38C3"/>
    <w:rsid w:val="001B3C2C"/>
    <w:rsid w:val="001B681D"/>
    <w:rsid w:val="001C018E"/>
    <w:rsid w:val="001D29B6"/>
    <w:rsid w:val="001D36C6"/>
    <w:rsid w:val="001D7C99"/>
    <w:rsid w:val="001E01ED"/>
    <w:rsid w:val="001E6D93"/>
    <w:rsid w:val="001F3235"/>
    <w:rsid w:val="001F742E"/>
    <w:rsid w:val="00200123"/>
    <w:rsid w:val="00201D6A"/>
    <w:rsid w:val="00205636"/>
    <w:rsid w:val="0020665D"/>
    <w:rsid w:val="002068D6"/>
    <w:rsid w:val="00207CFF"/>
    <w:rsid w:val="00211C92"/>
    <w:rsid w:val="00213A24"/>
    <w:rsid w:val="002208A8"/>
    <w:rsid w:val="00220FEF"/>
    <w:rsid w:val="0022243E"/>
    <w:rsid w:val="00223AE6"/>
    <w:rsid w:val="00231053"/>
    <w:rsid w:val="002354FF"/>
    <w:rsid w:val="002357F9"/>
    <w:rsid w:val="002365BF"/>
    <w:rsid w:val="00237793"/>
    <w:rsid w:val="002420B0"/>
    <w:rsid w:val="00243F90"/>
    <w:rsid w:val="00244436"/>
    <w:rsid w:val="0024572F"/>
    <w:rsid w:val="002541FE"/>
    <w:rsid w:val="002572AA"/>
    <w:rsid w:val="0026119B"/>
    <w:rsid w:val="00264630"/>
    <w:rsid w:val="0026624C"/>
    <w:rsid w:val="00266963"/>
    <w:rsid w:val="00266994"/>
    <w:rsid w:val="0027006F"/>
    <w:rsid w:val="00273E0D"/>
    <w:rsid w:val="00274490"/>
    <w:rsid w:val="002754A2"/>
    <w:rsid w:val="00285EE4"/>
    <w:rsid w:val="002928FC"/>
    <w:rsid w:val="00294BCD"/>
    <w:rsid w:val="00295098"/>
    <w:rsid w:val="002A1BB8"/>
    <w:rsid w:val="002A40A6"/>
    <w:rsid w:val="002A4E5D"/>
    <w:rsid w:val="002A7ECF"/>
    <w:rsid w:val="002B053B"/>
    <w:rsid w:val="002B10A5"/>
    <w:rsid w:val="002B14EE"/>
    <w:rsid w:val="002B5DC8"/>
    <w:rsid w:val="002B7354"/>
    <w:rsid w:val="002C0807"/>
    <w:rsid w:val="002C423C"/>
    <w:rsid w:val="002D2CE0"/>
    <w:rsid w:val="002D3004"/>
    <w:rsid w:val="002D3307"/>
    <w:rsid w:val="002D4E96"/>
    <w:rsid w:val="002D5AA3"/>
    <w:rsid w:val="002E1B0E"/>
    <w:rsid w:val="002F1C68"/>
    <w:rsid w:val="002F1D82"/>
    <w:rsid w:val="002F3B04"/>
    <w:rsid w:val="002F545A"/>
    <w:rsid w:val="002F69E3"/>
    <w:rsid w:val="002F6D4C"/>
    <w:rsid w:val="00303E90"/>
    <w:rsid w:val="0031078A"/>
    <w:rsid w:val="003131A2"/>
    <w:rsid w:val="00315072"/>
    <w:rsid w:val="00315698"/>
    <w:rsid w:val="00315BCF"/>
    <w:rsid w:val="0031776C"/>
    <w:rsid w:val="003224D7"/>
    <w:rsid w:val="003308A6"/>
    <w:rsid w:val="003311B0"/>
    <w:rsid w:val="00340DF1"/>
    <w:rsid w:val="003433D6"/>
    <w:rsid w:val="00352885"/>
    <w:rsid w:val="00356D0F"/>
    <w:rsid w:val="003613EE"/>
    <w:rsid w:val="00361A2A"/>
    <w:rsid w:val="0036371D"/>
    <w:rsid w:val="0037104E"/>
    <w:rsid w:val="00387141"/>
    <w:rsid w:val="00390826"/>
    <w:rsid w:val="0039415B"/>
    <w:rsid w:val="00394DEE"/>
    <w:rsid w:val="00396081"/>
    <w:rsid w:val="003A0B39"/>
    <w:rsid w:val="003A2B6E"/>
    <w:rsid w:val="003B4BFB"/>
    <w:rsid w:val="003C2E21"/>
    <w:rsid w:val="003C3B0B"/>
    <w:rsid w:val="003C6F35"/>
    <w:rsid w:val="003D13C9"/>
    <w:rsid w:val="003D5293"/>
    <w:rsid w:val="003E3850"/>
    <w:rsid w:val="003E3ECA"/>
    <w:rsid w:val="003E5A5D"/>
    <w:rsid w:val="003E6885"/>
    <w:rsid w:val="003F18C2"/>
    <w:rsid w:val="003F41C5"/>
    <w:rsid w:val="003F47F0"/>
    <w:rsid w:val="003F51DE"/>
    <w:rsid w:val="003F7180"/>
    <w:rsid w:val="00400D85"/>
    <w:rsid w:val="00401A3C"/>
    <w:rsid w:val="0040421D"/>
    <w:rsid w:val="00411199"/>
    <w:rsid w:val="00412FEA"/>
    <w:rsid w:val="00416ACD"/>
    <w:rsid w:val="004255F4"/>
    <w:rsid w:val="00426080"/>
    <w:rsid w:val="004265AA"/>
    <w:rsid w:val="00427A44"/>
    <w:rsid w:val="00430509"/>
    <w:rsid w:val="00430B7E"/>
    <w:rsid w:val="00431D20"/>
    <w:rsid w:val="0044066A"/>
    <w:rsid w:val="00443711"/>
    <w:rsid w:val="004444E8"/>
    <w:rsid w:val="00444BF2"/>
    <w:rsid w:val="004502C9"/>
    <w:rsid w:val="00450A97"/>
    <w:rsid w:val="00453696"/>
    <w:rsid w:val="00453C4E"/>
    <w:rsid w:val="00454B6C"/>
    <w:rsid w:val="00461098"/>
    <w:rsid w:val="00472E1E"/>
    <w:rsid w:val="00476089"/>
    <w:rsid w:val="00477033"/>
    <w:rsid w:val="00481EA7"/>
    <w:rsid w:val="0048374B"/>
    <w:rsid w:val="004868AE"/>
    <w:rsid w:val="00490731"/>
    <w:rsid w:val="0049238D"/>
    <w:rsid w:val="00494F15"/>
    <w:rsid w:val="0049542E"/>
    <w:rsid w:val="00496411"/>
    <w:rsid w:val="004B3EA8"/>
    <w:rsid w:val="004B4964"/>
    <w:rsid w:val="004B631D"/>
    <w:rsid w:val="004C23DC"/>
    <w:rsid w:val="004C490C"/>
    <w:rsid w:val="004C5F7B"/>
    <w:rsid w:val="004D1A9E"/>
    <w:rsid w:val="004D741F"/>
    <w:rsid w:val="004E05B1"/>
    <w:rsid w:val="004F3E15"/>
    <w:rsid w:val="00505764"/>
    <w:rsid w:val="00506BED"/>
    <w:rsid w:val="00507E1D"/>
    <w:rsid w:val="005118CF"/>
    <w:rsid w:val="005127F6"/>
    <w:rsid w:val="00514A00"/>
    <w:rsid w:val="005156B4"/>
    <w:rsid w:val="0051656D"/>
    <w:rsid w:val="0051660B"/>
    <w:rsid w:val="00520DF5"/>
    <w:rsid w:val="00521C86"/>
    <w:rsid w:val="00524D45"/>
    <w:rsid w:val="005257FF"/>
    <w:rsid w:val="00526DE3"/>
    <w:rsid w:val="005271B9"/>
    <w:rsid w:val="005306FB"/>
    <w:rsid w:val="00536DA3"/>
    <w:rsid w:val="00541D76"/>
    <w:rsid w:val="0054315B"/>
    <w:rsid w:val="005432EF"/>
    <w:rsid w:val="00550110"/>
    <w:rsid w:val="005507D2"/>
    <w:rsid w:val="005532AB"/>
    <w:rsid w:val="0056146A"/>
    <w:rsid w:val="00564A05"/>
    <w:rsid w:val="00564F6A"/>
    <w:rsid w:val="00567189"/>
    <w:rsid w:val="00581B46"/>
    <w:rsid w:val="00587355"/>
    <w:rsid w:val="0058771C"/>
    <w:rsid w:val="0059395D"/>
    <w:rsid w:val="00593BCA"/>
    <w:rsid w:val="00597CD2"/>
    <w:rsid w:val="005A072D"/>
    <w:rsid w:val="005A32F2"/>
    <w:rsid w:val="005A6105"/>
    <w:rsid w:val="005A6A62"/>
    <w:rsid w:val="005B11C6"/>
    <w:rsid w:val="005B3197"/>
    <w:rsid w:val="005B7E09"/>
    <w:rsid w:val="005B7FD9"/>
    <w:rsid w:val="005C0774"/>
    <w:rsid w:val="005C238D"/>
    <w:rsid w:val="005C3FB9"/>
    <w:rsid w:val="005C5B34"/>
    <w:rsid w:val="005C6E29"/>
    <w:rsid w:val="005D0B49"/>
    <w:rsid w:val="005D66EF"/>
    <w:rsid w:val="005E3C6E"/>
    <w:rsid w:val="005F0641"/>
    <w:rsid w:val="005F2D94"/>
    <w:rsid w:val="005F4597"/>
    <w:rsid w:val="005F6652"/>
    <w:rsid w:val="005F6EE3"/>
    <w:rsid w:val="006015FB"/>
    <w:rsid w:val="006016B4"/>
    <w:rsid w:val="00602326"/>
    <w:rsid w:val="00626F47"/>
    <w:rsid w:val="006315F3"/>
    <w:rsid w:val="00634C68"/>
    <w:rsid w:val="006350FD"/>
    <w:rsid w:val="00635EE5"/>
    <w:rsid w:val="00640F3F"/>
    <w:rsid w:val="006450C7"/>
    <w:rsid w:val="00652579"/>
    <w:rsid w:val="00655334"/>
    <w:rsid w:val="0065676A"/>
    <w:rsid w:val="006571AD"/>
    <w:rsid w:val="00661370"/>
    <w:rsid w:val="0066474F"/>
    <w:rsid w:val="00675558"/>
    <w:rsid w:val="00675EC3"/>
    <w:rsid w:val="006761EA"/>
    <w:rsid w:val="00684437"/>
    <w:rsid w:val="00695C91"/>
    <w:rsid w:val="006A09C0"/>
    <w:rsid w:val="006A30A7"/>
    <w:rsid w:val="006A3AE2"/>
    <w:rsid w:val="006A4D4F"/>
    <w:rsid w:val="006B0A9E"/>
    <w:rsid w:val="006B13E7"/>
    <w:rsid w:val="006B48D3"/>
    <w:rsid w:val="006B53C1"/>
    <w:rsid w:val="006B6552"/>
    <w:rsid w:val="006B75DD"/>
    <w:rsid w:val="006B7BD3"/>
    <w:rsid w:val="006C2596"/>
    <w:rsid w:val="006C6D7B"/>
    <w:rsid w:val="006D0C79"/>
    <w:rsid w:val="006D20EE"/>
    <w:rsid w:val="006D5AB3"/>
    <w:rsid w:val="006F26F0"/>
    <w:rsid w:val="006F4153"/>
    <w:rsid w:val="006F7C8A"/>
    <w:rsid w:val="00701F76"/>
    <w:rsid w:val="00715BA3"/>
    <w:rsid w:val="00716F3A"/>
    <w:rsid w:val="007200D6"/>
    <w:rsid w:val="007262BE"/>
    <w:rsid w:val="00731AFA"/>
    <w:rsid w:val="0073276D"/>
    <w:rsid w:val="007336AF"/>
    <w:rsid w:val="00734472"/>
    <w:rsid w:val="00743181"/>
    <w:rsid w:val="00743352"/>
    <w:rsid w:val="00743F18"/>
    <w:rsid w:val="007502AE"/>
    <w:rsid w:val="007508EA"/>
    <w:rsid w:val="00751ED7"/>
    <w:rsid w:val="00753129"/>
    <w:rsid w:val="00756ED8"/>
    <w:rsid w:val="00757301"/>
    <w:rsid w:val="00757BF2"/>
    <w:rsid w:val="00765127"/>
    <w:rsid w:val="00767938"/>
    <w:rsid w:val="0077368B"/>
    <w:rsid w:val="007742FA"/>
    <w:rsid w:val="0077564F"/>
    <w:rsid w:val="007874C9"/>
    <w:rsid w:val="007903D7"/>
    <w:rsid w:val="0079185D"/>
    <w:rsid w:val="007929B5"/>
    <w:rsid w:val="00792F03"/>
    <w:rsid w:val="00795471"/>
    <w:rsid w:val="007A04C8"/>
    <w:rsid w:val="007A123F"/>
    <w:rsid w:val="007A1DCE"/>
    <w:rsid w:val="007A26B9"/>
    <w:rsid w:val="007A3A1A"/>
    <w:rsid w:val="007B05AA"/>
    <w:rsid w:val="007C02DC"/>
    <w:rsid w:val="007C0556"/>
    <w:rsid w:val="007C05FF"/>
    <w:rsid w:val="007C1864"/>
    <w:rsid w:val="007C2782"/>
    <w:rsid w:val="007D01F0"/>
    <w:rsid w:val="007D1CE5"/>
    <w:rsid w:val="007D2206"/>
    <w:rsid w:val="007D25C9"/>
    <w:rsid w:val="007D34F7"/>
    <w:rsid w:val="007E1BD5"/>
    <w:rsid w:val="007E4876"/>
    <w:rsid w:val="007F0D11"/>
    <w:rsid w:val="007F3A91"/>
    <w:rsid w:val="00800A09"/>
    <w:rsid w:val="00802062"/>
    <w:rsid w:val="008219B3"/>
    <w:rsid w:val="0083479F"/>
    <w:rsid w:val="0083686A"/>
    <w:rsid w:val="00840A45"/>
    <w:rsid w:val="00851B2C"/>
    <w:rsid w:val="00853E69"/>
    <w:rsid w:val="008634B6"/>
    <w:rsid w:val="0086441D"/>
    <w:rsid w:val="00864A3D"/>
    <w:rsid w:val="00866BCF"/>
    <w:rsid w:val="00866D2C"/>
    <w:rsid w:val="00870CE6"/>
    <w:rsid w:val="00873924"/>
    <w:rsid w:val="008765E1"/>
    <w:rsid w:val="00877210"/>
    <w:rsid w:val="00881223"/>
    <w:rsid w:val="00883DEE"/>
    <w:rsid w:val="00894E57"/>
    <w:rsid w:val="008A35B7"/>
    <w:rsid w:val="008A37EA"/>
    <w:rsid w:val="008A6285"/>
    <w:rsid w:val="008A6B20"/>
    <w:rsid w:val="008B7B33"/>
    <w:rsid w:val="008C0D4C"/>
    <w:rsid w:val="008C0D6A"/>
    <w:rsid w:val="008C498E"/>
    <w:rsid w:val="008D09A5"/>
    <w:rsid w:val="008D54ED"/>
    <w:rsid w:val="008E4902"/>
    <w:rsid w:val="008E7F74"/>
    <w:rsid w:val="008F1230"/>
    <w:rsid w:val="008F1586"/>
    <w:rsid w:val="008F4AB1"/>
    <w:rsid w:val="008F5992"/>
    <w:rsid w:val="008F7315"/>
    <w:rsid w:val="00901E92"/>
    <w:rsid w:val="009108D8"/>
    <w:rsid w:val="00914E95"/>
    <w:rsid w:val="0092110C"/>
    <w:rsid w:val="00923982"/>
    <w:rsid w:val="00924A9B"/>
    <w:rsid w:val="00924E46"/>
    <w:rsid w:val="009329C2"/>
    <w:rsid w:val="00932A5F"/>
    <w:rsid w:val="00934F9B"/>
    <w:rsid w:val="009354B7"/>
    <w:rsid w:val="0093571A"/>
    <w:rsid w:val="0093575E"/>
    <w:rsid w:val="00935FAE"/>
    <w:rsid w:val="009367FB"/>
    <w:rsid w:val="00937D80"/>
    <w:rsid w:val="00974C60"/>
    <w:rsid w:val="00975A4C"/>
    <w:rsid w:val="009808CF"/>
    <w:rsid w:val="00982E3D"/>
    <w:rsid w:val="009874BB"/>
    <w:rsid w:val="009877C3"/>
    <w:rsid w:val="009942D1"/>
    <w:rsid w:val="009959A1"/>
    <w:rsid w:val="00996A93"/>
    <w:rsid w:val="00997DB6"/>
    <w:rsid w:val="009A122F"/>
    <w:rsid w:val="009A18FF"/>
    <w:rsid w:val="009A2C13"/>
    <w:rsid w:val="009A3B63"/>
    <w:rsid w:val="009A44C2"/>
    <w:rsid w:val="009B5909"/>
    <w:rsid w:val="009C2753"/>
    <w:rsid w:val="009C47D1"/>
    <w:rsid w:val="009D3870"/>
    <w:rsid w:val="009D4E38"/>
    <w:rsid w:val="009D6361"/>
    <w:rsid w:val="009D6380"/>
    <w:rsid w:val="009D7E48"/>
    <w:rsid w:val="009E0B6F"/>
    <w:rsid w:val="009E0FF7"/>
    <w:rsid w:val="009E2898"/>
    <w:rsid w:val="009E28D7"/>
    <w:rsid w:val="009E3570"/>
    <w:rsid w:val="009F0862"/>
    <w:rsid w:val="009F0C16"/>
    <w:rsid w:val="009F38FB"/>
    <w:rsid w:val="009F40E2"/>
    <w:rsid w:val="009F4518"/>
    <w:rsid w:val="009F5284"/>
    <w:rsid w:val="00A03D93"/>
    <w:rsid w:val="00A04AE0"/>
    <w:rsid w:val="00A06636"/>
    <w:rsid w:val="00A111D4"/>
    <w:rsid w:val="00A118BF"/>
    <w:rsid w:val="00A11CDF"/>
    <w:rsid w:val="00A1224D"/>
    <w:rsid w:val="00A1316B"/>
    <w:rsid w:val="00A17A81"/>
    <w:rsid w:val="00A17D46"/>
    <w:rsid w:val="00A209E4"/>
    <w:rsid w:val="00A25421"/>
    <w:rsid w:val="00A25B32"/>
    <w:rsid w:val="00A27B10"/>
    <w:rsid w:val="00A3073B"/>
    <w:rsid w:val="00A40A4A"/>
    <w:rsid w:val="00A41272"/>
    <w:rsid w:val="00A4241F"/>
    <w:rsid w:val="00A44A8E"/>
    <w:rsid w:val="00A50CC9"/>
    <w:rsid w:val="00A516EE"/>
    <w:rsid w:val="00A54566"/>
    <w:rsid w:val="00A57F15"/>
    <w:rsid w:val="00A60060"/>
    <w:rsid w:val="00A60DA9"/>
    <w:rsid w:val="00A61201"/>
    <w:rsid w:val="00A61A49"/>
    <w:rsid w:val="00A65AB9"/>
    <w:rsid w:val="00A70890"/>
    <w:rsid w:val="00A72093"/>
    <w:rsid w:val="00A723D3"/>
    <w:rsid w:val="00A73495"/>
    <w:rsid w:val="00A84CB2"/>
    <w:rsid w:val="00A86FE6"/>
    <w:rsid w:val="00AB3825"/>
    <w:rsid w:val="00AB55A5"/>
    <w:rsid w:val="00AB5E4B"/>
    <w:rsid w:val="00AB7A92"/>
    <w:rsid w:val="00AC331F"/>
    <w:rsid w:val="00AC4BED"/>
    <w:rsid w:val="00AC4DD6"/>
    <w:rsid w:val="00AC5138"/>
    <w:rsid w:val="00AC7A23"/>
    <w:rsid w:val="00AD2E42"/>
    <w:rsid w:val="00AD5D84"/>
    <w:rsid w:val="00AD68B3"/>
    <w:rsid w:val="00AE2664"/>
    <w:rsid w:val="00AE3D18"/>
    <w:rsid w:val="00AF20BD"/>
    <w:rsid w:val="00AF2C46"/>
    <w:rsid w:val="00AF3399"/>
    <w:rsid w:val="00AF368F"/>
    <w:rsid w:val="00B02CD6"/>
    <w:rsid w:val="00B05ABB"/>
    <w:rsid w:val="00B06AF7"/>
    <w:rsid w:val="00B144A2"/>
    <w:rsid w:val="00B27D5D"/>
    <w:rsid w:val="00B34071"/>
    <w:rsid w:val="00B463B2"/>
    <w:rsid w:val="00B46B56"/>
    <w:rsid w:val="00B47FDF"/>
    <w:rsid w:val="00B60745"/>
    <w:rsid w:val="00B62060"/>
    <w:rsid w:val="00B71AB7"/>
    <w:rsid w:val="00B72412"/>
    <w:rsid w:val="00B730BB"/>
    <w:rsid w:val="00B75227"/>
    <w:rsid w:val="00B75E2F"/>
    <w:rsid w:val="00B7637E"/>
    <w:rsid w:val="00B82A06"/>
    <w:rsid w:val="00B92A1C"/>
    <w:rsid w:val="00B94D03"/>
    <w:rsid w:val="00B94EE6"/>
    <w:rsid w:val="00B958E7"/>
    <w:rsid w:val="00BA22A0"/>
    <w:rsid w:val="00BC1B06"/>
    <w:rsid w:val="00BC2446"/>
    <w:rsid w:val="00BC3988"/>
    <w:rsid w:val="00BE0CB5"/>
    <w:rsid w:val="00BE1829"/>
    <w:rsid w:val="00BE2A22"/>
    <w:rsid w:val="00BE5C08"/>
    <w:rsid w:val="00BF2744"/>
    <w:rsid w:val="00BF3D3F"/>
    <w:rsid w:val="00BF53C3"/>
    <w:rsid w:val="00C014D2"/>
    <w:rsid w:val="00C01AA9"/>
    <w:rsid w:val="00C03A14"/>
    <w:rsid w:val="00C03C25"/>
    <w:rsid w:val="00C0455D"/>
    <w:rsid w:val="00C129DE"/>
    <w:rsid w:val="00C1316A"/>
    <w:rsid w:val="00C15297"/>
    <w:rsid w:val="00C15F75"/>
    <w:rsid w:val="00C17C0D"/>
    <w:rsid w:val="00C21FC7"/>
    <w:rsid w:val="00C23865"/>
    <w:rsid w:val="00C248CE"/>
    <w:rsid w:val="00C24AF8"/>
    <w:rsid w:val="00C27D17"/>
    <w:rsid w:val="00C30096"/>
    <w:rsid w:val="00C352DD"/>
    <w:rsid w:val="00C3568B"/>
    <w:rsid w:val="00C361A5"/>
    <w:rsid w:val="00C40933"/>
    <w:rsid w:val="00C40B20"/>
    <w:rsid w:val="00C412C6"/>
    <w:rsid w:val="00C41663"/>
    <w:rsid w:val="00C42262"/>
    <w:rsid w:val="00C5098D"/>
    <w:rsid w:val="00C55EF9"/>
    <w:rsid w:val="00C60C44"/>
    <w:rsid w:val="00C60E7C"/>
    <w:rsid w:val="00C6256F"/>
    <w:rsid w:val="00C64C96"/>
    <w:rsid w:val="00C72190"/>
    <w:rsid w:val="00C749B3"/>
    <w:rsid w:val="00C75172"/>
    <w:rsid w:val="00C7705F"/>
    <w:rsid w:val="00C77B7F"/>
    <w:rsid w:val="00C83247"/>
    <w:rsid w:val="00C83754"/>
    <w:rsid w:val="00C94DF1"/>
    <w:rsid w:val="00CA24A3"/>
    <w:rsid w:val="00CB2FD4"/>
    <w:rsid w:val="00CC1144"/>
    <w:rsid w:val="00CC64F5"/>
    <w:rsid w:val="00CD4979"/>
    <w:rsid w:val="00CD5B39"/>
    <w:rsid w:val="00CE6487"/>
    <w:rsid w:val="00CE6F42"/>
    <w:rsid w:val="00CE76CC"/>
    <w:rsid w:val="00CE7B1C"/>
    <w:rsid w:val="00CF0965"/>
    <w:rsid w:val="00CF675C"/>
    <w:rsid w:val="00D159C7"/>
    <w:rsid w:val="00D16DBB"/>
    <w:rsid w:val="00D225FE"/>
    <w:rsid w:val="00D24C6E"/>
    <w:rsid w:val="00D25ADB"/>
    <w:rsid w:val="00D27816"/>
    <w:rsid w:val="00D36DF7"/>
    <w:rsid w:val="00D42699"/>
    <w:rsid w:val="00D506D2"/>
    <w:rsid w:val="00D50F8F"/>
    <w:rsid w:val="00D56128"/>
    <w:rsid w:val="00D631BC"/>
    <w:rsid w:val="00D75289"/>
    <w:rsid w:val="00D7656C"/>
    <w:rsid w:val="00D76AE0"/>
    <w:rsid w:val="00D76BBF"/>
    <w:rsid w:val="00D815EE"/>
    <w:rsid w:val="00D84E4F"/>
    <w:rsid w:val="00D8644B"/>
    <w:rsid w:val="00D937B1"/>
    <w:rsid w:val="00D93CCD"/>
    <w:rsid w:val="00D94D15"/>
    <w:rsid w:val="00DA16A9"/>
    <w:rsid w:val="00DA2900"/>
    <w:rsid w:val="00DA6D45"/>
    <w:rsid w:val="00DA7292"/>
    <w:rsid w:val="00DB126E"/>
    <w:rsid w:val="00DB4D4E"/>
    <w:rsid w:val="00DB6095"/>
    <w:rsid w:val="00DC78F1"/>
    <w:rsid w:val="00DD113D"/>
    <w:rsid w:val="00DD48F3"/>
    <w:rsid w:val="00DD6F5C"/>
    <w:rsid w:val="00DD7DF4"/>
    <w:rsid w:val="00DE298D"/>
    <w:rsid w:val="00DE6A74"/>
    <w:rsid w:val="00DF1710"/>
    <w:rsid w:val="00DF2845"/>
    <w:rsid w:val="00E037CC"/>
    <w:rsid w:val="00E171E0"/>
    <w:rsid w:val="00E20D28"/>
    <w:rsid w:val="00E22087"/>
    <w:rsid w:val="00E25287"/>
    <w:rsid w:val="00E27AAB"/>
    <w:rsid w:val="00E3217F"/>
    <w:rsid w:val="00E32FB7"/>
    <w:rsid w:val="00E3525A"/>
    <w:rsid w:val="00E35ED6"/>
    <w:rsid w:val="00E379EC"/>
    <w:rsid w:val="00E4041C"/>
    <w:rsid w:val="00E47085"/>
    <w:rsid w:val="00E47CD6"/>
    <w:rsid w:val="00E5009A"/>
    <w:rsid w:val="00E5309F"/>
    <w:rsid w:val="00E53AA2"/>
    <w:rsid w:val="00E53F4E"/>
    <w:rsid w:val="00E544AF"/>
    <w:rsid w:val="00E55C53"/>
    <w:rsid w:val="00E56410"/>
    <w:rsid w:val="00E573E9"/>
    <w:rsid w:val="00E67400"/>
    <w:rsid w:val="00E7328E"/>
    <w:rsid w:val="00E73DAC"/>
    <w:rsid w:val="00E75453"/>
    <w:rsid w:val="00E76BC2"/>
    <w:rsid w:val="00E82532"/>
    <w:rsid w:val="00E90287"/>
    <w:rsid w:val="00E93242"/>
    <w:rsid w:val="00E976A3"/>
    <w:rsid w:val="00EA6855"/>
    <w:rsid w:val="00EA7C46"/>
    <w:rsid w:val="00EB0F86"/>
    <w:rsid w:val="00EB702A"/>
    <w:rsid w:val="00EB7078"/>
    <w:rsid w:val="00EC1364"/>
    <w:rsid w:val="00EC39E6"/>
    <w:rsid w:val="00EC412B"/>
    <w:rsid w:val="00EC42DB"/>
    <w:rsid w:val="00EC4744"/>
    <w:rsid w:val="00EC5BE4"/>
    <w:rsid w:val="00EC7BDE"/>
    <w:rsid w:val="00ED0256"/>
    <w:rsid w:val="00ED115F"/>
    <w:rsid w:val="00ED2B4C"/>
    <w:rsid w:val="00ED53D3"/>
    <w:rsid w:val="00EE2CFE"/>
    <w:rsid w:val="00EE3150"/>
    <w:rsid w:val="00EE4EBF"/>
    <w:rsid w:val="00EE5681"/>
    <w:rsid w:val="00EF092F"/>
    <w:rsid w:val="00EF1F80"/>
    <w:rsid w:val="00EF274C"/>
    <w:rsid w:val="00EF6FEF"/>
    <w:rsid w:val="00F000E1"/>
    <w:rsid w:val="00F00D14"/>
    <w:rsid w:val="00F126BE"/>
    <w:rsid w:val="00F21D38"/>
    <w:rsid w:val="00F25872"/>
    <w:rsid w:val="00F264C8"/>
    <w:rsid w:val="00F267C9"/>
    <w:rsid w:val="00F30F93"/>
    <w:rsid w:val="00F31D67"/>
    <w:rsid w:val="00F3214B"/>
    <w:rsid w:val="00F3232F"/>
    <w:rsid w:val="00F32BBE"/>
    <w:rsid w:val="00F33E14"/>
    <w:rsid w:val="00F356BA"/>
    <w:rsid w:val="00F36B7F"/>
    <w:rsid w:val="00F40189"/>
    <w:rsid w:val="00F46B5B"/>
    <w:rsid w:val="00F47C93"/>
    <w:rsid w:val="00F50C8E"/>
    <w:rsid w:val="00F53535"/>
    <w:rsid w:val="00F55147"/>
    <w:rsid w:val="00F57576"/>
    <w:rsid w:val="00F57632"/>
    <w:rsid w:val="00F61AD6"/>
    <w:rsid w:val="00F6266D"/>
    <w:rsid w:val="00F65889"/>
    <w:rsid w:val="00F66A30"/>
    <w:rsid w:val="00F67FC3"/>
    <w:rsid w:val="00F702A1"/>
    <w:rsid w:val="00F8368D"/>
    <w:rsid w:val="00F86891"/>
    <w:rsid w:val="00F959C8"/>
    <w:rsid w:val="00FA4DDB"/>
    <w:rsid w:val="00FA504C"/>
    <w:rsid w:val="00FA5E69"/>
    <w:rsid w:val="00FB0309"/>
    <w:rsid w:val="00FC39E3"/>
    <w:rsid w:val="00FC719D"/>
    <w:rsid w:val="00FD2DE8"/>
    <w:rsid w:val="00FD2FB9"/>
    <w:rsid w:val="00FD63E0"/>
    <w:rsid w:val="00FE0206"/>
    <w:rsid w:val="00FE027E"/>
    <w:rsid w:val="00FE3113"/>
    <w:rsid w:val="00FE3831"/>
    <w:rsid w:val="00FE7EEB"/>
    <w:rsid w:val="00FF11F6"/>
    <w:rsid w:val="00FF26D5"/>
    <w:rsid w:val="00FF73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370"/>
    <w:rPr>
      <w:sz w:val="24"/>
      <w:szCs w:val="24"/>
    </w:rPr>
  </w:style>
  <w:style w:type="paragraph" w:styleId="Heading9">
    <w:name w:val="heading 9"/>
    <w:basedOn w:val="Normal"/>
    <w:next w:val="Normal"/>
    <w:qFormat/>
    <w:rsid w:val="00B92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370"/>
    <w:pPr>
      <w:tabs>
        <w:tab w:val="center" w:pos="4153"/>
        <w:tab w:val="right" w:pos="8306"/>
      </w:tabs>
    </w:pPr>
  </w:style>
  <w:style w:type="paragraph" w:styleId="Footer">
    <w:name w:val="footer"/>
    <w:basedOn w:val="Normal"/>
    <w:rsid w:val="00661370"/>
    <w:pPr>
      <w:tabs>
        <w:tab w:val="center" w:pos="4153"/>
        <w:tab w:val="right" w:pos="8306"/>
      </w:tabs>
    </w:pPr>
  </w:style>
  <w:style w:type="paragraph" w:styleId="BodyText">
    <w:name w:val="Body Text"/>
    <w:basedOn w:val="Normal"/>
    <w:rsid w:val="00661370"/>
    <w:pPr>
      <w:tabs>
        <w:tab w:val="left" w:pos="567"/>
        <w:tab w:val="left" w:pos="1985"/>
        <w:tab w:val="left" w:pos="5103"/>
      </w:tabs>
      <w:jc w:val="both"/>
    </w:pPr>
    <w:rPr>
      <w:sz w:val="28"/>
      <w:szCs w:val="20"/>
    </w:rPr>
  </w:style>
  <w:style w:type="paragraph" w:styleId="BodyText2">
    <w:name w:val="Body Text 2"/>
    <w:basedOn w:val="Normal"/>
    <w:rsid w:val="00FD63E0"/>
    <w:pPr>
      <w:spacing w:after="120" w:line="480" w:lineRule="auto"/>
    </w:pPr>
  </w:style>
  <w:style w:type="character" w:styleId="Hyperlink">
    <w:name w:val="Hyperlink"/>
    <w:basedOn w:val="DefaultParagraphFont"/>
    <w:rsid w:val="0017355C"/>
    <w:rPr>
      <w:color w:val="0000FF"/>
      <w:u w:val="single"/>
    </w:rPr>
  </w:style>
  <w:style w:type="paragraph" w:customStyle="1" w:styleId="naisf">
    <w:name w:val="naisf"/>
    <w:basedOn w:val="Normal"/>
    <w:rsid w:val="00F8368D"/>
    <w:pPr>
      <w:spacing w:before="75" w:after="75"/>
      <w:ind w:firstLine="375"/>
      <w:jc w:val="both"/>
    </w:pPr>
  </w:style>
  <w:style w:type="character" w:styleId="PageNumber">
    <w:name w:val="page number"/>
    <w:basedOn w:val="DefaultParagraphFont"/>
    <w:rsid w:val="001B388C"/>
  </w:style>
  <w:style w:type="paragraph" w:styleId="BalloonText">
    <w:name w:val="Balloon Text"/>
    <w:basedOn w:val="Normal"/>
    <w:semiHidden/>
    <w:rsid w:val="00426080"/>
    <w:rPr>
      <w:rFonts w:ascii="Tahoma" w:hAnsi="Tahoma" w:cs="Tahoma"/>
      <w:sz w:val="16"/>
      <w:szCs w:val="16"/>
    </w:rPr>
  </w:style>
  <w:style w:type="character" w:styleId="CommentReference">
    <w:name w:val="annotation reference"/>
    <w:basedOn w:val="DefaultParagraphFont"/>
    <w:semiHidden/>
    <w:rsid w:val="00A25421"/>
    <w:rPr>
      <w:sz w:val="16"/>
      <w:szCs w:val="16"/>
    </w:rPr>
  </w:style>
  <w:style w:type="paragraph" w:styleId="CommentText">
    <w:name w:val="annotation text"/>
    <w:basedOn w:val="Normal"/>
    <w:semiHidden/>
    <w:rsid w:val="00A25421"/>
    <w:rPr>
      <w:sz w:val="20"/>
      <w:szCs w:val="20"/>
    </w:rPr>
  </w:style>
  <w:style w:type="paragraph" w:styleId="CommentSubject">
    <w:name w:val="annotation subject"/>
    <w:basedOn w:val="CommentText"/>
    <w:next w:val="CommentText"/>
    <w:semiHidden/>
    <w:rsid w:val="00A25421"/>
    <w:rPr>
      <w:b/>
      <w:bCs/>
    </w:rPr>
  </w:style>
  <w:style w:type="paragraph" w:styleId="BodyTextIndent">
    <w:name w:val="Body Text Indent"/>
    <w:basedOn w:val="Normal"/>
    <w:rsid w:val="005127F6"/>
    <w:pPr>
      <w:spacing w:after="120"/>
      <w:ind w:left="283"/>
    </w:pPr>
  </w:style>
  <w:style w:type="character" w:customStyle="1" w:styleId="HeaderChar">
    <w:name w:val="Header Char"/>
    <w:basedOn w:val="DefaultParagraphFont"/>
    <w:link w:val="Header"/>
    <w:rsid w:val="007C2782"/>
    <w:rPr>
      <w:sz w:val="24"/>
      <w:szCs w:val="24"/>
      <w:lang w:val="lv-LV" w:eastAsia="lv-LV" w:bidi="ar-SA"/>
    </w:rPr>
  </w:style>
  <w:style w:type="character" w:customStyle="1" w:styleId="spelle">
    <w:name w:val="spelle"/>
    <w:basedOn w:val="DefaultParagraphFont"/>
    <w:rsid w:val="00B92A1C"/>
  </w:style>
  <w:style w:type="paragraph" w:customStyle="1" w:styleId="Daaarnumuru">
    <w:name w:val="Daļa ar numuru"/>
    <w:basedOn w:val="Normal"/>
    <w:qFormat/>
    <w:rsid w:val="008F7315"/>
    <w:pPr>
      <w:widowControl w:val="0"/>
      <w:numPr>
        <w:numId w:val="1"/>
      </w:numPr>
      <w:tabs>
        <w:tab w:val="left" w:pos="1072"/>
        <w:tab w:val="left" w:pos="1418"/>
      </w:tabs>
      <w:adjustRightInd w:val="0"/>
      <w:spacing w:before="120" w:after="120"/>
      <w:jc w:val="both"/>
      <w:textAlignment w:val="baseline"/>
    </w:pPr>
    <w:rPr>
      <w:sz w:val="28"/>
      <w:szCs w:val="28"/>
    </w:rPr>
  </w:style>
  <w:style w:type="table" w:styleId="TableGrid">
    <w:name w:val="Table Grid"/>
    <w:basedOn w:val="TableNormal"/>
    <w:uiPriority w:val="59"/>
    <w:rsid w:val="00EB0F8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0F86"/>
    <w:rPr>
      <w:rFonts w:eastAsia="Calibri"/>
      <w:sz w:val="20"/>
      <w:szCs w:val="20"/>
      <w:lang w:eastAsia="en-US"/>
    </w:rPr>
  </w:style>
  <w:style w:type="character" w:customStyle="1" w:styleId="FootnoteTextChar">
    <w:name w:val="Footnote Text Char"/>
    <w:basedOn w:val="DefaultParagraphFont"/>
    <w:link w:val="FootnoteText"/>
    <w:uiPriority w:val="99"/>
    <w:rsid w:val="00EB0F86"/>
    <w:rPr>
      <w:rFonts w:eastAsia="Calibri" w:cs="Times New Roman"/>
      <w:lang w:eastAsia="en-US"/>
    </w:rPr>
  </w:style>
  <w:style w:type="character" w:styleId="FootnoteReference">
    <w:name w:val="footnote reference"/>
    <w:basedOn w:val="DefaultParagraphFont"/>
    <w:uiPriority w:val="99"/>
    <w:unhideWhenUsed/>
    <w:rsid w:val="00EB0F86"/>
    <w:rPr>
      <w:vertAlign w:val="superscript"/>
    </w:rPr>
  </w:style>
  <w:style w:type="paragraph" w:styleId="ListParagraph">
    <w:name w:val="List Paragraph"/>
    <w:basedOn w:val="Normal"/>
    <w:uiPriority w:val="34"/>
    <w:qFormat/>
    <w:rsid w:val="009A18FF"/>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8674630">
      <w:bodyDiv w:val="1"/>
      <w:marLeft w:val="0"/>
      <w:marRight w:val="0"/>
      <w:marTop w:val="0"/>
      <w:marBottom w:val="0"/>
      <w:divBdr>
        <w:top w:val="none" w:sz="0" w:space="0" w:color="auto"/>
        <w:left w:val="none" w:sz="0" w:space="0" w:color="auto"/>
        <w:bottom w:val="none" w:sz="0" w:space="0" w:color="auto"/>
        <w:right w:val="none" w:sz="0" w:space="0" w:color="auto"/>
      </w:divBdr>
    </w:div>
    <w:div w:id="281614981">
      <w:bodyDiv w:val="1"/>
      <w:marLeft w:val="0"/>
      <w:marRight w:val="0"/>
      <w:marTop w:val="0"/>
      <w:marBottom w:val="0"/>
      <w:divBdr>
        <w:top w:val="none" w:sz="0" w:space="0" w:color="auto"/>
        <w:left w:val="none" w:sz="0" w:space="0" w:color="auto"/>
        <w:bottom w:val="none" w:sz="0" w:space="0" w:color="auto"/>
        <w:right w:val="none" w:sz="0" w:space="0" w:color="auto"/>
      </w:divBdr>
    </w:div>
    <w:div w:id="283007013">
      <w:bodyDiv w:val="1"/>
      <w:marLeft w:val="0"/>
      <w:marRight w:val="0"/>
      <w:marTop w:val="0"/>
      <w:marBottom w:val="0"/>
      <w:divBdr>
        <w:top w:val="none" w:sz="0" w:space="0" w:color="auto"/>
        <w:left w:val="none" w:sz="0" w:space="0" w:color="auto"/>
        <w:bottom w:val="none" w:sz="0" w:space="0" w:color="auto"/>
        <w:right w:val="none" w:sz="0" w:space="0" w:color="auto"/>
      </w:divBdr>
    </w:div>
    <w:div w:id="709036359">
      <w:bodyDiv w:val="1"/>
      <w:marLeft w:val="0"/>
      <w:marRight w:val="0"/>
      <w:marTop w:val="0"/>
      <w:marBottom w:val="0"/>
      <w:divBdr>
        <w:top w:val="none" w:sz="0" w:space="0" w:color="auto"/>
        <w:left w:val="none" w:sz="0" w:space="0" w:color="auto"/>
        <w:bottom w:val="none" w:sz="0" w:space="0" w:color="auto"/>
        <w:right w:val="none" w:sz="0" w:space="0" w:color="auto"/>
      </w:divBdr>
    </w:div>
    <w:div w:id="759520518">
      <w:bodyDiv w:val="1"/>
      <w:marLeft w:val="0"/>
      <w:marRight w:val="0"/>
      <w:marTop w:val="0"/>
      <w:marBottom w:val="0"/>
      <w:divBdr>
        <w:top w:val="none" w:sz="0" w:space="0" w:color="auto"/>
        <w:left w:val="none" w:sz="0" w:space="0" w:color="auto"/>
        <w:bottom w:val="none" w:sz="0" w:space="0" w:color="auto"/>
        <w:right w:val="none" w:sz="0" w:space="0" w:color="auto"/>
      </w:divBdr>
    </w:div>
    <w:div w:id="962730791">
      <w:bodyDiv w:val="1"/>
      <w:marLeft w:val="0"/>
      <w:marRight w:val="0"/>
      <w:marTop w:val="0"/>
      <w:marBottom w:val="0"/>
      <w:divBdr>
        <w:top w:val="none" w:sz="0" w:space="0" w:color="auto"/>
        <w:left w:val="none" w:sz="0" w:space="0" w:color="auto"/>
        <w:bottom w:val="none" w:sz="0" w:space="0" w:color="auto"/>
        <w:right w:val="none" w:sz="0" w:space="0" w:color="auto"/>
      </w:divBdr>
    </w:div>
    <w:div w:id="1041320177">
      <w:bodyDiv w:val="1"/>
      <w:marLeft w:val="0"/>
      <w:marRight w:val="0"/>
      <w:marTop w:val="0"/>
      <w:marBottom w:val="0"/>
      <w:divBdr>
        <w:top w:val="none" w:sz="0" w:space="0" w:color="auto"/>
        <w:left w:val="none" w:sz="0" w:space="0" w:color="auto"/>
        <w:bottom w:val="none" w:sz="0" w:space="0" w:color="auto"/>
        <w:right w:val="none" w:sz="0" w:space="0" w:color="auto"/>
      </w:divBdr>
      <w:divsChild>
        <w:div w:id="1009790440">
          <w:marLeft w:val="0"/>
          <w:marRight w:val="0"/>
          <w:marTop w:val="0"/>
          <w:marBottom w:val="0"/>
          <w:divBdr>
            <w:top w:val="none" w:sz="0" w:space="0" w:color="auto"/>
            <w:left w:val="none" w:sz="0" w:space="0" w:color="auto"/>
            <w:bottom w:val="none" w:sz="0" w:space="0" w:color="auto"/>
            <w:right w:val="none" w:sz="0" w:space="0" w:color="auto"/>
          </w:divBdr>
        </w:div>
        <w:div w:id="1855223968">
          <w:marLeft w:val="0"/>
          <w:marRight w:val="0"/>
          <w:marTop w:val="0"/>
          <w:marBottom w:val="0"/>
          <w:divBdr>
            <w:top w:val="none" w:sz="0" w:space="0" w:color="auto"/>
            <w:left w:val="none" w:sz="0" w:space="0" w:color="auto"/>
            <w:bottom w:val="none" w:sz="0" w:space="0" w:color="auto"/>
            <w:right w:val="none" w:sz="0" w:space="0" w:color="auto"/>
          </w:divBdr>
        </w:div>
      </w:divsChild>
    </w:div>
    <w:div w:id="15342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oleObject" Target="embeddings/Microsoft_Office_Excel_97-2003_Worksheet2.xls"/><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14824</Words>
  <Characters>8450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Informatīvais ziņojums par Valsts ieņēmumu darbu nodokļu iekasēšanas nodrošināšanā un par nodokļu iekasēšanas efektivitātes uzlabošanu, saglabājot dienesta kapacitāti</vt:lpstr>
    </vt:vector>
  </TitlesOfParts>
  <Company>VID</Company>
  <LinksUpToDate>false</LinksUpToDate>
  <CharactersWithSpaces>23228</CharactersWithSpaces>
  <SharedDoc>false</SharedDoc>
  <HLinks>
    <vt:vector size="6" baseType="variant">
      <vt:variant>
        <vt:i4>8061016</vt:i4>
      </vt:variant>
      <vt:variant>
        <vt:i4>3</vt:i4>
      </vt:variant>
      <vt:variant>
        <vt:i4>0</vt:i4>
      </vt:variant>
      <vt:variant>
        <vt:i4>5</vt:i4>
      </vt:variant>
      <vt:variant>
        <vt:lpwstr>mailto:Agnese.rudzite@vid.gov.lv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ieņēmumu darbu nodokļu iekasēšanas nodrošināšanā un par nodokļu iekasēšanas efektivitātes uzlabošanu, saglabājot dienesta kapacitāti</dc:title>
  <dc:subject>Informatīvais ziņojums</dc:subject>
  <dc:creator>Ruta Ervalde</dc:creator>
  <dc:description>ruta.ervalde@vid.gov.lv_x000d_
67028881</dc:description>
  <cp:lastModifiedBy>Inese Bahanovska</cp:lastModifiedBy>
  <cp:revision>2</cp:revision>
  <cp:lastPrinted>2011-10-14T09:30:00Z</cp:lastPrinted>
  <dcterms:created xsi:type="dcterms:W3CDTF">2011-10-14T09:40:00Z</dcterms:created>
  <dcterms:modified xsi:type="dcterms:W3CDTF">2011-10-14T09:40:00Z</dcterms:modified>
</cp:coreProperties>
</file>