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F40" w:rsidRPr="00425882" w:rsidRDefault="00E66F40" w:rsidP="00E66F40">
      <w:pPr>
        <w:jc w:val="center"/>
        <w:rPr>
          <w:b/>
        </w:rPr>
      </w:pPr>
      <w:r w:rsidRPr="00425882">
        <w:rPr>
          <w:b/>
        </w:rPr>
        <w:t>Informatīvais ziņojums</w:t>
      </w:r>
    </w:p>
    <w:p w:rsidR="00661370" w:rsidRPr="00425882" w:rsidRDefault="00E66F40" w:rsidP="00E66F40">
      <w:pPr>
        <w:jc w:val="center"/>
        <w:rPr>
          <w:b/>
        </w:rPr>
      </w:pPr>
      <w:r>
        <w:rPr>
          <w:b/>
        </w:rPr>
        <w:t xml:space="preserve">par panākto </w:t>
      </w:r>
      <w:r w:rsidRPr="00614346">
        <w:rPr>
          <w:b/>
        </w:rPr>
        <w:t>valsts budžeta izdevum</w:t>
      </w:r>
      <w:r>
        <w:rPr>
          <w:b/>
        </w:rPr>
        <w:t xml:space="preserve">u samazinājumu </w:t>
      </w:r>
      <w:r w:rsidRPr="00250CEC">
        <w:rPr>
          <w:b/>
        </w:rPr>
        <w:t xml:space="preserve">apakšprogrammā 31.02.00 “Valsts parāda vadība” </w:t>
      </w:r>
      <w:r w:rsidRPr="00425882">
        <w:rPr>
          <w:b/>
        </w:rPr>
        <w:t>2013.gad</w:t>
      </w:r>
      <w:r>
        <w:rPr>
          <w:b/>
        </w:rPr>
        <w:t>ā</w:t>
      </w:r>
    </w:p>
    <w:p w:rsidR="00D815EE" w:rsidRDefault="00D815EE" w:rsidP="00A209E4">
      <w:pPr>
        <w:tabs>
          <w:tab w:val="left" w:pos="1134"/>
        </w:tabs>
        <w:ind w:left="720"/>
        <w:jc w:val="both"/>
      </w:pPr>
    </w:p>
    <w:p w:rsidR="004F3FAA" w:rsidRPr="00425882" w:rsidRDefault="004F3FAA" w:rsidP="004F3FAA">
      <w:pPr>
        <w:ind w:firstLine="720"/>
        <w:jc w:val="both"/>
      </w:pPr>
      <w:r w:rsidRPr="00425882">
        <w:t>Likuma “Par valsts budžetu 2013.gadam” 4</w:t>
      </w:r>
      <w:r>
        <w:t>1</w:t>
      </w:r>
      <w:r w:rsidRPr="00425882">
        <w:t xml:space="preserve">.pants paredz, ka, ja 2013.gada </w:t>
      </w:r>
      <w:r w:rsidRPr="0032632A">
        <w:t>deviņu mēnešu laikā valsts parāda vadības procesā iesaistīto Valsts kases amatpersonu (darbinieku) darbības rezultātā būtiski samazinās valsts budžeta izdevumi salīdzinājumā ar likuma “Par valsts budžetu 2013.gadam” spēkā stāšanās dienā plānotajiem procentu izdevumiem budžeta apakšprogrammā 31.02.00 “Valsts parāda vadība” un tiek prognozēts procentu izdevumu samazinājums līdz gada beigām, Ministru kabinets pieņem lēmumu par valsts parāda vadības procesā iesaistīto Valsts kases amatpersonu (darbinieku) motivēšanu un apropriācijas palielinājumam novirzāmo finansējuma apjomu</w:t>
      </w:r>
      <w:r w:rsidRPr="00614346">
        <w:t xml:space="preserve">, kas nepārsniedz 2 procentus no Ministru kabineta lēmuma pieņemšanas dienā zināmā un līdz gada beigām plānotā valsts budžeta procentu izdevumu samazinājuma kopsummas budžeta apakšprogrammā 31.02.00 “Valsts parāda vadība”. Finanšu ministram ir tiesības </w:t>
      </w:r>
      <w:r w:rsidRPr="0032632A">
        <w:t>palielināt apropriāciju izdevumiem budžeta apakšprogrammā 31.01.00 “Budžeta izpilde”, tajā skaitā atlīdzībai, ja Saeimas Budžeta un finanšu (nodokļu) komisija piecu dienu laikā no attiecīgās informācijas saņemšanas ir izskatījusi to un nav iebildusi pret apropriācijas palielinājumu.</w:t>
      </w:r>
    </w:p>
    <w:p w:rsidR="004F3FAA" w:rsidRPr="00425882" w:rsidRDefault="004F3FAA" w:rsidP="004F3FAA">
      <w:pPr>
        <w:ind w:firstLine="720"/>
        <w:jc w:val="both"/>
      </w:pPr>
      <w:r>
        <w:t>Valsts kase</w:t>
      </w:r>
      <w:r w:rsidRPr="00425882">
        <w:t xml:space="preserve"> ir apkopojusi</w:t>
      </w:r>
      <w:r>
        <w:t xml:space="preserve"> informāciju par valsts budžeta </w:t>
      </w:r>
      <w:r w:rsidRPr="0032632A">
        <w:t>apakšprogramm</w:t>
      </w:r>
      <w:r>
        <w:t>as</w:t>
      </w:r>
      <w:r w:rsidRPr="0032632A">
        <w:t xml:space="preserve"> 31.02.00 “Valsts parāda vadība”</w:t>
      </w:r>
      <w:r>
        <w:t xml:space="preserve"> (turpmāk – apakšprogramma) faktisko izpildi 2013.gada </w:t>
      </w:r>
      <w:r w:rsidR="0065492A">
        <w:t>vienpadsmit</w:t>
      </w:r>
      <w:r>
        <w:t xml:space="preserve"> mēnešos un sagaidāmo izpildi līdz 2013.gada beigām, kā arī par Valsts kases darbības rezultātā panākto procentu izdevumu samazinājumu apakšprogrammā </w:t>
      </w:r>
      <w:r w:rsidRPr="00E501E7">
        <w:t>salīdzinājumā ar likuma “Par valsts budžetu 2013.gadam” spēkā stāšanās dienā plānotajiem procentu izdevumiem</w:t>
      </w:r>
      <w:r w:rsidRPr="00425882">
        <w:t>.</w:t>
      </w:r>
    </w:p>
    <w:p w:rsidR="004F3FAA" w:rsidRDefault="004F3FAA" w:rsidP="004F3FAA">
      <w:pPr>
        <w:pStyle w:val="ListParagraph"/>
        <w:numPr>
          <w:ilvl w:val="0"/>
          <w:numId w:val="21"/>
        </w:numPr>
        <w:spacing w:before="240" w:after="240"/>
        <w:ind w:left="714" w:hanging="357"/>
        <w:jc w:val="both"/>
        <w:rPr>
          <w:rFonts w:ascii="Times New Roman" w:hAnsi="Times New Roman"/>
          <w:b/>
          <w:sz w:val="24"/>
        </w:rPr>
      </w:pPr>
      <w:r>
        <w:rPr>
          <w:rFonts w:ascii="Times New Roman" w:hAnsi="Times New Roman"/>
          <w:b/>
          <w:sz w:val="24"/>
        </w:rPr>
        <w:t>Valsts parāda vadības stratēģijas nozīme, pamatprincipi un mērķi</w:t>
      </w:r>
    </w:p>
    <w:p w:rsidR="004F3FAA" w:rsidRDefault="004F3FAA" w:rsidP="004F3FAA">
      <w:pPr>
        <w:ind w:firstLine="720"/>
        <w:jc w:val="both"/>
      </w:pPr>
      <w:r w:rsidRPr="006C1791">
        <w:t xml:space="preserve">Likums </w:t>
      </w:r>
      <w:r>
        <w:t>„</w:t>
      </w:r>
      <w:r w:rsidRPr="006C1791">
        <w:t>Par budžetu un finanšu vadību</w:t>
      </w:r>
      <w:r>
        <w:t>”</w:t>
      </w:r>
      <w:r w:rsidRPr="006C1791">
        <w:t xml:space="preserve"> </w:t>
      </w:r>
      <w:r>
        <w:t>pilnvaro</w:t>
      </w:r>
      <w:r w:rsidRPr="006C1791">
        <w:t xml:space="preserve"> finanšu ministr</w:t>
      </w:r>
      <w:r>
        <w:t>u</w:t>
      </w:r>
      <w:r w:rsidRPr="006C1791">
        <w:t xml:space="preserve"> valsts vārdā ņemt aizņēmumus gadskārtējā valsts budžeta likumā atļautajos apmēros tikai valsts budžeta finansiālā deficīta finansēšanai, valsts parāda refinansēšanai un mērķiem, kas noteikti gadskārtējā valsts budžeta likumā.</w:t>
      </w:r>
      <w:r>
        <w:t xml:space="preserve"> Procentu izdevumi par veiktajiem aizņēmumiem un citi ar valsts parāda apkalpošanu un vadību saistītie maksājumi tiek paredzēti valsts budžeta a</w:t>
      </w:r>
      <w:r w:rsidRPr="00B32EA7">
        <w:t>pakšprogramm</w:t>
      </w:r>
      <w:r>
        <w:t>ā</w:t>
      </w:r>
      <w:r w:rsidRPr="00B32EA7">
        <w:t xml:space="preserve"> 31.02.00 “Valsts parāda vadība”</w:t>
      </w:r>
      <w:r>
        <w:t>, kuru administrē Valsts kase.</w:t>
      </w:r>
    </w:p>
    <w:p w:rsidR="004F3FAA" w:rsidRDefault="004F3FAA" w:rsidP="004F3FAA">
      <w:pPr>
        <w:ind w:firstLine="720"/>
        <w:jc w:val="both"/>
      </w:pPr>
      <w:r w:rsidRPr="006C1791">
        <w:t>Valsts kase</w:t>
      </w:r>
      <w:r>
        <w:t xml:space="preserve"> a</w:t>
      </w:r>
      <w:r w:rsidRPr="006C1791">
        <w:t xml:space="preserve">tbilstoši finanšu ministra pilnvarojumam nodrošina valsts aizņēmumu un parāda vadību saskaņā ar finanšu ministra apstiprināto </w:t>
      </w:r>
      <w:r w:rsidRPr="00CB4D75">
        <w:t xml:space="preserve">Latvijas </w:t>
      </w:r>
      <w:r>
        <w:t>Valsts parāda vadības stratēģiju, kas nosaka v</w:t>
      </w:r>
      <w:r w:rsidRPr="00CB4D75">
        <w:t>alsts parāda vadības pamatprincipus un uzdevumus vidējam termiņam</w:t>
      </w:r>
      <w:r>
        <w:t>.</w:t>
      </w:r>
    </w:p>
    <w:p w:rsidR="004F3FAA" w:rsidRDefault="004F3FAA" w:rsidP="004F3FAA">
      <w:pPr>
        <w:ind w:firstLine="720"/>
        <w:jc w:val="both"/>
      </w:pPr>
      <w:r>
        <w:t xml:space="preserve">Atbilstoši </w:t>
      </w:r>
      <w:r w:rsidRPr="007E54A4">
        <w:t>Latvijas Valsts parāda vadības stratēģij</w:t>
      </w:r>
      <w:r>
        <w:t>ai</w:t>
      </w:r>
      <w:r w:rsidRPr="007E54A4">
        <w:t xml:space="preserve"> </w:t>
      </w:r>
      <w:r>
        <w:rPr>
          <w:b/>
        </w:rPr>
        <w:t>v</w:t>
      </w:r>
      <w:r w:rsidRPr="007E54A4">
        <w:rPr>
          <w:b/>
        </w:rPr>
        <w:t>alsts parāda vadības mērķis</w:t>
      </w:r>
      <w:r w:rsidRPr="007E54A4">
        <w:t xml:space="preserve"> </w:t>
      </w:r>
      <w:r w:rsidRPr="00250030">
        <w:rPr>
          <w:b/>
        </w:rPr>
        <w:t>ir nodrošināt nepieciešamos finanšu resursus</w:t>
      </w:r>
      <w:r w:rsidRPr="007E54A4">
        <w:t xml:space="preserve"> valsts parāda pārfinansēšanai, budžeta deficīta finansēšanai un finanšu resursu rezerves uzturēšanai </w:t>
      </w:r>
      <w:r w:rsidRPr="00250030">
        <w:rPr>
          <w:b/>
        </w:rPr>
        <w:t>ar iespējami zemākām izmaksām</w:t>
      </w:r>
      <w:r w:rsidRPr="007E54A4">
        <w:t>, ierobežojot finanšu riskus un ņemot vērā Latvijas valsts makroekonomikas, kapitāla tirgus un visas finanšu sist</w:t>
      </w:r>
      <w:r w:rsidR="004100A3">
        <w:t xml:space="preserve">ēmas attīstību, kas vērsta uz </w:t>
      </w:r>
      <w:proofErr w:type="spellStart"/>
      <w:r w:rsidR="004100A3" w:rsidRPr="004100A3">
        <w:rPr>
          <w:i/>
        </w:rPr>
        <w:t>eu</w:t>
      </w:r>
      <w:r w:rsidRPr="004100A3">
        <w:rPr>
          <w:i/>
        </w:rPr>
        <w:t>ro</w:t>
      </w:r>
      <w:proofErr w:type="spellEnd"/>
      <w:r w:rsidRPr="007E54A4">
        <w:t xml:space="preserve"> ieviešanu vidējā termiņā.</w:t>
      </w:r>
    </w:p>
    <w:p w:rsidR="004F3FAA" w:rsidRDefault="004F3FAA" w:rsidP="004F3FAA">
      <w:pPr>
        <w:ind w:firstLine="720"/>
        <w:jc w:val="both"/>
      </w:pPr>
      <w:r w:rsidRPr="00250030">
        <w:t xml:space="preserve">Lai nodrošinātu valsts parāda vadības </w:t>
      </w:r>
      <w:r>
        <w:t xml:space="preserve">procesa </w:t>
      </w:r>
      <w:r w:rsidRPr="00250030">
        <w:t>atbilstību starptautiski atzītai praksei</w:t>
      </w:r>
      <w:r>
        <w:t xml:space="preserve"> un valsts parāda vadības mērķa sasniegšanu</w:t>
      </w:r>
      <w:r w:rsidRPr="00250030">
        <w:t>, valsts parāda vadīb</w:t>
      </w:r>
      <w:r>
        <w:t>u</w:t>
      </w:r>
      <w:r w:rsidRPr="00250030">
        <w:t xml:space="preserve"> </w:t>
      </w:r>
      <w:r>
        <w:t>iedala divos savstarpēji saistītos procesos: v</w:t>
      </w:r>
      <w:r w:rsidRPr="00783C3C">
        <w:t>alsts parāda portfeļa vadība</w:t>
      </w:r>
      <w:r>
        <w:t xml:space="preserve"> un valsts aizņēmumu vadība.</w:t>
      </w:r>
    </w:p>
    <w:p w:rsidR="004F3FAA" w:rsidRPr="006212D5" w:rsidRDefault="004F3FAA" w:rsidP="004F3FAA">
      <w:pPr>
        <w:spacing w:before="120" w:after="120"/>
        <w:jc w:val="both"/>
        <w:rPr>
          <w:b/>
        </w:rPr>
      </w:pPr>
      <w:r w:rsidRPr="006212D5">
        <w:rPr>
          <w:b/>
        </w:rPr>
        <w:t>1.1. Valsts parāda portfeļa vadība</w:t>
      </w:r>
    </w:p>
    <w:p w:rsidR="004F3FAA" w:rsidRPr="00065D02" w:rsidRDefault="004F3FAA" w:rsidP="004F3FAA">
      <w:pPr>
        <w:spacing w:before="120"/>
        <w:ind w:firstLine="709"/>
        <w:jc w:val="both"/>
        <w:rPr>
          <w:b/>
        </w:rPr>
      </w:pPr>
      <w:r w:rsidRPr="00065D02">
        <w:rPr>
          <w:b/>
        </w:rPr>
        <w:t xml:space="preserve">Valsts parāda portfeļa vadības mērķis ir optimizēt valsts parāda apkalpošanas izmaksas ilgtermiņā, ierobežojot valsts parāda portfeļa finanšu riskus. </w:t>
      </w:r>
    </w:p>
    <w:p w:rsidR="004F3FAA" w:rsidRPr="00A91585" w:rsidRDefault="004F3FAA" w:rsidP="004F3FAA">
      <w:pPr>
        <w:ind w:firstLine="709"/>
        <w:jc w:val="both"/>
      </w:pPr>
      <w:r w:rsidRPr="00A91585">
        <w:t>Valsts kase nodrošina valsts parāda portfeļa vadību saskaņā ar šādiem būtiskākiem pamatprincipiem:</w:t>
      </w:r>
    </w:p>
    <w:p w:rsidR="004F3FAA" w:rsidRPr="00F94BD9" w:rsidRDefault="004F3FAA" w:rsidP="004F3FAA">
      <w:pPr>
        <w:pStyle w:val="ListParagraph"/>
        <w:numPr>
          <w:ilvl w:val="1"/>
          <w:numId w:val="22"/>
        </w:numPr>
        <w:spacing w:before="120"/>
        <w:jc w:val="both"/>
        <w:rPr>
          <w:rFonts w:ascii="Times New Roman" w:hAnsi="Times New Roman"/>
          <w:sz w:val="24"/>
        </w:rPr>
      </w:pPr>
      <w:r>
        <w:rPr>
          <w:rFonts w:ascii="Times New Roman" w:hAnsi="Times New Roman"/>
          <w:sz w:val="24"/>
        </w:rPr>
        <w:lastRenderedPageBreak/>
        <w:t xml:space="preserve">tiek </w:t>
      </w:r>
      <w:r w:rsidRPr="00F94BD9">
        <w:rPr>
          <w:rFonts w:ascii="Times New Roman" w:hAnsi="Times New Roman"/>
          <w:sz w:val="24"/>
        </w:rPr>
        <w:t xml:space="preserve">noteikta optimāla valsts parāda portfeļa struktūra, </w:t>
      </w:r>
      <w:r>
        <w:rPr>
          <w:rFonts w:ascii="Times New Roman" w:hAnsi="Times New Roman"/>
          <w:sz w:val="24"/>
        </w:rPr>
        <w:t xml:space="preserve">ierobežojot </w:t>
      </w:r>
      <w:r w:rsidRPr="00F94BD9">
        <w:rPr>
          <w:rFonts w:ascii="Times New Roman" w:hAnsi="Times New Roman"/>
          <w:sz w:val="24"/>
        </w:rPr>
        <w:t xml:space="preserve">finanšu riskus (parāda pārfinansēšanas risks, likviditātes risks, valūtu risks, procentu likmju risks), kā arī </w:t>
      </w:r>
      <w:r>
        <w:rPr>
          <w:rFonts w:ascii="Times New Roman" w:hAnsi="Times New Roman"/>
          <w:sz w:val="24"/>
        </w:rPr>
        <w:t>uzraugot</w:t>
      </w:r>
      <w:r w:rsidRPr="00F94BD9">
        <w:rPr>
          <w:rFonts w:ascii="Times New Roman" w:hAnsi="Times New Roman"/>
          <w:sz w:val="24"/>
        </w:rPr>
        <w:t xml:space="preserve"> un vad</w:t>
      </w:r>
      <w:r>
        <w:rPr>
          <w:rFonts w:ascii="Times New Roman" w:hAnsi="Times New Roman"/>
          <w:sz w:val="24"/>
        </w:rPr>
        <w:t>ot</w:t>
      </w:r>
      <w:r w:rsidRPr="00F94BD9">
        <w:rPr>
          <w:rFonts w:ascii="Times New Roman" w:hAnsi="Times New Roman"/>
          <w:sz w:val="24"/>
        </w:rPr>
        <w:t xml:space="preserve"> </w:t>
      </w:r>
      <w:r>
        <w:rPr>
          <w:rFonts w:ascii="Times New Roman" w:hAnsi="Times New Roman"/>
          <w:sz w:val="24"/>
        </w:rPr>
        <w:t xml:space="preserve">darījumu </w:t>
      </w:r>
      <w:proofErr w:type="spellStart"/>
      <w:r w:rsidRPr="00F94BD9">
        <w:rPr>
          <w:rFonts w:ascii="Times New Roman" w:hAnsi="Times New Roman"/>
          <w:sz w:val="24"/>
        </w:rPr>
        <w:t>partnerpuses</w:t>
      </w:r>
      <w:proofErr w:type="spellEnd"/>
      <w:r w:rsidRPr="00F94BD9">
        <w:rPr>
          <w:rFonts w:ascii="Times New Roman" w:hAnsi="Times New Roman"/>
          <w:sz w:val="24"/>
        </w:rPr>
        <w:t xml:space="preserve"> risk</w:t>
      </w:r>
      <w:r>
        <w:rPr>
          <w:rFonts w:ascii="Times New Roman" w:hAnsi="Times New Roman"/>
          <w:sz w:val="24"/>
        </w:rPr>
        <w:t>us</w:t>
      </w:r>
      <w:r w:rsidRPr="00F94BD9">
        <w:rPr>
          <w:rFonts w:ascii="Times New Roman" w:hAnsi="Times New Roman"/>
          <w:sz w:val="24"/>
        </w:rPr>
        <w:t>;</w:t>
      </w:r>
    </w:p>
    <w:p w:rsidR="004F3FAA" w:rsidRPr="00F94BD9" w:rsidRDefault="004F3FAA" w:rsidP="004F3FAA">
      <w:pPr>
        <w:pStyle w:val="ListParagraph"/>
        <w:numPr>
          <w:ilvl w:val="1"/>
          <w:numId w:val="22"/>
        </w:numPr>
        <w:spacing w:before="120"/>
        <w:jc w:val="both"/>
        <w:rPr>
          <w:rFonts w:ascii="Times New Roman" w:hAnsi="Times New Roman"/>
          <w:sz w:val="24"/>
        </w:rPr>
      </w:pPr>
      <w:r w:rsidRPr="00F94BD9">
        <w:rPr>
          <w:rFonts w:ascii="Times New Roman" w:hAnsi="Times New Roman"/>
          <w:sz w:val="24"/>
        </w:rPr>
        <w:t>valsts parāda portfelis tiek vadīts tā, lai, ņemot vērā finanšu tirgus prognozes, nepārsniegtu valsts budžeta likumā noteikto izdevumu apmēru valsts parāda apkalpošanai kārtējam gadam un vidējam termiņam;</w:t>
      </w:r>
    </w:p>
    <w:p w:rsidR="004F3FAA" w:rsidRDefault="004F3FAA" w:rsidP="004F3FAA">
      <w:pPr>
        <w:pStyle w:val="ListParagraph"/>
        <w:numPr>
          <w:ilvl w:val="1"/>
          <w:numId w:val="22"/>
        </w:numPr>
        <w:spacing w:before="120"/>
        <w:jc w:val="both"/>
        <w:rPr>
          <w:rFonts w:ascii="Times New Roman" w:hAnsi="Times New Roman"/>
          <w:sz w:val="24"/>
        </w:rPr>
      </w:pPr>
      <w:r>
        <w:rPr>
          <w:rFonts w:ascii="Times New Roman" w:hAnsi="Times New Roman"/>
          <w:sz w:val="24"/>
        </w:rPr>
        <w:t xml:space="preserve">tiek </w:t>
      </w:r>
      <w:r w:rsidRPr="00F94BD9">
        <w:rPr>
          <w:rFonts w:ascii="Times New Roman" w:hAnsi="Times New Roman"/>
          <w:sz w:val="24"/>
        </w:rPr>
        <w:t xml:space="preserve">nodrošināts līdzsvars starp finanšu resursu izmaksām un finanšu risku ierobežošanu ilgtermiņā, par nozīmīgāko uzskatot finanšu risku ierobežošanu un novēršanu un nepieļaujot finanšu resursu izmaksu nekontrolētu </w:t>
      </w:r>
      <w:r>
        <w:rPr>
          <w:rFonts w:ascii="Times New Roman" w:hAnsi="Times New Roman"/>
          <w:sz w:val="24"/>
        </w:rPr>
        <w:t>pieaugumu.</w:t>
      </w:r>
    </w:p>
    <w:p w:rsidR="004F3FAA" w:rsidRDefault="004F3FAA" w:rsidP="004F3FAA">
      <w:pPr>
        <w:spacing w:before="120" w:after="120"/>
        <w:jc w:val="center"/>
        <w:rPr>
          <w:sz w:val="22"/>
        </w:rPr>
      </w:pPr>
      <w:r>
        <w:rPr>
          <w:noProof/>
          <w:sz w:val="22"/>
        </w:rPr>
        <w:drawing>
          <wp:inline distT="0" distB="0" distL="0" distR="0">
            <wp:extent cx="5098415" cy="288099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8415" cy="2880995"/>
                    </a:xfrm>
                    <a:prstGeom prst="rect">
                      <a:avLst/>
                    </a:prstGeom>
                    <a:noFill/>
                    <a:ln>
                      <a:noFill/>
                    </a:ln>
                  </pic:spPr>
                </pic:pic>
              </a:graphicData>
            </a:graphic>
          </wp:inline>
        </w:drawing>
      </w:r>
    </w:p>
    <w:p w:rsidR="004F3FAA" w:rsidRPr="00B66A55" w:rsidRDefault="004F3FAA" w:rsidP="004F3FAA">
      <w:pPr>
        <w:spacing w:before="120" w:after="120"/>
        <w:jc w:val="center"/>
        <w:rPr>
          <w:b/>
        </w:rPr>
      </w:pPr>
      <w:r w:rsidRPr="00B66A55">
        <w:rPr>
          <w:sz w:val="22"/>
        </w:rPr>
        <w:t xml:space="preserve">1.attēls. </w:t>
      </w:r>
      <w:r w:rsidRPr="00B66A55">
        <w:rPr>
          <w:b/>
        </w:rPr>
        <w:t>Valsts parāda portfeļa vadības pamatprincipi</w:t>
      </w:r>
    </w:p>
    <w:p w:rsidR="00C22E5C" w:rsidRDefault="00C22E5C" w:rsidP="00C22E5C">
      <w:pPr>
        <w:spacing w:before="120"/>
        <w:jc w:val="right"/>
        <w:rPr>
          <w:sz w:val="22"/>
        </w:rPr>
      </w:pPr>
    </w:p>
    <w:p w:rsidR="004F3FAA" w:rsidRPr="00AC562D" w:rsidRDefault="004F3FAA" w:rsidP="00C22E5C">
      <w:pPr>
        <w:spacing w:before="120"/>
        <w:jc w:val="right"/>
        <w:rPr>
          <w:sz w:val="22"/>
        </w:rPr>
      </w:pPr>
      <w:r>
        <w:rPr>
          <w:sz w:val="22"/>
        </w:rPr>
        <w:t>1.tabula</w:t>
      </w:r>
    </w:p>
    <w:p w:rsidR="004F3FAA" w:rsidRDefault="004F3FAA" w:rsidP="00C22E5C">
      <w:pPr>
        <w:spacing w:after="120"/>
        <w:jc w:val="center"/>
        <w:rPr>
          <w:b/>
        </w:rPr>
      </w:pPr>
      <w:r w:rsidRPr="000E5932">
        <w:rPr>
          <w:b/>
        </w:rPr>
        <w:t>Valsts parāda portfeļa struktūras rādītāji</w:t>
      </w:r>
    </w:p>
    <w:tbl>
      <w:tblPr>
        <w:tblW w:w="9166" w:type="dxa"/>
        <w:tblInd w:w="103" w:type="dxa"/>
        <w:tblLook w:val="04A0" w:firstRow="1" w:lastRow="0" w:firstColumn="1" w:lastColumn="0" w:noHBand="0" w:noVBand="1"/>
      </w:tblPr>
      <w:tblGrid>
        <w:gridCol w:w="4541"/>
        <w:gridCol w:w="1134"/>
        <w:gridCol w:w="1249"/>
        <w:gridCol w:w="1121"/>
        <w:gridCol w:w="1121"/>
      </w:tblGrid>
      <w:tr w:rsidR="00C22E5C" w:rsidTr="00616C08">
        <w:trPr>
          <w:trHeight w:val="607"/>
        </w:trPr>
        <w:tc>
          <w:tcPr>
            <w:tcW w:w="4541" w:type="dxa"/>
            <w:tcBorders>
              <w:top w:val="single" w:sz="4" w:space="0" w:color="808080"/>
              <w:left w:val="single" w:sz="4" w:space="0" w:color="808080"/>
              <w:bottom w:val="single" w:sz="4" w:space="0" w:color="808080"/>
              <w:right w:val="single" w:sz="4" w:space="0" w:color="808080"/>
            </w:tcBorders>
            <w:shd w:val="clear" w:color="000000" w:fill="808080"/>
            <w:vAlign w:val="center"/>
            <w:hideMark/>
          </w:tcPr>
          <w:p w:rsidR="00C22E5C" w:rsidRPr="00C22E5C" w:rsidRDefault="00C22E5C">
            <w:pPr>
              <w:jc w:val="center"/>
              <w:rPr>
                <w:rFonts w:ascii="Arial" w:hAnsi="Arial" w:cs="Arial"/>
                <w:b/>
                <w:bCs/>
                <w:color w:val="FFFFFF"/>
                <w:sz w:val="18"/>
                <w:szCs w:val="18"/>
              </w:rPr>
            </w:pPr>
            <w:r w:rsidRPr="00C22E5C">
              <w:rPr>
                <w:rFonts w:ascii="Arial" w:eastAsia="Calibri" w:hAnsi="Arial" w:cs="Arial"/>
                <w:b/>
                <w:bCs/>
                <w:color w:val="FFFFFF"/>
                <w:sz w:val="18"/>
                <w:szCs w:val="18"/>
                <w:lang w:eastAsia="en-US"/>
              </w:rPr>
              <w:t>RĀDĪTĀJI</w:t>
            </w:r>
          </w:p>
        </w:tc>
        <w:tc>
          <w:tcPr>
            <w:tcW w:w="2383" w:type="dxa"/>
            <w:gridSpan w:val="2"/>
            <w:tcBorders>
              <w:top w:val="single" w:sz="4" w:space="0" w:color="808080"/>
              <w:left w:val="nil"/>
              <w:bottom w:val="single" w:sz="4" w:space="0" w:color="808080"/>
              <w:right w:val="single" w:sz="4" w:space="0" w:color="808080"/>
            </w:tcBorders>
            <w:shd w:val="clear" w:color="000000" w:fill="808080"/>
            <w:vAlign w:val="center"/>
            <w:hideMark/>
          </w:tcPr>
          <w:p w:rsidR="00C22E5C" w:rsidRPr="00C22E5C" w:rsidRDefault="00C22E5C">
            <w:pPr>
              <w:jc w:val="center"/>
              <w:rPr>
                <w:rFonts w:ascii="Arial" w:hAnsi="Arial" w:cs="Arial"/>
                <w:b/>
                <w:bCs/>
                <w:color w:val="FFFFFF"/>
                <w:sz w:val="18"/>
                <w:szCs w:val="18"/>
              </w:rPr>
            </w:pPr>
            <w:r w:rsidRPr="00C22E5C">
              <w:rPr>
                <w:rFonts w:ascii="Arial" w:eastAsia="Calibri" w:hAnsi="Arial" w:cs="Arial"/>
                <w:b/>
                <w:bCs/>
                <w:color w:val="FFFFFF"/>
                <w:sz w:val="18"/>
                <w:szCs w:val="18"/>
                <w:lang w:eastAsia="en-US"/>
              </w:rPr>
              <w:t>STRATĒĢIJĀ NOTEIKTIE RĀDĪTĀJI</w:t>
            </w:r>
          </w:p>
        </w:tc>
        <w:tc>
          <w:tcPr>
            <w:tcW w:w="2242" w:type="dxa"/>
            <w:gridSpan w:val="2"/>
            <w:tcBorders>
              <w:top w:val="single" w:sz="4" w:space="0" w:color="808080"/>
              <w:left w:val="nil"/>
              <w:bottom w:val="single" w:sz="4" w:space="0" w:color="808080"/>
              <w:right w:val="single" w:sz="4" w:space="0" w:color="808080"/>
            </w:tcBorders>
            <w:shd w:val="clear" w:color="000000" w:fill="808080"/>
            <w:vAlign w:val="center"/>
            <w:hideMark/>
          </w:tcPr>
          <w:p w:rsidR="00C22E5C" w:rsidRPr="00C22E5C" w:rsidRDefault="00C22E5C">
            <w:pPr>
              <w:jc w:val="center"/>
              <w:rPr>
                <w:rFonts w:ascii="Arial" w:hAnsi="Arial" w:cs="Arial"/>
                <w:b/>
                <w:bCs/>
                <w:color w:val="FFFFFF"/>
                <w:sz w:val="18"/>
                <w:szCs w:val="18"/>
              </w:rPr>
            </w:pPr>
            <w:r w:rsidRPr="00C22E5C">
              <w:rPr>
                <w:rFonts w:ascii="Arial" w:eastAsia="Calibri" w:hAnsi="Arial" w:cs="Arial"/>
                <w:b/>
                <w:bCs/>
                <w:color w:val="FFFFFF"/>
                <w:sz w:val="18"/>
                <w:szCs w:val="18"/>
                <w:lang w:eastAsia="en-US"/>
              </w:rPr>
              <w:t>FAKTISKIE RĀDĪTĀJI (30.11.2013.)</w:t>
            </w:r>
          </w:p>
        </w:tc>
      </w:tr>
      <w:tr w:rsidR="00C22E5C" w:rsidTr="00616C08">
        <w:trPr>
          <w:trHeight w:val="253"/>
        </w:trPr>
        <w:tc>
          <w:tcPr>
            <w:tcW w:w="4541" w:type="dxa"/>
            <w:tcBorders>
              <w:top w:val="nil"/>
              <w:left w:val="single" w:sz="4" w:space="0" w:color="808080"/>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hAnsi="Arial" w:cs="Arial"/>
                <w:b/>
                <w:bCs/>
                <w:sz w:val="20"/>
                <w:szCs w:val="20"/>
              </w:rPr>
              <w:t>Latu parāda īpatsvars</w:t>
            </w:r>
          </w:p>
        </w:tc>
        <w:tc>
          <w:tcPr>
            <w:tcW w:w="2383" w:type="dxa"/>
            <w:gridSpan w:val="2"/>
            <w:tcBorders>
              <w:top w:val="single" w:sz="4" w:space="0" w:color="808080"/>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&gt; 35% *</w:t>
            </w:r>
          </w:p>
        </w:tc>
        <w:tc>
          <w:tcPr>
            <w:tcW w:w="2242" w:type="dxa"/>
            <w:gridSpan w:val="2"/>
            <w:tcBorders>
              <w:top w:val="single" w:sz="4" w:space="0" w:color="808080"/>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16%</w:t>
            </w:r>
          </w:p>
        </w:tc>
      </w:tr>
      <w:tr w:rsidR="00C22E5C" w:rsidTr="00616C08">
        <w:trPr>
          <w:trHeight w:val="253"/>
        </w:trPr>
        <w:tc>
          <w:tcPr>
            <w:tcW w:w="454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hAnsi="Arial" w:cs="Arial"/>
                <w:b/>
                <w:bCs/>
                <w:sz w:val="20"/>
                <w:szCs w:val="20"/>
              </w:rPr>
              <w:t>Dzēšanas profils (%)</w:t>
            </w:r>
          </w:p>
        </w:tc>
        <w:tc>
          <w:tcPr>
            <w:tcW w:w="1134" w:type="dxa"/>
            <w:tcBorders>
              <w:top w:val="nil"/>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&lt; 1 gadu</w:t>
            </w:r>
          </w:p>
        </w:tc>
        <w:tc>
          <w:tcPr>
            <w:tcW w:w="1249" w:type="dxa"/>
            <w:tcBorders>
              <w:top w:val="nil"/>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&lt; 3 gadiem</w:t>
            </w:r>
          </w:p>
        </w:tc>
        <w:tc>
          <w:tcPr>
            <w:tcW w:w="1121" w:type="dxa"/>
            <w:tcBorders>
              <w:top w:val="nil"/>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&lt; 1 gadu</w:t>
            </w:r>
          </w:p>
        </w:tc>
        <w:tc>
          <w:tcPr>
            <w:tcW w:w="1121" w:type="dxa"/>
            <w:tcBorders>
              <w:top w:val="nil"/>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hAnsi="Arial" w:cs="Arial"/>
                <w:b/>
                <w:bCs/>
                <w:sz w:val="20"/>
                <w:szCs w:val="20"/>
              </w:rPr>
              <w:t>&lt; 3 gadiem</w:t>
            </w:r>
          </w:p>
        </w:tc>
      </w:tr>
      <w:tr w:rsidR="00C22E5C" w:rsidTr="00616C08">
        <w:trPr>
          <w:trHeight w:val="253"/>
        </w:trPr>
        <w:tc>
          <w:tcPr>
            <w:tcW w:w="4541" w:type="dxa"/>
            <w:vMerge/>
            <w:tcBorders>
              <w:top w:val="nil"/>
              <w:left w:val="single" w:sz="4" w:space="0" w:color="808080"/>
              <w:bottom w:val="single" w:sz="4" w:space="0" w:color="808080"/>
              <w:right w:val="single" w:sz="4" w:space="0" w:color="808080"/>
            </w:tcBorders>
            <w:vAlign w:val="center"/>
            <w:hideMark/>
          </w:tcPr>
          <w:p w:rsidR="00C22E5C" w:rsidRPr="00616C08" w:rsidRDefault="00C22E5C">
            <w:pPr>
              <w:rPr>
                <w:rFonts w:ascii="Arial" w:hAnsi="Arial" w:cs="Arial"/>
                <w:b/>
                <w:bCs/>
                <w:sz w:val="20"/>
                <w:szCs w:val="20"/>
              </w:rPr>
            </w:pPr>
          </w:p>
        </w:tc>
        <w:tc>
          <w:tcPr>
            <w:tcW w:w="1134" w:type="dxa"/>
            <w:tcBorders>
              <w:top w:val="nil"/>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&lt; 25%</w:t>
            </w:r>
          </w:p>
        </w:tc>
        <w:tc>
          <w:tcPr>
            <w:tcW w:w="1249" w:type="dxa"/>
            <w:tcBorders>
              <w:top w:val="nil"/>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&lt; 50%</w:t>
            </w:r>
          </w:p>
        </w:tc>
        <w:tc>
          <w:tcPr>
            <w:tcW w:w="1121" w:type="dxa"/>
            <w:tcBorders>
              <w:top w:val="nil"/>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23%</w:t>
            </w:r>
          </w:p>
        </w:tc>
        <w:tc>
          <w:tcPr>
            <w:tcW w:w="1121" w:type="dxa"/>
            <w:tcBorders>
              <w:top w:val="nil"/>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hAnsi="Arial" w:cs="Arial"/>
                <w:b/>
                <w:bCs/>
                <w:sz w:val="20"/>
                <w:szCs w:val="20"/>
              </w:rPr>
              <w:t>46%</w:t>
            </w:r>
          </w:p>
        </w:tc>
      </w:tr>
      <w:tr w:rsidR="00C22E5C" w:rsidTr="00616C08">
        <w:trPr>
          <w:trHeight w:val="253"/>
        </w:trPr>
        <w:tc>
          <w:tcPr>
            <w:tcW w:w="4541" w:type="dxa"/>
            <w:tcBorders>
              <w:top w:val="nil"/>
              <w:left w:val="single" w:sz="4" w:space="0" w:color="808080"/>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hAnsi="Arial" w:cs="Arial"/>
                <w:b/>
                <w:bCs/>
                <w:sz w:val="20"/>
                <w:szCs w:val="20"/>
              </w:rPr>
              <w:t>Fiksēto procentu likmes minimālais īpatsvars portfelī</w:t>
            </w:r>
          </w:p>
        </w:tc>
        <w:tc>
          <w:tcPr>
            <w:tcW w:w="2383" w:type="dxa"/>
            <w:gridSpan w:val="2"/>
            <w:tcBorders>
              <w:top w:val="single" w:sz="4" w:space="0" w:color="808080"/>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&gt;=60 %</w:t>
            </w:r>
          </w:p>
        </w:tc>
        <w:tc>
          <w:tcPr>
            <w:tcW w:w="2242" w:type="dxa"/>
            <w:gridSpan w:val="2"/>
            <w:tcBorders>
              <w:top w:val="single" w:sz="4" w:space="0" w:color="808080"/>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78%</w:t>
            </w:r>
          </w:p>
        </w:tc>
      </w:tr>
      <w:tr w:rsidR="00C22E5C" w:rsidTr="00616C08">
        <w:trPr>
          <w:trHeight w:val="253"/>
        </w:trPr>
        <w:tc>
          <w:tcPr>
            <w:tcW w:w="4541" w:type="dxa"/>
            <w:tcBorders>
              <w:top w:val="nil"/>
              <w:left w:val="single" w:sz="4" w:space="0" w:color="808080"/>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hAnsi="Arial" w:cs="Arial"/>
                <w:b/>
                <w:bCs/>
                <w:sz w:val="20"/>
                <w:szCs w:val="20"/>
              </w:rPr>
              <w:t>Procentu likmju vidējais svērtais fiksētais periods (gados)</w:t>
            </w:r>
          </w:p>
        </w:tc>
        <w:tc>
          <w:tcPr>
            <w:tcW w:w="2383" w:type="dxa"/>
            <w:gridSpan w:val="2"/>
            <w:tcBorders>
              <w:top w:val="single" w:sz="4" w:space="0" w:color="808080"/>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3,4 - 5,0</w:t>
            </w:r>
          </w:p>
        </w:tc>
        <w:tc>
          <w:tcPr>
            <w:tcW w:w="2242" w:type="dxa"/>
            <w:gridSpan w:val="2"/>
            <w:tcBorders>
              <w:top w:val="single" w:sz="4" w:space="0" w:color="808080"/>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3,5</w:t>
            </w:r>
          </w:p>
        </w:tc>
      </w:tr>
      <w:tr w:rsidR="00C22E5C" w:rsidTr="00616C08">
        <w:trPr>
          <w:trHeight w:val="253"/>
        </w:trPr>
        <w:tc>
          <w:tcPr>
            <w:tcW w:w="454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hAnsi="Arial" w:cs="Arial"/>
                <w:b/>
                <w:bCs/>
                <w:sz w:val="20"/>
                <w:szCs w:val="20"/>
              </w:rPr>
              <w:t>Valūtu kompozīcija (%) tīrajam valūtu parādam</w:t>
            </w:r>
          </w:p>
        </w:tc>
        <w:tc>
          <w:tcPr>
            <w:tcW w:w="2383" w:type="dxa"/>
            <w:gridSpan w:val="2"/>
            <w:tcBorders>
              <w:top w:val="single" w:sz="4" w:space="0" w:color="808080"/>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EUR</w:t>
            </w:r>
          </w:p>
        </w:tc>
        <w:tc>
          <w:tcPr>
            <w:tcW w:w="2242" w:type="dxa"/>
            <w:gridSpan w:val="2"/>
            <w:tcBorders>
              <w:top w:val="single" w:sz="4" w:space="0" w:color="808080"/>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EUR</w:t>
            </w:r>
          </w:p>
        </w:tc>
      </w:tr>
      <w:tr w:rsidR="00C22E5C" w:rsidTr="00616C08">
        <w:trPr>
          <w:trHeight w:val="253"/>
        </w:trPr>
        <w:tc>
          <w:tcPr>
            <w:tcW w:w="4541" w:type="dxa"/>
            <w:vMerge/>
            <w:tcBorders>
              <w:top w:val="nil"/>
              <w:left w:val="single" w:sz="4" w:space="0" w:color="808080"/>
              <w:bottom w:val="single" w:sz="4" w:space="0" w:color="808080"/>
              <w:right w:val="single" w:sz="4" w:space="0" w:color="808080"/>
            </w:tcBorders>
            <w:vAlign w:val="center"/>
            <w:hideMark/>
          </w:tcPr>
          <w:p w:rsidR="00C22E5C" w:rsidRPr="00616C08" w:rsidRDefault="00C22E5C">
            <w:pPr>
              <w:rPr>
                <w:rFonts w:ascii="Arial" w:hAnsi="Arial" w:cs="Arial"/>
                <w:b/>
                <w:bCs/>
                <w:sz w:val="20"/>
                <w:szCs w:val="20"/>
              </w:rPr>
            </w:pPr>
          </w:p>
        </w:tc>
        <w:tc>
          <w:tcPr>
            <w:tcW w:w="2383" w:type="dxa"/>
            <w:gridSpan w:val="2"/>
            <w:tcBorders>
              <w:top w:val="single" w:sz="4" w:space="0" w:color="808080"/>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100% (+/- 5%)</w:t>
            </w:r>
          </w:p>
        </w:tc>
        <w:tc>
          <w:tcPr>
            <w:tcW w:w="2242" w:type="dxa"/>
            <w:gridSpan w:val="2"/>
            <w:tcBorders>
              <w:top w:val="single" w:sz="4" w:space="0" w:color="808080"/>
              <w:left w:val="nil"/>
              <w:bottom w:val="single" w:sz="4" w:space="0" w:color="808080"/>
              <w:right w:val="single" w:sz="4" w:space="0" w:color="808080"/>
            </w:tcBorders>
            <w:shd w:val="clear" w:color="auto" w:fill="auto"/>
            <w:vAlign w:val="center"/>
            <w:hideMark/>
          </w:tcPr>
          <w:p w:rsidR="00C22E5C" w:rsidRPr="00616C08" w:rsidRDefault="00C22E5C">
            <w:pPr>
              <w:jc w:val="center"/>
              <w:rPr>
                <w:rFonts w:ascii="Arial" w:hAnsi="Arial" w:cs="Arial"/>
                <w:b/>
                <w:bCs/>
                <w:sz w:val="20"/>
                <w:szCs w:val="20"/>
              </w:rPr>
            </w:pPr>
            <w:r w:rsidRPr="00616C08">
              <w:rPr>
                <w:rFonts w:ascii="Arial" w:eastAsia="Calibri" w:hAnsi="Arial" w:cs="Arial"/>
                <w:b/>
                <w:bCs/>
                <w:sz w:val="20"/>
                <w:szCs w:val="20"/>
                <w:lang w:eastAsia="en-US"/>
              </w:rPr>
              <w:t>100,1%</w:t>
            </w:r>
          </w:p>
        </w:tc>
      </w:tr>
    </w:tbl>
    <w:p w:rsidR="004F3FAA" w:rsidRPr="00A726B4" w:rsidRDefault="004F3FAA" w:rsidP="004F3FAA">
      <w:pPr>
        <w:spacing w:before="120"/>
        <w:jc w:val="both"/>
        <w:rPr>
          <w:i/>
          <w:sz w:val="18"/>
        </w:rPr>
      </w:pPr>
      <w:r w:rsidRPr="00A726B4">
        <w:rPr>
          <w:i/>
          <w:sz w:val="18"/>
        </w:rPr>
        <w:t>* latu parāda īpatsvars ir vidējā termiņā jānodrošina vismaz 35% apmērā, ja tas atbilst Latvijas valsts makroekonomikas, kapitāla tirgus un visas finanšu sistēmas attīstības tendencēm un ja Valsts kases rīkotajās valsts iekšējā aizņēmuma vidēja un ilgtermiņa vērtspapīru sākotnējās izvietošanas izsolēs piedāvāto vidējo svērto ienesīguma likmju uzcenojums ir mazāks par 100 bāzes punktiem virs aizņemšanās EUR valūtā iespēju līmeņa</w:t>
      </w:r>
    </w:p>
    <w:p w:rsidR="004F3FAA" w:rsidRPr="004A5733" w:rsidRDefault="004F3FAA" w:rsidP="004F3FAA">
      <w:pPr>
        <w:spacing w:before="120"/>
        <w:ind w:firstLine="709"/>
        <w:jc w:val="both"/>
      </w:pPr>
      <w:r w:rsidRPr="004A5733">
        <w:t xml:space="preserve">Valsts kase regulāri veic Latvijas Valsts parāda vadības stratēģijā noteikto parāda portfeļa struktūras parametru izvērtējumu ar mērķi pamatot spēkā esošo rādītāju aktualitāti, kā </w:t>
      </w:r>
      <w:r w:rsidRPr="004A5733">
        <w:lastRenderedPageBreak/>
        <w:t xml:space="preserve">arī izvērtēt nepieciešamību šo rādītāju izmaiņām, rezultātā uzturot valsts parāda portfeļa struktūru, kas nodrošina valsts parāda portfeļa vadības mērķa sasniegšanu. </w:t>
      </w:r>
      <w:r>
        <w:t>L</w:t>
      </w:r>
      <w:r w:rsidRPr="004A5733">
        <w:t>ai ierobežotu valsts parāda procentu likmju risku un ilgtermiņā optimizētu valsts parāda apkalpošanas izmaksas, tiek veikts izmaksu un procentu likmju iespējamā svārstīguma riska mēra (</w:t>
      </w:r>
      <w:proofErr w:type="spellStart"/>
      <w:r w:rsidRPr="00492627">
        <w:rPr>
          <w:i/>
        </w:rPr>
        <w:t>Cost-at-Risk</w:t>
      </w:r>
      <w:r w:rsidRPr="004A5733">
        <w:t>)</w:t>
      </w:r>
      <w:proofErr w:type="spellEnd"/>
      <w:r w:rsidRPr="004A5733">
        <w:t xml:space="preserve"> aprēķins, kas ar noteiktu varbūtību (95%) atspoguļo, cik lielā mērā parāda procentu maksājumi varētu būt lielāki par vidējā termiņā sagaidāmajiem. Balstoties uz aprēķinu rezultātiem un finanšu tirgus prognozēm, tiek noteiktas procentu likmju vidējā svērtā fiksētā perioda un fiksēto likmju īpatsvara rādītāju vērtības, kas nodrošina optimālo izmaksu un procentu likmju riska līdzsvaru</w:t>
      </w:r>
      <w:r>
        <w:t xml:space="preserve"> (skat.1.att.)</w:t>
      </w:r>
      <w:r w:rsidRPr="004A5733">
        <w:t>.</w:t>
      </w:r>
    </w:p>
    <w:p w:rsidR="004F3FAA" w:rsidRPr="008C1ADA" w:rsidRDefault="004F3FAA" w:rsidP="004F3FAA">
      <w:pPr>
        <w:ind w:firstLine="709"/>
        <w:jc w:val="both"/>
      </w:pPr>
      <w:r w:rsidRPr="004A5733">
        <w:t>Valsts parāda vadības iedalīšana divos savstarpēji saistītos procesos ļauj Valsts kasei, veicot jaunus aizņēmumus</w:t>
      </w:r>
      <w:r>
        <w:t>,</w:t>
      </w:r>
      <w:r w:rsidRPr="004A5733">
        <w:t xml:space="preserve"> sasniegt valsts aizņēmumu vadības mērķi, savukārt</w:t>
      </w:r>
      <w:r>
        <w:t>,</w:t>
      </w:r>
      <w:r w:rsidRPr="004A5733">
        <w:t xml:space="preserve"> vēlāk, nepieciešamības gadījumā, koriģēt valsts parāda portfeļa struktūru ar atvasināto finanšu instrumentu un citu pieejamo līdzekļu palīdzību tā, lai tā būtu optimāla un atbilstu Latvijas Valsts parāda vadības stratēģijā noteiktai</w:t>
      </w:r>
      <w:r w:rsidRPr="00492627">
        <w:t xml:space="preserve">. </w:t>
      </w:r>
      <w:r>
        <w:t xml:space="preserve">Veicot iepriekš minētās darbības, </w:t>
      </w:r>
      <w:r w:rsidRPr="00492627">
        <w:t>Valsts kase nodrošina valsts parāda portfeļa atbilstību Latvijas Valsts parāda vadības stratēģijā noteiktiem struktūras radītājiem (skat.1.tab.).</w:t>
      </w:r>
    </w:p>
    <w:p w:rsidR="004F3FAA" w:rsidRPr="006212D5" w:rsidRDefault="004F3FAA" w:rsidP="004F3FAA">
      <w:pPr>
        <w:spacing w:before="120" w:after="120"/>
        <w:jc w:val="both"/>
        <w:rPr>
          <w:b/>
        </w:rPr>
      </w:pPr>
      <w:r>
        <w:rPr>
          <w:b/>
        </w:rPr>
        <w:t xml:space="preserve">1.2. </w:t>
      </w:r>
      <w:r w:rsidRPr="006212D5">
        <w:rPr>
          <w:b/>
        </w:rPr>
        <w:t>Valsts aizņēmumu vadība</w:t>
      </w:r>
    </w:p>
    <w:p w:rsidR="004F3FAA" w:rsidRPr="00065D02" w:rsidRDefault="004F3FAA" w:rsidP="004F3FAA">
      <w:pPr>
        <w:spacing w:before="120"/>
        <w:ind w:firstLine="709"/>
        <w:jc w:val="both"/>
        <w:rPr>
          <w:b/>
        </w:rPr>
      </w:pPr>
      <w:r w:rsidRPr="00065D02">
        <w:rPr>
          <w:b/>
        </w:rPr>
        <w:t xml:space="preserve">Valsts aizņēmumu vadības mērķis ir nodrošināt pastāvīgu resursu piesaistes iespēju starptautiskajos un iekšzemes kapitāla tirgos ar optimāliem aizņemšanās darījumu nosacījumiem. </w:t>
      </w:r>
    </w:p>
    <w:p w:rsidR="004F3FAA" w:rsidRPr="00A91585" w:rsidRDefault="004F3FAA" w:rsidP="004F3FAA">
      <w:pPr>
        <w:ind w:firstLine="709"/>
        <w:jc w:val="both"/>
      </w:pPr>
      <w:r w:rsidRPr="00A91585">
        <w:t>Valsts kase nodrošina valsts aizņēmumu vadību saskaņā ar šādiem būtiskākiem pamatprincipiem:</w:t>
      </w:r>
    </w:p>
    <w:p w:rsidR="004F3FAA" w:rsidRPr="00F94BD9" w:rsidRDefault="004F3FAA" w:rsidP="004F3FAA">
      <w:pPr>
        <w:pStyle w:val="ListParagraph"/>
        <w:numPr>
          <w:ilvl w:val="0"/>
          <w:numId w:val="24"/>
        </w:numPr>
        <w:spacing w:before="120"/>
        <w:jc w:val="both"/>
        <w:rPr>
          <w:rFonts w:ascii="Times New Roman" w:hAnsi="Times New Roman"/>
          <w:sz w:val="24"/>
        </w:rPr>
      </w:pPr>
      <w:r w:rsidRPr="00F94BD9">
        <w:rPr>
          <w:rFonts w:ascii="Times New Roman" w:hAnsi="Times New Roman"/>
          <w:sz w:val="24"/>
        </w:rPr>
        <w:t>aizņemšanās instrumentu un to nosacījumu izvēle ir orientēta uz līdzsvaru starp (prioritārā secībā) valsts parāda pārfinansēšanu, budžeta deficīta finansēšanu, Māstrihtas kritēriju ievērošanas veicināšanu, finanšu resursu rezerves nodrošināšanu un valsts parāda portfeļa struktūras parametru ievērošanu;</w:t>
      </w:r>
    </w:p>
    <w:p w:rsidR="004F3FAA" w:rsidRPr="00F94BD9" w:rsidRDefault="004F3FAA" w:rsidP="004F3FAA">
      <w:pPr>
        <w:pStyle w:val="ListParagraph"/>
        <w:numPr>
          <w:ilvl w:val="0"/>
          <w:numId w:val="24"/>
        </w:numPr>
        <w:spacing w:before="120"/>
        <w:jc w:val="both"/>
        <w:rPr>
          <w:rFonts w:ascii="Times New Roman" w:hAnsi="Times New Roman"/>
          <w:sz w:val="24"/>
        </w:rPr>
      </w:pPr>
      <w:r w:rsidRPr="00F94BD9">
        <w:rPr>
          <w:rFonts w:ascii="Times New Roman" w:hAnsi="Times New Roman"/>
          <w:sz w:val="24"/>
        </w:rPr>
        <w:t>darbībās iekšzemes un starptautiskajā finanšu tirgū tiek nodrošināta profesionalitāte, atklātība, mērķtiecīgums un savlaicīgums, kā arī līgumsaistības tiek izpildītas noteiktā laikā un apjomā;</w:t>
      </w:r>
    </w:p>
    <w:p w:rsidR="004F3FAA" w:rsidRPr="00F94BD9" w:rsidRDefault="004F3FAA" w:rsidP="004F3FAA">
      <w:pPr>
        <w:pStyle w:val="ListParagraph"/>
        <w:numPr>
          <w:ilvl w:val="0"/>
          <w:numId w:val="24"/>
        </w:numPr>
        <w:spacing w:before="120"/>
        <w:jc w:val="both"/>
        <w:rPr>
          <w:rFonts w:ascii="Times New Roman" w:hAnsi="Times New Roman"/>
          <w:sz w:val="24"/>
        </w:rPr>
      </w:pPr>
      <w:r>
        <w:rPr>
          <w:rFonts w:ascii="Times New Roman" w:hAnsi="Times New Roman"/>
          <w:sz w:val="24"/>
        </w:rPr>
        <w:t xml:space="preserve">veicot </w:t>
      </w:r>
      <w:r w:rsidRPr="00F94BD9">
        <w:rPr>
          <w:rFonts w:ascii="Times New Roman" w:hAnsi="Times New Roman"/>
          <w:sz w:val="24"/>
        </w:rPr>
        <w:t>aizņēmumu</w:t>
      </w:r>
      <w:r>
        <w:rPr>
          <w:rFonts w:ascii="Times New Roman" w:hAnsi="Times New Roman"/>
          <w:sz w:val="24"/>
        </w:rPr>
        <w:t xml:space="preserve"> darījumus</w:t>
      </w:r>
      <w:r w:rsidRPr="00F94BD9">
        <w:rPr>
          <w:rFonts w:ascii="Times New Roman" w:hAnsi="Times New Roman"/>
          <w:sz w:val="24"/>
        </w:rPr>
        <w:t xml:space="preserve">, primāri </w:t>
      </w:r>
      <w:r>
        <w:rPr>
          <w:rFonts w:ascii="Times New Roman" w:hAnsi="Times New Roman"/>
          <w:sz w:val="24"/>
        </w:rPr>
        <w:t xml:space="preserve">tiek </w:t>
      </w:r>
      <w:r w:rsidRPr="00F94BD9">
        <w:rPr>
          <w:rFonts w:ascii="Times New Roman" w:hAnsi="Times New Roman"/>
          <w:sz w:val="24"/>
        </w:rPr>
        <w:t>vērtē</w:t>
      </w:r>
      <w:r>
        <w:rPr>
          <w:rFonts w:ascii="Times New Roman" w:hAnsi="Times New Roman"/>
          <w:sz w:val="24"/>
        </w:rPr>
        <w:t>tas</w:t>
      </w:r>
      <w:r w:rsidRPr="00F94BD9">
        <w:rPr>
          <w:rFonts w:ascii="Times New Roman" w:hAnsi="Times New Roman"/>
          <w:sz w:val="24"/>
        </w:rPr>
        <w:t xml:space="preserve"> ilgtermiņa finanšu tirgus nosacījumu uzlabošanas iespējas, nodrošin</w:t>
      </w:r>
      <w:r>
        <w:rPr>
          <w:rFonts w:ascii="Times New Roman" w:hAnsi="Times New Roman"/>
          <w:sz w:val="24"/>
        </w:rPr>
        <w:t>o</w:t>
      </w:r>
      <w:r w:rsidRPr="00F94BD9">
        <w:rPr>
          <w:rFonts w:ascii="Times New Roman" w:hAnsi="Times New Roman"/>
          <w:sz w:val="24"/>
        </w:rPr>
        <w:t>t iespējami izdevīgāk</w:t>
      </w:r>
      <w:r>
        <w:rPr>
          <w:rFonts w:ascii="Times New Roman" w:hAnsi="Times New Roman"/>
          <w:sz w:val="24"/>
        </w:rPr>
        <w:t>us</w:t>
      </w:r>
      <w:r w:rsidRPr="00F94BD9">
        <w:rPr>
          <w:rFonts w:ascii="Times New Roman" w:hAnsi="Times New Roman"/>
          <w:sz w:val="24"/>
        </w:rPr>
        <w:t xml:space="preserve"> aizņēmumu darījumu nosacījum</w:t>
      </w:r>
      <w:r>
        <w:rPr>
          <w:rFonts w:ascii="Times New Roman" w:hAnsi="Times New Roman"/>
          <w:sz w:val="24"/>
        </w:rPr>
        <w:t>us</w:t>
      </w:r>
      <w:r w:rsidRPr="00F94BD9">
        <w:rPr>
          <w:rFonts w:ascii="Times New Roman" w:hAnsi="Times New Roman"/>
          <w:sz w:val="24"/>
        </w:rPr>
        <w:t xml:space="preserve">, vienlaicīgi </w:t>
      </w:r>
      <w:r>
        <w:rPr>
          <w:rFonts w:ascii="Times New Roman" w:hAnsi="Times New Roman"/>
          <w:sz w:val="24"/>
        </w:rPr>
        <w:t>ievērojot</w:t>
      </w:r>
      <w:r w:rsidRPr="00F94BD9">
        <w:rPr>
          <w:rFonts w:ascii="Times New Roman" w:hAnsi="Times New Roman"/>
          <w:sz w:val="24"/>
        </w:rPr>
        <w:t xml:space="preserve"> valsts parāda portfeļa vadības pamatprincipus, kā arī investoru bāzes diversifikācijas principu</w:t>
      </w:r>
      <w:r>
        <w:rPr>
          <w:rFonts w:ascii="Times New Roman" w:hAnsi="Times New Roman"/>
          <w:sz w:val="24"/>
        </w:rPr>
        <w:t>;</w:t>
      </w:r>
      <w:r w:rsidRPr="00F94BD9">
        <w:rPr>
          <w:rFonts w:ascii="Times New Roman" w:hAnsi="Times New Roman"/>
          <w:sz w:val="24"/>
        </w:rPr>
        <w:t xml:space="preserve"> </w:t>
      </w:r>
    </w:p>
    <w:p w:rsidR="004F3FAA" w:rsidRPr="00F94BD9" w:rsidRDefault="004F3FAA" w:rsidP="004F3FAA">
      <w:pPr>
        <w:pStyle w:val="ListParagraph"/>
        <w:numPr>
          <w:ilvl w:val="0"/>
          <w:numId w:val="24"/>
        </w:numPr>
        <w:spacing w:before="120" w:after="120"/>
        <w:jc w:val="both"/>
        <w:rPr>
          <w:rFonts w:ascii="Times New Roman" w:hAnsi="Times New Roman"/>
          <w:sz w:val="24"/>
        </w:rPr>
      </w:pPr>
      <w:r w:rsidRPr="00F94BD9">
        <w:rPr>
          <w:rFonts w:ascii="Times New Roman" w:hAnsi="Times New Roman"/>
          <w:sz w:val="24"/>
        </w:rPr>
        <w:t xml:space="preserve">lai sasniegtu iespējami izdevīgākos </w:t>
      </w:r>
      <w:r>
        <w:rPr>
          <w:rFonts w:ascii="Times New Roman" w:hAnsi="Times New Roman"/>
          <w:sz w:val="24"/>
        </w:rPr>
        <w:t xml:space="preserve">aizņēmumu </w:t>
      </w:r>
      <w:r w:rsidRPr="00F94BD9">
        <w:rPr>
          <w:rFonts w:ascii="Times New Roman" w:hAnsi="Times New Roman"/>
          <w:sz w:val="24"/>
        </w:rPr>
        <w:t>darījumu nosacījumus, ir pieļaujama valsts parāda portfeļa vadībai noteikto atvasināto finanšu instrumentu izmantošana.</w:t>
      </w:r>
    </w:p>
    <w:p w:rsidR="004F3FAA" w:rsidRDefault="004F3FAA" w:rsidP="004F3FAA">
      <w:pPr>
        <w:ind w:firstLine="720"/>
        <w:jc w:val="both"/>
        <w:rPr>
          <w:color w:val="FF0000"/>
        </w:rPr>
      </w:pPr>
      <w:r>
        <w:t xml:space="preserve">Veicot valsts </w:t>
      </w:r>
      <w:r w:rsidRPr="00396E74">
        <w:t xml:space="preserve">parāda un budžeta saistību izpildi, Valsts kase </w:t>
      </w:r>
      <w:r>
        <w:t xml:space="preserve">izmanto stratēģisku pieeju </w:t>
      </w:r>
      <w:r w:rsidRPr="00396E74">
        <w:t>valsts aizņemšanās un parāda vadības proces</w:t>
      </w:r>
      <w:r>
        <w:t>a</w:t>
      </w:r>
      <w:r w:rsidRPr="00396E74">
        <w:t xml:space="preserve"> </w:t>
      </w:r>
      <w:r>
        <w:t>nodrošināšanā</w:t>
      </w:r>
      <w:r w:rsidRPr="00396E74">
        <w:t>. Tas ļauj ierobežot finanšu riskus</w:t>
      </w:r>
      <w:r>
        <w:t xml:space="preserve"> vidējā termiņā, kā arī</w:t>
      </w:r>
      <w:r w:rsidRPr="00396E74">
        <w:t xml:space="preserve"> nodrošināt </w:t>
      </w:r>
      <w:r>
        <w:t>k</w:t>
      </w:r>
      <w:r w:rsidRPr="002D5CE8">
        <w:t>opējās finansēšanas nepieciešamības segšanai</w:t>
      </w:r>
      <w:r>
        <w:t xml:space="preserve"> </w:t>
      </w:r>
      <w:r w:rsidRPr="00396E74">
        <w:t>nepieciešamo</w:t>
      </w:r>
      <w:r>
        <w:t>s</w:t>
      </w:r>
      <w:r w:rsidRPr="00396E74">
        <w:t xml:space="preserve"> resursus </w:t>
      </w:r>
      <w:r>
        <w:t>savlaicīgi, ar pēc iespējas labvēlīgākiem un izdevīgākiem nosacījumiem</w:t>
      </w:r>
      <w:r w:rsidRPr="00396E74">
        <w:t>.</w:t>
      </w:r>
    </w:p>
    <w:p w:rsidR="004F3FAA" w:rsidRDefault="004F3FAA" w:rsidP="004F3FAA">
      <w:pPr>
        <w:ind w:firstLine="720"/>
        <w:jc w:val="both"/>
      </w:pPr>
      <w:r w:rsidRPr="002D5CE8">
        <w:t xml:space="preserve">Kopējās finansēšanas nepieciešamības segšanai plānotos pasākumus un finansēšanai piemērotāko aizņemšanās instrumentu izvēli nosaka Resursu piesaistīšanas pasākumu plāns vidējam termiņam, kuru, ņemot vērā Latvijas Valsts parāda vadības stratēģijā noteiktās vadlīnijas, izstrādā Valsts kase un apstiprina finanšu ministrs. Resursu piesaistīšanas pasākumu plānā vidējam termiņam novērtē kopējo finansēšanas nepieciešamību (dažkārt tajā tiek izvirzīti vairāki notikumu attīstības scenāriji), analizē iekšzemes un starptautisko finanšu </w:t>
      </w:r>
      <w:r w:rsidRPr="002D5CE8">
        <w:lastRenderedPageBreak/>
        <w:t>tirgu situāciju</w:t>
      </w:r>
      <w:r>
        <w:t xml:space="preserve"> un</w:t>
      </w:r>
      <w:r w:rsidRPr="002D5CE8">
        <w:t xml:space="preserve"> makroekonomiskos rādītājus, procentu likmju prognozes un tendences, izvērtē alternatīvus aizņemšanās instrumentus un dažādus to izmantošanas scenārijus, lai tādējādi nodrošinātu finanšu resursu piesaisti uz valstij izdevīgiem nosacījumiem.</w:t>
      </w:r>
    </w:p>
    <w:p w:rsidR="004F3FAA" w:rsidRPr="00376D70" w:rsidRDefault="004F3FAA" w:rsidP="004F3FAA">
      <w:pPr>
        <w:spacing w:after="120"/>
        <w:ind w:firstLine="567"/>
        <w:jc w:val="right"/>
        <w:rPr>
          <w:sz w:val="22"/>
        </w:rPr>
      </w:pPr>
      <w:r w:rsidRPr="00376D70">
        <w:rPr>
          <w:sz w:val="22"/>
        </w:rPr>
        <w:t>2.tabula</w:t>
      </w:r>
    </w:p>
    <w:p w:rsidR="004F3FAA" w:rsidRDefault="004F3FAA" w:rsidP="004F3FAA">
      <w:pPr>
        <w:spacing w:line="276" w:lineRule="auto"/>
        <w:jc w:val="center"/>
        <w:rPr>
          <w:b/>
        </w:rPr>
      </w:pPr>
      <w:r>
        <w:rPr>
          <w:b/>
        </w:rPr>
        <w:t xml:space="preserve">Valsts aizņēmumu atmaksas grafiks nominālvērtībā, </w:t>
      </w:r>
      <w:proofErr w:type="spellStart"/>
      <w:r>
        <w:rPr>
          <w:b/>
        </w:rPr>
        <w:t>milj.latu</w:t>
      </w:r>
      <w:proofErr w:type="spellEnd"/>
    </w:p>
    <w:p w:rsidR="004F3FAA" w:rsidRPr="00B72FCD" w:rsidRDefault="004F3FAA" w:rsidP="004F3FAA">
      <w:pPr>
        <w:spacing w:after="120"/>
        <w:jc w:val="center"/>
        <w:rPr>
          <w:sz w:val="22"/>
        </w:rPr>
      </w:pPr>
      <w:r w:rsidRPr="00B72FCD">
        <w:rPr>
          <w:sz w:val="22"/>
        </w:rPr>
        <w:t>(līdz 31.11.2013. uzņemtās saistības)</w:t>
      </w:r>
    </w:p>
    <w:p w:rsidR="00B53848" w:rsidRDefault="00B53848" w:rsidP="004F3FAA">
      <w:pPr>
        <w:spacing w:after="120"/>
        <w:jc w:val="center"/>
        <w:rPr>
          <w:sz w:val="20"/>
        </w:rPr>
      </w:pPr>
      <w:r w:rsidRPr="00B53848">
        <w:rPr>
          <w:noProof/>
        </w:rPr>
        <w:drawing>
          <wp:inline distT="0" distB="0" distL="0" distR="0" wp14:anchorId="2FBF16DB" wp14:editId="50DC9E02">
            <wp:extent cx="5777068" cy="971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4522" cy="971122"/>
                    </a:xfrm>
                    <a:prstGeom prst="rect">
                      <a:avLst/>
                    </a:prstGeom>
                    <a:noFill/>
                    <a:ln>
                      <a:noFill/>
                    </a:ln>
                  </pic:spPr>
                </pic:pic>
              </a:graphicData>
            </a:graphic>
          </wp:inline>
        </w:drawing>
      </w:r>
    </w:p>
    <w:p w:rsidR="004F3FAA" w:rsidRPr="00A726B4" w:rsidRDefault="004F3FAA" w:rsidP="004F3FAA">
      <w:pPr>
        <w:spacing w:line="276" w:lineRule="auto"/>
        <w:rPr>
          <w:i/>
          <w:sz w:val="18"/>
          <w:szCs w:val="18"/>
        </w:rPr>
      </w:pPr>
      <w:r w:rsidRPr="00A726B4">
        <w:rPr>
          <w:i/>
          <w:sz w:val="18"/>
          <w:szCs w:val="18"/>
        </w:rPr>
        <w:t>* aprēķinā izmantoti 31.1</w:t>
      </w:r>
      <w:r w:rsidR="00A726B4" w:rsidRPr="00A726B4">
        <w:rPr>
          <w:i/>
          <w:sz w:val="18"/>
          <w:szCs w:val="18"/>
        </w:rPr>
        <w:t>1</w:t>
      </w:r>
      <w:r w:rsidRPr="00A726B4">
        <w:rPr>
          <w:i/>
          <w:sz w:val="18"/>
          <w:szCs w:val="18"/>
        </w:rPr>
        <w:t>.2013. Latvijas Bankas noteiktie valūtas kursi</w:t>
      </w:r>
    </w:p>
    <w:p w:rsidR="004F3FAA" w:rsidRPr="00A726B4" w:rsidRDefault="004F3FAA" w:rsidP="004F3FAA">
      <w:pPr>
        <w:spacing w:line="276" w:lineRule="auto"/>
        <w:rPr>
          <w:i/>
          <w:sz w:val="18"/>
          <w:szCs w:val="18"/>
        </w:rPr>
      </w:pPr>
      <w:r w:rsidRPr="00A726B4">
        <w:rPr>
          <w:i/>
          <w:sz w:val="18"/>
          <w:szCs w:val="18"/>
        </w:rPr>
        <w:t>** nav iekļauti valsts budžeta, kā arī  ministriju, citu centrālo valsts iestāžu un atvasināto publisko personu aizņēmumi ārpus Valsts kases</w:t>
      </w:r>
    </w:p>
    <w:p w:rsidR="004F3FAA" w:rsidRDefault="004F3FAA" w:rsidP="00B53848">
      <w:pPr>
        <w:spacing w:after="120"/>
        <w:jc w:val="center"/>
        <w:rPr>
          <w:sz w:val="20"/>
        </w:rPr>
      </w:pPr>
      <w:r>
        <w:rPr>
          <w:noProof/>
          <w:sz w:val="20"/>
        </w:rPr>
        <w:drawing>
          <wp:inline distT="0" distB="0" distL="0" distR="0">
            <wp:extent cx="5714365" cy="18561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4365" cy="1856105"/>
                    </a:xfrm>
                    <a:prstGeom prst="rect">
                      <a:avLst/>
                    </a:prstGeom>
                    <a:noFill/>
                  </pic:spPr>
                </pic:pic>
              </a:graphicData>
            </a:graphic>
          </wp:inline>
        </w:drawing>
      </w:r>
    </w:p>
    <w:p w:rsidR="004F3FAA" w:rsidRDefault="004F3FAA" w:rsidP="004F3FAA">
      <w:pPr>
        <w:spacing w:before="120"/>
        <w:jc w:val="center"/>
        <w:rPr>
          <w:b/>
        </w:rPr>
      </w:pPr>
      <w:r>
        <w:rPr>
          <w:sz w:val="22"/>
        </w:rPr>
        <w:t>2</w:t>
      </w:r>
      <w:r w:rsidRPr="00376D70">
        <w:rPr>
          <w:sz w:val="22"/>
        </w:rPr>
        <w:t xml:space="preserve">.attēls. </w:t>
      </w:r>
      <w:r w:rsidRPr="00676492">
        <w:rPr>
          <w:b/>
        </w:rPr>
        <w:t>Valsts a</w:t>
      </w:r>
      <w:r>
        <w:rPr>
          <w:b/>
        </w:rPr>
        <w:t>izņēmumu</w:t>
      </w:r>
      <w:r w:rsidRPr="00676492">
        <w:rPr>
          <w:b/>
        </w:rPr>
        <w:t xml:space="preserve"> atmaksas grafiks nominālvērtībā</w:t>
      </w:r>
      <w:r>
        <w:rPr>
          <w:b/>
        </w:rPr>
        <w:t xml:space="preserve"> </w:t>
      </w:r>
    </w:p>
    <w:p w:rsidR="004F3FAA" w:rsidRPr="00B72FCD" w:rsidRDefault="004F3FAA" w:rsidP="004F3FAA">
      <w:pPr>
        <w:spacing w:after="120"/>
        <w:jc w:val="center"/>
        <w:rPr>
          <w:sz w:val="22"/>
          <w:szCs w:val="20"/>
        </w:rPr>
      </w:pPr>
      <w:r w:rsidRPr="00B72FCD">
        <w:rPr>
          <w:sz w:val="22"/>
          <w:szCs w:val="20"/>
        </w:rPr>
        <w:t>(līdz 31.11.2013. uzņemtās saistības)</w:t>
      </w:r>
    </w:p>
    <w:p w:rsidR="004F3FAA" w:rsidRPr="00676492" w:rsidRDefault="004F3FAA" w:rsidP="004F3FAA">
      <w:pPr>
        <w:ind w:firstLine="720"/>
        <w:jc w:val="both"/>
      </w:pPr>
      <w:r w:rsidRPr="00676492">
        <w:t>Atbilstoši Latvijas V</w:t>
      </w:r>
      <w:r>
        <w:t>alsts parāda vadības stratēģijai,</w:t>
      </w:r>
      <w:r w:rsidRPr="00676492">
        <w:t xml:space="preserve"> </w:t>
      </w:r>
      <w:r w:rsidRPr="006F3C92">
        <w:rPr>
          <w:b/>
        </w:rPr>
        <w:t>nodrošinot valsts parāda pārfinansēšanas riska novēršanu un valsts parāda vadības izdevumu optimizēšanu vidējā termiņā</w:t>
      </w:r>
      <w:r w:rsidRPr="00676492">
        <w:t xml:space="preserve">, Valsts kase realizē vidēja termiņa aizņemšanās stratēģiju saskaņā ar </w:t>
      </w:r>
      <w:r w:rsidRPr="00B32EA7">
        <w:t>Resursu piesaistīšanas pasākumu plān</w:t>
      </w:r>
      <w:r>
        <w:t xml:space="preserve">ā noteiktajām </w:t>
      </w:r>
      <w:r w:rsidRPr="00676492">
        <w:t xml:space="preserve">šādām </w:t>
      </w:r>
      <w:r>
        <w:t xml:space="preserve">būtiskākām </w:t>
      </w:r>
      <w:r w:rsidRPr="00676492">
        <w:t>prioritātēm</w:t>
      </w:r>
      <w:r>
        <w:t>, pamatuzdevumiem  un apsvērumiem (</w:t>
      </w:r>
      <w:proofErr w:type="spellStart"/>
      <w:r>
        <w:t>skat</w:t>
      </w:r>
      <w:proofErr w:type="spellEnd"/>
      <w:r>
        <w:t xml:space="preserve">. </w:t>
      </w:r>
      <w:r w:rsidRPr="00E965BB">
        <w:t>3.att.):</w:t>
      </w:r>
    </w:p>
    <w:p w:rsidR="004F3FAA" w:rsidRPr="00AC1B94" w:rsidRDefault="004F3FAA" w:rsidP="004F3FAA">
      <w:pPr>
        <w:pStyle w:val="ListParagraph"/>
        <w:numPr>
          <w:ilvl w:val="0"/>
          <w:numId w:val="23"/>
        </w:numPr>
        <w:spacing w:before="120"/>
        <w:ind w:left="357" w:hanging="357"/>
        <w:jc w:val="both"/>
        <w:rPr>
          <w:rFonts w:ascii="Times New Roman" w:hAnsi="Times New Roman"/>
          <w:sz w:val="24"/>
        </w:rPr>
      </w:pPr>
      <w:r w:rsidRPr="00AC1B94">
        <w:rPr>
          <w:rFonts w:ascii="Times New Roman" w:hAnsi="Times New Roman"/>
          <w:sz w:val="24"/>
        </w:rPr>
        <w:t xml:space="preserve">veikt pakāpenisku un savlaicīgu aizņemšanos starptautiskajos finanšu tirgos, galvenokārt organizējot regulāras publiskas valsts parāda vērtspapīru emisijas, lai saskaņā ar noteiktiem atmaksas grafikiem </w:t>
      </w:r>
      <w:r>
        <w:rPr>
          <w:rFonts w:ascii="Times New Roman" w:hAnsi="Times New Roman"/>
          <w:sz w:val="24"/>
        </w:rPr>
        <w:t>(</w:t>
      </w:r>
      <w:proofErr w:type="spellStart"/>
      <w:r>
        <w:rPr>
          <w:rFonts w:ascii="Times New Roman" w:hAnsi="Times New Roman"/>
          <w:sz w:val="24"/>
        </w:rPr>
        <w:t>skat</w:t>
      </w:r>
      <w:proofErr w:type="spellEnd"/>
      <w:r>
        <w:rPr>
          <w:rFonts w:ascii="Times New Roman" w:hAnsi="Times New Roman"/>
          <w:sz w:val="24"/>
        </w:rPr>
        <w:t xml:space="preserve">. </w:t>
      </w:r>
      <w:r w:rsidRPr="00E965BB">
        <w:rPr>
          <w:rFonts w:ascii="Times New Roman" w:hAnsi="Times New Roman"/>
          <w:sz w:val="24"/>
        </w:rPr>
        <w:t>2.tab. un 2.att.</w:t>
      </w:r>
      <w:r>
        <w:rPr>
          <w:rFonts w:ascii="Times New Roman" w:hAnsi="Times New Roman"/>
          <w:sz w:val="24"/>
        </w:rPr>
        <w:t xml:space="preserve">) </w:t>
      </w:r>
      <w:r w:rsidRPr="00AC1B94">
        <w:rPr>
          <w:rFonts w:ascii="Times New Roman" w:hAnsi="Times New Roman"/>
          <w:sz w:val="24"/>
        </w:rPr>
        <w:t>nodrošinātu starptautiskā aizņēmuma programmas ietvaros uzņemto valsts parāda saistību pārfinansēšanu ar aizņēmumu likmju un termiņu ziņā labvēlīgiem nosacījumiem;</w:t>
      </w:r>
    </w:p>
    <w:p w:rsidR="004F3FAA" w:rsidRDefault="004F3FAA" w:rsidP="004F3FAA">
      <w:pPr>
        <w:pStyle w:val="ListParagraph"/>
        <w:numPr>
          <w:ilvl w:val="0"/>
          <w:numId w:val="23"/>
        </w:numPr>
        <w:spacing w:before="120"/>
        <w:ind w:left="357" w:hanging="357"/>
        <w:jc w:val="both"/>
        <w:rPr>
          <w:rFonts w:ascii="Times New Roman" w:hAnsi="Times New Roman"/>
          <w:sz w:val="24"/>
        </w:rPr>
      </w:pPr>
      <w:r w:rsidRPr="00AC1B94">
        <w:rPr>
          <w:rFonts w:ascii="Times New Roman" w:hAnsi="Times New Roman"/>
          <w:sz w:val="24"/>
        </w:rPr>
        <w:t>nodrošināt valsts vērtspapīru investoru loka diversifikāciju un paplašināšanu, īstenojot regulāru, pastāvīgu dialogu un ilgtermiņa darbu ar investoru sabiedrību un sadarbības partneriem, lai veicinātu dažādu pasaules reģionu investoru aktīvu dalību valsts ārējā aizņēmuma vērtspapīru sākotnējā izvietošanā</w:t>
      </w:r>
      <w:r>
        <w:rPr>
          <w:rFonts w:ascii="Times New Roman" w:hAnsi="Times New Roman"/>
          <w:sz w:val="24"/>
        </w:rPr>
        <w:t xml:space="preserve"> un nodrošinātu valstij aizņemšanās iespējas dažādos pasaules tirgos</w:t>
      </w:r>
      <w:r w:rsidRPr="00AC1B94">
        <w:rPr>
          <w:rFonts w:ascii="Times New Roman" w:hAnsi="Times New Roman"/>
          <w:sz w:val="24"/>
        </w:rPr>
        <w:t>;</w:t>
      </w:r>
    </w:p>
    <w:p w:rsidR="004F3FAA" w:rsidRDefault="004F3FAA" w:rsidP="004F3FAA">
      <w:pPr>
        <w:pStyle w:val="ListParagraph"/>
        <w:numPr>
          <w:ilvl w:val="0"/>
          <w:numId w:val="23"/>
        </w:numPr>
        <w:spacing w:before="120" w:after="120"/>
        <w:ind w:left="357" w:hanging="357"/>
        <w:jc w:val="both"/>
        <w:rPr>
          <w:rFonts w:ascii="Times New Roman" w:hAnsi="Times New Roman"/>
          <w:sz w:val="24"/>
        </w:rPr>
      </w:pPr>
      <w:r w:rsidRPr="00AC1B94">
        <w:rPr>
          <w:rFonts w:ascii="Times New Roman" w:hAnsi="Times New Roman"/>
          <w:sz w:val="24"/>
        </w:rPr>
        <w:t xml:space="preserve">veicināt iekšzemes finanšu tirgus attīstību un </w:t>
      </w:r>
      <w:r>
        <w:rPr>
          <w:rFonts w:ascii="Times New Roman" w:hAnsi="Times New Roman"/>
          <w:sz w:val="24"/>
        </w:rPr>
        <w:t xml:space="preserve">tā potenciāla izmantošanu, </w:t>
      </w:r>
      <w:r w:rsidRPr="00AC1B94">
        <w:rPr>
          <w:rFonts w:ascii="Times New Roman" w:hAnsi="Times New Roman"/>
          <w:sz w:val="24"/>
        </w:rPr>
        <w:t>nodrošin</w:t>
      </w:r>
      <w:r>
        <w:rPr>
          <w:rFonts w:ascii="Times New Roman" w:hAnsi="Times New Roman"/>
          <w:sz w:val="24"/>
        </w:rPr>
        <w:t>o</w:t>
      </w:r>
      <w:r w:rsidRPr="00AC1B94">
        <w:rPr>
          <w:rFonts w:ascii="Times New Roman" w:hAnsi="Times New Roman"/>
          <w:sz w:val="24"/>
        </w:rPr>
        <w:t>t atbilstošas ieguldījumu iespējas iekšzemes finanšu tirgus dalībniekiem</w:t>
      </w:r>
      <w:r>
        <w:rPr>
          <w:rFonts w:ascii="Times New Roman" w:hAnsi="Times New Roman"/>
          <w:sz w:val="24"/>
        </w:rPr>
        <w:t xml:space="preserve"> ar regulāru un pastāvīgu valsts iekšējā aizņēmuma vērtspapīru piedāvājumu;</w:t>
      </w:r>
    </w:p>
    <w:p w:rsidR="004F3FAA" w:rsidRDefault="004F3FAA" w:rsidP="004F3FAA">
      <w:pPr>
        <w:pStyle w:val="ListParagraph"/>
        <w:numPr>
          <w:ilvl w:val="0"/>
          <w:numId w:val="23"/>
        </w:numPr>
        <w:spacing w:before="120" w:after="120"/>
        <w:ind w:left="357" w:hanging="357"/>
        <w:jc w:val="both"/>
        <w:rPr>
          <w:rFonts w:ascii="Times New Roman" w:hAnsi="Times New Roman"/>
          <w:sz w:val="24"/>
        </w:rPr>
      </w:pPr>
      <w:r>
        <w:rPr>
          <w:rFonts w:ascii="Times New Roman" w:hAnsi="Times New Roman"/>
          <w:sz w:val="24"/>
        </w:rPr>
        <w:lastRenderedPageBreak/>
        <w:t>nodrošināt savlaicīgi veikto aizņēmumu resursu rezervēšanu valsts parāda atmaksai, lai novērstu valsts parāda pārfinansēšanas risku un saglabātu elastību aizņemšanās nosacījumu izvēlē.</w:t>
      </w:r>
    </w:p>
    <w:p w:rsidR="004F3FAA" w:rsidRPr="00676492" w:rsidRDefault="004F3FAA" w:rsidP="004F3FAA">
      <w:pPr>
        <w:ind w:firstLine="720"/>
        <w:jc w:val="both"/>
        <w:rPr>
          <w:b/>
        </w:rPr>
      </w:pPr>
    </w:p>
    <w:p w:rsidR="004F3FAA" w:rsidRDefault="004F3FAA" w:rsidP="004F3FAA">
      <w:pPr>
        <w:pStyle w:val="ListParagraph"/>
        <w:ind w:left="0"/>
        <w:jc w:val="center"/>
        <w:rPr>
          <w:color w:val="FF0000"/>
        </w:rPr>
      </w:pPr>
      <w:r>
        <w:rPr>
          <w:noProof/>
          <w:color w:val="FF0000"/>
        </w:rPr>
        <w:drawing>
          <wp:inline distT="0" distB="0" distL="0" distR="0">
            <wp:extent cx="3994150" cy="2415540"/>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4150" cy="2415540"/>
                    </a:xfrm>
                    <a:prstGeom prst="rect">
                      <a:avLst/>
                    </a:prstGeom>
                    <a:noFill/>
                    <a:ln>
                      <a:noFill/>
                    </a:ln>
                  </pic:spPr>
                </pic:pic>
              </a:graphicData>
            </a:graphic>
          </wp:inline>
        </w:drawing>
      </w:r>
    </w:p>
    <w:p w:rsidR="004F3FAA" w:rsidRPr="00376D70" w:rsidRDefault="004F3FAA" w:rsidP="004F3FAA">
      <w:pPr>
        <w:spacing w:before="120" w:after="120"/>
        <w:jc w:val="center"/>
        <w:rPr>
          <w:b/>
        </w:rPr>
      </w:pPr>
      <w:r>
        <w:rPr>
          <w:sz w:val="22"/>
        </w:rPr>
        <w:t>3</w:t>
      </w:r>
      <w:r w:rsidRPr="00376D70">
        <w:rPr>
          <w:sz w:val="22"/>
        </w:rPr>
        <w:t xml:space="preserve">.attēls. </w:t>
      </w:r>
      <w:r w:rsidRPr="00376D70">
        <w:rPr>
          <w:b/>
        </w:rPr>
        <w:t>Vidēja termiņa aizņemšanās stratēģijas pamatprincipi</w:t>
      </w:r>
    </w:p>
    <w:p w:rsidR="004F3FAA" w:rsidRDefault="004F3FAA" w:rsidP="004F3FAA">
      <w:pPr>
        <w:ind w:firstLine="720"/>
        <w:jc w:val="both"/>
      </w:pPr>
      <w:r w:rsidRPr="0035305E">
        <w:t xml:space="preserve">Kā rāda </w:t>
      </w:r>
      <w:r>
        <w:t xml:space="preserve">Valsts kases analīze un pieredze ar darījumiem starptautiskajos finanšu tirgos </w:t>
      </w:r>
      <w:r w:rsidRPr="0035305E">
        <w:t xml:space="preserve">pēdējo gadu laikā, aizņemšanās </w:t>
      </w:r>
      <w:r>
        <w:t>brīdi</w:t>
      </w:r>
      <w:r w:rsidRPr="0035305E">
        <w:t xml:space="preserve"> emitentiem </w:t>
      </w:r>
      <w:r>
        <w:t xml:space="preserve">globālo </w:t>
      </w:r>
      <w:r w:rsidRPr="0035305E">
        <w:t>tirgu nenoteiktības apstākļos lielā mērā nosaka atsevišķu, īsu izdevīg</w:t>
      </w:r>
      <w:r>
        <w:t>āko</w:t>
      </w:r>
      <w:r w:rsidRPr="0035305E">
        <w:t xml:space="preserve"> brīžu izmantošana, kad finanšu tirgos parādās pozitīvas ziņas un investoru noskaņojums kļūst labvēlīgs jaunu investīciju veikšanai.</w:t>
      </w:r>
      <w:r>
        <w:t xml:space="preserve"> </w:t>
      </w:r>
    </w:p>
    <w:p w:rsidR="004F3FAA" w:rsidRDefault="004F3FAA" w:rsidP="004F3FAA">
      <w:pPr>
        <w:ind w:firstLine="720"/>
        <w:jc w:val="both"/>
      </w:pPr>
      <w:r w:rsidRPr="005057F9">
        <w:t xml:space="preserve">Valsts kases darbība </w:t>
      </w:r>
      <w:r>
        <w:t xml:space="preserve">ārējo </w:t>
      </w:r>
      <w:r w:rsidRPr="005057F9">
        <w:t>aizņēmumu vadības jomā</w:t>
      </w:r>
      <w:r>
        <w:t xml:space="preserve"> pēdējos gados ir vērsta tieši uz šādu aizņemšanās izdevīguma brīžu </w:t>
      </w:r>
      <w:r w:rsidRPr="009C0AC7">
        <w:t>izmantošanu</w:t>
      </w:r>
      <w:r>
        <w:t>, jo šāda pieeja ļauj sasniegt aizņemšanās stratēģijas galveno mērķi – panākt valsts parāda apkalpošanas izdevumu samazinājumu vidējā termiņā, nodrošinot aizņemšanos starptautiskajos finanšu tirgos ar valstij izdevīgiem nosacījumiem. Šādas pieejas pilnvērtīgai izmantošanai Valsts kase veic vairākas darbības:</w:t>
      </w:r>
    </w:p>
    <w:p w:rsidR="004F3FAA" w:rsidRPr="00903D24" w:rsidRDefault="004F3FAA" w:rsidP="004F3FAA">
      <w:pPr>
        <w:pStyle w:val="ListParagraph"/>
        <w:numPr>
          <w:ilvl w:val="0"/>
          <w:numId w:val="28"/>
        </w:numPr>
        <w:spacing w:before="120" w:after="120"/>
        <w:jc w:val="both"/>
        <w:rPr>
          <w:rFonts w:ascii="Times New Roman" w:hAnsi="Times New Roman"/>
          <w:sz w:val="24"/>
        </w:rPr>
      </w:pPr>
      <w:r>
        <w:rPr>
          <w:rFonts w:ascii="Times New Roman" w:hAnsi="Times New Roman"/>
          <w:sz w:val="24"/>
        </w:rPr>
        <w:t xml:space="preserve">seko līdzi ekonomiskai, monetārai un finanšu situācijai </w:t>
      </w:r>
      <w:r w:rsidRPr="00E965BB">
        <w:rPr>
          <w:rFonts w:ascii="Times New Roman" w:hAnsi="Times New Roman"/>
          <w:sz w:val="24"/>
        </w:rPr>
        <w:t>galvenajos</w:t>
      </w:r>
      <w:r w:rsidRPr="00903D24">
        <w:rPr>
          <w:rFonts w:ascii="Times New Roman" w:hAnsi="Times New Roman"/>
          <w:sz w:val="24"/>
        </w:rPr>
        <w:t xml:space="preserve"> pasaules </w:t>
      </w:r>
      <w:r>
        <w:rPr>
          <w:rFonts w:ascii="Times New Roman" w:hAnsi="Times New Roman"/>
          <w:sz w:val="24"/>
        </w:rPr>
        <w:t xml:space="preserve">finanšu un kapitāla tirgos (ASV, Eiropā, Japānā </w:t>
      </w:r>
      <w:proofErr w:type="spellStart"/>
      <w:r>
        <w:rPr>
          <w:rFonts w:ascii="Times New Roman" w:hAnsi="Times New Roman"/>
          <w:sz w:val="24"/>
        </w:rPr>
        <w:t>u.c</w:t>
      </w:r>
      <w:proofErr w:type="spellEnd"/>
      <w:r>
        <w:rPr>
          <w:rFonts w:ascii="Times New Roman" w:hAnsi="Times New Roman"/>
          <w:sz w:val="24"/>
        </w:rPr>
        <w:t>.)</w:t>
      </w:r>
      <w:r w:rsidRPr="00903D24">
        <w:rPr>
          <w:rFonts w:ascii="Times New Roman" w:hAnsi="Times New Roman"/>
          <w:sz w:val="24"/>
        </w:rPr>
        <w:t>;</w:t>
      </w:r>
    </w:p>
    <w:p w:rsidR="004F3FAA" w:rsidRPr="00CE7364" w:rsidRDefault="004F3FAA" w:rsidP="004F3FAA">
      <w:pPr>
        <w:pStyle w:val="ListParagraph"/>
        <w:numPr>
          <w:ilvl w:val="0"/>
          <w:numId w:val="28"/>
        </w:numPr>
        <w:spacing w:before="120" w:after="120"/>
        <w:jc w:val="both"/>
        <w:rPr>
          <w:rFonts w:ascii="Times New Roman" w:hAnsi="Times New Roman"/>
          <w:sz w:val="24"/>
        </w:rPr>
      </w:pPr>
      <w:r>
        <w:rPr>
          <w:rFonts w:ascii="Times New Roman" w:hAnsi="Times New Roman"/>
          <w:sz w:val="24"/>
        </w:rPr>
        <w:t xml:space="preserve">regulāri novērtē situāciju dažādos vērtspapīru tirgos un analizē procentu likmju izmaiņas </w:t>
      </w:r>
      <w:r w:rsidRPr="00CE7364">
        <w:rPr>
          <w:rFonts w:ascii="Times New Roman" w:hAnsi="Times New Roman"/>
          <w:sz w:val="24"/>
        </w:rPr>
        <w:t>ietekmējošos faktorus</w:t>
      </w:r>
      <w:r>
        <w:rPr>
          <w:rFonts w:ascii="Times New Roman" w:hAnsi="Times New Roman"/>
          <w:sz w:val="24"/>
        </w:rPr>
        <w:t xml:space="preserve">, </w:t>
      </w:r>
      <w:proofErr w:type="spellStart"/>
      <w:r>
        <w:rPr>
          <w:rFonts w:ascii="Times New Roman" w:hAnsi="Times New Roman"/>
          <w:sz w:val="24"/>
        </w:rPr>
        <w:t>t.sk</w:t>
      </w:r>
      <w:proofErr w:type="spellEnd"/>
      <w:r>
        <w:rPr>
          <w:rFonts w:ascii="Times New Roman" w:hAnsi="Times New Roman"/>
          <w:sz w:val="24"/>
        </w:rPr>
        <w:t>. izmantojot ekonometriskās analīzes modeļus</w:t>
      </w:r>
      <w:r w:rsidRPr="00CE7364">
        <w:rPr>
          <w:rFonts w:ascii="Times New Roman" w:hAnsi="Times New Roman"/>
          <w:sz w:val="24"/>
        </w:rPr>
        <w:t>;</w:t>
      </w:r>
    </w:p>
    <w:p w:rsidR="004F3FAA" w:rsidRPr="00CE7364" w:rsidRDefault="004F3FAA" w:rsidP="004F3FAA">
      <w:pPr>
        <w:pStyle w:val="ListParagraph"/>
        <w:numPr>
          <w:ilvl w:val="0"/>
          <w:numId w:val="28"/>
        </w:numPr>
        <w:spacing w:before="120" w:after="120"/>
        <w:jc w:val="both"/>
        <w:rPr>
          <w:rFonts w:ascii="Times New Roman" w:hAnsi="Times New Roman"/>
          <w:sz w:val="24"/>
        </w:rPr>
      </w:pPr>
      <w:r w:rsidRPr="00CE7364">
        <w:rPr>
          <w:rFonts w:ascii="Times New Roman" w:hAnsi="Times New Roman"/>
          <w:sz w:val="24"/>
        </w:rPr>
        <w:t>novērtē valstiskās aizņemšanās</w:t>
      </w:r>
      <w:r>
        <w:rPr>
          <w:rFonts w:ascii="Times New Roman" w:hAnsi="Times New Roman"/>
          <w:sz w:val="24"/>
        </w:rPr>
        <w:t xml:space="preserve"> potenciālo</w:t>
      </w:r>
      <w:r w:rsidRPr="00CE7364">
        <w:rPr>
          <w:rFonts w:ascii="Times New Roman" w:hAnsi="Times New Roman"/>
          <w:sz w:val="24"/>
        </w:rPr>
        <w:t xml:space="preserve"> izmaksu līmeni (procentu likmes)</w:t>
      </w:r>
      <w:r>
        <w:rPr>
          <w:rFonts w:ascii="Times New Roman" w:hAnsi="Times New Roman"/>
          <w:sz w:val="24"/>
        </w:rPr>
        <w:t>, balstoties uz aizņemšanās procentu likmju ietekmējošo faktoru analīzi un tendencēm</w:t>
      </w:r>
      <w:r w:rsidRPr="00CE7364">
        <w:rPr>
          <w:rFonts w:ascii="Times New Roman" w:hAnsi="Times New Roman"/>
          <w:sz w:val="24"/>
        </w:rPr>
        <w:t xml:space="preserve">; </w:t>
      </w:r>
    </w:p>
    <w:p w:rsidR="00151C08" w:rsidRPr="00151C08" w:rsidRDefault="00151C08" w:rsidP="00151C08">
      <w:pPr>
        <w:pStyle w:val="ListParagraph"/>
        <w:numPr>
          <w:ilvl w:val="0"/>
          <w:numId w:val="28"/>
        </w:numPr>
        <w:spacing w:before="120" w:after="120"/>
        <w:jc w:val="both"/>
        <w:rPr>
          <w:rFonts w:ascii="Times New Roman" w:hAnsi="Times New Roman"/>
          <w:sz w:val="24"/>
        </w:rPr>
      </w:pPr>
      <w:r w:rsidRPr="00151C08">
        <w:rPr>
          <w:rFonts w:ascii="Times New Roman" w:hAnsi="Times New Roman"/>
          <w:sz w:val="24"/>
        </w:rPr>
        <w:t>regulāri informē investorus par aktualitātēm Latvijas ekonomikā un politikā, tādejādi nodrošinot elastību emisijas laika izvēlē, kā arī nodrošinot pastāvīgu iespēju saņemt investoru viedokli par to interesi</w:t>
      </w:r>
      <w:r>
        <w:rPr>
          <w:rFonts w:ascii="Times New Roman" w:hAnsi="Times New Roman"/>
          <w:sz w:val="24"/>
        </w:rPr>
        <w:t xml:space="preserve"> ieguldīt Latvijas vērtspapīros;</w:t>
      </w:r>
    </w:p>
    <w:p w:rsidR="004F3FAA" w:rsidRPr="002961BE" w:rsidRDefault="004F3FAA" w:rsidP="004F3FAA">
      <w:pPr>
        <w:numPr>
          <w:ilvl w:val="0"/>
          <w:numId w:val="28"/>
        </w:numPr>
        <w:jc w:val="both"/>
      </w:pPr>
      <w:r>
        <w:t>uztur un paplašina finanšu (</w:t>
      </w:r>
      <w:proofErr w:type="spellStart"/>
      <w:r>
        <w:t>t.sk</w:t>
      </w:r>
      <w:proofErr w:type="spellEnd"/>
      <w:r>
        <w:t>. atvasināto finanšu instrumentu) darījumu slēgšanai pastāvīgi pieejamu drošu sadarbības partneru loku, lai nodrošinātu finanšu risku vadību saskaņā ar Latvijas valsts parāda vadības stratēģiju;</w:t>
      </w:r>
    </w:p>
    <w:p w:rsidR="004F3FAA" w:rsidRDefault="004F3FAA" w:rsidP="004F3FAA">
      <w:pPr>
        <w:pStyle w:val="ListParagraph"/>
        <w:numPr>
          <w:ilvl w:val="0"/>
          <w:numId w:val="28"/>
        </w:numPr>
        <w:spacing w:before="120" w:after="120"/>
        <w:jc w:val="both"/>
        <w:rPr>
          <w:rFonts w:ascii="Times New Roman" w:hAnsi="Times New Roman"/>
          <w:sz w:val="24"/>
        </w:rPr>
      </w:pPr>
      <w:r w:rsidRPr="00730EC5">
        <w:rPr>
          <w:rFonts w:ascii="Times New Roman" w:hAnsi="Times New Roman"/>
          <w:sz w:val="24"/>
        </w:rPr>
        <w:t>aktīvi komunicē ar reitingu aģentūrām un kred</w:t>
      </w:r>
      <w:r w:rsidRPr="00730EC5">
        <w:rPr>
          <w:rFonts w:ascii="Times New Roman" w:hAnsi="Times New Roman" w:hint="eastAsia"/>
          <w:sz w:val="24"/>
        </w:rPr>
        <w:t>ī</w:t>
      </w:r>
      <w:r w:rsidRPr="00730EC5">
        <w:rPr>
          <w:rFonts w:ascii="Times New Roman" w:hAnsi="Times New Roman"/>
          <w:sz w:val="24"/>
        </w:rPr>
        <w:t>treitinga noteik</w:t>
      </w:r>
      <w:r w:rsidRPr="00730EC5">
        <w:rPr>
          <w:rFonts w:ascii="Times New Roman" w:hAnsi="Times New Roman" w:hint="eastAsia"/>
          <w:sz w:val="24"/>
        </w:rPr>
        <w:t>š</w:t>
      </w:r>
      <w:r w:rsidRPr="00730EC5">
        <w:rPr>
          <w:rFonts w:ascii="Times New Roman" w:hAnsi="Times New Roman"/>
          <w:sz w:val="24"/>
        </w:rPr>
        <w:t>anas proces</w:t>
      </w:r>
      <w:r w:rsidRPr="00730EC5">
        <w:rPr>
          <w:rFonts w:ascii="Times New Roman" w:hAnsi="Times New Roman" w:hint="eastAsia"/>
          <w:sz w:val="24"/>
        </w:rPr>
        <w:t>ā</w:t>
      </w:r>
      <w:r w:rsidRPr="00730EC5">
        <w:rPr>
          <w:rFonts w:ascii="Times New Roman" w:hAnsi="Times New Roman"/>
          <w:sz w:val="24"/>
        </w:rPr>
        <w:t xml:space="preserve"> nodrošin</w:t>
      </w:r>
      <w:r>
        <w:rPr>
          <w:rFonts w:ascii="Times New Roman" w:hAnsi="Times New Roman"/>
          <w:sz w:val="24"/>
        </w:rPr>
        <w:t>a</w:t>
      </w:r>
      <w:r w:rsidRPr="00730EC5">
        <w:rPr>
          <w:rFonts w:ascii="Times New Roman" w:hAnsi="Times New Roman"/>
          <w:sz w:val="24"/>
        </w:rPr>
        <w:t xml:space="preserve"> vienota un saskaņota viedokļa snieg</w:t>
      </w:r>
      <w:r w:rsidRPr="00730EC5">
        <w:rPr>
          <w:rFonts w:ascii="Times New Roman" w:hAnsi="Times New Roman" w:hint="eastAsia"/>
          <w:sz w:val="24"/>
        </w:rPr>
        <w:t>š</w:t>
      </w:r>
      <w:r w:rsidRPr="00730EC5">
        <w:rPr>
          <w:rFonts w:ascii="Times New Roman" w:hAnsi="Times New Roman"/>
          <w:sz w:val="24"/>
        </w:rPr>
        <w:t>anu par situ</w:t>
      </w:r>
      <w:r w:rsidRPr="00730EC5">
        <w:rPr>
          <w:rFonts w:ascii="Times New Roman" w:hAnsi="Times New Roman" w:hint="eastAsia"/>
          <w:sz w:val="24"/>
        </w:rPr>
        <w:t>ā</w:t>
      </w:r>
      <w:r w:rsidRPr="00730EC5">
        <w:rPr>
          <w:rFonts w:ascii="Times New Roman" w:hAnsi="Times New Roman"/>
          <w:sz w:val="24"/>
        </w:rPr>
        <w:t>ciju Latvij</w:t>
      </w:r>
      <w:r w:rsidRPr="00730EC5">
        <w:rPr>
          <w:rFonts w:ascii="Times New Roman" w:hAnsi="Times New Roman" w:hint="eastAsia"/>
          <w:sz w:val="24"/>
        </w:rPr>
        <w:t>ā</w:t>
      </w:r>
      <w:r>
        <w:rPr>
          <w:rFonts w:ascii="Times New Roman" w:hAnsi="Times New Roman"/>
          <w:sz w:val="24"/>
        </w:rPr>
        <w:t>,</w:t>
      </w:r>
      <w:r w:rsidRPr="001A256F">
        <w:rPr>
          <w:rFonts w:ascii="Times New Roman" w:hAnsi="Times New Roman"/>
          <w:sz w:val="24"/>
        </w:rPr>
        <w:t xml:space="preserve"> </w:t>
      </w:r>
      <w:r w:rsidRPr="00730EC5">
        <w:rPr>
          <w:rFonts w:ascii="Times New Roman" w:hAnsi="Times New Roman"/>
          <w:sz w:val="24"/>
        </w:rPr>
        <w:t>lai labvēlīgi ietekmētu Latvijas kredītreitinga virzību</w:t>
      </w:r>
      <w:r>
        <w:rPr>
          <w:rFonts w:ascii="Times New Roman" w:hAnsi="Times New Roman"/>
          <w:sz w:val="24"/>
        </w:rPr>
        <w:t>.</w:t>
      </w:r>
    </w:p>
    <w:p w:rsidR="004F3FAA" w:rsidRDefault="004F3FAA" w:rsidP="004F3FAA">
      <w:pPr>
        <w:ind w:firstLine="720"/>
        <w:jc w:val="both"/>
      </w:pPr>
      <w:r>
        <w:t>B</w:t>
      </w:r>
      <w:r w:rsidRPr="00403F5B">
        <w:t>ūtisks priekšnosacījums</w:t>
      </w:r>
      <w:r>
        <w:t xml:space="preserve"> </w:t>
      </w:r>
      <w:r w:rsidRPr="000056E6">
        <w:t xml:space="preserve">elastības saglabāšanai attiecībā uz </w:t>
      </w:r>
      <w:r>
        <w:t xml:space="preserve">starptautiskajos finanšu tirgos veicamo </w:t>
      </w:r>
      <w:r w:rsidRPr="000056E6">
        <w:t>aizņēmum</w:t>
      </w:r>
      <w:r>
        <w:t>u</w:t>
      </w:r>
      <w:r w:rsidRPr="000056E6">
        <w:t xml:space="preserve"> nosacījum</w:t>
      </w:r>
      <w:r>
        <w:t xml:space="preserve">u </w:t>
      </w:r>
      <w:r w:rsidRPr="000056E6">
        <w:t>(aizņemšanās laiks</w:t>
      </w:r>
      <w:r>
        <w:t>,</w:t>
      </w:r>
      <w:r w:rsidRPr="000056E6">
        <w:t xml:space="preserve"> valūta, apjoms, termiņ</w:t>
      </w:r>
      <w:r>
        <w:t>š</w:t>
      </w:r>
      <w:r w:rsidRPr="000056E6">
        <w:t>)</w:t>
      </w:r>
      <w:r>
        <w:t xml:space="preserve"> izvēli</w:t>
      </w:r>
      <w:r w:rsidRPr="000056E6">
        <w:t xml:space="preserve"> </w:t>
      </w:r>
      <w:r>
        <w:t xml:space="preserve">ir resursu rezerves uzturēšana Valsts kases kontos vidējā termiņā plānotajai valsts parāda </w:t>
      </w:r>
      <w:r>
        <w:lastRenderedPageBreak/>
        <w:t>atmaksai (</w:t>
      </w:r>
      <w:proofErr w:type="spellStart"/>
      <w:r>
        <w:t>skat</w:t>
      </w:r>
      <w:proofErr w:type="spellEnd"/>
      <w:r>
        <w:t xml:space="preserve">. 2.tab. un 2.att.). </w:t>
      </w:r>
      <w:r w:rsidRPr="00573B4A">
        <w:t>Aizņemoties savlaicīgi un pakāpeniski, neatliekot liela apjoma aizņemšanos uz pēdējo brīdi</w:t>
      </w:r>
      <w:r>
        <w:t xml:space="preserve"> pirms apjomīgu parāda saistību izpildes</w:t>
      </w:r>
      <w:r w:rsidRPr="00573B4A">
        <w:t xml:space="preserve">, </w:t>
      </w:r>
      <w:r>
        <w:t xml:space="preserve">Valsts kase </w:t>
      </w:r>
      <w:r w:rsidRPr="00573B4A">
        <w:t>novēr</w:t>
      </w:r>
      <w:r>
        <w:t>š</w:t>
      </w:r>
      <w:r w:rsidRPr="00573B4A">
        <w:t xml:space="preserve"> </w:t>
      </w:r>
      <w:r>
        <w:t xml:space="preserve">valsts parāda pārfinansēšanas </w:t>
      </w:r>
      <w:r w:rsidRPr="00573B4A">
        <w:t>risku un panāk izdevīgākus aizņēmumu nosacījumus</w:t>
      </w:r>
      <w:r>
        <w:t xml:space="preserve"> (</w:t>
      </w:r>
      <w:proofErr w:type="spellStart"/>
      <w:r>
        <w:t>t.sk</w:t>
      </w:r>
      <w:proofErr w:type="spellEnd"/>
      <w:r>
        <w:t>. zemākas procentu likmes)</w:t>
      </w:r>
      <w:r w:rsidRPr="00573B4A">
        <w:t>, jo aizņemto resursu cena n</w:t>
      </w:r>
      <w:r>
        <w:t>etiek</w:t>
      </w:r>
      <w:r w:rsidRPr="00573B4A">
        <w:t xml:space="preserve"> pakļauta </w:t>
      </w:r>
      <w:r>
        <w:t xml:space="preserve">finanšu tirgus </w:t>
      </w:r>
      <w:r w:rsidRPr="00573B4A">
        <w:t xml:space="preserve">spekulatīvai ietekmei, </w:t>
      </w:r>
      <w:r>
        <w:t xml:space="preserve">kā tas notiktu gadījumā, ja </w:t>
      </w:r>
      <w:r w:rsidRPr="00573B4A">
        <w:t>aizņ</w:t>
      </w:r>
      <w:r>
        <w:t xml:space="preserve">emšanās tiktu veikta vienmēr </w:t>
      </w:r>
      <w:r w:rsidRPr="00573B4A">
        <w:t>īsi pirms</w:t>
      </w:r>
      <w:r>
        <w:t xml:space="preserve"> liela apjoma parāda saistību atmaksas termiņa</w:t>
      </w:r>
      <w:r w:rsidRPr="00573B4A">
        <w:t>.</w:t>
      </w:r>
    </w:p>
    <w:p w:rsidR="004F3FAA" w:rsidRPr="00676492" w:rsidRDefault="004F3FAA" w:rsidP="004F3FAA">
      <w:pPr>
        <w:ind w:firstLine="720"/>
        <w:jc w:val="both"/>
      </w:pPr>
      <w:r>
        <w:t>Nepieciešamība saglabāt elastīgu pieeju aizņemšanās stratēģijas īstenošanā tiek ņemta vērā, plānojot izdevumus a</w:t>
      </w:r>
      <w:r w:rsidRPr="006942E9">
        <w:t>pakšprogramm</w:t>
      </w:r>
      <w:r>
        <w:t>ā</w:t>
      </w:r>
      <w:r w:rsidRPr="006942E9">
        <w:t xml:space="preserve"> 31.02.00 “Valsts parāda vadība”</w:t>
      </w:r>
      <w:r>
        <w:t xml:space="preserve"> vidējam termiņam. </w:t>
      </w:r>
      <w:r w:rsidRPr="00676492">
        <w:t>Plānojot un veicot aizņemšanās pasākumus, Valsts kase ievēro gadskārtējā valsts budžeta likumā noteiktos ierobežojumus valsts parāda apmēram</w:t>
      </w:r>
      <w:r>
        <w:t xml:space="preserve"> uz attiecīgā gada beigām</w:t>
      </w:r>
      <w:r w:rsidRPr="00676492">
        <w:t>.</w:t>
      </w:r>
    </w:p>
    <w:p w:rsidR="004F3FAA" w:rsidRDefault="004F3FAA" w:rsidP="004F3FAA">
      <w:pPr>
        <w:pStyle w:val="ListParagraph"/>
        <w:numPr>
          <w:ilvl w:val="0"/>
          <w:numId w:val="21"/>
        </w:numPr>
        <w:spacing w:before="240" w:after="240"/>
        <w:ind w:left="714" w:hanging="357"/>
        <w:jc w:val="both"/>
        <w:rPr>
          <w:rFonts w:ascii="Times New Roman" w:hAnsi="Times New Roman"/>
          <w:b/>
          <w:sz w:val="24"/>
        </w:rPr>
      </w:pPr>
      <w:r>
        <w:rPr>
          <w:rFonts w:ascii="Times New Roman" w:hAnsi="Times New Roman"/>
          <w:b/>
          <w:sz w:val="24"/>
        </w:rPr>
        <w:t>A</w:t>
      </w:r>
      <w:r w:rsidRPr="00FB59D5">
        <w:rPr>
          <w:rFonts w:ascii="Times New Roman" w:hAnsi="Times New Roman"/>
          <w:b/>
          <w:sz w:val="24"/>
        </w:rPr>
        <w:t>pakšprogrammas 31.02.00 “Valsts parāda vadība”</w:t>
      </w:r>
      <w:r>
        <w:rPr>
          <w:rFonts w:ascii="Times New Roman" w:hAnsi="Times New Roman"/>
          <w:b/>
          <w:sz w:val="24"/>
        </w:rPr>
        <w:t xml:space="preserve"> sagaidāmā</w:t>
      </w:r>
      <w:r w:rsidRPr="00FB59D5">
        <w:rPr>
          <w:rFonts w:ascii="Times New Roman" w:hAnsi="Times New Roman"/>
          <w:b/>
          <w:sz w:val="24"/>
        </w:rPr>
        <w:t xml:space="preserve"> izpilde</w:t>
      </w:r>
      <w:r>
        <w:rPr>
          <w:rFonts w:ascii="Times New Roman" w:hAnsi="Times New Roman"/>
          <w:b/>
          <w:sz w:val="24"/>
        </w:rPr>
        <w:t xml:space="preserve"> 2013.gadā</w:t>
      </w:r>
    </w:p>
    <w:p w:rsidR="004F3FAA" w:rsidRPr="007335BF" w:rsidRDefault="004F3FAA" w:rsidP="004F3FAA">
      <w:pPr>
        <w:ind w:firstLine="709"/>
        <w:jc w:val="both"/>
      </w:pPr>
      <w:r>
        <w:t xml:space="preserve">Saskaņā ar Finanšu ministrijas pilnvarojumu Valsts kase nodrošina </w:t>
      </w:r>
      <w:r w:rsidRPr="00EE4C82">
        <w:t>apakšprogrammas 31.02.00 “Valsts parāda vadība”</w:t>
      </w:r>
      <w:r>
        <w:t xml:space="preserve"> administrēšanu. Valsts kase veic izdevumu plānošanu un izpildi a</w:t>
      </w:r>
      <w:r w:rsidRPr="007335BF">
        <w:t>pakšprogrammas</w:t>
      </w:r>
      <w:r>
        <w:t xml:space="preserve"> ietvaros atbilstoši Valsts kases veicamajām funkcijām valsts parāda un naudas līdzekļu vadības jomā, no kurām izriet</w:t>
      </w:r>
      <w:r w:rsidRPr="000B31DB">
        <w:t xml:space="preserve"> </w:t>
      </w:r>
      <w:r>
        <w:t>apakšprogrammas mērķi:</w:t>
      </w:r>
    </w:p>
    <w:p w:rsidR="004F3FAA" w:rsidRPr="007335BF" w:rsidRDefault="004F3FAA" w:rsidP="004F3FAA">
      <w:pPr>
        <w:pStyle w:val="ListParagraph"/>
        <w:numPr>
          <w:ilvl w:val="0"/>
          <w:numId w:val="34"/>
        </w:numPr>
        <w:spacing w:before="120" w:after="120"/>
        <w:jc w:val="both"/>
        <w:rPr>
          <w:rFonts w:ascii="Times New Roman" w:hAnsi="Times New Roman"/>
          <w:sz w:val="24"/>
        </w:rPr>
      </w:pPr>
      <w:r w:rsidRPr="007335BF">
        <w:rPr>
          <w:rFonts w:ascii="Times New Roman" w:hAnsi="Times New Roman"/>
          <w:sz w:val="24"/>
        </w:rPr>
        <w:t>nodrošināt nepieciešamos finanšu resursus, tai skaitā publiskajos kapitāla tirgos, ar iespējami zemākām izmaksām, ierobežot finanšu riskus, kā arī iespējami veicināt valsts finanšu interešu nodrošināšanu valsts galvojumu sniegšanas procesā, ņemot vērā valsts makroekonomiskās stabilitātes faktorus</w:t>
      </w:r>
      <w:r>
        <w:rPr>
          <w:rFonts w:ascii="Times New Roman" w:hAnsi="Times New Roman"/>
          <w:sz w:val="24"/>
        </w:rPr>
        <w:t>, kā arī</w:t>
      </w:r>
      <w:r w:rsidRPr="007335BF">
        <w:rPr>
          <w:rFonts w:ascii="Times New Roman" w:hAnsi="Times New Roman"/>
          <w:sz w:val="24"/>
        </w:rPr>
        <w:t xml:space="preserve"> </w:t>
      </w:r>
      <w:r>
        <w:rPr>
          <w:rFonts w:ascii="Times New Roman" w:hAnsi="Times New Roman"/>
          <w:sz w:val="24"/>
        </w:rPr>
        <w:t xml:space="preserve">iekšzemes </w:t>
      </w:r>
      <w:r w:rsidRPr="007335BF">
        <w:rPr>
          <w:rFonts w:ascii="Times New Roman" w:hAnsi="Times New Roman"/>
          <w:sz w:val="24"/>
        </w:rPr>
        <w:t xml:space="preserve">finanšu </w:t>
      </w:r>
      <w:r>
        <w:rPr>
          <w:rFonts w:ascii="Times New Roman" w:hAnsi="Times New Roman"/>
          <w:sz w:val="24"/>
        </w:rPr>
        <w:t xml:space="preserve">tirgus </w:t>
      </w:r>
      <w:r w:rsidRPr="007335BF">
        <w:rPr>
          <w:rFonts w:ascii="Times New Roman" w:hAnsi="Times New Roman"/>
          <w:sz w:val="24"/>
        </w:rPr>
        <w:t>attīstību;</w:t>
      </w:r>
    </w:p>
    <w:p w:rsidR="004F3FAA" w:rsidRPr="007335BF" w:rsidRDefault="004F3FAA" w:rsidP="004F3FAA">
      <w:pPr>
        <w:pStyle w:val="ListParagraph"/>
        <w:numPr>
          <w:ilvl w:val="0"/>
          <w:numId w:val="34"/>
        </w:numPr>
        <w:spacing w:before="120" w:after="120"/>
        <w:jc w:val="both"/>
        <w:rPr>
          <w:rFonts w:ascii="Times New Roman" w:hAnsi="Times New Roman"/>
          <w:sz w:val="24"/>
        </w:rPr>
      </w:pPr>
      <w:r w:rsidRPr="007335BF">
        <w:rPr>
          <w:rFonts w:ascii="Times New Roman" w:hAnsi="Times New Roman"/>
          <w:sz w:val="24"/>
        </w:rPr>
        <w:t xml:space="preserve">nodrošināt efektīvu un drošu naudas līdzekļu vadību, ierobežojot un uzraugot finanšu riskus, savlaicīgi un pilnā apjomā nodrošinot </w:t>
      </w:r>
      <w:r>
        <w:rPr>
          <w:rFonts w:ascii="Times New Roman" w:hAnsi="Times New Roman"/>
          <w:sz w:val="24"/>
        </w:rPr>
        <w:t>resursu pietiekamību</w:t>
      </w:r>
      <w:r w:rsidRPr="007335BF">
        <w:rPr>
          <w:rFonts w:ascii="Times New Roman" w:hAnsi="Times New Roman"/>
          <w:sz w:val="24"/>
        </w:rPr>
        <w:t xml:space="preserve"> valsts finansiālo saistību izpildei.</w:t>
      </w:r>
    </w:p>
    <w:p w:rsidR="004F3FAA" w:rsidRDefault="004F3FAA" w:rsidP="004F3FAA">
      <w:pPr>
        <w:ind w:firstLine="709"/>
        <w:jc w:val="both"/>
      </w:pPr>
      <w:r w:rsidRPr="00F00A48">
        <w:t>Apakšprogrammas ietvaros Valsts kase nodrošina šādu</w:t>
      </w:r>
      <w:r>
        <w:t xml:space="preserve"> saistību un maksājumu izpildi:</w:t>
      </w:r>
    </w:p>
    <w:p w:rsidR="004F3FAA" w:rsidRDefault="004F3FAA" w:rsidP="004F3FAA">
      <w:pPr>
        <w:pStyle w:val="ListParagraph"/>
        <w:numPr>
          <w:ilvl w:val="0"/>
          <w:numId w:val="35"/>
        </w:numPr>
        <w:spacing w:before="120" w:after="120"/>
        <w:jc w:val="both"/>
        <w:rPr>
          <w:rFonts w:ascii="Times New Roman" w:hAnsi="Times New Roman"/>
          <w:sz w:val="24"/>
        </w:rPr>
      </w:pPr>
      <w:r w:rsidRPr="00A92B80">
        <w:rPr>
          <w:rFonts w:ascii="Times New Roman" w:hAnsi="Times New Roman"/>
          <w:i/>
          <w:sz w:val="24"/>
        </w:rPr>
        <w:t>procentu izdevumi</w:t>
      </w:r>
      <w:r>
        <w:rPr>
          <w:rFonts w:ascii="Times New Roman" w:hAnsi="Times New Roman"/>
          <w:sz w:val="24"/>
        </w:rPr>
        <w:t xml:space="preserve"> – procentu maksājumi par valsts parāda saistībām,</w:t>
      </w:r>
      <w:r w:rsidRPr="00A92B80">
        <w:rPr>
          <w:rFonts w:ascii="Times New Roman" w:hAnsi="Times New Roman"/>
          <w:sz w:val="24"/>
        </w:rPr>
        <w:t xml:space="preserve"> </w:t>
      </w:r>
      <w:proofErr w:type="spellStart"/>
      <w:r w:rsidRPr="00A92B80">
        <w:rPr>
          <w:rFonts w:ascii="Times New Roman" w:hAnsi="Times New Roman"/>
          <w:sz w:val="24"/>
        </w:rPr>
        <w:t>t.sk</w:t>
      </w:r>
      <w:proofErr w:type="spellEnd"/>
      <w:r w:rsidRPr="00A92B80">
        <w:rPr>
          <w:rFonts w:ascii="Times New Roman" w:hAnsi="Times New Roman"/>
          <w:sz w:val="24"/>
        </w:rPr>
        <w:t xml:space="preserve">. </w:t>
      </w:r>
      <w:r>
        <w:rPr>
          <w:rFonts w:ascii="Times New Roman" w:hAnsi="Times New Roman"/>
          <w:sz w:val="24"/>
        </w:rPr>
        <w:t xml:space="preserve">procentu maksājumi par </w:t>
      </w:r>
      <w:r w:rsidRPr="00A92B80">
        <w:rPr>
          <w:rFonts w:ascii="Times New Roman" w:hAnsi="Times New Roman"/>
          <w:sz w:val="24"/>
        </w:rPr>
        <w:t>valsts emitēt</w:t>
      </w:r>
      <w:r>
        <w:rPr>
          <w:rFonts w:ascii="Times New Roman" w:hAnsi="Times New Roman"/>
          <w:sz w:val="24"/>
        </w:rPr>
        <w:t>iem vērtspapīriem (</w:t>
      </w:r>
      <w:proofErr w:type="spellStart"/>
      <w:r>
        <w:rPr>
          <w:rFonts w:ascii="Times New Roman" w:hAnsi="Times New Roman"/>
          <w:sz w:val="24"/>
        </w:rPr>
        <w:t>t.sk</w:t>
      </w:r>
      <w:proofErr w:type="spellEnd"/>
      <w:r>
        <w:rPr>
          <w:rFonts w:ascii="Times New Roman" w:hAnsi="Times New Roman"/>
          <w:sz w:val="24"/>
        </w:rPr>
        <w:t xml:space="preserve">. </w:t>
      </w:r>
      <w:proofErr w:type="spellStart"/>
      <w:r>
        <w:rPr>
          <w:rFonts w:ascii="Times New Roman" w:hAnsi="Times New Roman"/>
          <w:sz w:val="24"/>
        </w:rPr>
        <w:t>krājobligācijām</w:t>
      </w:r>
      <w:proofErr w:type="spellEnd"/>
      <w:r>
        <w:rPr>
          <w:rFonts w:ascii="Times New Roman" w:hAnsi="Times New Roman"/>
          <w:sz w:val="24"/>
        </w:rPr>
        <w:t>)</w:t>
      </w:r>
      <w:r w:rsidRPr="00A92B80">
        <w:rPr>
          <w:rFonts w:ascii="Times New Roman" w:hAnsi="Times New Roman"/>
          <w:sz w:val="24"/>
        </w:rPr>
        <w:t xml:space="preserve"> </w:t>
      </w:r>
      <w:proofErr w:type="spellStart"/>
      <w:r>
        <w:rPr>
          <w:rFonts w:ascii="Times New Roman" w:hAnsi="Times New Roman"/>
          <w:sz w:val="24"/>
        </w:rPr>
        <w:t>iekšžemes</w:t>
      </w:r>
      <w:proofErr w:type="spellEnd"/>
      <w:r>
        <w:rPr>
          <w:rFonts w:ascii="Times New Roman" w:hAnsi="Times New Roman"/>
          <w:sz w:val="24"/>
        </w:rPr>
        <w:t xml:space="preserve"> un starptautiskajos finanšu tirgos, procentu maksājumi par </w:t>
      </w:r>
      <w:r w:rsidRPr="00A92B80">
        <w:rPr>
          <w:rFonts w:ascii="Times New Roman" w:hAnsi="Times New Roman"/>
          <w:sz w:val="24"/>
        </w:rPr>
        <w:t>aizņēmum</w:t>
      </w:r>
      <w:r>
        <w:rPr>
          <w:rFonts w:ascii="Times New Roman" w:hAnsi="Times New Roman"/>
          <w:sz w:val="24"/>
        </w:rPr>
        <w:t>iem saskaņā ar noslēgtajiem līgumiem,</w:t>
      </w:r>
      <w:r w:rsidRPr="00A92B80">
        <w:rPr>
          <w:rFonts w:ascii="Times New Roman" w:hAnsi="Times New Roman"/>
          <w:sz w:val="24"/>
        </w:rPr>
        <w:t xml:space="preserve"> </w:t>
      </w:r>
      <w:r>
        <w:rPr>
          <w:rFonts w:ascii="Times New Roman" w:hAnsi="Times New Roman"/>
          <w:sz w:val="24"/>
        </w:rPr>
        <w:t xml:space="preserve">procentu </w:t>
      </w:r>
      <w:r w:rsidRPr="00A92B80">
        <w:rPr>
          <w:rFonts w:ascii="Times New Roman" w:hAnsi="Times New Roman"/>
          <w:sz w:val="24"/>
        </w:rPr>
        <w:t xml:space="preserve">maksājumi </w:t>
      </w:r>
      <w:r>
        <w:rPr>
          <w:rFonts w:ascii="Times New Roman" w:hAnsi="Times New Roman"/>
          <w:sz w:val="24"/>
        </w:rPr>
        <w:t xml:space="preserve">par </w:t>
      </w:r>
      <w:r w:rsidRPr="00A92B80">
        <w:rPr>
          <w:rFonts w:ascii="Times New Roman" w:hAnsi="Times New Roman"/>
          <w:sz w:val="24"/>
        </w:rPr>
        <w:t>Valsts kasē izvietotajiem noguldījumiem</w:t>
      </w:r>
      <w:r>
        <w:rPr>
          <w:rFonts w:ascii="Times New Roman" w:hAnsi="Times New Roman"/>
          <w:sz w:val="24"/>
        </w:rPr>
        <w:t xml:space="preserve"> (</w:t>
      </w:r>
      <w:proofErr w:type="spellStart"/>
      <w:r>
        <w:rPr>
          <w:rFonts w:ascii="Times New Roman" w:hAnsi="Times New Roman"/>
          <w:sz w:val="24"/>
        </w:rPr>
        <w:t>t.sk</w:t>
      </w:r>
      <w:proofErr w:type="spellEnd"/>
      <w:r>
        <w:rPr>
          <w:rFonts w:ascii="Times New Roman" w:hAnsi="Times New Roman"/>
          <w:sz w:val="24"/>
        </w:rPr>
        <w:t>. valsts speciālā budžeta noguldījumiem)</w:t>
      </w:r>
      <w:r w:rsidRPr="00A92B80">
        <w:rPr>
          <w:rFonts w:ascii="Times New Roman" w:hAnsi="Times New Roman"/>
          <w:sz w:val="24"/>
        </w:rPr>
        <w:t xml:space="preserve"> saskaņā ar noslēgtām vienošanām, maksājumi, kas rodas no </w:t>
      </w:r>
      <w:r>
        <w:rPr>
          <w:rFonts w:ascii="Times New Roman" w:hAnsi="Times New Roman"/>
          <w:sz w:val="24"/>
        </w:rPr>
        <w:t xml:space="preserve">valsts parāda portfeļa finanšu risku vadībai noslēgto </w:t>
      </w:r>
      <w:r w:rsidRPr="00A92B80">
        <w:rPr>
          <w:rFonts w:ascii="Times New Roman" w:hAnsi="Times New Roman"/>
          <w:sz w:val="24"/>
        </w:rPr>
        <w:t>atvasināto finanšu instrumentu rezultāta</w:t>
      </w:r>
      <w:r>
        <w:rPr>
          <w:rFonts w:ascii="Times New Roman" w:hAnsi="Times New Roman"/>
          <w:sz w:val="24"/>
        </w:rPr>
        <w:t>;</w:t>
      </w:r>
    </w:p>
    <w:p w:rsidR="004F3FAA" w:rsidRPr="00A92B80" w:rsidRDefault="004F3FAA" w:rsidP="004F3FAA">
      <w:pPr>
        <w:pStyle w:val="ListParagraph"/>
        <w:numPr>
          <w:ilvl w:val="0"/>
          <w:numId w:val="35"/>
        </w:numPr>
        <w:spacing w:before="120" w:after="120"/>
        <w:jc w:val="both"/>
        <w:rPr>
          <w:rFonts w:ascii="Times New Roman" w:hAnsi="Times New Roman"/>
          <w:sz w:val="24"/>
        </w:rPr>
      </w:pPr>
      <w:r w:rsidRPr="00A92B80">
        <w:rPr>
          <w:rFonts w:ascii="Times New Roman" w:hAnsi="Times New Roman"/>
          <w:i/>
          <w:sz w:val="24"/>
        </w:rPr>
        <w:t>kārtējie izdevumi</w:t>
      </w:r>
      <w:r>
        <w:rPr>
          <w:rFonts w:ascii="Times New Roman" w:hAnsi="Times New Roman"/>
          <w:sz w:val="24"/>
        </w:rPr>
        <w:t xml:space="preserve"> – maksājumi par Valsts kases funkciju </w:t>
      </w:r>
      <w:r w:rsidRPr="009A5C0C">
        <w:rPr>
          <w:rFonts w:ascii="Times New Roman" w:hAnsi="Times New Roman"/>
          <w:sz w:val="24"/>
        </w:rPr>
        <w:t xml:space="preserve">valsts parāda un naudas līdzekļu vadības jomā </w:t>
      </w:r>
      <w:r>
        <w:rPr>
          <w:rFonts w:ascii="Times New Roman" w:hAnsi="Times New Roman"/>
          <w:sz w:val="24"/>
        </w:rPr>
        <w:t xml:space="preserve">nodrošināšanai nepieciešamajiem pakalpojumiem, </w:t>
      </w:r>
      <w:proofErr w:type="spellStart"/>
      <w:r>
        <w:rPr>
          <w:rFonts w:ascii="Times New Roman" w:hAnsi="Times New Roman"/>
          <w:sz w:val="24"/>
        </w:rPr>
        <w:t>t.sk</w:t>
      </w:r>
      <w:proofErr w:type="spellEnd"/>
      <w:r>
        <w:rPr>
          <w:rFonts w:ascii="Times New Roman" w:hAnsi="Times New Roman"/>
          <w:sz w:val="24"/>
        </w:rPr>
        <w:t>.</w:t>
      </w:r>
      <w:r w:rsidRPr="00A92B80">
        <w:rPr>
          <w:rFonts w:ascii="Times New Roman" w:hAnsi="Times New Roman"/>
          <w:sz w:val="24"/>
        </w:rPr>
        <w:t xml:space="preserve"> maksa par valsts vērtspapīru reģistrāciju, glabāšanu, vērtspapīru notikumu apkalpošanu depozitārijā un iekļaušanu biržas oficiālajā sarakstā, maksājumi par finanšu tirgus informācijas sistēmu </w:t>
      </w:r>
      <w:r>
        <w:rPr>
          <w:rFonts w:ascii="Times New Roman" w:hAnsi="Times New Roman"/>
          <w:sz w:val="24"/>
        </w:rPr>
        <w:t xml:space="preserve">un norēķinu </w:t>
      </w:r>
      <w:r w:rsidRPr="00A92B80">
        <w:rPr>
          <w:rFonts w:ascii="Times New Roman" w:hAnsi="Times New Roman"/>
          <w:sz w:val="24"/>
        </w:rPr>
        <w:t xml:space="preserve">sistēmu izmantošanu, </w:t>
      </w:r>
      <w:r>
        <w:rPr>
          <w:rFonts w:ascii="Times New Roman" w:hAnsi="Times New Roman"/>
          <w:sz w:val="24"/>
        </w:rPr>
        <w:t xml:space="preserve">maksājumi </w:t>
      </w:r>
      <w:r w:rsidRPr="00A92B80">
        <w:rPr>
          <w:rFonts w:ascii="Times New Roman" w:hAnsi="Times New Roman"/>
          <w:sz w:val="24"/>
        </w:rPr>
        <w:t xml:space="preserve">reitinga aģentūru pakalpojumiem, </w:t>
      </w:r>
      <w:r>
        <w:rPr>
          <w:rFonts w:ascii="Times New Roman" w:hAnsi="Times New Roman"/>
          <w:sz w:val="24"/>
        </w:rPr>
        <w:t xml:space="preserve">maksājumi </w:t>
      </w:r>
      <w:r w:rsidRPr="00A92B80">
        <w:rPr>
          <w:rFonts w:ascii="Times New Roman" w:hAnsi="Times New Roman"/>
          <w:sz w:val="24"/>
        </w:rPr>
        <w:t xml:space="preserve">kredītiestādēm par </w:t>
      </w:r>
      <w:r>
        <w:rPr>
          <w:rFonts w:ascii="Times New Roman" w:hAnsi="Times New Roman"/>
          <w:sz w:val="24"/>
        </w:rPr>
        <w:t xml:space="preserve">Valsts kases naudas līdzekļu </w:t>
      </w:r>
      <w:r w:rsidRPr="00A92B80">
        <w:rPr>
          <w:rFonts w:ascii="Times New Roman" w:hAnsi="Times New Roman"/>
          <w:sz w:val="24"/>
        </w:rPr>
        <w:t>kontu apkalpošanu, starpbanku komisijas maks</w:t>
      </w:r>
      <w:r>
        <w:rPr>
          <w:rFonts w:ascii="Times New Roman" w:hAnsi="Times New Roman"/>
          <w:sz w:val="24"/>
        </w:rPr>
        <w:t>as</w:t>
      </w:r>
      <w:r w:rsidRPr="00A92B80">
        <w:rPr>
          <w:rFonts w:ascii="Times New Roman" w:hAnsi="Times New Roman"/>
          <w:sz w:val="24"/>
        </w:rPr>
        <w:t xml:space="preserve">, ar </w:t>
      </w:r>
      <w:proofErr w:type="spellStart"/>
      <w:r w:rsidRPr="00A92B80">
        <w:rPr>
          <w:rFonts w:ascii="Times New Roman" w:hAnsi="Times New Roman"/>
          <w:sz w:val="24"/>
        </w:rPr>
        <w:t>krājobligāciju</w:t>
      </w:r>
      <w:proofErr w:type="spellEnd"/>
      <w:r w:rsidRPr="00A92B80">
        <w:rPr>
          <w:rFonts w:ascii="Times New Roman" w:hAnsi="Times New Roman"/>
          <w:sz w:val="24"/>
        </w:rPr>
        <w:t xml:space="preserve"> izplatīšanu saistītie maksājumi, izdevum</w:t>
      </w:r>
      <w:r>
        <w:rPr>
          <w:rFonts w:ascii="Times New Roman" w:hAnsi="Times New Roman"/>
          <w:sz w:val="24"/>
        </w:rPr>
        <w:t>i</w:t>
      </w:r>
      <w:r w:rsidRPr="00A92B80">
        <w:rPr>
          <w:rFonts w:ascii="Times New Roman" w:hAnsi="Times New Roman"/>
          <w:sz w:val="24"/>
        </w:rPr>
        <w:t xml:space="preserve"> par valsts parāda </w:t>
      </w:r>
      <w:r>
        <w:rPr>
          <w:rFonts w:ascii="Times New Roman" w:hAnsi="Times New Roman"/>
          <w:sz w:val="24"/>
        </w:rPr>
        <w:t xml:space="preserve">vadības procesa </w:t>
      </w:r>
      <w:r w:rsidRPr="00A92B80">
        <w:rPr>
          <w:rFonts w:ascii="Times New Roman" w:hAnsi="Times New Roman"/>
          <w:sz w:val="24"/>
        </w:rPr>
        <w:t>nodrošināšanai nepieciešam</w:t>
      </w:r>
      <w:r>
        <w:rPr>
          <w:rFonts w:ascii="Times New Roman" w:hAnsi="Times New Roman"/>
          <w:sz w:val="24"/>
        </w:rPr>
        <w:t xml:space="preserve">ajiem </w:t>
      </w:r>
      <w:r w:rsidRPr="00A92B80">
        <w:rPr>
          <w:rFonts w:ascii="Times New Roman" w:hAnsi="Times New Roman"/>
          <w:sz w:val="24"/>
        </w:rPr>
        <w:t xml:space="preserve">juridiskajiem pakalpojumiem, </w:t>
      </w:r>
      <w:r w:rsidRPr="008E6D25">
        <w:rPr>
          <w:rFonts w:ascii="Times New Roman" w:hAnsi="Times New Roman"/>
          <w:sz w:val="24"/>
        </w:rPr>
        <w:t>maksājumi par valsts ārējā aizņēmuma vērtspapīru emisijas organizēšanu un apkalpošanu atbilstoši ar emisiju organizējošo banku noslēgto līgumu nosacījumiem</w:t>
      </w:r>
      <w:r>
        <w:rPr>
          <w:rFonts w:ascii="Times New Roman" w:hAnsi="Times New Roman"/>
          <w:sz w:val="24"/>
        </w:rPr>
        <w:t xml:space="preserve"> un citi apakšprogrammas mērķiem atbilstoši kārtējie izdevumi. </w:t>
      </w:r>
    </w:p>
    <w:p w:rsidR="004F3FAA" w:rsidRDefault="004F3FAA" w:rsidP="004F3FAA">
      <w:pPr>
        <w:ind w:firstLine="709"/>
        <w:jc w:val="both"/>
      </w:pPr>
      <w:r>
        <w:t xml:space="preserve">Saskaņā ar likumu „Par valsts budžetu 2013.gadam” apropriācija apakšprogrammai </w:t>
      </w:r>
      <w:r w:rsidRPr="00EE4C82">
        <w:t>31.02.00 “Valsts parāda vadība”</w:t>
      </w:r>
      <w:r>
        <w:t xml:space="preserve"> tika noteikta 249,7 </w:t>
      </w:r>
      <w:proofErr w:type="spellStart"/>
      <w:r>
        <w:t>milj.latu</w:t>
      </w:r>
      <w:proofErr w:type="spellEnd"/>
      <w:r>
        <w:t xml:space="preserve"> apmērā, </w:t>
      </w:r>
      <w:proofErr w:type="spellStart"/>
      <w:r>
        <w:t>t.sk</w:t>
      </w:r>
      <w:proofErr w:type="spellEnd"/>
      <w:r>
        <w:t xml:space="preserve">. procentu izdevumiem 245,2 </w:t>
      </w:r>
      <w:proofErr w:type="spellStart"/>
      <w:r>
        <w:t>milj.latu</w:t>
      </w:r>
      <w:proofErr w:type="spellEnd"/>
      <w:r>
        <w:t xml:space="preserve"> apmērā un kārtējiem izdevumiem (maksājumiem par precēm un pakalpojumiem) 4,5 </w:t>
      </w:r>
      <w:proofErr w:type="spellStart"/>
      <w:r>
        <w:t>milj.latu</w:t>
      </w:r>
      <w:proofErr w:type="spellEnd"/>
      <w:r>
        <w:t xml:space="preserve"> apmērā. Ņemot vērā apakšprogrammas faktiskās izpildes </w:t>
      </w:r>
      <w:r>
        <w:lastRenderedPageBreak/>
        <w:t xml:space="preserve">rezultātus 2013.gada janvārī – novembrī un prognozēto apakšprogrammas izdevumu izpildi 2013.gada decembrī, apakšprogrammas izdevumu sagaidāmā izpilde 2013.gadā novērtēta 216,2 </w:t>
      </w:r>
      <w:proofErr w:type="spellStart"/>
      <w:r>
        <w:t>mi</w:t>
      </w:r>
      <w:r w:rsidR="00B722E2">
        <w:t>lj.latu</w:t>
      </w:r>
      <w:proofErr w:type="spellEnd"/>
      <w:r w:rsidR="00B722E2">
        <w:t xml:space="preserve"> apmērā (</w:t>
      </w:r>
      <w:proofErr w:type="spellStart"/>
      <w:r w:rsidR="00B722E2">
        <w:t>skat</w:t>
      </w:r>
      <w:proofErr w:type="spellEnd"/>
      <w:r w:rsidR="00B722E2">
        <w:t>. 3.tab.).</w:t>
      </w:r>
    </w:p>
    <w:p w:rsidR="00B722E2" w:rsidRPr="00376D70" w:rsidRDefault="00B722E2" w:rsidP="00B722E2">
      <w:pPr>
        <w:ind w:firstLine="567"/>
        <w:jc w:val="right"/>
        <w:rPr>
          <w:sz w:val="22"/>
        </w:rPr>
      </w:pPr>
      <w:r>
        <w:rPr>
          <w:sz w:val="22"/>
        </w:rPr>
        <w:t>3</w:t>
      </w:r>
      <w:r w:rsidRPr="00376D70">
        <w:rPr>
          <w:sz w:val="22"/>
        </w:rPr>
        <w:t>.tabula</w:t>
      </w:r>
    </w:p>
    <w:p w:rsidR="00B722E2" w:rsidRPr="001F6700" w:rsidRDefault="00B722E2" w:rsidP="00B722E2">
      <w:pPr>
        <w:jc w:val="center"/>
        <w:rPr>
          <w:b/>
        </w:rPr>
      </w:pPr>
      <w:r w:rsidRPr="001F6700">
        <w:rPr>
          <w:b/>
        </w:rPr>
        <w:t>Valsts budžeta 31.02.00 apakšprogrammas “Valsts parāda vadība”</w:t>
      </w:r>
    </w:p>
    <w:p w:rsidR="00B722E2" w:rsidRPr="009148F7" w:rsidRDefault="00B722E2" w:rsidP="00B722E2">
      <w:pPr>
        <w:jc w:val="center"/>
        <w:rPr>
          <w:b/>
        </w:rPr>
      </w:pPr>
      <w:r w:rsidRPr="001F6700">
        <w:rPr>
          <w:b/>
        </w:rPr>
        <w:t>izdevumi 2013.gadā</w:t>
      </w:r>
    </w:p>
    <w:p w:rsidR="00B722E2" w:rsidRDefault="00B722E2" w:rsidP="00B722E2">
      <w:pPr>
        <w:jc w:val="center"/>
      </w:pPr>
      <w:r>
        <w:rPr>
          <w:noProof/>
        </w:rPr>
        <w:drawing>
          <wp:inline distT="0" distB="0" distL="0" distR="0" wp14:anchorId="1383EABE" wp14:editId="46D147E6">
            <wp:extent cx="5459211" cy="2594344"/>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4226" cy="2606232"/>
                    </a:xfrm>
                    <a:prstGeom prst="rect">
                      <a:avLst/>
                    </a:prstGeom>
                    <a:noFill/>
                    <a:ln>
                      <a:noFill/>
                    </a:ln>
                  </pic:spPr>
                </pic:pic>
              </a:graphicData>
            </a:graphic>
          </wp:inline>
        </w:drawing>
      </w:r>
    </w:p>
    <w:p w:rsidR="00B722E2" w:rsidRDefault="00B722E2" w:rsidP="00B722E2">
      <w:pPr>
        <w:jc w:val="center"/>
      </w:pPr>
    </w:p>
    <w:p w:rsidR="004F3FAA" w:rsidRDefault="004F3FAA" w:rsidP="004F3FAA">
      <w:pPr>
        <w:ind w:firstLine="709"/>
        <w:jc w:val="both"/>
      </w:pPr>
      <w:r>
        <w:t xml:space="preserve">Līdz ar to apakšprogrammas izdevumos 2013.gadā kopā ir prognozēts ietaupījums 33,5 </w:t>
      </w:r>
      <w:proofErr w:type="spellStart"/>
      <w:r>
        <w:t>milj.latu</w:t>
      </w:r>
      <w:proofErr w:type="spellEnd"/>
      <w:r>
        <w:t xml:space="preserve"> apmērā un šī ietaupījuma lielāko daļu (20,4 </w:t>
      </w:r>
      <w:proofErr w:type="spellStart"/>
      <w:r>
        <w:t>milj.latu</w:t>
      </w:r>
      <w:proofErr w:type="spellEnd"/>
      <w:r>
        <w:t>) ir nodrošinājusi Valsts kases darbība, veicot pasākumus valsts parāda vadības jomā, no kuriem būtiskākie ir šādi:</w:t>
      </w:r>
    </w:p>
    <w:p w:rsidR="004F3FAA" w:rsidRDefault="004F3FAA" w:rsidP="004F3FAA">
      <w:pPr>
        <w:pStyle w:val="ListParagraph"/>
        <w:numPr>
          <w:ilvl w:val="0"/>
          <w:numId w:val="37"/>
        </w:numPr>
        <w:spacing w:before="120" w:after="120"/>
        <w:jc w:val="both"/>
        <w:rPr>
          <w:rFonts w:ascii="Times New Roman" w:hAnsi="Times New Roman"/>
          <w:sz w:val="24"/>
        </w:rPr>
      </w:pPr>
      <w:r w:rsidRPr="001D7FAF">
        <w:rPr>
          <w:rFonts w:ascii="Times New Roman" w:hAnsi="Times New Roman"/>
          <w:i/>
          <w:sz w:val="24"/>
        </w:rPr>
        <w:t>Aizņemšanās organizēšana starptautiskajos finanšu tirgos 2012.gada decembrī ar vēsturiski zemāko procentu likmi</w:t>
      </w:r>
      <w:r>
        <w:rPr>
          <w:rFonts w:ascii="Times New Roman" w:hAnsi="Times New Roman"/>
          <w:sz w:val="24"/>
        </w:rPr>
        <w:t xml:space="preserve">, izmantojot īpaši labvēlīgu situāciju </w:t>
      </w:r>
      <w:r w:rsidRPr="00FB6C99">
        <w:rPr>
          <w:rFonts w:ascii="Times New Roman" w:hAnsi="Times New Roman"/>
          <w:sz w:val="24"/>
        </w:rPr>
        <w:t xml:space="preserve">finanšu tirgos </w:t>
      </w:r>
      <w:r>
        <w:rPr>
          <w:rFonts w:ascii="Times New Roman" w:hAnsi="Times New Roman"/>
          <w:sz w:val="24"/>
        </w:rPr>
        <w:t xml:space="preserve">un </w:t>
      </w:r>
      <w:r w:rsidRPr="00FB6C99">
        <w:rPr>
          <w:rFonts w:ascii="Times New Roman" w:hAnsi="Times New Roman"/>
          <w:sz w:val="24"/>
        </w:rPr>
        <w:t>pozitīvas izmaiņas Latvijas kredītreitinga līmenī</w:t>
      </w:r>
      <w:r>
        <w:rPr>
          <w:rFonts w:ascii="Times New Roman" w:hAnsi="Times New Roman"/>
          <w:sz w:val="24"/>
        </w:rPr>
        <w:t>.</w:t>
      </w:r>
      <w:r w:rsidRPr="00856E22">
        <w:rPr>
          <w:rFonts w:ascii="Times New Roman" w:hAnsi="Times New Roman"/>
          <w:sz w:val="24"/>
        </w:rPr>
        <w:t xml:space="preserve"> </w:t>
      </w:r>
      <w:r>
        <w:rPr>
          <w:rFonts w:ascii="Times New Roman" w:hAnsi="Times New Roman"/>
          <w:sz w:val="24"/>
        </w:rPr>
        <w:t>S</w:t>
      </w:r>
      <w:r w:rsidRPr="006863B3">
        <w:rPr>
          <w:rFonts w:ascii="Times New Roman" w:hAnsi="Times New Roman"/>
          <w:sz w:val="24"/>
        </w:rPr>
        <w:t>eptiņu gadu</w:t>
      </w:r>
      <w:r>
        <w:rPr>
          <w:rFonts w:ascii="Times New Roman" w:hAnsi="Times New Roman"/>
          <w:sz w:val="24"/>
        </w:rPr>
        <w:t xml:space="preserve"> eiroobligāciju emisiju </w:t>
      </w:r>
      <w:r w:rsidRPr="006863B3">
        <w:rPr>
          <w:rFonts w:ascii="Times New Roman" w:hAnsi="Times New Roman"/>
          <w:sz w:val="24"/>
        </w:rPr>
        <w:t xml:space="preserve">1,25 </w:t>
      </w:r>
      <w:proofErr w:type="spellStart"/>
      <w:r w:rsidRPr="006863B3">
        <w:rPr>
          <w:rFonts w:ascii="Times New Roman" w:hAnsi="Times New Roman"/>
          <w:sz w:val="24"/>
        </w:rPr>
        <w:t>mljrd</w:t>
      </w:r>
      <w:proofErr w:type="spellEnd"/>
      <w:r w:rsidRPr="006863B3">
        <w:rPr>
          <w:rFonts w:ascii="Times New Roman" w:hAnsi="Times New Roman"/>
          <w:sz w:val="24"/>
        </w:rPr>
        <w:t>. ASV dolāru apmērā var uzskatīt par īpaši veiksmīgu darījumu, jo tajā tika fiksēta kupona likme 2,75%, kas ir vēsturiski zemākā vērtspapīru procentu likme, kopš Latvija veic publiskus aizņēmumus starptautiskajos finanšu tirgos, un zemākā likme salīdzinājumā ar līdzīgu valstu aizņēmuma likmēm</w:t>
      </w:r>
      <w:r>
        <w:rPr>
          <w:rFonts w:ascii="Times New Roman" w:hAnsi="Times New Roman"/>
          <w:sz w:val="24"/>
        </w:rPr>
        <w:t xml:space="preserve">. Šo pasākumu rezultātā ir panākts ne tikai apakšprogrammas izdevumu samazinājums 2013.gadā (6,5 </w:t>
      </w:r>
      <w:proofErr w:type="spellStart"/>
      <w:r>
        <w:rPr>
          <w:rFonts w:ascii="Times New Roman" w:hAnsi="Times New Roman"/>
          <w:sz w:val="24"/>
        </w:rPr>
        <w:t>milj.latu</w:t>
      </w:r>
      <w:proofErr w:type="spellEnd"/>
      <w:r>
        <w:rPr>
          <w:rFonts w:ascii="Times New Roman" w:hAnsi="Times New Roman"/>
          <w:sz w:val="24"/>
        </w:rPr>
        <w:t xml:space="preserve"> apmērā), bet ir fiksēti zemi procentu izdevumi arī nākamajos gados. </w:t>
      </w:r>
    </w:p>
    <w:p w:rsidR="004F3FAA" w:rsidRDefault="004F3FAA" w:rsidP="004F3FAA">
      <w:pPr>
        <w:pStyle w:val="ListParagraph"/>
        <w:numPr>
          <w:ilvl w:val="0"/>
          <w:numId w:val="37"/>
        </w:numPr>
        <w:spacing w:before="120" w:after="120"/>
        <w:jc w:val="both"/>
        <w:rPr>
          <w:rFonts w:ascii="Times New Roman" w:hAnsi="Times New Roman"/>
          <w:sz w:val="24"/>
        </w:rPr>
      </w:pPr>
      <w:r w:rsidRPr="001D7FAF">
        <w:rPr>
          <w:rFonts w:ascii="Times New Roman" w:hAnsi="Times New Roman"/>
          <w:i/>
          <w:sz w:val="24"/>
        </w:rPr>
        <w:t>Starptautiskā Valūtas fonda aizdevuma pirmstermiņa atmaksas nodrošināšana pilnā apjomā</w:t>
      </w:r>
      <w:r w:rsidRPr="00D57A87">
        <w:rPr>
          <w:rFonts w:ascii="Times New Roman" w:hAnsi="Times New Roman"/>
          <w:sz w:val="24"/>
        </w:rPr>
        <w:t xml:space="preserve"> 2012.gadā</w:t>
      </w:r>
      <w:r>
        <w:rPr>
          <w:rFonts w:ascii="Times New Roman" w:hAnsi="Times New Roman"/>
          <w:sz w:val="24"/>
        </w:rPr>
        <w:t xml:space="preserve">, nodrošinot finansiāli izdevīgu Valsts kases kontos pieejamo resursu izmantošanu un pārfinansējot dārgu īstermiņa aizņēmumu no SVF ar lētiem ilgtermiņa aizņēmuma resursiem, kuri tika piesaistīti starptautiskajos finanšu tirgos 2012.gada decembrī. Atmaksājot šo aizdevumu pirms termiņa, kā arī pārtraucot ar šo aizdevumu saistīto finanšu risku vadībai noslēgtos atvasināto finanšu instrumentu darījumus, tika nodrošināts apakšprogrammas izdevumu samazinājums 2013.gadā 8,2 </w:t>
      </w:r>
      <w:proofErr w:type="spellStart"/>
      <w:r>
        <w:rPr>
          <w:rFonts w:ascii="Times New Roman" w:hAnsi="Times New Roman"/>
          <w:sz w:val="24"/>
        </w:rPr>
        <w:t>milj.latu</w:t>
      </w:r>
      <w:proofErr w:type="spellEnd"/>
      <w:r>
        <w:rPr>
          <w:rFonts w:ascii="Times New Roman" w:hAnsi="Times New Roman"/>
          <w:sz w:val="24"/>
        </w:rPr>
        <w:t xml:space="preserve"> apmērā, kā arī nodrošināts valsts budžeta līdzekļu ietaupījums līdz 2015.gadam, jo procentu maksājumi par šo aizņēmumu vairs nav jāveic.  </w:t>
      </w:r>
    </w:p>
    <w:p w:rsidR="004F3FAA" w:rsidRPr="00856E22" w:rsidRDefault="004F3FAA" w:rsidP="00135EC6">
      <w:pPr>
        <w:pStyle w:val="ListParagraph"/>
        <w:numPr>
          <w:ilvl w:val="0"/>
          <w:numId w:val="37"/>
        </w:numPr>
        <w:spacing w:before="120"/>
        <w:jc w:val="both"/>
        <w:rPr>
          <w:rFonts w:ascii="Times New Roman" w:hAnsi="Times New Roman"/>
          <w:sz w:val="24"/>
        </w:rPr>
      </w:pPr>
      <w:r w:rsidRPr="001D7FAF">
        <w:rPr>
          <w:rFonts w:ascii="Times New Roman" w:hAnsi="Times New Roman"/>
          <w:i/>
          <w:sz w:val="24"/>
        </w:rPr>
        <w:t>Iekšzemes finanšu tirgus potenciāla pilnvērtīga izmantošana un attīstīšana</w:t>
      </w:r>
      <w:r>
        <w:rPr>
          <w:rFonts w:ascii="Times New Roman" w:hAnsi="Times New Roman"/>
          <w:sz w:val="24"/>
        </w:rPr>
        <w:t>, ieviešot primāro dīleru sistēmu</w:t>
      </w:r>
      <w:r>
        <w:t xml:space="preserve">, </w:t>
      </w:r>
      <w:r w:rsidRPr="004E3CDD">
        <w:rPr>
          <w:rFonts w:ascii="Times New Roman" w:hAnsi="Times New Roman"/>
          <w:sz w:val="24"/>
        </w:rPr>
        <w:t xml:space="preserve">kā </w:t>
      </w:r>
      <w:r>
        <w:rPr>
          <w:rFonts w:ascii="Times New Roman" w:hAnsi="Times New Roman"/>
          <w:sz w:val="24"/>
        </w:rPr>
        <w:t>rezultātā</w:t>
      </w:r>
      <w:r w:rsidRPr="0086513F">
        <w:rPr>
          <w:rFonts w:ascii="Times New Roman" w:hAnsi="Times New Roman"/>
          <w:sz w:val="24"/>
        </w:rPr>
        <w:t xml:space="preserve"> </w:t>
      </w:r>
      <w:r w:rsidRPr="004E3CDD">
        <w:rPr>
          <w:rFonts w:ascii="Times New Roman" w:hAnsi="Times New Roman"/>
          <w:sz w:val="24"/>
        </w:rPr>
        <w:t>valsts vērtspapīru tirgu</w:t>
      </w:r>
      <w:r>
        <w:rPr>
          <w:rFonts w:ascii="Times New Roman" w:hAnsi="Times New Roman"/>
          <w:sz w:val="24"/>
        </w:rPr>
        <w:t>s kļuva</w:t>
      </w:r>
      <w:r w:rsidRPr="004E3CDD">
        <w:rPr>
          <w:rFonts w:ascii="Times New Roman" w:hAnsi="Times New Roman"/>
          <w:sz w:val="24"/>
        </w:rPr>
        <w:t xml:space="preserve"> aktīvāk</w:t>
      </w:r>
      <w:r>
        <w:rPr>
          <w:rFonts w:ascii="Times New Roman" w:hAnsi="Times New Roman"/>
          <w:sz w:val="24"/>
        </w:rPr>
        <w:t>s</w:t>
      </w:r>
      <w:r w:rsidRPr="004E3CDD">
        <w:rPr>
          <w:rFonts w:ascii="Times New Roman" w:hAnsi="Times New Roman"/>
          <w:sz w:val="24"/>
        </w:rPr>
        <w:t>, likvīdāk</w:t>
      </w:r>
      <w:r>
        <w:rPr>
          <w:rFonts w:ascii="Times New Roman" w:hAnsi="Times New Roman"/>
          <w:sz w:val="24"/>
        </w:rPr>
        <w:t>s</w:t>
      </w:r>
      <w:r w:rsidRPr="004E3CDD">
        <w:rPr>
          <w:rFonts w:ascii="Times New Roman" w:hAnsi="Times New Roman"/>
          <w:sz w:val="24"/>
        </w:rPr>
        <w:t xml:space="preserve"> un investoriem pievilcīgāk</w:t>
      </w:r>
      <w:r>
        <w:rPr>
          <w:rFonts w:ascii="Times New Roman" w:hAnsi="Times New Roman"/>
          <w:sz w:val="24"/>
        </w:rPr>
        <w:t>s</w:t>
      </w:r>
      <w:r w:rsidRPr="004E3CDD">
        <w:rPr>
          <w:rFonts w:ascii="Times New Roman" w:hAnsi="Times New Roman"/>
          <w:sz w:val="24"/>
        </w:rPr>
        <w:t xml:space="preserve">, </w:t>
      </w:r>
      <w:r>
        <w:rPr>
          <w:rFonts w:ascii="Times New Roman" w:hAnsi="Times New Roman"/>
          <w:sz w:val="24"/>
        </w:rPr>
        <w:t>veicinot vēsturiski zemāko aizņemšanās likmju uzturēšanu valsts iekšējā aizņēmuma vērtspapīru izsolēs un investoru interesi par ieguldījumiem visu termiņu valsts vērtspapīros</w:t>
      </w:r>
      <w:r w:rsidRPr="004E3CDD">
        <w:rPr>
          <w:rFonts w:ascii="Times New Roman" w:hAnsi="Times New Roman"/>
          <w:sz w:val="24"/>
        </w:rPr>
        <w:t>.</w:t>
      </w:r>
      <w:r>
        <w:rPr>
          <w:rFonts w:ascii="Times New Roman" w:hAnsi="Times New Roman"/>
          <w:sz w:val="24"/>
        </w:rPr>
        <w:t xml:space="preserve"> Šie pasākumi veicināja apakšprogrammas izdevumu samazinājumu 2013.gadā salīdzinājumā ar sākotnēji plānoto apjomu par 1,2 </w:t>
      </w:r>
      <w:proofErr w:type="spellStart"/>
      <w:r>
        <w:rPr>
          <w:rFonts w:ascii="Times New Roman" w:hAnsi="Times New Roman"/>
          <w:sz w:val="24"/>
        </w:rPr>
        <w:t>milj.latu</w:t>
      </w:r>
      <w:proofErr w:type="spellEnd"/>
      <w:r>
        <w:rPr>
          <w:rFonts w:ascii="Times New Roman" w:hAnsi="Times New Roman"/>
          <w:sz w:val="24"/>
        </w:rPr>
        <w:t xml:space="preserve">, kā </w:t>
      </w:r>
      <w:r>
        <w:rPr>
          <w:rFonts w:ascii="Times New Roman" w:hAnsi="Times New Roman"/>
          <w:sz w:val="24"/>
        </w:rPr>
        <w:lastRenderedPageBreak/>
        <w:t>arī turpmākajos gados sekmēs aizņemšanās procentu likmju (un līdz ar to arī procentu izdevumu) saglabāšanos mērenā, optimālā līmenī.</w:t>
      </w:r>
    </w:p>
    <w:p w:rsidR="004F3FAA" w:rsidRDefault="004F3FAA" w:rsidP="004F3FAA">
      <w:pPr>
        <w:spacing w:before="120"/>
        <w:ind w:firstLine="720"/>
        <w:jc w:val="both"/>
      </w:pPr>
      <w:r w:rsidRPr="0078141B">
        <w:t>Jāatzīmē, ka 2013.</w:t>
      </w:r>
      <w:r>
        <w:t xml:space="preserve">gada laikā (līdz informatīvā ziņojuma sagatavošanas brīdim), ņemot vērā apakšprogrammas faktiskās un sagaidāmās izpildes rādītājus, normatīvajos aktos noteiktajā kārtībā tika veikta apropriācijas pārdale 34,4 </w:t>
      </w:r>
      <w:proofErr w:type="spellStart"/>
      <w:r>
        <w:t>milj.latu</w:t>
      </w:r>
      <w:proofErr w:type="spellEnd"/>
      <w:r>
        <w:t xml:space="preserve"> apmērā no apakšprogrammas citām valsts budžeta programmām, kuras administrē Veselības ministrija, A</w:t>
      </w:r>
      <w:r w:rsidRPr="00ED642B">
        <w:t>izsardzība ministrija</w:t>
      </w:r>
      <w:r>
        <w:t xml:space="preserve">, </w:t>
      </w:r>
      <w:r w:rsidRPr="00ED642B">
        <w:t>Ārlietu ministrija</w:t>
      </w:r>
      <w:r>
        <w:t xml:space="preserve">, </w:t>
      </w:r>
      <w:r w:rsidRPr="00ED642B">
        <w:t>Iekšlietu ministrija</w:t>
      </w:r>
      <w:r>
        <w:t xml:space="preserve">, </w:t>
      </w:r>
      <w:r w:rsidRPr="00ED642B">
        <w:t>Zemkopības ministrija</w:t>
      </w:r>
      <w:r>
        <w:t xml:space="preserve">, Labklājības ministrija, </w:t>
      </w:r>
      <w:r w:rsidRPr="00AD0574">
        <w:t>Satiksmes ministrija</w:t>
      </w:r>
      <w:r>
        <w:t xml:space="preserve">, </w:t>
      </w:r>
      <w:r w:rsidRPr="00ED642B">
        <w:t>Tieslietu ministrija</w:t>
      </w:r>
      <w:r>
        <w:t xml:space="preserve">, </w:t>
      </w:r>
      <w:r w:rsidRPr="00ED642B">
        <w:t>Kultūras ministrija</w:t>
      </w:r>
      <w:r>
        <w:t xml:space="preserve">, </w:t>
      </w:r>
      <w:proofErr w:type="spellStart"/>
      <w:r w:rsidRPr="00AD0574">
        <w:t>Pārresoru</w:t>
      </w:r>
      <w:proofErr w:type="spellEnd"/>
      <w:r w:rsidRPr="00AD0574">
        <w:t xml:space="preserve"> koordinācijas centr</w:t>
      </w:r>
      <w:r>
        <w:t>s,</w:t>
      </w:r>
      <w:r w:rsidRPr="001F6700">
        <w:t xml:space="preserve"> prokuratūra</w:t>
      </w:r>
      <w:r>
        <w:t>, kā arī i</w:t>
      </w:r>
      <w:r w:rsidRPr="00ED642B">
        <w:t>emaks</w:t>
      </w:r>
      <w:r>
        <w:t>u veikšanai</w:t>
      </w:r>
      <w:r w:rsidRPr="00ED642B">
        <w:t xml:space="preserve"> SVF Nabadzības samazināšanas un izaugsmes trastā</w:t>
      </w:r>
      <w:r>
        <w:t>, m</w:t>
      </w:r>
      <w:r w:rsidRPr="00ED642B">
        <w:t>ērķdotācij</w:t>
      </w:r>
      <w:r>
        <w:t>ām</w:t>
      </w:r>
      <w:r w:rsidRPr="00ED642B">
        <w:t xml:space="preserve"> pašvaldībām</w:t>
      </w:r>
      <w:r>
        <w:t xml:space="preserve"> un līdzekļiem neparedzētiem gadījumiem (</w:t>
      </w:r>
      <w:proofErr w:type="spellStart"/>
      <w:r>
        <w:t>skat</w:t>
      </w:r>
      <w:proofErr w:type="spellEnd"/>
      <w:r>
        <w:t xml:space="preserve">. 4.att.).  </w:t>
      </w:r>
    </w:p>
    <w:p w:rsidR="004F3FAA" w:rsidRDefault="004F3FAA" w:rsidP="004F3FAA">
      <w:pPr>
        <w:jc w:val="center"/>
        <w:rPr>
          <w:color w:val="0070C0"/>
        </w:rPr>
      </w:pPr>
      <w:r>
        <w:rPr>
          <w:noProof/>
        </w:rPr>
        <w:drawing>
          <wp:inline distT="0" distB="0" distL="0" distR="0">
            <wp:extent cx="3502025" cy="2605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2025" cy="2605405"/>
                    </a:xfrm>
                    <a:prstGeom prst="rect">
                      <a:avLst/>
                    </a:prstGeom>
                    <a:noFill/>
                    <a:ln>
                      <a:noFill/>
                    </a:ln>
                  </pic:spPr>
                </pic:pic>
              </a:graphicData>
            </a:graphic>
          </wp:inline>
        </w:drawing>
      </w:r>
    </w:p>
    <w:p w:rsidR="004F3FAA" w:rsidRDefault="004F3FAA" w:rsidP="004F3FAA">
      <w:pPr>
        <w:jc w:val="center"/>
        <w:rPr>
          <w:b/>
        </w:rPr>
      </w:pPr>
      <w:r>
        <w:rPr>
          <w:sz w:val="22"/>
        </w:rPr>
        <w:t>4</w:t>
      </w:r>
      <w:r w:rsidRPr="00376D70">
        <w:rPr>
          <w:sz w:val="22"/>
        </w:rPr>
        <w:t xml:space="preserve">.attēls. </w:t>
      </w:r>
      <w:r w:rsidRPr="00147827">
        <w:rPr>
          <w:b/>
        </w:rPr>
        <w:t xml:space="preserve">2013.gadā </w:t>
      </w:r>
      <w:r>
        <w:rPr>
          <w:b/>
        </w:rPr>
        <w:t>veiktās a</w:t>
      </w:r>
      <w:r w:rsidRPr="00147827">
        <w:rPr>
          <w:b/>
        </w:rPr>
        <w:t>propriācijas pārdale</w:t>
      </w:r>
      <w:r>
        <w:rPr>
          <w:b/>
        </w:rPr>
        <w:t>s</w:t>
      </w:r>
    </w:p>
    <w:p w:rsidR="004F3FAA" w:rsidRPr="00376D70" w:rsidRDefault="004F3FAA" w:rsidP="004F3FAA">
      <w:pPr>
        <w:spacing w:after="120"/>
        <w:jc w:val="center"/>
        <w:rPr>
          <w:b/>
        </w:rPr>
      </w:pPr>
      <w:r>
        <w:rPr>
          <w:b/>
        </w:rPr>
        <w:t xml:space="preserve"> no apakšprogrammas 31.02.00 </w:t>
      </w:r>
      <w:r w:rsidRPr="00617DD9">
        <w:rPr>
          <w:b/>
        </w:rPr>
        <w:t>“Valsts parāda vadība”</w:t>
      </w:r>
      <w:r>
        <w:rPr>
          <w:b/>
        </w:rPr>
        <w:t xml:space="preserve">, </w:t>
      </w:r>
      <w:proofErr w:type="spellStart"/>
      <w:r w:rsidRPr="008E012C">
        <w:t>milj.latu</w:t>
      </w:r>
      <w:proofErr w:type="spellEnd"/>
    </w:p>
    <w:p w:rsidR="004F3FAA" w:rsidRPr="00FB59D5" w:rsidRDefault="004F3FAA" w:rsidP="005605E5">
      <w:pPr>
        <w:pStyle w:val="ListParagraph"/>
        <w:numPr>
          <w:ilvl w:val="0"/>
          <w:numId w:val="21"/>
        </w:numPr>
        <w:spacing w:before="240" w:after="240"/>
        <w:ind w:left="714" w:hanging="357"/>
        <w:jc w:val="both"/>
        <w:rPr>
          <w:rFonts w:ascii="Times New Roman" w:hAnsi="Times New Roman"/>
          <w:b/>
          <w:sz w:val="24"/>
        </w:rPr>
      </w:pPr>
      <w:r w:rsidRPr="00DE1823">
        <w:rPr>
          <w:rFonts w:ascii="Times New Roman" w:hAnsi="Times New Roman"/>
          <w:b/>
          <w:sz w:val="24"/>
        </w:rPr>
        <w:t>Valsts kases</w:t>
      </w:r>
      <w:r>
        <w:rPr>
          <w:rFonts w:ascii="Times New Roman" w:hAnsi="Times New Roman"/>
          <w:b/>
          <w:sz w:val="24"/>
        </w:rPr>
        <w:t xml:space="preserve"> </w:t>
      </w:r>
      <w:r w:rsidRPr="00DE1823">
        <w:rPr>
          <w:rFonts w:ascii="Times New Roman" w:hAnsi="Times New Roman"/>
          <w:b/>
          <w:sz w:val="24"/>
        </w:rPr>
        <w:t xml:space="preserve">veiktie pasākumi </w:t>
      </w:r>
      <w:r>
        <w:rPr>
          <w:rFonts w:ascii="Times New Roman" w:hAnsi="Times New Roman"/>
          <w:b/>
          <w:sz w:val="24"/>
        </w:rPr>
        <w:t xml:space="preserve">valsts parāda un aizņēmumu vadības ietvaros </w:t>
      </w:r>
      <w:r w:rsidRPr="00DE1823">
        <w:rPr>
          <w:rFonts w:ascii="Times New Roman" w:hAnsi="Times New Roman"/>
          <w:b/>
          <w:sz w:val="24"/>
        </w:rPr>
        <w:t>procentu izdevumu samazināšanai</w:t>
      </w:r>
      <w:r>
        <w:rPr>
          <w:rFonts w:ascii="Times New Roman" w:hAnsi="Times New Roman"/>
          <w:b/>
          <w:sz w:val="24"/>
        </w:rPr>
        <w:t xml:space="preserve"> 2013.gadā</w:t>
      </w:r>
    </w:p>
    <w:p w:rsidR="004F3FAA" w:rsidRPr="009C223A" w:rsidRDefault="004F3FAA" w:rsidP="004F3FAA">
      <w:pPr>
        <w:spacing w:before="120" w:after="120"/>
        <w:jc w:val="both"/>
        <w:rPr>
          <w:b/>
        </w:rPr>
      </w:pPr>
      <w:r w:rsidRPr="009C223A">
        <w:rPr>
          <w:b/>
        </w:rPr>
        <w:t>3.1. Aizņ</w:t>
      </w:r>
      <w:r>
        <w:rPr>
          <w:b/>
        </w:rPr>
        <w:t>emšanās</w:t>
      </w:r>
      <w:r w:rsidRPr="009C223A">
        <w:rPr>
          <w:b/>
        </w:rPr>
        <w:t xml:space="preserve"> starptautiskajos finanšu tirgos</w:t>
      </w:r>
      <w:r>
        <w:rPr>
          <w:b/>
        </w:rPr>
        <w:t xml:space="preserve"> 2012.gadā</w:t>
      </w:r>
    </w:p>
    <w:p w:rsidR="004F3FAA" w:rsidRPr="009C223A" w:rsidRDefault="004F3FAA" w:rsidP="004F3FAA">
      <w:pPr>
        <w:spacing w:before="120" w:after="120"/>
        <w:jc w:val="both"/>
        <w:rPr>
          <w:u w:val="single"/>
        </w:rPr>
      </w:pPr>
      <w:r>
        <w:rPr>
          <w:u w:val="single"/>
        </w:rPr>
        <w:t xml:space="preserve">Apakšprogrammas izdevumu plānošanā izmantotie </w:t>
      </w:r>
      <w:r w:rsidRPr="009C223A">
        <w:rPr>
          <w:u w:val="single"/>
        </w:rPr>
        <w:t>pieņēmumi</w:t>
      </w:r>
      <w:r>
        <w:rPr>
          <w:u w:val="single"/>
        </w:rPr>
        <w:t xml:space="preserve"> un</w:t>
      </w:r>
      <w:r w:rsidRPr="009C223A">
        <w:rPr>
          <w:u w:val="single"/>
        </w:rPr>
        <w:t xml:space="preserve"> to pamatojums</w:t>
      </w:r>
    </w:p>
    <w:p w:rsidR="004F3FAA" w:rsidRDefault="004F3FAA" w:rsidP="004F3FAA">
      <w:pPr>
        <w:ind w:firstLine="709"/>
        <w:jc w:val="both"/>
      </w:pPr>
      <w:r w:rsidRPr="009C4E7F">
        <w:rPr>
          <w:i/>
        </w:rPr>
        <w:t>Pieņēmumi par aizņemšanās apjomiem</w:t>
      </w:r>
      <w:r>
        <w:rPr>
          <w:i/>
        </w:rPr>
        <w:t xml:space="preserve"> un aizņēmumu veikšanas laiku </w:t>
      </w:r>
      <w:r w:rsidRPr="009C4E7F">
        <w:rPr>
          <w:i/>
        </w:rPr>
        <w:t>starptautiskajos finanšu tirgos</w:t>
      </w:r>
      <w:r>
        <w:t xml:space="preserve"> 2012.gadā un 2013.gadā tika izvirzīti, balstoties uz spēkā esošajā </w:t>
      </w:r>
      <w:r w:rsidRPr="00A0085C">
        <w:t xml:space="preserve">2011.gada 26.augustā </w:t>
      </w:r>
      <w:r>
        <w:t xml:space="preserve">finanšu ministra </w:t>
      </w:r>
      <w:r w:rsidRPr="00A0085C">
        <w:t>apstiprināt</w:t>
      </w:r>
      <w:r>
        <w:t>aj</w:t>
      </w:r>
      <w:r w:rsidRPr="00A0085C">
        <w:t>ā Resur</w:t>
      </w:r>
      <w:r>
        <w:t>su piesaistīšanas pasākumu plānā 2011.-2015.gadam noteikto aizņemšanās scenāriju, saskaņā ar kuru tika plānoti šādi aizņemšanās pasākumi starptautiskajos finanšu tirgos:</w:t>
      </w:r>
    </w:p>
    <w:p w:rsidR="004F3FAA" w:rsidRPr="009C4E7F" w:rsidRDefault="004F3FAA" w:rsidP="004F3FAA">
      <w:pPr>
        <w:pStyle w:val="ListParagraph"/>
        <w:numPr>
          <w:ilvl w:val="0"/>
          <w:numId w:val="25"/>
        </w:numPr>
        <w:spacing w:before="120" w:after="120"/>
        <w:jc w:val="both"/>
        <w:rPr>
          <w:rFonts w:ascii="Times New Roman" w:hAnsi="Times New Roman"/>
          <w:sz w:val="24"/>
        </w:rPr>
      </w:pPr>
      <w:r w:rsidRPr="009C4E7F">
        <w:rPr>
          <w:rFonts w:ascii="Times New Roman" w:hAnsi="Times New Roman"/>
          <w:sz w:val="24"/>
        </w:rPr>
        <w:t xml:space="preserve">2012.gadā, izvērtējot situāciju starptautiskajos tirgos un atkarībā no Latvijas ekonomiskās, politiskās un fiskālās situācijas, īstenot jaunas eiroobligāciju emisijas par kopējo apjomu vismaz 500 </w:t>
      </w:r>
      <w:proofErr w:type="spellStart"/>
      <w:r w:rsidRPr="009C4E7F">
        <w:rPr>
          <w:rFonts w:ascii="Times New Roman" w:hAnsi="Times New Roman"/>
          <w:sz w:val="24"/>
        </w:rPr>
        <w:t>milj</w:t>
      </w:r>
      <w:proofErr w:type="spellEnd"/>
      <w:r w:rsidRPr="009C4E7F">
        <w:rPr>
          <w:rFonts w:ascii="Times New Roman" w:hAnsi="Times New Roman"/>
          <w:sz w:val="24"/>
        </w:rPr>
        <w:t>. latu ekvivalentā;</w:t>
      </w:r>
    </w:p>
    <w:p w:rsidR="004F3FAA" w:rsidRPr="009C4E7F" w:rsidRDefault="004F3FAA" w:rsidP="004F3FAA">
      <w:pPr>
        <w:pStyle w:val="ListParagraph"/>
        <w:numPr>
          <w:ilvl w:val="0"/>
          <w:numId w:val="25"/>
        </w:numPr>
        <w:spacing w:before="120" w:after="120"/>
        <w:jc w:val="both"/>
        <w:rPr>
          <w:rFonts w:ascii="Times New Roman" w:hAnsi="Times New Roman"/>
          <w:sz w:val="24"/>
        </w:rPr>
      </w:pPr>
      <w:r w:rsidRPr="009C4E7F">
        <w:rPr>
          <w:rFonts w:ascii="Times New Roman" w:hAnsi="Times New Roman"/>
          <w:sz w:val="24"/>
        </w:rPr>
        <w:t xml:space="preserve">2013.gadā un 2014.gadā nodrošināt publiskās vērtspapīru emisijas starptautiskajos kapitāla tirgos indikatīvi 1 </w:t>
      </w:r>
      <w:proofErr w:type="spellStart"/>
      <w:r w:rsidRPr="009C4E7F">
        <w:rPr>
          <w:rFonts w:ascii="Times New Roman" w:hAnsi="Times New Roman"/>
          <w:sz w:val="24"/>
        </w:rPr>
        <w:t>m</w:t>
      </w:r>
      <w:r>
        <w:rPr>
          <w:rFonts w:ascii="Times New Roman" w:hAnsi="Times New Roman"/>
          <w:sz w:val="24"/>
        </w:rPr>
        <w:t>i</w:t>
      </w:r>
      <w:r w:rsidRPr="009C4E7F">
        <w:rPr>
          <w:rFonts w:ascii="Times New Roman" w:hAnsi="Times New Roman"/>
          <w:sz w:val="24"/>
        </w:rPr>
        <w:t>ljrd</w:t>
      </w:r>
      <w:proofErr w:type="spellEnd"/>
      <w:r w:rsidRPr="009C4E7F">
        <w:rPr>
          <w:rFonts w:ascii="Times New Roman" w:hAnsi="Times New Roman"/>
          <w:sz w:val="24"/>
        </w:rPr>
        <w:t xml:space="preserve">. latu un 1,7 </w:t>
      </w:r>
      <w:proofErr w:type="spellStart"/>
      <w:r w:rsidRPr="009C4E7F">
        <w:rPr>
          <w:rFonts w:ascii="Times New Roman" w:hAnsi="Times New Roman"/>
          <w:sz w:val="24"/>
        </w:rPr>
        <w:t>m</w:t>
      </w:r>
      <w:r>
        <w:rPr>
          <w:rFonts w:ascii="Times New Roman" w:hAnsi="Times New Roman"/>
          <w:sz w:val="24"/>
        </w:rPr>
        <w:t>i</w:t>
      </w:r>
      <w:r w:rsidRPr="009C4E7F">
        <w:rPr>
          <w:rFonts w:ascii="Times New Roman" w:hAnsi="Times New Roman"/>
          <w:sz w:val="24"/>
        </w:rPr>
        <w:t>ljrd</w:t>
      </w:r>
      <w:proofErr w:type="spellEnd"/>
      <w:r w:rsidRPr="009C4E7F">
        <w:rPr>
          <w:rFonts w:ascii="Times New Roman" w:hAnsi="Times New Roman"/>
          <w:sz w:val="24"/>
        </w:rPr>
        <w:t>. latu ekvivalentā attiecīgajā gadā.</w:t>
      </w:r>
    </w:p>
    <w:p w:rsidR="004F3FAA" w:rsidRDefault="004F3FAA" w:rsidP="004F3FAA">
      <w:pPr>
        <w:ind w:firstLine="709"/>
        <w:jc w:val="both"/>
        <w:rPr>
          <w:rFonts w:eastAsia="Calibri"/>
          <w:szCs w:val="22"/>
        </w:rPr>
      </w:pPr>
      <w:r>
        <w:rPr>
          <w:rFonts w:eastAsia="Calibri"/>
          <w:szCs w:val="22"/>
        </w:rPr>
        <w:t xml:space="preserve">Saskaņā ar likuma „Par valsts budžetu 2013.gadam” sagatavošanas grafiku 2012.gada martā novērtējot apakšprogrammas </w:t>
      </w:r>
      <w:r w:rsidRPr="009C4E7F">
        <w:rPr>
          <w:rFonts w:eastAsia="Calibri"/>
          <w:szCs w:val="22"/>
        </w:rPr>
        <w:t>31.02.00 “Valsts parāda vadība”</w:t>
      </w:r>
      <w:r>
        <w:rPr>
          <w:rFonts w:eastAsia="Calibri"/>
          <w:szCs w:val="22"/>
        </w:rPr>
        <w:t xml:space="preserve"> plānotos izdevumus 2013.-2015.gadam, tika ņemts vērā, ka aizņemšanās pasākumu plāns starptautiskajos finanšu tirgos 2012.gadam jau ir izpildīts, jo ASV finanšu tirgū 2012.gada februārī Valsts kase </w:t>
      </w:r>
      <w:r>
        <w:rPr>
          <w:rFonts w:eastAsia="Calibri"/>
          <w:szCs w:val="22"/>
        </w:rPr>
        <w:lastRenderedPageBreak/>
        <w:t>organizēja eiroobligāciju emisiju</w:t>
      </w:r>
      <w:r w:rsidRPr="00051717">
        <w:rPr>
          <w:rFonts w:eastAsia="Calibri"/>
          <w:szCs w:val="22"/>
        </w:rPr>
        <w:t xml:space="preserve"> </w:t>
      </w:r>
      <w:r>
        <w:rPr>
          <w:rFonts w:eastAsia="Calibri"/>
          <w:szCs w:val="22"/>
        </w:rPr>
        <w:t xml:space="preserve">ar piecu gadu dzēšanas termiņu, kuras rezultātā tika piesaistīti resursi 1 </w:t>
      </w:r>
      <w:proofErr w:type="spellStart"/>
      <w:r>
        <w:rPr>
          <w:rFonts w:eastAsia="Calibri"/>
          <w:szCs w:val="22"/>
        </w:rPr>
        <w:t>miljrd.ASV</w:t>
      </w:r>
      <w:proofErr w:type="spellEnd"/>
      <w:r>
        <w:rPr>
          <w:rFonts w:eastAsia="Calibri"/>
          <w:szCs w:val="22"/>
        </w:rPr>
        <w:t xml:space="preserve"> dolāru apmērā ar kupona likmi 5,25%. </w:t>
      </w:r>
    </w:p>
    <w:p w:rsidR="004F3FAA" w:rsidRDefault="004F3FAA" w:rsidP="004F3FAA">
      <w:pPr>
        <w:ind w:firstLine="709"/>
        <w:jc w:val="both"/>
        <w:rPr>
          <w:rFonts w:eastAsia="Calibri"/>
          <w:szCs w:val="22"/>
        </w:rPr>
      </w:pPr>
      <w:r>
        <w:rPr>
          <w:rFonts w:eastAsia="Calibri"/>
          <w:szCs w:val="22"/>
        </w:rPr>
        <w:t xml:space="preserve">Līdz ar to, nākamā aizņemšanās starptautiskajos finanšu tirgos saskaņā ar minēto Resursu piesaistīšanas pasākumu plānu </w:t>
      </w:r>
      <w:r>
        <w:t>2011.-2015.gadam</w:t>
      </w:r>
      <w:r>
        <w:rPr>
          <w:rFonts w:eastAsia="Calibri"/>
          <w:szCs w:val="22"/>
        </w:rPr>
        <w:t xml:space="preserve"> tika plānota ne ātrāk kā 2013.gadā, atbilstoši pakāpeniskas un savlaicīgas aizņemšanās stratēģijai paredzot iespēju jau gada pirmajā pusē piesaistīt vismaz pusi no 2013.gadā paredzētā kopējā aizņemšanās apjoma, organizējot nākamo eiroobligāciju emisiju 500 </w:t>
      </w:r>
      <w:proofErr w:type="spellStart"/>
      <w:r>
        <w:rPr>
          <w:rFonts w:eastAsia="Calibri"/>
          <w:szCs w:val="22"/>
        </w:rPr>
        <w:t>milj.latu</w:t>
      </w:r>
      <w:proofErr w:type="spellEnd"/>
      <w:r>
        <w:rPr>
          <w:rFonts w:eastAsia="Calibri"/>
          <w:szCs w:val="22"/>
        </w:rPr>
        <w:t xml:space="preserve"> ekvivalentā un saglabājot elastību attiecībā uz aizņēmuma valūtas izvēli (</w:t>
      </w:r>
      <w:proofErr w:type="spellStart"/>
      <w:r w:rsidRPr="00A5729F">
        <w:rPr>
          <w:rFonts w:eastAsia="Calibri"/>
          <w:i/>
          <w:szCs w:val="22"/>
        </w:rPr>
        <w:t>euro</w:t>
      </w:r>
      <w:proofErr w:type="spellEnd"/>
      <w:r w:rsidRPr="00224AC9">
        <w:rPr>
          <w:rFonts w:eastAsia="Calibri"/>
          <w:szCs w:val="22"/>
        </w:rPr>
        <w:t xml:space="preserve"> vai ASV dolār</w:t>
      </w:r>
      <w:r>
        <w:rPr>
          <w:rFonts w:eastAsia="Calibri"/>
          <w:szCs w:val="22"/>
        </w:rPr>
        <w:t xml:space="preserve">i) atkarībā no tā, kurā valūtā aizņemšanās nosacījumi būs izdevīgāki no izmaksu </w:t>
      </w:r>
      <w:r w:rsidRPr="00224AC9">
        <w:rPr>
          <w:rFonts w:eastAsia="Calibri"/>
          <w:szCs w:val="22"/>
        </w:rPr>
        <w:t>viedokļa.</w:t>
      </w:r>
    </w:p>
    <w:p w:rsidR="00C05525" w:rsidRDefault="00C05525" w:rsidP="00C05525">
      <w:pPr>
        <w:ind w:firstLine="709"/>
        <w:jc w:val="both"/>
        <w:rPr>
          <w:rFonts w:eastAsia="Calibri"/>
          <w:szCs w:val="22"/>
        </w:rPr>
      </w:pPr>
      <w:r>
        <w:rPr>
          <w:rFonts w:eastAsia="Calibri"/>
          <w:szCs w:val="22"/>
        </w:rPr>
        <w:t xml:space="preserve">Jāatzīmē, ka aizņēmuma valūtas un aizņemšanās reģionu izvēle (Eiropas vai ASV finanšu tirgus) cieši saistīta ar eiroobligāciju emisijas formāta izvēli. Eiropas finanšu tirgū, emitējot eiroobligācijas </w:t>
      </w:r>
      <w:proofErr w:type="spellStart"/>
      <w:r w:rsidRPr="003B4936">
        <w:rPr>
          <w:rFonts w:eastAsia="Calibri"/>
          <w:i/>
          <w:szCs w:val="22"/>
        </w:rPr>
        <w:t>euro</w:t>
      </w:r>
      <w:proofErr w:type="spellEnd"/>
      <w:r>
        <w:rPr>
          <w:rFonts w:eastAsia="Calibri"/>
          <w:szCs w:val="22"/>
        </w:rPr>
        <w:t xml:space="preserve"> valūtā, parasti tiek izvēlēts </w:t>
      </w:r>
      <w:proofErr w:type="spellStart"/>
      <w:r w:rsidRPr="008B12C7">
        <w:rPr>
          <w:rFonts w:eastAsia="Calibri"/>
          <w:i/>
          <w:szCs w:val="22"/>
        </w:rPr>
        <w:t>RegS</w:t>
      </w:r>
      <w:proofErr w:type="spellEnd"/>
      <w:r w:rsidRPr="008B12C7">
        <w:rPr>
          <w:rFonts w:eastAsia="Calibri"/>
          <w:i/>
          <w:szCs w:val="22"/>
        </w:rPr>
        <w:t xml:space="preserve"> </w:t>
      </w:r>
      <w:proofErr w:type="spellStart"/>
      <w:r w:rsidRPr="008B12C7">
        <w:rPr>
          <w:rFonts w:eastAsia="Calibri"/>
          <w:i/>
          <w:szCs w:val="22"/>
        </w:rPr>
        <w:t>only</w:t>
      </w:r>
      <w:proofErr w:type="spellEnd"/>
      <w:r>
        <w:rPr>
          <w:rFonts w:eastAsia="Calibri"/>
          <w:szCs w:val="22"/>
        </w:rPr>
        <w:t xml:space="preserve"> formāts, bet veicot emisiju ASV finanšu tirgū ASV dolāros, lielākoties tiek izvēlēts </w:t>
      </w:r>
      <w:proofErr w:type="spellStart"/>
      <w:r w:rsidRPr="008B12C7">
        <w:rPr>
          <w:rFonts w:eastAsia="Calibri"/>
          <w:i/>
          <w:szCs w:val="22"/>
        </w:rPr>
        <w:t>Reg</w:t>
      </w:r>
      <w:proofErr w:type="spellEnd"/>
      <w:r w:rsidRPr="008B12C7">
        <w:rPr>
          <w:rFonts w:eastAsia="Calibri"/>
          <w:i/>
          <w:szCs w:val="22"/>
        </w:rPr>
        <w:t xml:space="preserve"> S/ 144A</w:t>
      </w:r>
      <w:r>
        <w:rPr>
          <w:rFonts w:eastAsia="Calibri"/>
          <w:szCs w:val="22"/>
        </w:rPr>
        <w:t xml:space="preserve"> formāts, ar mērķi paplašināt to investoru loku, kuri ar savu solījumu var piedalīties vērtspapīru sākotnējā izvietošanā. Attiecīgi formāts ietekmē kupona maksājumu regularitāti, tā piemēram, par </w:t>
      </w:r>
      <w:proofErr w:type="spellStart"/>
      <w:r w:rsidRPr="008B12C7">
        <w:rPr>
          <w:rFonts w:eastAsia="Calibri"/>
          <w:i/>
          <w:szCs w:val="22"/>
        </w:rPr>
        <w:t>RegS</w:t>
      </w:r>
      <w:proofErr w:type="spellEnd"/>
      <w:r w:rsidRPr="008B12C7">
        <w:rPr>
          <w:rFonts w:eastAsia="Calibri"/>
          <w:i/>
          <w:szCs w:val="22"/>
        </w:rPr>
        <w:t xml:space="preserve"> </w:t>
      </w:r>
      <w:proofErr w:type="spellStart"/>
      <w:r w:rsidRPr="008B12C7">
        <w:rPr>
          <w:rFonts w:eastAsia="Calibri"/>
          <w:i/>
          <w:szCs w:val="22"/>
        </w:rPr>
        <w:t>only</w:t>
      </w:r>
      <w:proofErr w:type="spellEnd"/>
      <w:r>
        <w:rPr>
          <w:rFonts w:eastAsia="Calibri"/>
          <w:szCs w:val="22"/>
        </w:rPr>
        <w:t xml:space="preserve"> formāta ietvaros emitētajām eiroobligācijām kupona maksājums ir jāveic reizi gadā, savukārt, s</w:t>
      </w:r>
      <w:r w:rsidRPr="006F2CE9">
        <w:rPr>
          <w:rFonts w:eastAsia="Calibri"/>
          <w:szCs w:val="22"/>
        </w:rPr>
        <w:t xml:space="preserve">askaņā ar </w:t>
      </w:r>
      <w:proofErr w:type="spellStart"/>
      <w:r w:rsidRPr="008B12C7">
        <w:rPr>
          <w:rFonts w:eastAsia="Calibri"/>
          <w:i/>
          <w:szCs w:val="22"/>
        </w:rPr>
        <w:t>RegS</w:t>
      </w:r>
      <w:proofErr w:type="spellEnd"/>
      <w:r w:rsidRPr="008B12C7">
        <w:rPr>
          <w:rFonts w:eastAsia="Calibri"/>
          <w:i/>
          <w:szCs w:val="22"/>
        </w:rPr>
        <w:t>/ 144A</w:t>
      </w:r>
      <w:r>
        <w:rPr>
          <w:rFonts w:eastAsia="Calibri"/>
          <w:szCs w:val="22"/>
        </w:rPr>
        <w:t xml:space="preserve"> </w:t>
      </w:r>
      <w:r w:rsidRPr="006F2CE9">
        <w:rPr>
          <w:rFonts w:eastAsia="Calibri"/>
          <w:szCs w:val="22"/>
        </w:rPr>
        <w:t xml:space="preserve">formāta </w:t>
      </w:r>
      <w:r>
        <w:rPr>
          <w:rFonts w:eastAsia="Calibri"/>
          <w:szCs w:val="22"/>
        </w:rPr>
        <w:t xml:space="preserve">eiroobligāciju </w:t>
      </w:r>
      <w:r w:rsidRPr="006F2CE9">
        <w:rPr>
          <w:rFonts w:eastAsia="Calibri"/>
          <w:szCs w:val="22"/>
        </w:rPr>
        <w:t xml:space="preserve">emisijas noteikumiem, kupona maksājumi </w:t>
      </w:r>
      <w:r>
        <w:rPr>
          <w:rFonts w:eastAsia="Calibri"/>
          <w:szCs w:val="22"/>
        </w:rPr>
        <w:t>jāveic</w:t>
      </w:r>
      <w:r w:rsidRPr="006F2CE9">
        <w:rPr>
          <w:rFonts w:eastAsia="Calibri"/>
          <w:szCs w:val="22"/>
        </w:rPr>
        <w:t xml:space="preserve"> divas reizes gadā, sadalot gada kupona maksājumu uz pusēm. </w:t>
      </w:r>
    </w:p>
    <w:p w:rsidR="00C05525" w:rsidRPr="0000773A" w:rsidRDefault="00C05525" w:rsidP="00C05525">
      <w:pPr>
        <w:ind w:firstLine="709"/>
        <w:jc w:val="both"/>
        <w:rPr>
          <w:rFonts w:eastAsia="Calibri"/>
          <w:color w:val="00B0F0"/>
          <w:szCs w:val="22"/>
        </w:rPr>
      </w:pPr>
      <w:r w:rsidRPr="006F2CE9">
        <w:rPr>
          <w:rFonts w:eastAsia="Calibri"/>
          <w:szCs w:val="22"/>
        </w:rPr>
        <w:t>Tādēļ, rēķinoties ar iespēju, ka nākamā eiroobligāciju emisija</w:t>
      </w:r>
      <w:r>
        <w:rPr>
          <w:rFonts w:eastAsia="Calibri"/>
          <w:szCs w:val="22"/>
        </w:rPr>
        <w:t xml:space="preserve"> </w:t>
      </w:r>
      <w:proofErr w:type="spellStart"/>
      <w:r w:rsidRPr="008B12C7">
        <w:rPr>
          <w:rFonts w:eastAsia="Calibri"/>
          <w:i/>
          <w:szCs w:val="22"/>
        </w:rPr>
        <w:t>Reg</w:t>
      </w:r>
      <w:proofErr w:type="spellEnd"/>
      <w:r w:rsidRPr="008B12C7">
        <w:rPr>
          <w:rFonts w:eastAsia="Calibri"/>
          <w:i/>
          <w:szCs w:val="22"/>
        </w:rPr>
        <w:t xml:space="preserve"> S/ 144A</w:t>
      </w:r>
      <w:r>
        <w:rPr>
          <w:rFonts w:eastAsia="Calibri"/>
          <w:szCs w:val="22"/>
        </w:rPr>
        <w:t xml:space="preserve"> formāta ietvaros ir iespējama gan Eiropas, gan </w:t>
      </w:r>
      <w:r w:rsidRPr="006F2CE9">
        <w:rPr>
          <w:rFonts w:eastAsia="Calibri"/>
          <w:szCs w:val="22"/>
        </w:rPr>
        <w:t xml:space="preserve">ASV finanšu tirgū vismaz </w:t>
      </w:r>
      <w:r>
        <w:rPr>
          <w:rFonts w:eastAsia="Calibri"/>
          <w:szCs w:val="22"/>
        </w:rPr>
        <w:t xml:space="preserve">500 </w:t>
      </w:r>
      <w:proofErr w:type="spellStart"/>
      <w:r>
        <w:rPr>
          <w:rFonts w:eastAsia="Calibri"/>
          <w:szCs w:val="22"/>
        </w:rPr>
        <w:t>milj.latu</w:t>
      </w:r>
      <w:proofErr w:type="spellEnd"/>
      <w:r>
        <w:rPr>
          <w:rFonts w:eastAsia="Calibri"/>
          <w:szCs w:val="22"/>
        </w:rPr>
        <w:t xml:space="preserve"> ekvivalentā</w:t>
      </w:r>
      <w:r w:rsidRPr="006F2CE9">
        <w:rPr>
          <w:rFonts w:eastAsia="Calibri"/>
          <w:szCs w:val="22"/>
        </w:rPr>
        <w:t xml:space="preserve"> jau 2013.gada pirmajā pusgadā, apakšprogrammas izdevumos 2013.gadā tika ieplānots pirmais kupona maksājums par šīs potenciālās emisijas obligācijām</w:t>
      </w:r>
      <w:r w:rsidRPr="00E66152">
        <w:rPr>
          <w:rFonts w:eastAsia="Calibri"/>
          <w:szCs w:val="22"/>
        </w:rPr>
        <w:t xml:space="preserve">. Ja </w:t>
      </w:r>
      <w:r>
        <w:rPr>
          <w:rFonts w:eastAsia="Calibri"/>
          <w:szCs w:val="22"/>
        </w:rPr>
        <w:t xml:space="preserve">sākumā </w:t>
      </w:r>
      <w:r w:rsidRPr="00E66152">
        <w:rPr>
          <w:rFonts w:eastAsia="Calibri"/>
          <w:szCs w:val="22"/>
        </w:rPr>
        <w:t xml:space="preserve">tiktu ieplānota obligāciju emisija tikai </w:t>
      </w:r>
      <w:proofErr w:type="spellStart"/>
      <w:r w:rsidRPr="008B12C7">
        <w:rPr>
          <w:rFonts w:eastAsia="Calibri"/>
          <w:i/>
          <w:szCs w:val="22"/>
        </w:rPr>
        <w:t>RegS</w:t>
      </w:r>
      <w:proofErr w:type="spellEnd"/>
      <w:r w:rsidRPr="008B12C7">
        <w:rPr>
          <w:rFonts w:eastAsia="Calibri"/>
          <w:i/>
          <w:szCs w:val="22"/>
        </w:rPr>
        <w:t xml:space="preserve"> </w:t>
      </w:r>
      <w:proofErr w:type="spellStart"/>
      <w:r w:rsidRPr="008B12C7">
        <w:rPr>
          <w:rFonts w:eastAsia="Calibri"/>
          <w:i/>
          <w:szCs w:val="22"/>
        </w:rPr>
        <w:t>only</w:t>
      </w:r>
      <w:proofErr w:type="spellEnd"/>
      <w:r>
        <w:rPr>
          <w:rFonts w:eastAsia="Calibri"/>
          <w:szCs w:val="22"/>
        </w:rPr>
        <w:t xml:space="preserve"> </w:t>
      </w:r>
      <w:r w:rsidRPr="00E66152">
        <w:rPr>
          <w:rFonts w:eastAsia="Calibri"/>
          <w:szCs w:val="22"/>
        </w:rPr>
        <w:t>formātā, Valsts kasei nebūtu elastības iespēj</w:t>
      </w:r>
      <w:r w:rsidR="0024086E">
        <w:rPr>
          <w:rFonts w:eastAsia="Calibri"/>
          <w:szCs w:val="22"/>
        </w:rPr>
        <w:t>as</w:t>
      </w:r>
      <w:r w:rsidRPr="00E66152">
        <w:rPr>
          <w:rFonts w:eastAsia="Calibri"/>
          <w:szCs w:val="22"/>
        </w:rPr>
        <w:t xml:space="preserve"> obligāciju formāta izvēlē</w:t>
      </w:r>
      <w:r>
        <w:rPr>
          <w:rFonts w:eastAsia="Calibri"/>
          <w:szCs w:val="22"/>
        </w:rPr>
        <w:t xml:space="preserve"> un ierobežotas iespējas investoru bāzes paplašināšanā, ko nodrošina </w:t>
      </w:r>
      <w:proofErr w:type="spellStart"/>
      <w:r w:rsidRPr="008B12C7">
        <w:rPr>
          <w:rFonts w:eastAsia="Calibri"/>
          <w:i/>
          <w:szCs w:val="22"/>
        </w:rPr>
        <w:t>Reg</w:t>
      </w:r>
      <w:proofErr w:type="spellEnd"/>
      <w:r w:rsidRPr="008B12C7">
        <w:rPr>
          <w:rFonts w:eastAsia="Calibri"/>
          <w:i/>
          <w:szCs w:val="22"/>
        </w:rPr>
        <w:t xml:space="preserve"> S/144A</w:t>
      </w:r>
      <w:r>
        <w:rPr>
          <w:rFonts w:eastAsia="Calibri"/>
          <w:szCs w:val="22"/>
        </w:rPr>
        <w:t xml:space="preserve"> formāts.</w:t>
      </w:r>
    </w:p>
    <w:p w:rsidR="00C05525" w:rsidRDefault="00C05525" w:rsidP="002A2073">
      <w:pPr>
        <w:ind w:firstLine="709"/>
        <w:jc w:val="both"/>
        <w:rPr>
          <w:i/>
        </w:rPr>
      </w:pPr>
    </w:p>
    <w:p w:rsidR="004F3FAA" w:rsidRPr="00A014AF" w:rsidRDefault="004F3FAA" w:rsidP="002A2073">
      <w:pPr>
        <w:ind w:firstLine="709"/>
        <w:jc w:val="both"/>
        <w:rPr>
          <w:rFonts w:eastAsia="Calibri"/>
          <w:szCs w:val="22"/>
        </w:rPr>
      </w:pPr>
      <w:r w:rsidRPr="00DD66C0">
        <w:rPr>
          <w:i/>
        </w:rPr>
        <w:t>Pieņēmum</w:t>
      </w:r>
      <w:r>
        <w:rPr>
          <w:i/>
        </w:rPr>
        <w:t>s</w:t>
      </w:r>
      <w:r w:rsidRPr="00DD66C0">
        <w:rPr>
          <w:i/>
        </w:rPr>
        <w:t xml:space="preserve"> </w:t>
      </w:r>
      <w:r>
        <w:rPr>
          <w:i/>
        </w:rPr>
        <w:t>par iespējamo aizņēmuma termiņu</w:t>
      </w:r>
      <w:r>
        <w:rPr>
          <w:rFonts w:eastAsia="Calibri"/>
          <w:szCs w:val="22"/>
        </w:rPr>
        <w:t xml:space="preserve"> tika izvirzīts, vadoties no šādiem </w:t>
      </w:r>
      <w:r w:rsidRPr="00A014AF">
        <w:rPr>
          <w:rFonts w:eastAsia="Calibri"/>
          <w:szCs w:val="22"/>
        </w:rPr>
        <w:t>apsvērumiem:</w:t>
      </w:r>
    </w:p>
    <w:p w:rsidR="004F3FAA" w:rsidRPr="003660F6" w:rsidRDefault="004F3FAA" w:rsidP="004F3FAA">
      <w:pPr>
        <w:pStyle w:val="ListParagraph"/>
        <w:numPr>
          <w:ilvl w:val="0"/>
          <w:numId w:val="36"/>
        </w:numPr>
        <w:spacing w:before="120"/>
        <w:jc w:val="both"/>
        <w:rPr>
          <w:rFonts w:ascii="Times New Roman" w:hAnsi="Times New Roman"/>
          <w:sz w:val="24"/>
        </w:rPr>
      </w:pPr>
      <w:r w:rsidRPr="003660F6">
        <w:rPr>
          <w:rFonts w:ascii="Times New Roman" w:hAnsi="Times New Roman"/>
          <w:sz w:val="24"/>
        </w:rPr>
        <w:t>tiek ievērota Latvijas Valsts parāda vadības stratēģija;</w:t>
      </w:r>
    </w:p>
    <w:p w:rsidR="004F3FAA" w:rsidRPr="003660F6" w:rsidRDefault="004F3FAA" w:rsidP="004F3FAA">
      <w:pPr>
        <w:pStyle w:val="ListParagraph"/>
        <w:numPr>
          <w:ilvl w:val="0"/>
          <w:numId w:val="36"/>
        </w:numPr>
        <w:spacing w:before="120"/>
        <w:jc w:val="both"/>
        <w:rPr>
          <w:rFonts w:ascii="Times New Roman" w:hAnsi="Times New Roman"/>
          <w:sz w:val="24"/>
        </w:rPr>
      </w:pPr>
      <w:r w:rsidRPr="003660F6">
        <w:rPr>
          <w:rFonts w:ascii="Times New Roman" w:hAnsi="Times New Roman"/>
          <w:sz w:val="24"/>
        </w:rPr>
        <w:t>jaunā aizņēmuma termiņš nerada riskus valsts parāda dzēšanas profilā;</w:t>
      </w:r>
    </w:p>
    <w:p w:rsidR="004F3FAA" w:rsidRPr="00A014AF" w:rsidRDefault="004F3FAA" w:rsidP="004F3FAA">
      <w:pPr>
        <w:pStyle w:val="ListParagraph"/>
        <w:numPr>
          <w:ilvl w:val="0"/>
          <w:numId w:val="36"/>
        </w:numPr>
        <w:spacing w:before="120" w:after="120"/>
        <w:ind w:left="1077" w:hanging="357"/>
        <w:jc w:val="both"/>
      </w:pPr>
      <w:r w:rsidRPr="003660F6">
        <w:rPr>
          <w:rFonts w:ascii="Times New Roman" w:hAnsi="Times New Roman"/>
          <w:sz w:val="24"/>
        </w:rPr>
        <w:t xml:space="preserve">etalona apjoma aizņēmumu veikšana, piesaistot investorus, kas gatavi ieguldīt resursus vidēja termiņa vai ilgtermiņa vērtspapīros. </w:t>
      </w:r>
    </w:p>
    <w:p w:rsidR="004F3FAA" w:rsidRPr="00EB055A" w:rsidRDefault="004F3FAA" w:rsidP="004F3FAA">
      <w:pPr>
        <w:ind w:firstLine="709"/>
        <w:jc w:val="both"/>
      </w:pPr>
      <w:r>
        <w:t xml:space="preserve">Ņemot vērā šos apsvērumus, apakšprogrammas izdevumu plānošanā tika izmantots pieņēmums, ka 2013.gada pirmajā pusgadā varētu tikt emitētas eiroobligācijas </w:t>
      </w:r>
      <w:proofErr w:type="spellStart"/>
      <w:r w:rsidRPr="00E2522A">
        <w:rPr>
          <w:i/>
        </w:rPr>
        <w:t>euro</w:t>
      </w:r>
      <w:proofErr w:type="spellEnd"/>
      <w:r w:rsidRPr="00E2522A">
        <w:t xml:space="preserve"> vai ASV dolār</w:t>
      </w:r>
      <w:r>
        <w:t>os</w:t>
      </w:r>
      <w:r w:rsidRPr="00E2522A">
        <w:t xml:space="preserve"> </w:t>
      </w:r>
      <w:r>
        <w:t xml:space="preserve">ar dzēšanas termiņu 10 gadi, </w:t>
      </w:r>
      <w:r w:rsidRPr="00E66152">
        <w:t>neizslēdzot iespēju veikt arī cita termi</w:t>
      </w:r>
      <w:r>
        <w:t>ņa obligāciju emisiju</w:t>
      </w:r>
      <w:r w:rsidRPr="00E66152">
        <w:t>, ja attiecīgā termiņa aizņēmums būtu finansiāli izdevīgāks un nodrošinātu stratēģisko aizņemšanās mērķu sasniegšanu.</w:t>
      </w:r>
    </w:p>
    <w:p w:rsidR="004F3FAA" w:rsidRDefault="004F3FAA" w:rsidP="004F3FAA">
      <w:pPr>
        <w:spacing w:before="120"/>
        <w:ind w:firstLine="709"/>
        <w:jc w:val="both"/>
      </w:pPr>
      <w:r w:rsidRPr="00DD66C0">
        <w:rPr>
          <w:i/>
        </w:rPr>
        <w:t>Pieņēmumi par aizņ</w:t>
      </w:r>
      <w:r>
        <w:rPr>
          <w:i/>
        </w:rPr>
        <w:t>emšanās</w:t>
      </w:r>
      <w:r w:rsidRPr="00DD66C0">
        <w:rPr>
          <w:i/>
        </w:rPr>
        <w:t xml:space="preserve"> </w:t>
      </w:r>
      <w:r>
        <w:rPr>
          <w:i/>
        </w:rPr>
        <w:t xml:space="preserve">procentu likmēm </w:t>
      </w:r>
      <w:r>
        <w:t>tika izvirzīti, balstoties uz finanšu tirgus situācijas analīzi, bāzes likmju un kredītriska uzcenojumu tendencēm, šīs tendences ietekmējošo faktoru analīzi, tirgus dalībnieku prognozēm un globālo investīciju banku indikācijām.</w:t>
      </w:r>
    </w:p>
    <w:p w:rsidR="004F3FAA" w:rsidRDefault="004F3FAA" w:rsidP="004F3FAA">
      <w:pPr>
        <w:ind w:firstLine="709"/>
        <w:jc w:val="both"/>
      </w:pPr>
      <w:r>
        <w:t>Jāņem vērā, ka kopējā aizņēmumu procentu likme sastāv no bāzes likmes un kredītriska uzcenojuma (</w:t>
      </w:r>
      <w:proofErr w:type="spellStart"/>
      <w:r>
        <w:t>skat</w:t>
      </w:r>
      <w:proofErr w:type="spellEnd"/>
      <w:r>
        <w:t xml:space="preserve">. </w:t>
      </w:r>
      <w:r w:rsidR="00E7542C">
        <w:t>5</w:t>
      </w:r>
      <w:r w:rsidRPr="002B1C36">
        <w:t>.att.).</w:t>
      </w:r>
      <w:r>
        <w:t xml:space="preserve"> Galvenā loma ir kredītriska uzcenojumam, jo bāzes likmi var vadīt, izmantojot atvasinātos finanšu instrumentus (mainot no fiksētās uz mainīgo un otrādi), ko Valsts kase arī veic saskaņā ar Valsts parāda vadības stratēģiju.</w:t>
      </w:r>
    </w:p>
    <w:p w:rsidR="004F3FAA" w:rsidRDefault="004F3FAA" w:rsidP="004F3FAA">
      <w:pPr>
        <w:jc w:val="center"/>
      </w:pPr>
      <w:r>
        <w:rPr>
          <w:noProof/>
        </w:rPr>
        <w:lastRenderedPageBreak/>
        <w:drawing>
          <wp:inline distT="0" distB="0" distL="0" distR="0">
            <wp:extent cx="3855720" cy="1734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5720" cy="1734185"/>
                    </a:xfrm>
                    <a:prstGeom prst="rect">
                      <a:avLst/>
                    </a:prstGeom>
                    <a:noFill/>
                    <a:ln>
                      <a:noFill/>
                    </a:ln>
                  </pic:spPr>
                </pic:pic>
              </a:graphicData>
            </a:graphic>
          </wp:inline>
        </w:drawing>
      </w:r>
    </w:p>
    <w:p w:rsidR="004F3FAA" w:rsidRPr="00376D70" w:rsidRDefault="00E7542C" w:rsidP="004F3FAA">
      <w:pPr>
        <w:spacing w:before="120" w:after="120"/>
        <w:jc w:val="center"/>
        <w:rPr>
          <w:b/>
        </w:rPr>
      </w:pPr>
      <w:r>
        <w:rPr>
          <w:sz w:val="22"/>
        </w:rPr>
        <w:t>5</w:t>
      </w:r>
      <w:r w:rsidR="004F3FAA" w:rsidRPr="00376D70">
        <w:rPr>
          <w:sz w:val="22"/>
        </w:rPr>
        <w:t xml:space="preserve">.attēls. </w:t>
      </w:r>
      <w:r w:rsidR="004F3FAA">
        <w:rPr>
          <w:b/>
        </w:rPr>
        <w:t>Aizņēmuma likmes struktūra</w:t>
      </w:r>
    </w:p>
    <w:p w:rsidR="004F3FAA" w:rsidRDefault="004F3FAA" w:rsidP="004F3FAA">
      <w:pPr>
        <w:ind w:firstLine="709"/>
        <w:jc w:val="both"/>
      </w:pPr>
      <w:r>
        <w:t>Aizņēmuma likmes struktūrā esošo</w:t>
      </w:r>
      <w:r w:rsidRPr="002E5084">
        <w:rPr>
          <w:i/>
        </w:rPr>
        <w:t xml:space="preserve"> bāzes likmes </w:t>
      </w:r>
      <w:r>
        <w:t xml:space="preserve">lielumu un izmaiņas aizņēmējs nevar ietekmēt vai noteikt, jo to pamatā ietekmē centrālo banku monetārā politika un virkne citu faktoru, kas ir saistīti ar finanšu un kapitāla tirgū pastāvošo pieprasījumu un piedāvājumu, ekonomikas izaugsmes tendencēm, fiskālās politikas īstenošanu konkrētajā reģionā </w:t>
      </w:r>
      <w:proofErr w:type="spellStart"/>
      <w:r>
        <w:t>utml</w:t>
      </w:r>
      <w:proofErr w:type="spellEnd"/>
      <w:r>
        <w:t>. Tāpēc arī finanšu tirgus dalībnieki rūpīgi seko valstu monetārās politikas lēmumiem, veido procentu likmju prognozes un novērtējumus, kurus aizņēmumu pasākumu plānošanā ņem vērā arī Valsts kase.</w:t>
      </w:r>
    </w:p>
    <w:p w:rsidR="004F3FAA" w:rsidRDefault="004F3FAA" w:rsidP="004F3FAA">
      <w:pPr>
        <w:ind w:firstLine="709"/>
        <w:jc w:val="both"/>
      </w:pPr>
      <w:r>
        <w:t xml:space="preserve">Savukārt, </w:t>
      </w:r>
      <w:r w:rsidRPr="002E5084">
        <w:rPr>
          <w:i/>
        </w:rPr>
        <w:t>kredītriska uzcenojumus</w:t>
      </w:r>
      <w:r>
        <w:t xml:space="preserve"> raksturo investora viedokli par aizņēmēja kvalitāti un maksātspēju</w:t>
      </w:r>
      <w:r w:rsidRPr="004E6432">
        <w:t xml:space="preserve"> </w:t>
      </w:r>
      <w:proofErr w:type="spellStart"/>
      <w:r>
        <w:t>īstermiņā</w:t>
      </w:r>
      <w:proofErr w:type="spellEnd"/>
      <w:r>
        <w:t xml:space="preserve"> un ilgtermiņā. Valsts aizņemto resursu kredītriska uzcenojumu ietekmē vairāki faktori:</w:t>
      </w:r>
    </w:p>
    <w:p w:rsidR="004F3FAA" w:rsidRPr="00C019B9" w:rsidRDefault="004F3FAA" w:rsidP="004F3FAA">
      <w:pPr>
        <w:pStyle w:val="ListParagraph"/>
        <w:numPr>
          <w:ilvl w:val="0"/>
          <w:numId w:val="26"/>
        </w:numPr>
        <w:spacing w:before="120" w:after="120"/>
        <w:jc w:val="both"/>
        <w:rPr>
          <w:i/>
        </w:rPr>
      </w:pPr>
      <w:r w:rsidRPr="00403C5A">
        <w:rPr>
          <w:rFonts w:ascii="Times New Roman" w:hAnsi="Times New Roman"/>
          <w:sz w:val="24"/>
        </w:rPr>
        <w:t>investoru gatavība iegādāties jaunus vērtspapīrus konkrētos finanšu tirgus apstākļos (nenoteiktība un nestabilitāte finanšu un kapitāla tirgos negatīvi ietekmē investoru interesi par jauniem ieguldījumiem; stabilitāte un noteiktība pozitīvi ietekmē investoru lēmumus investīciju veikšanai)</w:t>
      </w:r>
      <w:r>
        <w:rPr>
          <w:rFonts w:ascii="Times New Roman" w:hAnsi="Times New Roman"/>
          <w:sz w:val="24"/>
        </w:rPr>
        <w:t>;</w:t>
      </w:r>
      <w:r w:rsidRPr="00403C5A">
        <w:rPr>
          <w:rFonts w:ascii="Times New Roman" w:hAnsi="Times New Roman"/>
          <w:sz w:val="24"/>
        </w:rPr>
        <w:t xml:space="preserve">  </w:t>
      </w:r>
      <w:r>
        <w:t xml:space="preserve"> </w:t>
      </w:r>
      <w:r w:rsidRPr="00DD66C0">
        <w:rPr>
          <w:i/>
        </w:rPr>
        <w:t xml:space="preserve"> </w:t>
      </w:r>
    </w:p>
    <w:p w:rsidR="004F3FAA" w:rsidRPr="00403C5A" w:rsidRDefault="004F3FAA" w:rsidP="004F3FAA">
      <w:pPr>
        <w:pStyle w:val="ListParagraph"/>
        <w:numPr>
          <w:ilvl w:val="0"/>
          <w:numId w:val="26"/>
        </w:numPr>
        <w:spacing w:before="120" w:after="120"/>
        <w:jc w:val="both"/>
        <w:rPr>
          <w:rFonts w:ascii="Times New Roman" w:hAnsi="Times New Roman"/>
          <w:sz w:val="24"/>
        </w:rPr>
      </w:pPr>
      <w:r w:rsidRPr="00403C5A">
        <w:rPr>
          <w:rFonts w:ascii="Times New Roman" w:hAnsi="Times New Roman"/>
          <w:sz w:val="24"/>
        </w:rPr>
        <w:t>valsts īstermiņa un ilgtermiņa kredītreitings;</w:t>
      </w:r>
    </w:p>
    <w:p w:rsidR="00C05525" w:rsidRPr="00C05525" w:rsidRDefault="00C05525" w:rsidP="00C05525">
      <w:pPr>
        <w:pStyle w:val="ListParagraph"/>
        <w:numPr>
          <w:ilvl w:val="0"/>
          <w:numId w:val="26"/>
        </w:numPr>
        <w:jc w:val="both"/>
        <w:rPr>
          <w:rFonts w:ascii="Times New Roman" w:hAnsi="Times New Roman"/>
          <w:sz w:val="24"/>
        </w:rPr>
      </w:pPr>
      <w:r w:rsidRPr="00C05525">
        <w:rPr>
          <w:rFonts w:ascii="Times New Roman" w:hAnsi="Times New Roman"/>
          <w:sz w:val="24"/>
        </w:rPr>
        <w:t>līdzīga kredītreitinga valstu apgrozībā esošo līdzīga (līdz dzēšanai atlikušā) termiņa un valūtas vērtspapīru cenas attīstība otrreizējā tirgū un šādu valstu nesen sākotnējā tirgū izcenotu vērtspapīru rezultāti;</w:t>
      </w:r>
    </w:p>
    <w:p w:rsidR="004F3FAA" w:rsidRPr="00403C5A" w:rsidRDefault="004F3FAA" w:rsidP="004F3FAA">
      <w:pPr>
        <w:pStyle w:val="ListParagraph"/>
        <w:numPr>
          <w:ilvl w:val="0"/>
          <w:numId w:val="26"/>
        </w:numPr>
        <w:spacing w:before="120" w:after="120"/>
        <w:jc w:val="both"/>
        <w:rPr>
          <w:rFonts w:ascii="Times New Roman" w:hAnsi="Times New Roman"/>
          <w:sz w:val="24"/>
        </w:rPr>
      </w:pPr>
      <w:r w:rsidRPr="00403C5A">
        <w:rPr>
          <w:rFonts w:ascii="Times New Roman" w:hAnsi="Times New Roman"/>
          <w:sz w:val="24"/>
        </w:rPr>
        <w:t xml:space="preserve">valsts fiskālās politikas ilgtspēja, fiskālie rādītāji, to tendences; </w:t>
      </w:r>
    </w:p>
    <w:p w:rsidR="004F3FAA" w:rsidRPr="00403C5A" w:rsidRDefault="004F3FAA" w:rsidP="004F3FAA">
      <w:pPr>
        <w:pStyle w:val="ListParagraph"/>
        <w:numPr>
          <w:ilvl w:val="0"/>
          <w:numId w:val="26"/>
        </w:numPr>
        <w:spacing w:before="120" w:after="120"/>
        <w:jc w:val="both"/>
        <w:rPr>
          <w:rFonts w:ascii="Times New Roman" w:hAnsi="Times New Roman"/>
          <w:sz w:val="24"/>
        </w:rPr>
      </w:pPr>
      <w:r w:rsidRPr="00403C5A">
        <w:rPr>
          <w:rFonts w:ascii="Times New Roman" w:hAnsi="Times New Roman"/>
          <w:sz w:val="24"/>
        </w:rPr>
        <w:t>valsts politiskā</w:t>
      </w:r>
      <w:r>
        <w:rPr>
          <w:rFonts w:ascii="Times New Roman" w:hAnsi="Times New Roman"/>
          <w:sz w:val="24"/>
        </w:rPr>
        <w:t>s</w:t>
      </w:r>
      <w:r w:rsidRPr="00403C5A">
        <w:rPr>
          <w:rFonts w:ascii="Times New Roman" w:hAnsi="Times New Roman"/>
          <w:sz w:val="24"/>
        </w:rPr>
        <w:t xml:space="preserve"> situācijas stabilitāte;</w:t>
      </w:r>
    </w:p>
    <w:p w:rsidR="004F3FAA" w:rsidRPr="00403C5A" w:rsidRDefault="004F3FAA" w:rsidP="004F3FAA">
      <w:pPr>
        <w:pStyle w:val="ListParagraph"/>
        <w:numPr>
          <w:ilvl w:val="0"/>
          <w:numId w:val="26"/>
        </w:numPr>
        <w:spacing w:before="120" w:after="120"/>
        <w:jc w:val="both"/>
        <w:rPr>
          <w:rFonts w:ascii="Times New Roman" w:hAnsi="Times New Roman"/>
          <w:sz w:val="24"/>
        </w:rPr>
      </w:pPr>
      <w:r w:rsidRPr="00403C5A">
        <w:rPr>
          <w:rFonts w:ascii="Times New Roman" w:hAnsi="Times New Roman"/>
          <w:sz w:val="24"/>
        </w:rPr>
        <w:t>valsts vērtspapīru cena otrreizējā tirgū, tās tendences;</w:t>
      </w:r>
    </w:p>
    <w:p w:rsidR="004F3FAA" w:rsidRPr="00403C5A" w:rsidRDefault="004F3FAA" w:rsidP="004F3FAA">
      <w:pPr>
        <w:pStyle w:val="ListParagraph"/>
        <w:numPr>
          <w:ilvl w:val="0"/>
          <w:numId w:val="26"/>
        </w:numPr>
        <w:spacing w:before="120" w:after="120"/>
        <w:jc w:val="both"/>
        <w:rPr>
          <w:rFonts w:ascii="Times New Roman" w:hAnsi="Times New Roman"/>
          <w:sz w:val="24"/>
        </w:rPr>
      </w:pPr>
      <w:r w:rsidRPr="00403C5A">
        <w:rPr>
          <w:rFonts w:ascii="Times New Roman" w:hAnsi="Times New Roman"/>
          <w:sz w:val="24"/>
        </w:rPr>
        <w:t>valsts riska novērtējums citu valstu vidū (CDS</w:t>
      </w:r>
      <w:r>
        <w:rPr>
          <w:rStyle w:val="FootnoteReference"/>
          <w:rFonts w:ascii="Times New Roman" w:hAnsi="Times New Roman"/>
          <w:sz w:val="24"/>
        </w:rPr>
        <w:footnoteReference w:id="1"/>
      </w:r>
      <w:r w:rsidRPr="00403C5A">
        <w:rPr>
          <w:rFonts w:ascii="Times New Roman" w:hAnsi="Times New Roman"/>
          <w:sz w:val="24"/>
        </w:rPr>
        <w:t xml:space="preserve"> līmeņi)</w:t>
      </w:r>
      <w:r>
        <w:rPr>
          <w:rFonts w:ascii="Times New Roman" w:hAnsi="Times New Roman"/>
          <w:sz w:val="24"/>
        </w:rPr>
        <w:t>;</w:t>
      </w:r>
    </w:p>
    <w:p w:rsidR="004F3FAA" w:rsidRPr="00403C5A" w:rsidRDefault="004F3FAA" w:rsidP="004F3FAA">
      <w:pPr>
        <w:pStyle w:val="ListParagraph"/>
        <w:numPr>
          <w:ilvl w:val="0"/>
          <w:numId w:val="26"/>
        </w:numPr>
        <w:spacing w:before="120" w:after="120"/>
        <w:jc w:val="both"/>
        <w:rPr>
          <w:rFonts w:ascii="Times New Roman" w:hAnsi="Times New Roman"/>
          <w:sz w:val="24"/>
        </w:rPr>
      </w:pPr>
      <w:r>
        <w:rPr>
          <w:rFonts w:ascii="Times New Roman" w:hAnsi="Times New Roman"/>
          <w:sz w:val="24"/>
        </w:rPr>
        <w:t>kapitāla kustības tendences starp dažādām aktīvu klasēm un tirgiem (piemēram, attīstības tirgi, jaunatīstības tirgi, vērtspapīru, akcijas)</w:t>
      </w:r>
      <w:r w:rsidR="00E7542C">
        <w:rPr>
          <w:rFonts w:ascii="Times New Roman" w:hAnsi="Times New Roman"/>
          <w:sz w:val="24"/>
        </w:rPr>
        <w:t>.</w:t>
      </w:r>
    </w:p>
    <w:p w:rsidR="004F3FAA" w:rsidRPr="00D828C7" w:rsidRDefault="004F3FAA" w:rsidP="004F3FAA">
      <w:pPr>
        <w:ind w:firstLine="709"/>
        <w:jc w:val="both"/>
      </w:pPr>
      <w:r w:rsidRPr="00D828C7">
        <w:t xml:space="preserve">Pēc finanšu tirgus dalībnieku savstarpējas neuzticības un stresa pilniem mēnešiem 2012.gads iesākās ar salīdzinoši lielu optimismu, un tas ļāva 2012.gada sākumā daudziem aizņēmējiem, </w:t>
      </w:r>
      <w:proofErr w:type="spellStart"/>
      <w:r w:rsidRPr="00D828C7">
        <w:t>t.sk</w:t>
      </w:r>
      <w:proofErr w:type="spellEnd"/>
      <w:r w:rsidRPr="00D828C7">
        <w:t xml:space="preserve">. arī Latvijai, īstenot plānotos aizņemšanās darījumus, izmantojot labvēlīgu situāciju finanšu tirgos. Kopš Latvijas obligāciju emisijas starptautiskajos kapitāla tirgos 2012.gada februārī līdz 2012.gada pēdējam ceturksnim </w:t>
      </w:r>
      <w:r>
        <w:t>situācija finanšu tirgos saglabājās svārstīga</w:t>
      </w:r>
      <w:r w:rsidRPr="00D828C7">
        <w:t xml:space="preserve">. </w:t>
      </w:r>
    </w:p>
    <w:p w:rsidR="004F3FAA" w:rsidRPr="00D828C7" w:rsidRDefault="004F3FAA" w:rsidP="004F3FAA">
      <w:pPr>
        <w:pStyle w:val="ListParagraph"/>
        <w:spacing w:after="120"/>
        <w:ind w:left="0" w:firstLine="709"/>
        <w:jc w:val="both"/>
        <w:rPr>
          <w:rFonts w:ascii="Times New Roman" w:hAnsi="Times New Roman"/>
          <w:sz w:val="24"/>
          <w:szCs w:val="24"/>
        </w:rPr>
      </w:pPr>
      <w:r w:rsidRPr="00D828C7">
        <w:rPr>
          <w:rFonts w:ascii="Times New Roman" w:hAnsi="Times New Roman"/>
          <w:sz w:val="24"/>
          <w:szCs w:val="24"/>
        </w:rPr>
        <w:lastRenderedPageBreak/>
        <w:t>2012.gada sākum</w:t>
      </w:r>
      <w:r>
        <w:rPr>
          <w:rFonts w:ascii="Times New Roman" w:hAnsi="Times New Roman"/>
          <w:sz w:val="24"/>
          <w:szCs w:val="24"/>
        </w:rPr>
        <w:t xml:space="preserve">ā novērto </w:t>
      </w:r>
      <w:r w:rsidRPr="00D828C7">
        <w:rPr>
          <w:rFonts w:ascii="Times New Roman" w:hAnsi="Times New Roman"/>
          <w:sz w:val="24"/>
          <w:szCs w:val="24"/>
        </w:rPr>
        <w:t>finanšu tirg</w:t>
      </w:r>
      <w:r>
        <w:rPr>
          <w:rFonts w:ascii="Times New Roman" w:hAnsi="Times New Roman"/>
          <w:sz w:val="24"/>
          <w:szCs w:val="24"/>
        </w:rPr>
        <w:t>us</w:t>
      </w:r>
      <w:r w:rsidRPr="00D828C7">
        <w:rPr>
          <w:rFonts w:ascii="Times New Roman" w:hAnsi="Times New Roman"/>
          <w:sz w:val="24"/>
          <w:szCs w:val="24"/>
        </w:rPr>
        <w:t xml:space="preserve"> optimism</w:t>
      </w:r>
      <w:r>
        <w:rPr>
          <w:rFonts w:ascii="Times New Roman" w:hAnsi="Times New Roman"/>
          <w:sz w:val="24"/>
          <w:szCs w:val="24"/>
        </w:rPr>
        <w:t xml:space="preserve">u </w:t>
      </w:r>
      <w:r w:rsidRPr="00D828C7">
        <w:rPr>
          <w:rFonts w:ascii="Times New Roman" w:hAnsi="Times New Roman"/>
          <w:sz w:val="24"/>
          <w:szCs w:val="24"/>
        </w:rPr>
        <w:t xml:space="preserve">veicināja vairāku notikumu secīga norise un pozitīvas ziņas, kā rezultātā finanšu tirgiem tika doti signāli, ka </w:t>
      </w:r>
      <w:proofErr w:type="spellStart"/>
      <w:r w:rsidRPr="00D828C7">
        <w:rPr>
          <w:rFonts w:ascii="Times New Roman" w:hAnsi="Times New Roman"/>
          <w:i/>
          <w:sz w:val="24"/>
          <w:szCs w:val="24"/>
        </w:rPr>
        <w:t>euro</w:t>
      </w:r>
      <w:proofErr w:type="spellEnd"/>
      <w:r w:rsidRPr="00D828C7">
        <w:rPr>
          <w:rFonts w:ascii="Times New Roman" w:hAnsi="Times New Roman"/>
          <w:sz w:val="24"/>
          <w:szCs w:val="24"/>
        </w:rPr>
        <w:t xml:space="preserve"> zonas krīzes risināšanai tiek īstenoti konkrēti pasākumi:</w:t>
      </w:r>
    </w:p>
    <w:p w:rsidR="004F3FAA" w:rsidRPr="007B0195" w:rsidRDefault="004F3FAA" w:rsidP="004F3FAA">
      <w:pPr>
        <w:pStyle w:val="ListParagraph"/>
        <w:numPr>
          <w:ilvl w:val="0"/>
          <w:numId w:val="27"/>
        </w:numPr>
        <w:spacing w:after="120"/>
        <w:jc w:val="both"/>
        <w:rPr>
          <w:rFonts w:ascii="Times New Roman" w:hAnsi="Times New Roman"/>
          <w:sz w:val="24"/>
          <w:szCs w:val="24"/>
        </w:rPr>
      </w:pPr>
      <w:r w:rsidRPr="007B0195">
        <w:rPr>
          <w:rFonts w:ascii="Times New Roman" w:hAnsi="Times New Roman"/>
          <w:sz w:val="24"/>
          <w:szCs w:val="24"/>
        </w:rPr>
        <w:t>2012.gada februārī līdzīgi kā 2011.gada decembrī, lai mazinātu banku likviditātes problēmas, Eiropas Centrālā banka (turpmāk – ECB) nodrošināja papildu LTRO (</w:t>
      </w:r>
      <w:proofErr w:type="spellStart"/>
      <w:r w:rsidRPr="007B0195">
        <w:rPr>
          <w:rStyle w:val="st1"/>
          <w:rFonts w:ascii="Times New Roman" w:hAnsi="Times New Roman"/>
          <w:bCs/>
          <w:i/>
          <w:sz w:val="24"/>
          <w:szCs w:val="24"/>
        </w:rPr>
        <w:t>Long-term</w:t>
      </w:r>
      <w:proofErr w:type="spellEnd"/>
      <w:r w:rsidRPr="007B0195">
        <w:rPr>
          <w:rStyle w:val="st1"/>
          <w:rFonts w:ascii="Times New Roman" w:hAnsi="Times New Roman"/>
          <w:bCs/>
          <w:i/>
          <w:sz w:val="24"/>
          <w:szCs w:val="24"/>
        </w:rPr>
        <w:t xml:space="preserve"> </w:t>
      </w:r>
      <w:proofErr w:type="spellStart"/>
      <w:r w:rsidRPr="007B0195">
        <w:rPr>
          <w:rStyle w:val="st1"/>
          <w:rFonts w:ascii="Times New Roman" w:hAnsi="Times New Roman"/>
          <w:bCs/>
          <w:i/>
          <w:sz w:val="24"/>
          <w:szCs w:val="24"/>
        </w:rPr>
        <w:t>refinancing</w:t>
      </w:r>
      <w:proofErr w:type="spellEnd"/>
      <w:r w:rsidRPr="007B0195">
        <w:rPr>
          <w:rStyle w:val="st1"/>
          <w:rFonts w:ascii="Times New Roman" w:hAnsi="Times New Roman"/>
          <w:bCs/>
          <w:i/>
          <w:sz w:val="24"/>
          <w:szCs w:val="24"/>
        </w:rPr>
        <w:t xml:space="preserve"> </w:t>
      </w:r>
      <w:proofErr w:type="spellStart"/>
      <w:r w:rsidRPr="007B0195">
        <w:rPr>
          <w:rStyle w:val="st1"/>
          <w:rFonts w:ascii="Times New Roman" w:hAnsi="Times New Roman"/>
          <w:bCs/>
          <w:i/>
          <w:sz w:val="24"/>
          <w:szCs w:val="24"/>
        </w:rPr>
        <w:t>operations</w:t>
      </w:r>
      <w:proofErr w:type="spellEnd"/>
      <w:r w:rsidRPr="007B0195">
        <w:rPr>
          <w:rFonts w:ascii="Times New Roman" w:hAnsi="Times New Roman"/>
          <w:sz w:val="24"/>
          <w:szCs w:val="24"/>
        </w:rPr>
        <w:t xml:space="preserve">) operācijas. ECB nodrošinātie papildu resursi finanšu sistēmā pozitīvi ietekmēja banku likviditāti, </w:t>
      </w:r>
      <w:proofErr w:type="spellStart"/>
      <w:r w:rsidRPr="007B0195">
        <w:rPr>
          <w:rFonts w:ascii="Times New Roman" w:hAnsi="Times New Roman"/>
          <w:i/>
          <w:sz w:val="24"/>
          <w:szCs w:val="24"/>
        </w:rPr>
        <w:t>euro</w:t>
      </w:r>
      <w:proofErr w:type="spellEnd"/>
      <w:r w:rsidRPr="007B0195">
        <w:rPr>
          <w:rFonts w:ascii="Times New Roman" w:hAnsi="Times New Roman"/>
          <w:sz w:val="24"/>
          <w:szCs w:val="24"/>
        </w:rPr>
        <w:t xml:space="preserve"> zonas valstu vērtspapīru izsoļu rezultātus, pazemināja vērtspapīru likmes otrreizējā tirgū un stimulēja bankas izsniegt jaunus aizdevumus.</w:t>
      </w:r>
    </w:p>
    <w:p w:rsidR="004F3FAA" w:rsidRPr="007B0195" w:rsidRDefault="004F3FAA" w:rsidP="004F3FAA">
      <w:pPr>
        <w:pStyle w:val="ListParagraph"/>
        <w:numPr>
          <w:ilvl w:val="0"/>
          <w:numId w:val="27"/>
        </w:numPr>
        <w:spacing w:after="120"/>
        <w:jc w:val="both"/>
        <w:rPr>
          <w:rFonts w:ascii="Times New Roman" w:hAnsi="Times New Roman"/>
          <w:sz w:val="24"/>
          <w:szCs w:val="24"/>
        </w:rPr>
      </w:pPr>
      <w:r w:rsidRPr="007B0195">
        <w:rPr>
          <w:rFonts w:ascii="Times New Roman" w:hAnsi="Times New Roman"/>
          <w:sz w:val="24"/>
          <w:szCs w:val="24"/>
        </w:rPr>
        <w:t>2012.gada martā tika atrisināts Grieķijas parādsaistību restrukturizācijas process, vienojoties ar privātajiem investoriem par daļu saistību norakstīšanu un maksājumu grafika pārstrukturizēšanu. Tāpat tika atbalstīta otrā starptautiskās aizdevuma p</w:t>
      </w:r>
      <w:r w:rsidR="004100A3">
        <w:rPr>
          <w:rFonts w:ascii="Times New Roman" w:hAnsi="Times New Roman"/>
          <w:sz w:val="24"/>
          <w:szCs w:val="24"/>
        </w:rPr>
        <w:t xml:space="preserve">rogramma Grieķijai 130 </w:t>
      </w:r>
      <w:proofErr w:type="spellStart"/>
      <w:r w:rsidR="004100A3">
        <w:rPr>
          <w:rFonts w:ascii="Times New Roman" w:hAnsi="Times New Roman"/>
          <w:sz w:val="24"/>
          <w:szCs w:val="24"/>
        </w:rPr>
        <w:t>mljrd</w:t>
      </w:r>
      <w:proofErr w:type="spellEnd"/>
      <w:r w:rsidR="004100A3">
        <w:rPr>
          <w:rFonts w:ascii="Times New Roman" w:hAnsi="Times New Roman"/>
          <w:sz w:val="24"/>
          <w:szCs w:val="24"/>
        </w:rPr>
        <w:t xml:space="preserve">. </w:t>
      </w:r>
      <w:proofErr w:type="spellStart"/>
      <w:r w:rsidR="004100A3">
        <w:rPr>
          <w:rFonts w:ascii="Times New Roman" w:hAnsi="Times New Roman"/>
          <w:sz w:val="24"/>
          <w:szCs w:val="24"/>
        </w:rPr>
        <w:t>eu</w:t>
      </w:r>
      <w:r w:rsidRPr="007B0195">
        <w:rPr>
          <w:rFonts w:ascii="Times New Roman" w:hAnsi="Times New Roman"/>
          <w:sz w:val="24"/>
          <w:szCs w:val="24"/>
        </w:rPr>
        <w:t>ro</w:t>
      </w:r>
      <w:proofErr w:type="spellEnd"/>
      <w:r w:rsidRPr="007B0195">
        <w:rPr>
          <w:rFonts w:ascii="Times New Roman" w:hAnsi="Times New Roman"/>
          <w:sz w:val="24"/>
          <w:szCs w:val="24"/>
        </w:rPr>
        <w:t xml:space="preserve"> apmērā kārtējo saistību nodrošināšanai.</w:t>
      </w:r>
    </w:p>
    <w:p w:rsidR="004F3FAA" w:rsidRPr="007B0195" w:rsidRDefault="004F3FAA" w:rsidP="004F3FAA">
      <w:pPr>
        <w:pStyle w:val="ListParagraph"/>
        <w:numPr>
          <w:ilvl w:val="0"/>
          <w:numId w:val="27"/>
        </w:numPr>
        <w:spacing w:after="120"/>
        <w:jc w:val="both"/>
        <w:rPr>
          <w:rFonts w:ascii="Times New Roman" w:hAnsi="Times New Roman"/>
          <w:sz w:val="24"/>
          <w:szCs w:val="24"/>
        </w:rPr>
      </w:pPr>
      <w:r w:rsidRPr="007B0195">
        <w:rPr>
          <w:rFonts w:ascii="Times New Roman" w:hAnsi="Times New Roman"/>
          <w:sz w:val="24"/>
          <w:szCs w:val="24"/>
        </w:rPr>
        <w:t>2012.gada marta Eiropadomē valstu un valdību vadītāji vienojās, ka Eiropas Stabilizācijas mehānisma (turpmāk – ESM), s</w:t>
      </w:r>
      <w:r w:rsidR="004100A3">
        <w:rPr>
          <w:rFonts w:ascii="Times New Roman" w:hAnsi="Times New Roman"/>
          <w:sz w:val="24"/>
          <w:szCs w:val="24"/>
        </w:rPr>
        <w:t xml:space="preserve">ākotnēji plānotais 500 </w:t>
      </w:r>
      <w:proofErr w:type="spellStart"/>
      <w:r w:rsidR="004100A3">
        <w:rPr>
          <w:rFonts w:ascii="Times New Roman" w:hAnsi="Times New Roman"/>
          <w:sz w:val="24"/>
          <w:szCs w:val="24"/>
        </w:rPr>
        <w:t>mljrd</w:t>
      </w:r>
      <w:proofErr w:type="spellEnd"/>
      <w:r w:rsidR="004100A3">
        <w:rPr>
          <w:rFonts w:ascii="Times New Roman" w:hAnsi="Times New Roman"/>
          <w:sz w:val="24"/>
          <w:szCs w:val="24"/>
        </w:rPr>
        <w:t xml:space="preserve">. </w:t>
      </w:r>
      <w:proofErr w:type="spellStart"/>
      <w:r w:rsidR="004100A3" w:rsidRPr="004100A3">
        <w:rPr>
          <w:rFonts w:ascii="Times New Roman" w:hAnsi="Times New Roman"/>
          <w:i/>
          <w:sz w:val="24"/>
          <w:szCs w:val="24"/>
        </w:rPr>
        <w:t>eu</w:t>
      </w:r>
      <w:r w:rsidRPr="004100A3">
        <w:rPr>
          <w:rFonts w:ascii="Times New Roman" w:hAnsi="Times New Roman"/>
          <w:i/>
          <w:sz w:val="24"/>
          <w:szCs w:val="24"/>
        </w:rPr>
        <w:t>ro</w:t>
      </w:r>
      <w:proofErr w:type="spellEnd"/>
      <w:r w:rsidRPr="007B0195">
        <w:rPr>
          <w:rFonts w:ascii="Times New Roman" w:hAnsi="Times New Roman"/>
          <w:sz w:val="24"/>
          <w:szCs w:val="24"/>
        </w:rPr>
        <w:t xml:space="preserve"> kapitāls tiek palielināts par papildu 200 mljrd. </w:t>
      </w:r>
      <w:proofErr w:type="spellStart"/>
      <w:r w:rsidRPr="004100A3">
        <w:rPr>
          <w:rFonts w:ascii="Times New Roman" w:hAnsi="Times New Roman"/>
          <w:i/>
          <w:sz w:val="24"/>
          <w:szCs w:val="24"/>
        </w:rPr>
        <w:t>e</w:t>
      </w:r>
      <w:r w:rsidR="004100A3" w:rsidRPr="004100A3">
        <w:rPr>
          <w:rFonts w:ascii="Times New Roman" w:hAnsi="Times New Roman"/>
          <w:i/>
          <w:sz w:val="24"/>
          <w:szCs w:val="24"/>
        </w:rPr>
        <w:t>u</w:t>
      </w:r>
      <w:r w:rsidRPr="004100A3">
        <w:rPr>
          <w:rFonts w:ascii="Times New Roman" w:hAnsi="Times New Roman"/>
          <w:i/>
          <w:sz w:val="24"/>
          <w:szCs w:val="24"/>
        </w:rPr>
        <w:t>ro</w:t>
      </w:r>
      <w:proofErr w:type="spellEnd"/>
      <w:r w:rsidRPr="007B0195">
        <w:rPr>
          <w:rFonts w:ascii="Times New Roman" w:hAnsi="Times New Roman"/>
          <w:sz w:val="24"/>
          <w:szCs w:val="24"/>
        </w:rPr>
        <w:t>, tādējādi stiprinot stabilitātes mehānisma kapacitāti turpmāko satricinājumu gadījumiem.</w:t>
      </w:r>
    </w:p>
    <w:p w:rsidR="004F3FAA" w:rsidRPr="007B0195" w:rsidRDefault="004F3FAA" w:rsidP="004F3FAA">
      <w:pPr>
        <w:pStyle w:val="ListParagraph"/>
        <w:numPr>
          <w:ilvl w:val="0"/>
          <w:numId w:val="27"/>
        </w:numPr>
        <w:spacing w:after="120"/>
        <w:jc w:val="both"/>
        <w:rPr>
          <w:rFonts w:ascii="Times New Roman" w:hAnsi="Times New Roman"/>
          <w:sz w:val="24"/>
          <w:szCs w:val="24"/>
        </w:rPr>
      </w:pPr>
      <w:r w:rsidRPr="007B0195">
        <w:rPr>
          <w:rFonts w:ascii="Times New Roman" w:hAnsi="Times New Roman"/>
          <w:sz w:val="24"/>
          <w:szCs w:val="24"/>
        </w:rPr>
        <w:t>2012.gada jūnijā Spānijai tika piešķirta starptautiskā palīdzība banku sekt</w:t>
      </w:r>
      <w:r w:rsidR="004100A3">
        <w:rPr>
          <w:rFonts w:ascii="Times New Roman" w:hAnsi="Times New Roman"/>
          <w:sz w:val="24"/>
          <w:szCs w:val="24"/>
        </w:rPr>
        <w:t xml:space="preserve">oru stabilizācijai 100 </w:t>
      </w:r>
      <w:proofErr w:type="spellStart"/>
      <w:r w:rsidR="004100A3">
        <w:rPr>
          <w:rFonts w:ascii="Times New Roman" w:hAnsi="Times New Roman"/>
          <w:sz w:val="24"/>
          <w:szCs w:val="24"/>
        </w:rPr>
        <w:t>mljrd</w:t>
      </w:r>
      <w:proofErr w:type="spellEnd"/>
      <w:r w:rsidR="004100A3">
        <w:rPr>
          <w:rFonts w:ascii="Times New Roman" w:hAnsi="Times New Roman"/>
          <w:sz w:val="24"/>
          <w:szCs w:val="24"/>
        </w:rPr>
        <w:t xml:space="preserve">. </w:t>
      </w:r>
      <w:proofErr w:type="spellStart"/>
      <w:r w:rsidR="004100A3" w:rsidRPr="004100A3">
        <w:rPr>
          <w:rFonts w:ascii="Times New Roman" w:hAnsi="Times New Roman"/>
          <w:i/>
          <w:sz w:val="24"/>
          <w:szCs w:val="24"/>
        </w:rPr>
        <w:t>eu</w:t>
      </w:r>
      <w:r w:rsidRPr="004100A3">
        <w:rPr>
          <w:rFonts w:ascii="Times New Roman" w:hAnsi="Times New Roman"/>
          <w:i/>
          <w:sz w:val="24"/>
          <w:szCs w:val="24"/>
        </w:rPr>
        <w:t>ro</w:t>
      </w:r>
      <w:proofErr w:type="spellEnd"/>
      <w:r w:rsidRPr="007B0195">
        <w:rPr>
          <w:rFonts w:ascii="Times New Roman" w:hAnsi="Times New Roman"/>
          <w:sz w:val="24"/>
          <w:szCs w:val="24"/>
        </w:rPr>
        <w:t xml:space="preserve"> apmērā, jo tika secināts, ka īpaši izveidotā rezerves fonda līdzekļi nebūs pietiekami. Finanšu resursi bankām pieejami no ESM, tādējādi nepalielinot Spānijas valsts parādu.</w:t>
      </w:r>
    </w:p>
    <w:p w:rsidR="004F3FAA" w:rsidRPr="007B0195" w:rsidRDefault="004F3FAA" w:rsidP="004F3FAA">
      <w:pPr>
        <w:pStyle w:val="ListParagraph"/>
        <w:numPr>
          <w:ilvl w:val="0"/>
          <w:numId w:val="27"/>
        </w:numPr>
        <w:spacing w:after="120"/>
        <w:jc w:val="both"/>
        <w:rPr>
          <w:rFonts w:ascii="Times New Roman" w:hAnsi="Times New Roman"/>
          <w:sz w:val="24"/>
          <w:szCs w:val="24"/>
        </w:rPr>
      </w:pPr>
      <w:r w:rsidRPr="007B0195">
        <w:rPr>
          <w:rFonts w:ascii="Times New Roman" w:hAnsi="Times New Roman"/>
          <w:sz w:val="24"/>
          <w:szCs w:val="24"/>
        </w:rPr>
        <w:t>2012.gada jūnijā Eiropadomē vienojās, ka notiek virzība uz ciešāku ekonomisko un fiskālo savienību, kā arī tika pausta skaidra apņemšanās veidot vienotu krīzes risināšanas un banku uzraudzības mehānismu.</w:t>
      </w:r>
    </w:p>
    <w:p w:rsidR="004F3FAA" w:rsidRPr="00D828C7" w:rsidRDefault="004F3FAA" w:rsidP="004F3FAA">
      <w:pPr>
        <w:pStyle w:val="ListParagraph"/>
        <w:spacing w:after="120"/>
        <w:ind w:left="0" w:firstLine="709"/>
        <w:jc w:val="both"/>
        <w:rPr>
          <w:rFonts w:ascii="Times New Roman" w:hAnsi="Times New Roman"/>
          <w:sz w:val="24"/>
          <w:szCs w:val="24"/>
        </w:rPr>
      </w:pPr>
      <w:r w:rsidRPr="00D828C7">
        <w:rPr>
          <w:rFonts w:ascii="Times New Roman" w:hAnsi="Times New Roman"/>
          <w:sz w:val="24"/>
          <w:szCs w:val="24"/>
        </w:rPr>
        <w:t xml:space="preserve">Tomēr bažas par </w:t>
      </w:r>
      <w:proofErr w:type="spellStart"/>
      <w:r w:rsidRPr="00D828C7">
        <w:rPr>
          <w:rFonts w:ascii="Times New Roman" w:hAnsi="Times New Roman"/>
          <w:i/>
          <w:sz w:val="24"/>
          <w:szCs w:val="24"/>
        </w:rPr>
        <w:t>euro</w:t>
      </w:r>
      <w:proofErr w:type="spellEnd"/>
      <w:r w:rsidRPr="00D828C7">
        <w:rPr>
          <w:rFonts w:ascii="Times New Roman" w:hAnsi="Times New Roman"/>
          <w:sz w:val="24"/>
          <w:szCs w:val="24"/>
        </w:rPr>
        <w:t xml:space="preserve"> zonas stabilitāti </w:t>
      </w:r>
      <w:r>
        <w:rPr>
          <w:rFonts w:ascii="Times New Roman" w:hAnsi="Times New Roman"/>
          <w:sz w:val="24"/>
          <w:szCs w:val="24"/>
        </w:rPr>
        <w:t>joprojām bija aktuālas</w:t>
      </w:r>
      <w:r w:rsidRPr="00D828C7">
        <w:rPr>
          <w:rFonts w:ascii="Times New Roman" w:hAnsi="Times New Roman"/>
          <w:sz w:val="24"/>
          <w:szCs w:val="24"/>
        </w:rPr>
        <w:t xml:space="preserve"> un finanšu tirgus pozitīvais noskaņojums bija raksturojams kā trausls. </w:t>
      </w:r>
      <w:r>
        <w:rPr>
          <w:rFonts w:ascii="Times New Roman" w:hAnsi="Times New Roman"/>
          <w:sz w:val="24"/>
          <w:szCs w:val="24"/>
        </w:rPr>
        <w:t xml:space="preserve">Ņemot vērā, ka </w:t>
      </w:r>
      <w:r w:rsidRPr="00D828C7">
        <w:rPr>
          <w:rFonts w:ascii="Times New Roman" w:hAnsi="Times New Roman"/>
          <w:sz w:val="24"/>
          <w:szCs w:val="24"/>
        </w:rPr>
        <w:t xml:space="preserve">būtiskākie riski </w:t>
      </w:r>
      <w:r>
        <w:rPr>
          <w:rFonts w:ascii="Times New Roman" w:hAnsi="Times New Roman"/>
          <w:sz w:val="24"/>
          <w:szCs w:val="24"/>
        </w:rPr>
        <w:t xml:space="preserve">bija </w:t>
      </w:r>
      <w:r w:rsidRPr="00D828C7">
        <w:rPr>
          <w:rFonts w:ascii="Times New Roman" w:hAnsi="Times New Roman"/>
          <w:sz w:val="24"/>
          <w:szCs w:val="24"/>
        </w:rPr>
        <w:t xml:space="preserve">koncentrējušies </w:t>
      </w:r>
      <w:proofErr w:type="spellStart"/>
      <w:r w:rsidRPr="00D828C7">
        <w:rPr>
          <w:rFonts w:ascii="Times New Roman" w:hAnsi="Times New Roman"/>
          <w:i/>
          <w:sz w:val="24"/>
          <w:szCs w:val="24"/>
        </w:rPr>
        <w:t>euro</w:t>
      </w:r>
      <w:proofErr w:type="spellEnd"/>
      <w:r w:rsidRPr="00D828C7">
        <w:rPr>
          <w:rFonts w:ascii="Times New Roman" w:hAnsi="Times New Roman"/>
          <w:sz w:val="24"/>
          <w:szCs w:val="24"/>
        </w:rPr>
        <w:t xml:space="preserve"> zonā, </w:t>
      </w:r>
      <w:r>
        <w:rPr>
          <w:rFonts w:ascii="Times New Roman" w:hAnsi="Times New Roman"/>
          <w:sz w:val="24"/>
          <w:szCs w:val="24"/>
        </w:rPr>
        <w:t>bija paredzams, ka k</w:t>
      </w:r>
      <w:r w:rsidRPr="00D828C7">
        <w:rPr>
          <w:rFonts w:ascii="Times New Roman" w:hAnsi="Times New Roman"/>
          <w:sz w:val="24"/>
          <w:szCs w:val="24"/>
        </w:rPr>
        <w:t>opēj</w:t>
      </w:r>
      <w:r>
        <w:rPr>
          <w:rFonts w:ascii="Times New Roman" w:hAnsi="Times New Roman"/>
          <w:sz w:val="24"/>
          <w:szCs w:val="24"/>
        </w:rPr>
        <w:t>o</w:t>
      </w:r>
      <w:r w:rsidRPr="00D828C7">
        <w:rPr>
          <w:rFonts w:ascii="Times New Roman" w:hAnsi="Times New Roman"/>
          <w:sz w:val="24"/>
          <w:szCs w:val="24"/>
        </w:rPr>
        <w:t xml:space="preserve"> noskaņojum</w:t>
      </w:r>
      <w:r>
        <w:rPr>
          <w:rFonts w:ascii="Times New Roman" w:hAnsi="Times New Roman"/>
          <w:sz w:val="24"/>
          <w:szCs w:val="24"/>
        </w:rPr>
        <w:t>u</w:t>
      </w:r>
      <w:r w:rsidRPr="00D828C7">
        <w:rPr>
          <w:rFonts w:ascii="Times New Roman" w:hAnsi="Times New Roman"/>
          <w:sz w:val="24"/>
          <w:szCs w:val="24"/>
        </w:rPr>
        <w:t xml:space="preserve"> finanšu tirgos</w:t>
      </w:r>
      <w:r>
        <w:rPr>
          <w:rFonts w:ascii="Times New Roman" w:hAnsi="Times New Roman"/>
          <w:sz w:val="24"/>
          <w:szCs w:val="24"/>
        </w:rPr>
        <w:t xml:space="preserve"> noteiks </w:t>
      </w:r>
      <w:r w:rsidRPr="00D828C7">
        <w:rPr>
          <w:rFonts w:ascii="Times New Roman" w:hAnsi="Times New Roman"/>
          <w:sz w:val="24"/>
          <w:szCs w:val="24"/>
        </w:rPr>
        <w:t xml:space="preserve">gan atsevišķās Eiropas dienvidu valstīs (Spānijā un Itālijā), gan </w:t>
      </w:r>
      <w:r>
        <w:rPr>
          <w:rFonts w:ascii="Times New Roman" w:hAnsi="Times New Roman"/>
          <w:sz w:val="24"/>
          <w:szCs w:val="24"/>
        </w:rPr>
        <w:t xml:space="preserve">progress </w:t>
      </w:r>
      <w:r w:rsidRPr="00D828C7">
        <w:rPr>
          <w:rFonts w:ascii="Times New Roman" w:hAnsi="Times New Roman"/>
          <w:sz w:val="24"/>
          <w:szCs w:val="24"/>
        </w:rPr>
        <w:t>vienota</w:t>
      </w:r>
      <w:r>
        <w:rPr>
          <w:rFonts w:ascii="Times New Roman" w:hAnsi="Times New Roman"/>
          <w:sz w:val="24"/>
          <w:szCs w:val="24"/>
        </w:rPr>
        <w:t>s</w:t>
      </w:r>
      <w:r w:rsidRPr="00D828C7">
        <w:rPr>
          <w:rFonts w:ascii="Times New Roman" w:hAnsi="Times New Roman"/>
          <w:sz w:val="24"/>
          <w:szCs w:val="24"/>
        </w:rPr>
        <w:t xml:space="preserve"> banku uzraudzības ietvara veidošanā. Līdz</w:t>
      </w:r>
      <w:r>
        <w:rPr>
          <w:rFonts w:ascii="Times New Roman" w:hAnsi="Times New Roman"/>
          <w:sz w:val="24"/>
          <w:szCs w:val="24"/>
        </w:rPr>
        <w:t xml:space="preserve"> </w:t>
      </w:r>
      <w:r w:rsidRPr="00D828C7">
        <w:rPr>
          <w:rFonts w:ascii="Times New Roman" w:hAnsi="Times New Roman"/>
          <w:sz w:val="24"/>
          <w:szCs w:val="24"/>
        </w:rPr>
        <w:t>š</w:t>
      </w:r>
      <w:r>
        <w:rPr>
          <w:rFonts w:ascii="Times New Roman" w:hAnsi="Times New Roman"/>
          <w:sz w:val="24"/>
          <w:szCs w:val="24"/>
        </w:rPr>
        <w:t>im</w:t>
      </w:r>
      <w:r w:rsidRPr="00D828C7">
        <w:rPr>
          <w:rFonts w:ascii="Times New Roman" w:hAnsi="Times New Roman"/>
          <w:sz w:val="24"/>
          <w:szCs w:val="24"/>
        </w:rPr>
        <w:t xml:space="preserve"> </w:t>
      </w:r>
      <w:r>
        <w:rPr>
          <w:rFonts w:ascii="Times New Roman" w:hAnsi="Times New Roman"/>
          <w:sz w:val="24"/>
          <w:szCs w:val="24"/>
        </w:rPr>
        <w:t xml:space="preserve">veiktie </w:t>
      </w:r>
      <w:r w:rsidRPr="00D828C7">
        <w:rPr>
          <w:rFonts w:ascii="Times New Roman" w:hAnsi="Times New Roman"/>
          <w:sz w:val="24"/>
          <w:szCs w:val="24"/>
        </w:rPr>
        <w:t xml:space="preserve">pasākumi un lēmumi </w:t>
      </w:r>
      <w:r>
        <w:rPr>
          <w:rFonts w:ascii="Times New Roman" w:hAnsi="Times New Roman"/>
          <w:sz w:val="24"/>
          <w:szCs w:val="24"/>
        </w:rPr>
        <w:t>bija</w:t>
      </w:r>
      <w:r w:rsidRPr="00D828C7">
        <w:rPr>
          <w:rFonts w:ascii="Times New Roman" w:hAnsi="Times New Roman"/>
          <w:sz w:val="24"/>
          <w:szCs w:val="24"/>
        </w:rPr>
        <w:t xml:space="preserve"> devuši atelpu, bet n</w:t>
      </w:r>
      <w:r>
        <w:rPr>
          <w:rFonts w:ascii="Times New Roman" w:hAnsi="Times New Roman"/>
          <w:sz w:val="24"/>
          <w:szCs w:val="24"/>
        </w:rPr>
        <w:t>ebija</w:t>
      </w:r>
      <w:r w:rsidRPr="00D828C7">
        <w:rPr>
          <w:rFonts w:ascii="Times New Roman" w:hAnsi="Times New Roman"/>
          <w:sz w:val="24"/>
          <w:szCs w:val="24"/>
        </w:rPr>
        <w:t xml:space="preserve"> mazinājuši fundamentālos riskus un risku sistēmisko ietekmi</w:t>
      </w:r>
      <w:r>
        <w:rPr>
          <w:rFonts w:ascii="Times New Roman" w:hAnsi="Times New Roman"/>
          <w:sz w:val="24"/>
          <w:szCs w:val="24"/>
        </w:rPr>
        <w:t>:</w:t>
      </w:r>
    </w:p>
    <w:p w:rsidR="004F3FAA" w:rsidRPr="007B0195" w:rsidRDefault="004F3FAA" w:rsidP="004F3FAA">
      <w:pPr>
        <w:pStyle w:val="ListParagraph"/>
        <w:numPr>
          <w:ilvl w:val="0"/>
          <w:numId w:val="27"/>
        </w:numPr>
        <w:spacing w:after="120"/>
        <w:jc w:val="both"/>
        <w:rPr>
          <w:rFonts w:ascii="Times New Roman" w:hAnsi="Times New Roman"/>
          <w:sz w:val="24"/>
          <w:szCs w:val="24"/>
        </w:rPr>
      </w:pPr>
      <w:r>
        <w:rPr>
          <w:rFonts w:ascii="Times New Roman" w:hAnsi="Times New Roman"/>
          <w:sz w:val="24"/>
          <w:szCs w:val="24"/>
        </w:rPr>
        <w:t>2012.gada</w:t>
      </w:r>
      <w:r w:rsidRPr="007B0195">
        <w:rPr>
          <w:rFonts w:ascii="Times New Roman" w:hAnsi="Times New Roman"/>
          <w:sz w:val="24"/>
          <w:szCs w:val="24"/>
        </w:rPr>
        <w:t xml:space="preserve"> </w:t>
      </w:r>
      <w:r>
        <w:rPr>
          <w:rFonts w:ascii="Times New Roman" w:hAnsi="Times New Roman"/>
          <w:sz w:val="24"/>
          <w:szCs w:val="24"/>
        </w:rPr>
        <w:t xml:space="preserve">laikā </w:t>
      </w:r>
      <w:r w:rsidRPr="007B0195">
        <w:rPr>
          <w:rFonts w:ascii="Times New Roman" w:hAnsi="Times New Roman"/>
          <w:sz w:val="24"/>
          <w:szCs w:val="24"/>
        </w:rPr>
        <w:t>starptauti</w:t>
      </w:r>
      <w:r>
        <w:rPr>
          <w:rFonts w:ascii="Times New Roman" w:hAnsi="Times New Roman"/>
          <w:sz w:val="24"/>
          <w:szCs w:val="24"/>
        </w:rPr>
        <w:t>skās kredītreitingu aģentūras bija</w:t>
      </w:r>
      <w:r w:rsidRPr="007B0195">
        <w:rPr>
          <w:rFonts w:ascii="Times New Roman" w:hAnsi="Times New Roman"/>
          <w:sz w:val="24"/>
          <w:szCs w:val="24"/>
        </w:rPr>
        <w:t xml:space="preserve"> pazeminājušas reitingus vairākām </w:t>
      </w:r>
      <w:proofErr w:type="spellStart"/>
      <w:r w:rsidRPr="007B0195">
        <w:rPr>
          <w:rFonts w:ascii="Times New Roman" w:hAnsi="Times New Roman"/>
          <w:i/>
          <w:sz w:val="24"/>
          <w:szCs w:val="24"/>
        </w:rPr>
        <w:t>euro</w:t>
      </w:r>
      <w:proofErr w:type="spellEnd"/>
      <w:r w:rsidRPr="007B0195">
        <w:rPr>
          <w:rFonts w:ascii="Times New Roman" w:hAnsi="Times New Roman"/>
          <w:sz w:val="24"/>
          <w:szCs w:val="24"/>
        </w:rPr>
        <w:t xml:space="preserve"> zonas valstīm. Aģentūra </w:t>
      </w:r>
      <w:proofErr w:type="spellStart"/>
      <w:r w:rsidRPr="007B0195">
        <w:rPr>
          <w:rFonts w:ascii="Times New Roman" w:hAnsi="Times New Roman"/>
          <w:sz w:val="24"/>
          <w:szCs w:val="24"/>
        </w:rPr>
        <w:t>Moodys</w:t>
      </w:r>
      <w:proofErr w:type="spellEnd"/>
      <w:r w:rsidRPr="007B0195">
        <w:rPr>
          <w:rFonts w:ascii="Times New Roman" w:hAnsi="Times New Roman"/>
          <w:sz w:val="24"/>
          <w:szCs w:val="24"/>
        </w:rPr>
        <w:t xml:space="preserve"> </w:t>
      </w:r>
      <w:r>
        <w:rPr>
          <w:rFonts w:ascii="Times New Roman" w:hAnsi="Times New Roman"/>
          <w:sz w:val="24"/>
          <w:szCs w:val="24"/>
        </w:rPr>
        <w:t xml:space="preserve">2012.gada </w:t>
      </w:r>
      <w:r w:rsidRPr="007B0195">
        <w:rPr>
          <w:rFonts w:ascii="Times New Roman" w:hAnsi="Times New Roman"/>
          <w:sz w:val="24"/>
          <w:szCs w:val="24"/>
        </w:rPr>
        <w:t xml:space="preserve">jūlijā pazemināja Itālijas reitingu no A3 uz Baa2, skaidrojot ar to, ka Itālija, visdrīzāk, piedzīvos vēl straujāku aizņemšanās izmaksu kāpumu un zaudēs piekļuvi starptautiskajiem kapitāla tirgiem. Arī Spānijai </w:t>
      </w:r>
      <w:r>
        <w:rPr>
          <w:rFonts w:ascii="Times New Roman" w:hAnsi="Times New Roman"/>
          <w:sz w:val="24"/>
          <w:szCs w:val="24"/>
        </w:rPr>
        <w:t xml:space="preserve">2012.gada </w:t>
      </w:r>
      <w:r w:rsidRPr="007B0195">
        <w:rPr>
          <w:rFonts w:ascii="Times New Roman" w:hAnsi="Times New Roman"/>
          <w:sz w:val="24"/>
          <w:szCs w:val="24"/>
        </w:rPr>
        <w:t xml:space="preserve">jūnijā aģentūra </w:t>
      </w:r>
      <w:proofErr w:type="spellStart"/>
      <w:r w:rsidRPr="007B0195">
        <w:rPr>
          <w:rFonts w:ascii="Times New Roman" w:hAnsi="Times New Roman"/>
          <w:sz w:val="24"/>
          <w:szCs w:val="24"/>
        </w:rPr>
        <w:t>Moodys</w:t>
      </w:r>
      <w:proofErr w:type="spellEnd"/>
      <w:r w:rsidRPr="007B0195">
        <w:rPr>
          <w:rFonts w:ascii="Times New Roman" w:hAnsi="Times New Roman"/>
          <w:sz w:val="24"/>
          <w:szCs w:val="24"/>
        </w:rPr>
        <w:t xml:space="preserve"> pazemināja reitingu no A3 uz Baa3. Šādu soli aģentūra skaidroja ar vājo Spānijas ekonomiku un valdības ierobežotajām iespējām piekļūt starptautiskajiem kapitāla tirgiem. Slovēnijai un Kiprai reitingus pazemināja visas trīs lielās reitingu aģentūras</w:t>
      </w:r>
      <w:r>
        <w:rPr>
          <w:rFonts w:ascii="Times New Roman" w:hAnsi="Times New Roman"/>
          <w:sz w:val="24"/>
          <w:szCs w:val="24"/>
        </w:rPr>
        <w:t>,</w:t>
      </w:r>
      <w:r w:rsidRPr="007B0195">
        <w:rPr>
          <w:rFonts w:ascii="Times New Roman" w:hAnsi="Times New Roman"/>
          <w:sz w:val="24"/>
          <w:szCs w:val="24"/>
        </w:rPr>
        <w:t xml:space="preserve"> Kipras reitinga pazeminājum</w:t>
      </w:r>
      <w:r>
        <w:rPr>
          <w:rFonts w:ascii="Times New Roman" w:hAnsi="Times New Roman"/>
          <w:sz w:val="24"/>
          <w:szCs w:val="24"/>
        </w:rPr>
        <w:t>u</w:t>
      </w:r>
      <w:r w:rsidRPr="007B0195">
        <w:rPr>
          <w:rFonts w:ascii="Times New Roman" w:hAnsi="Times New Roman"/>
          <w:sz w:val="24"/>
          <w:szCs w:val="24"/>
        </w:rPr>
        <w:t xml:space="preserve"> skaidroj</w:t>
      </w:r>
      <w:r>
        <w:rPr>
          <w:rFonts w:ascii="Times New Roman" w:hAnsi="Times New Roman"/>
          <w:sz w:val="24"/>
          <w:szCs w:val="24"/>
        </w:rPr>
        <w:t>ot</w:t>
      </w:r>
      <w:r w:rsidRPr="007B0195">
        <w:rPr>
          <w:rFonts w:ascii="Times New Roman" w:hAnsi="Times New Roman"/>
          <w:sz w:val="24"/>
          <w:szCs w:val="24"/>
        </w:rPr>
        <w:t xml:space="preserve"> ar valsts ciešo ekonomisko saikni ar Grieķiju.</w:t>
      </w:r>
    </w:p>
    <w:p w:rsidR="004F3FAA" w:rsidRPr="007B0195" w:rsidRDefault="004F3FAA" w:rsidP="004F3FAA">
      <w:pPr>
        <w:pStyle w:val="ListParagraph"/>
        <w:numPr>
          <w:ilvl w:val="0"/>
          <w:numId w:val="27"/>
        </w:numPr>
        <w:spacing w:after="120"/>
        <w:jc w:val="both"/>
        <w:rPr>
          <w:rFonts w:ascii="Times New Roman" w:hAnsi="Times New Roman"/>
          <w:sz w:val="24"/>
          <w:szCs w:val="24"/>
        </w:rPr>
      </w:pPr>
      <w:r>
        <w:rPr>
          <w:rFonts w:ascii="Times New Roman" w:hAnsi="Times New Roman"/>
          <w:sz w:val="24"/>
          <w:szCs w:val="24"/>
        </w:rPr>
        <w:t xml:space="preserve">Pastāvēja pamatotas bažas, ka </w:t>
      </w:r>
      <w:proofErr w:type="spellStart"/>
      <w:r>
        <w:rPr>
          <w:rFonts w:ascii="Times New Roman" w:hAnsi="Times New Roman"/>
          <w:i/>
          <w:sz w:val="24"/>
          <w:szCs w:val="24"/>
        </w:rPr>
        <w:t>e</w:t>
      </w:r>
      <w:r w:rsidRPr="00A9024B">
        <w:rPr>
          <w:rFonts w:ascii="Times New Roman" w:hAnsi="Times New Roman"/>
          <w:i/>
          <w:sz w:val="24"/>
          <w:szCs w:val="24"/>
        </w:rPr>
        <w:t>uro</w:t>
      </w:r>
      <w:proofErr w:type="spellEnd"/>
      <w:r w:rsidRPr="007B0195">
        <w:rPr>
          <w:rFonts w:ascii="Times New Roman" w:hAnsi="Times New Roman"/>
          <w:sz w:val="24"/>
          <w:szCs w:val="24"/>
        </w:rPr>
        <w:t xml:space="preserve"> zonas valstu fiskālās konsolidācijas pasākumi kā neatņemama sastāvdaļa finanšu stabilitātes nodrošināšanai būs vienlaicīgi arī viens no ietekmējošiem faktoriem </w:t>
      </w:r>
      <w:proofErr w:type="spellStart"/>
      <w:r w:rsidRPr="00A9024B">
        <w:rPr>
          <w:rFonts w:ascii="Times New Roman" w:hAnsi="Times New Roman"/>
          <w:i/>
          <w:sz w:val="24"/>
          <w:szCs w:val="24"/>
        </w:rPr>
        <w:t>euro</w:t>
      </w:r>
      <w:proofErr w:type="spellEnd"/>
      <w:r w:rsidRPr="007B0195">
        <w:rPr>
          <w:rFonts w:ascii="Times New Roman" w:hAnsi="Times New Roman"/>
          <w:sz w:val="24"/>
          <w:szCs w:val="24"/>
        </w:rPr>
        <w:t xml:space="preserve"> zonas </w:t>
      </w:r>
      <w:proofErr w:type="spellStart"/>
      <w:r w:rsidRPr="007B0195">
        <w:rPr>
          <w:rFonts w:ascii="Times New Roman" w:hAnsi="Times New Roman"/>
          <w:sz w:val="24"/>
          <w:szCs w:val="24"/>
        </w:rPr>
        <w:t>recesijas</w:t>
      </w:r>
      <w:proofErr w:type="spellEnd"/>
      <w:r w:rsidRPr="007B0195">
        <w:rPr>
          <w:rFonts w:ascii="Times New Roman" w:hAnsi="Times New Roman"/>
          <w:sz w:val="24"/>
          <w:szCs w:val="24"/>
        </w:rPr>
        <w:t xml:space="preserve"> veicināšanā, kam sekos lēnāki kreditēšanas tempi valstu ekonomikā, veidojot sava veida spirāles efektu. Arī globālās ekonomikas izaugsmes prognozes </w:t>
      </w:r>
      <w:r>
        <w:rPr>
          <w:rFonts w:ascii="Times New Roman" w:hAnsi="Times New Roman"/>
          <w:sz w:val="24"/>
          <w:szCs w:val="24"/>
        </w:rPr>
        <w:t>bija</w:t>
      </w:r>
      <w:r w:rsidRPr="007B0195">
        <w:rPr>
          <w:rFonts w:ascii="Times New Roman" w:hAnsi="Times New Roman"/>
          <w:sz w:val="24"/>
          <w:szCs w:val="24"/>
        </w:rPr>
        <w:t xml:space="preserve"> samazinātas pārrobežu efekta dēļ, ko veicin</w:t>
      </w:r>
      <w:r>
        <w:rPr>
          <w:rFonts w:ascii="Times New Roman" w:hAnsi="Times New Roman"/>
          <w:sz w:val="24"/>
          <w:szCs w:val="24"/>
        </w:rPr>
        <w:t>āja</w:t>
      </w:r>
      <w:r w:rsidRPr="007B0195">
        <w:rPr>
          <w:rFonts w:ascii="Times New Roman" w:hAnsi="Times New Roman"/>
          <w:sz w:val="24"/>
          <w:szCs w:val="24"/>
        </w:rPr>
        <w:t xml:space="preserve"> </w:t>
      </w:r>
      <w:proofErr w:type="spellStart"/>
      <w:r w:rsidRPr="00A9024B">
        <w:rPr>
          <w:rFonts w:ascii="Times New Roman" w:hAnsi="Times New Roman"/>
          <w:i/>
          <w:sz w:val="24"/>
          <w:szCs w:val="24"/>
        </w:rPr>
        <w:t>euro</w:t>
      </w:r>
      <w:proofErr w:type="spellEnd"/>
      <w:r w:rsidRPr="007B0195">
        <w:rPr>
          <w:rFonts w:ascii="Times New Roman" w:hAnsi="Times New Roman"/>
          <w:sz w:val="24"/>
          <w:szCs w:val="24"/>
        </w:rPr>
        <w:t xml:space="preserve"> zonas </w:t>
      </w:r>
      <w:r>
        <w:rPr>
          <w:rFonts w:ascii="Times New Roman" w:hAnsi="Times New Roman"/>
          <w:sz w:val="24"/>
          <w:szCs w:val="24"/>
        </w:rPr>
        <w:t>problēmas</w:t>
      </w:r>
      <w:r w:rsidRPr="007B0195">
        <w:rPr>
          <w:rFonts w:ascii="Times New Roman" w:hAnsi="Times New Roman"/>
          <w:sz w:val="24"/>
          <w:szCs w:val="24"/>
        </w:rPr>
        <w:t>.</w:t>
      </w:r>
    </w:p>
    <w:p w:rsidR="004F3FAA" w:rsidRPr="007B0195" w:rsidRDefault="004F3FAA" w:rsidP="004F3FAA">
      <w:pPr>
        <w:pStyle w:val="ListParagraph"/>
        <w:numPr>
          <w:ilvl w:val="0"/>
          <w:numId w:val="27"/>
        </w:numPr>
        <w:spacing w:after="120"/>
        <w:jc w:val="both"/>
        <w:rPr>
          <w:rFonts w:ascii="Times New Roman" w:hAnsi="Times New Roman"/>
          <w:sz w:val="24"/>
          <w:szCs w:val="24"/>
        </w:rPr>
      </w:pPr>
      <w:r>
        <w:rPr>
          <w:rFonts w:ascii="Times New Roman" w:hAnsi="Times New Roman"/>
          <w:sz w:val="24"/>
          <w:szCs w:val="24"/>
        </w:rPr>
        <w:lastRenderedPageBreak/>
        <w:t>J</w:t>
      </w:r>
      <w:r w:rsidRPr="007B0195">
        <w:rPr>
          <w:rFonts w:ascii="Times New Roman" w:hAnsi="Times New Roman"/>
          <w:sz w:val="24"/>
          <w:szCs w:val="24"/>
        </w:rPr>
        <w:t xml:space="preserve">oprojām </w:t>
      </w:r>
      <w:r>
        <w:rPr>
          <w:rFonts w:ascii="Times New Roman" w:hAnsi="Times New Roman"/>
          <w:sz w:val="24"/>
          <w:szCs w:val="24"/>
        </w:rPr>
        <w:t>pastāvēja bažas p</w:t>
      </w:r>
      <w:r w:rsidRPr="007B0195">
        <w:rPr>
          <w:rFonts w:ascii="Times New Roman" w:hAnsi="Times New Roman"/>
          <w:sz w:val="24"/>
          <w:szCs w:val="24"/>
        </w:rPr>
        <w:t xml:space="preserve">ar Grieķijas spēju realizēt starptautisko aizdevēju programmā pausto apņemšanos. Bažas </w:t>
      </w:r>
      <w:r>
        <w:rPr>
          <w:rFonts w:ascii="Times New Roman" w:hAnsi="Times New Roman"/>
          <w:sz w:val="24"/>
          <w:szCs w:val="24"/>
        </w:rPr>
        <w:t>pastiprināja</w:t>
      </w:r>
      <w:r w:rsidRPr="007B0195">
        <w:rPr>
          <w:rFonts w:ascii="Times New Roman" w:hAnsi="Times New Roman"/>
          <w:sz w:val="24"/>
          <w:szCs w:val="24"/>
        </w:rPr>
        <w:t xml:space="preserve"> arī fakts, ka starptautiskie kreditori </w:t>
      </w:r>
      <w:r>
        <w:rPr>
          <w:rFonts w:ascii="Times New Roman" w:hAnsi="Times New Roman"/>
          <w:sz w:val="24"/>
          <w:szCs w:val="24"/>
        </w:rPr>
        <w:t xml:space="preserve">bija </w:t>
      </w:r>
      <w:r w:rsidRPr="007B0195">
        <w:rPr>
          <w:rFonts w:ascii="Times New Roman" w:hAnsi="Times New Roman"/>
          <w:sz w:val="24"/>
          <w:szCs w:val="24"/>
        </w:rPr>
        <w:t>pasludinājuši pauzi ilgstošajās aizdevuma programmas pārrunās ar Grieķijas valdību. Grieķijas valdoš</w:t>
      </w:r>
      <w:r>
        <w:rPr>
          <w:rFonts w:ascii="Times New Roman" w:hAnsi="Times New Roman"/>
          <w:sz w:val="24"/>
          <w:szCs w:val="24"/>
        </w:rPr>
        <w:t>o</w:t>
      </w:r>
      <w:r w:rsidRPr="007B0195">
        <w:rPr>
          <w:rFonts w:ascii="Times New Roman" w:hAnsi="Times New Roman"/>
          <w:sz w:val="24"/>
          <w:szCs w:val="24"/>
        </w:rPr>
        <w:t xml:space="preserve"> partij</w:t>
      </w:r>
      <w:r>
        <w:rPr>
          <w:rFonts w:ascii="Times New Roman" w:hAnsi="Times New Roman"/>
          <w:sz w:val="24"/>
          <w:szCs w:val="24"/>
        </w:rPr>
        <w:t>u</w:t>
      </w:r>
      <w:r w:rsidRPr="007B0195">
        <w:rPr>
          <w:rFonts w:ascii="Times New Roman" w:hAnsi="Times New Roman"/>
          <w:sz w:val="24"/>
          <w:szCs w:val="24"/>
        </w:rPr>
        <w:t xml:space="preserve"> </w:t>
      </w:r>
      <w:r>
        <w:rPr>
          <w:rFonts w:ascii="Times New Roman" w:hAnsi="Times New Roman"/>
          <w:sz w:val="24"/>
          <w:szCs w:val="24"/>
        </w:rPr>
        <w:t>n</w:t>
      </w:r>
      <w:r w:rsidRPr="007B0195">
        <w:rPr>
          <w:rFonts w:ascii="Times New Roman" w:hAnsi="Times New Roman"/>
          <w:sz w:val="24"/>
          <w:szCs w:val="24"/>
        </w:rPr>
        <w:t xml:space="preserve">espēja </w:t>
      </w:r>
      <w:r>
        <w:rPr>
          <w:rFonts w:ascii="Times New Roman" w:hAnsi="Times New Roman"/>
          <w:sz w:val="24"/>
          <w:szCs w:val="24"/>
        </w:rPr>
        <w:t xml:space="preserve">panākt </w:t>
      </w:r>
      <w:r w:rsidRPr="007B0195">
        <w:rPr>
          <w:rFonts w:ascii="Times New Roman" w:hAnsi="Times New Roman"/>
          <w:sz w:val="24"/>
          <w:szCs w:val="24"/>
        </w:rPr>
        <w:t>vieno</w:t>
      </w:r>
      <w:r>
        <w:rPr>
          <w:rFonts w:ascii="Times New Roman" w:hAnsi="Times New Roman"/>
          <w:sz w:val="24"/>
          <w:szCs w:val="24"/>
        </w:rPr>
        <w:t>šanos</w:t>
      </w:r>
      <w:r w:rsidRPr="007B0195">
        <w:rPr>
          <w:rFonts w:ascii="Times New Roman" w:hAnsi="Times New Roman"/>
          <w:sz w:val="24"/>
          <w:szCs w:val="24"/>
        </w:rPr>
        <w:t xml:space="preserve"> p</w:t>
      </w:r>
      <w:r>
        <w:rPr>
          <w:rFonts w:ascii="Times New Roman" w:hAnsi="Times New Roman"/>
          <w:sz w:val="24"/>
          <w:szCs w:val="24"/>
        </w:rPr>
        <w:t>ar nepieciešamajām reformām izraisīja</w:t>
      </w:r>
      <w:r w:rsidRPr="007B0195">
        <w:rPr>
          <w:rFonts w:ascii="Times New Roman" w:hAnsi="Times New Roman"/>
          <w:sz w:val="24"/>
          <w:szCs w:val="24"/>
        </w:rPr>
        <w:t xml:space="preserve"> bažas par iespējamo Grieķijas </w:t>
      </w:r>
      <w:r w:rsidRPr="003729AD">
        <w:rPr>
          <w:rFonts w:ascii="Times New Roman" w:hAnsi="Times New Roman"/>
          <w:sz w:val="24"/>
          <w:szCs w:val="24"/>
        </w:rPr>
        <w:t>izstāšanos no</w:t>
      </w:r>
      <w:r>
        <w:rPr>
          <w:rFonts w:ascii="Times New Roman" w:hAnsi="Times New Roman"/>
          <w:i/>
          <w:sz w:val="24"/>
          <w:szCs w:val="24"/>
        </w:rPr>
        <w:t xml:space="preserve"> </w:t>
      </w:r>
      <w:proofErr w:type="spellStart"/>
      <w:r w:rsidRPr="003729AD">
        <w:rPr>
          <w:rFonts w:ascii="Times New Roman" w:hAnsi="Times New Roman"/>
          <w:i/>
          <w:sz w:val="24"/>
          <w:szCs w:val="24"/>
        </w:rPr>
        <w:t>euro</w:t>
      </w:r>
      <w:proofErr w:type="spellEnd"/>
      <w:r>
        <w:rPr>
          <w:rFonts w:ascii="Times New Roman" w:hAnsi="Times New Roman"/>
          <w:sz w:val="24"/>
          <w:szCs w:val="24"/>
        </w:rPr>
        <w:t xml:space="preserve"> zonas un līdz ar to arī </w:t>
      </w:r>
      <w:proofErr w:type="spellStart"/>
      <w:r w:rsidRPr="003729AD">
        <w:rPr>
          <w:rFonts w:ascii="Times New Roman" w:hAnsi="Times New Roman"/>
          <w:i/>
          <w:sz w:val="24"/>
          <w:szCs w:val="24"/>
        </w:rPr>
        <w:t>euro</w:t>
      </w:r>
      <w:proofErr w:type="spellEnd"/>
      <w:r w:rsidRPr="007B0195">
        <w:rPr>
          <w:rFonts w:ascii="Times New Roman" w:hAnsi="Times New Roman"/>
          <w:sz w:val="24"/>
          <w:szCs w:val="24"/>
        </w:rPr>
        <w:t xml:space="preserve"> zonas stabilitāti.</w:t>
      </w:r>
    </w:p>
    <w:p w:rsidR="004F3FAA" w:rsidRPr="00A9024B" w:rsidRDefault="004F3FAA" w:rsidP="004F3FAA">
      <w:pPr>
        <w:pStyle w:val="ListParagraph"/>
        <w:numPr>
          <w:ilvl w:val="0"/>
          <w:numId w:val="27"/>
        </w:numPr>
        <w:spacing w:after="120"/>
        <w:jc w:val="both"/>
        <w:rPr>
          <w:rFonts w:ascii="Times New Roman" w:hAnsi="Times New Roman"/>
          <w:sz w:val="24"/>
          <w:szCs w:val="24"/>
        </w:rPr>
      </w:pPr>
      <w:r>
        <w:rPr>
          <w:rFonts w:ascii="Times New Roman" w:hAnsi="Times New Roman"/>
          <w:sz w:val="24"/>
          <w:szCs w:val="24"/>
        </w:rPr>
        <w:t xml:space="preserve">Lai gan </w:t>
      </w:r>
      <w:r w:rsidRPr="007B0195">
        <w:rPr>
          <w:rFonts w:ascii="Times New Roman" w:hAnsi="Times New Roman"/>
          <w:sz w:val="24"/>
          <w:szCs w:val="24"/>
        </w:rPr>
        <w:t xml:space="preserve">Spānija, kuras finanšu sektors nekustamā īpašuma tirgus sabrukuma dēļ </w:t>
      </w:r>
      <w:r>
        <w:rPr>
          <w:rFonts w:ascii="Times New Roman" w:hAnsi="Times New Roman"/>
          <w:sz w:val="24"/>
          <w:szCs w:val="24"/>
        </w:rPr>
        <w:t>bija</w:t>
      </w:r>
      <w:r w:rsidRPr="007B0195">
        <w:rPr>
          <w:rFonts w:ascii="Times New Roman" w:hAnsi="Times New Roman"/>
          <w:sz w:val="24"/>
          <w:szCs w:val="24"/>
        </w:rPr>
        <w:t xml:space="preserve"> nonācis finanšu grūtībās, fiksējot lielus zaudējumus, </w:t>
      </w:r>
      <w:r>
        <w:rPr>
          <w:rFonts w:ascii="Times New Roman" w:hAnsi="Times New Roman"/>
          <w:sz w:val="24"/>
          <w:szCs w:val="24"/>
        </w:rPr>
        <w:t>bija</w:t>
      </w:r>
      <w:r w:rsidRPr="007B0195">
        <w:rPr>
          <w:rFonts w:ascii="Times New Roman" w:hAnsi="Times New Roman"/>
          <w:sz w:val="24"/>
          <w:szCs w:val="24"/>
        </w:rPr>
        <w:t xml:space="preserve"> paziņojusi, ka centīsies īstenot budžeta mērķus bez starptautiskās palīdzības</w:t>
      </w:r>
      <w:r>
        <w:rPr>
          <w:rFonts w:ascii="Times New Roman" w:hAnsi="Times New Roman"/>
          <w:sz w:val="24"/>
          <w:szCs w:val="24"/>
        </w:rPr>
        <w:t>,</w:t>
      </w:r>
      <w:r w:rsidRPr="007B0195">
        <w:rPr>
          <w:rFonts w:ascii="Times New Roman" w:hAnsi="Times New Roman"/>
          <w:sz w:val="24"/>
          <w:szCs w:val="24"/>
        </w:rPr>
        <w:t xml:space="preserve"> </w:t>
      </w:r>
      <w:r>
        <w:rPr>
          <w:rFonts w:ascii="Times New Roman" w:hAnsi="Times New Roman"/>
          <w:sz w:val="24"/>
          <w:szCs w:val="24"/>
        </w:rPr>
        <w:t>tomēr finanšu tirgi nebija</w:t>
      </w:r>
      <w:r w:rsidRPr="007B0195">
        <w:rPr>
          <w:rFonts w:ascii="Times New Roman" w:hAnsi="Times New Roman"/>
          <w:sz w:val="24"/>
          <w:szCs w:val="24"/>
        </w:rPr>
        <w:t xml:space="preserve"> guvuši pilnīgu pārliecību par Spānijas spēju īstenot savus solījumus fiskālajā un strukturālo reformu jomā. </w:t>
      </w:r>
      <w:r>
        <w:rPr>
          <w:rFonts w:ascii="Times New Roman" w:hAnsi="Times New Roman"/>
          <w:sz w:val="24"/>
          <w:szCs w:val="24"/>
        </w:rPr>
        <w:t>A</w:t>
      </w:r>
      <w:r w:rsidRPr="007B0195">
        <w:rPr>
          <w:rFonts w:ascii="Times New Roman" w:hAnsi="Times New Roman"/>
          <w:sz w:val="24"/>
          <w:szCs w:val="24"/>
        </w:rPr>
        <w:t>rvien biežāk tika aktualizēts jautājums un pastiprinā</w:t>
      </w:r>
      <w:r>
        <w:rPr>
          <w:rFonts w:ascii="Times New Roman" w:hAnsi="Times New Roman"/>
          <w:sz w:val="24"/>
          <w:szCs w:val="24"/>
        </w:rPr>
        <w:t>jā</w:t>
      </w:r>
      <w:r w:rsidRPr="007B0195">
        <w:rPr>
          <w:rFonts w:ascii="Times New Roman" w:hAnsi="Times New Roman"/>
          <w:sz w:val="24"/>
          <w:szCs w:val="24"/>
        </w:rPr>
        <w:t>s bažas, ka Spānija (iespējams, arī Itālija) tomēr pieprasīs starptautisko finanšu palīdzību.</w:t>
      </w:r>
    </w:p>
    <w:p w:rsidR="004F3FAA" w:rsidRPr="007B0195" w:rsidRDefault="004F3FAA" w:rsidP="004F3FAA">
      <w:pPr>
        <w:pStyle w:val="ListParagraph"/>
        <w:numPr>
          <w:ilvl w:val="0"/>
          <w:numId w:val="27"/>
        </w:numPr>
        <w:spacing w:after="120"/>
        <w:jc w:val="both"/>
        <w:rPr>
          <w:rFonts w:ascii="Times New Roman" w:hAnsi="Times New Roman"/>
          <w:sz w:val="24"/>
          <w:szCs w:val="24"/>
        </w:rPr>
      </w:pPr>
      <w:r w:rsidRPr="007B0195">
        <w:rPr>
          <w:rFonts w:ascii="Times New Roman" w:hAnsi="Times New Roman"/>
          <w:sz w:val="24"/>
          <w:szCs w:val="24"/>
        </w:rPr>
        <w:t>Spānija un Itālija, papildus</w:t>
      </w:r>
      <w:r>
        <w:rPr>
          <w:rFonts w:ascii="Times New Roman" w:hAnsi="Times New Roman"/>
          <w:sz w:val="24"/>
          <w:szCs w:val="24"/>
        </w:rPr>
        <w:t xml:space="preserve"> Grieķijai, vairākus mēnešu atradā</w:t>
      </w:r>
      <w:r w:rsidRPr="007B0195">
        <w:rPr>
          <w:rFonts w:ascii="Times New Roman" w:hAnsi="Times New Roman"/>
          <w:sz w:val="24"/>
          <w:szCs w:val="24"/>
        </w:rPr>
        <w:t xml:space="preserve">s finanšu tirgus uzmanības centrā, jo </w:t>
      </w:r>
      <w:r>
        <w:rPr>
          <w:rFonts w:ascii="Times New Roman" w:hAnsi="Times New Roman"/>
          <w:sz w:val="24"/>
          <w:szCs w:val="24"/>
        </w:rPr>
        <w:t xml:space="preserve">šo valstu </w:t>
      </w:r>
      <w:r w:rsidRPr="007B0195">
        <w:rPr>
          <w:rFonts w:ascii="Times New Roman" w:hAnsi="Times New Roman"/>
          <w:sz w:val="24"/>
          <w:szCs w:val="24"/>
        </w:rPr>
        <w:t xml:space="preserve">10 gadu vērtspapīru procentu likmes laikā no </w:t>
      </w:r>
      <w:r>
        <w:rPr>
          <w:rFonts w:ascii="Times New Roman" w:hAnsi="Times New Roman"/>
          <w:sz w:val="24"/>
          <w:szCs w:val="24"/>
        </w:rPr>
        <w:t xml:space="preserve">2012.gada </w:t>
      </w:r>
      <w:r w:rsidRPr="007B0195">
        <w:rPr>
          <w:rFonts w:ascii="Times New Roman" w:hAnsi="Times New Roman"/>
          <w:sz w:val="24"/>
          <w:szCs w:val="24"/>
        </w:rPr>
        <w:t>gada marta līdz jūlija</w:t>
      </w:r>
      <w:r>
        <w:rPr>
          <w:rFonts w:ascii="Times New Roman" w:hAnsi="Times New Roman"/>
          <w:sz w:val="24"/>
          <w:szCs w:val="24"/>
        </w:rPr>
        <w:t xml:space="preserve"> vidum</w:t>
      </w:r>
      <w:r w:rsidRPr="007B0195">
        <w:rPr>
          <w:rFonts w:ascii="Times New Roman" w:hAnsi="Times New Roman"/>
          <w:sz w:val="24"/>
          <w:szCs w:val="24"/>
        </w:rPr>
        <w:t xml:space="preserve"> pieauga līdz līmeņiem, kas nav uzskatāmi par ilgtspējīgiem. Spānija</w:t>
      </w:r>
      <w:r>
        <w:rPr>
          <w:rFonts w:ascii="Times New Roman" w:hAnsi="Times New Roman"/>
          <w:sz w:val="24"/>
          <w:szCs w:val="24"/>
        </w:rPr>
        <w:t xml:space="preserve">s </w:t>
      </w:r>
      <w:r w:rsidRPr="007B0195">
        <w:rPr>
          <w:rFonts w:ascii="Times New Roman" w:hAnsi="Times New Roman"/>
          <w:sz w:val="24"/>
          <w:szCs w:val="24"/>
        </w:rPr>
        <w:t xml:space="preserve"> obligāciju likmes jūlij</w:t>
      </w:r>
      <w:r>
        <w:rPr>
          <w:rFonts w:ascii="Times New Roman" w:hAnsi="Times New Roman"/>
          <w:sz w:val="24"/>
          <w:szCs w:val="24"/>
        </w:rPr>
        <w:t>a beigās sasniedza rekordaugstus līmeni –</w:t>
      </w:r>
      <w:r w:rsidRPr="007B0195">
        <w:rPr>
          <w:rFonts w:ascii="Times New Roman" w:hAnsi="Times New Roman"/>
          <w:sz w:val="24"/>
          <w:szCs w:val="24"/>
        </w:rPr>
        <w:t xml:space="preserve"> 7,566%. Lai gan Itālijas ilgtermiņa vērtspapīru likmes augstāko līmeni sasniedza 2011.gada novembrī, tomēr Itālija</w:t>
      </w:r>
      <w:r>
        <w:rPr>
          <w:rFonts w:ascii="Times New Roman" w:hAnsi="Times New Roman"/>
          <w:sz w:val="24"/>
          <w:szCs w:val="24"/>
        </w:rPr>
        <w:t>s obligācijām</w:t>
      </w:r>
      <w:r w:rsidRPr="007B0195">
        <w:rPr>
          <w:rFonts w:ascii="Times New Roman" w:hAnsi="Times New Roman"/>
          <w:sz w:val="24"/>
          <w:szCs w:val="24"/>
        </w:rPr>
        <w:t xml:space="preserve"> </w:t>
      </w:r>
      <w:r>
        <w:rPr>
          <w:rFonts w:ascii="Times New Roman" w:hAnsi="Times New Roman"/>
          <w:sz w:val="24"/>
          <w:szCs w:val="24"/>
        </w:rPr>
        <w:t xml:space="preserve">2012.gada </w:t>
      </w:r>
      <w:r w:rsidRPr="007B0195">
        <w:rPr>
          <w:rFonts w:ascii="Times New Roman" w:hAnsi="Times New Roman"/>
          <w:sz w:val="24"/>
          <w:szCs w:val="24"/>
        </w:rPr>
        <w:t>jūlij</w:t>
      </w:r>
      <w:r>
        <w:rPr>
          <w:rFonts w:ascii="Times New Roman" w:hAnsi="Times New Roman"/>
          <w:sz w:val="24"/>
          <w:szCs w:val="24"/>
        </w:rPr>
        <w:t>a beigās</w:t>
      </w:r>
      <w:r w:rsidRPr="007B0195">
        <w:rPr>
          <w:rFonts w:ascii="Times New Roman" w:hAnsi="Times New Roman"/>
          <w:sz w:val="24"/>
          <w:szCs w:val="24"/>
        </w:rPr>
        <w:t xml:space="preserve"> fiksētā ilgtermiņa procentu likme 6,572% </w:t>
      </w:r>
      <w:r>
        <w:rPr>
          <w:rFonts w:ascii="Times New Roman" w:hAnsi="Times New Roman"/>
          <w:sz w:val="24"/>
          <w:szCs w:val="24"/>
        </w:rPr>
        <w:t>bija</w:t>
      </w:r>
      <w:r w:rsidRPr="007B0195">
        <w:rPr>
          <w:rFonts w:ascii="Times New Roman" w:hAnsi="Times New Roman"/>
          <w:sz w:val="24"/>
          <w:szCs w:val="24"/>
        </w:rPr>
        <w:t xml:space="preserve"> uzskatāma par ļoti augstu.</w:t>
      </w:r>
    </w:p>
    <w:p w:rsidR="004F3FAA" w:rsidRPr="00040784" w:rsidRDefault="004F3FAA" w:rsidP="004F3FAA">
      <w:pPr>
        <w:pStyle w:val="ListParagraph"/>
        <w:spacing w:after="120"/>
        <w:ind w:left="0" w:firstLine="709"/>
        <w:jc w:val="both"/>
        <w:rPr>
          <w:rFonts w:ascii="Times New Roman" w:hAnsi="Times New Roman"/>
          <w:sz w:val="24"/>
          <w:szCs w:val="24"/>
        </w:rPr>
      </w:pPr>
      <w:r w:rsidRPr="00040784">
        <w:rPr>
          <w:rFonts w:ascii="Times New Roman" w:hAnsi="Times New Roman"/>
          <w:sz w:val="24"/>
          <w:szCs w:val="24"/>
        </w:rPr>
        <w:t xml:space="preserve">Kopš 2012.gada vasaras sākuma finanšu tirgos </w:t>
      </w:r>
      <w:r>
        <w:rPr>
          <w:rFonts w:ascii="Times New Roman" w:hAnsi="Times New Roman"/>
          <w:sz w:val="24"/>
          <w:szCs w:val="24"/>
        </w:rPr>
        <w:t xml:space="preserve">bija </w:t>
      </w:r>
      <w:r w:rsidR="0024086E">
        <w:rPr>
          <w:rFonts w:ascii="Times New Roman" w:hAnsi="Times New Roman"/>
          <w:sz w:val="24"/>
          <w:szCs w:val="24"/>
        </w:rPr>
        <w:t xml:space="preserve">iezīmējusies </w:t>
      </w:r>
      <w:r w:rsidRPr="00040784">
        <w:rPr>
          <w:rFonts w:ascii="Times New Roman" w:hAnsi="Times New Roman"/>
          <w:sz w:val="24"/>
          <w:szCs w:val="24"/>
        </w:rPr>
        <w:t>likmju pazemināšanās tendence un pēc tradicionāli klusā vasaras perioda finanšu tirgos atsevišķi nozīmīgi lēmumi uzturēja kopējo pozitīvo noskaņojumu</w:t>
      </w:r>
      <w:r>
        <w:rPr>
          <w:rFonts w:ascii="Times New Roman" w:hAnsi="Times New Roman"/>
          <w:sz w:val="24"/>
          <w:szCs w:val="24"/>
        </w:rPr>
        <w:t>, jo:</w:t>
      </w:r>
      <w:r w:rsidRPr="00040784">
        <w:rPr>
          <w:rFonts w:ascii="Times New Roman" w:hAnsi="Times New Roman"/>
          <w:sz w:val="24"/>
          <w:szCs w:val="24"/>
        </w:rPr>
        <w:t xml:space="preserve"> </w:t>
      </w:r>
    </w:p>
    <w:p w:rsidR="004F3FAA" w:rsidRPr="00D67073" w:rsidRDefault="004F3FAA" w:rsidP="004F3FAA">
      <w:pPr>
        <w:pStyle w:val="ListParagraph"/>
        <w:numPr>
          <w:ilvl w:val="1"/>
          <w:numId w:val="32"/>
        </w:numPr>
        <w:spacing w:after="120"/>
        <w:ind w:left="709" w:hanging="425"/>
        <w:jc w:val="both"/>
        <w:rPr>
          <w:rFonts w:ascii="Times New Roman" w:hAnsi="Times New Roman"/>
          <w:sz w:val="24"/>
          <w:szCs w:val="24"/>
        </w:rPr>
      </w:pPr>
      <w:r w:rsidRPr="00E935E3">
        <w:rPr>
          <w:rFonts w:ascii="Times New Roman" w:hAnsi="Times New Roman"/>
          <w:sz w:val="24"/>
          <w:szCs w:val="24"/>
        </w:rPr>
        <w:t>Vācijas konstitucionālā tiesa paziņoja</w:t>
      </w:r>
      <w:r w:rsidRPr="00D67073">
        <w:rPr>
          <w:rFonts w:ascii="Times New Roman" w:hAnsi="Times New Roman"/>
          <w:b/>
          <w:sz w:val="24"/>
          <w:szCs w:val="24"/>
        </w:rPr>
        <w:t xml:space="preserve">, </w:t>
      </w:r>
      <w:r w:rsidRPr="00D67073">
        <w:rPr>
          <w:rFonts w:ascii="Times New Roman" w:hAnsi="Times New Roman"/>
          <w:sz w:val="24"/>
          <w:szCs w:val="24"/>
        </w:rPr>
        <w:t>ka ESM un Eiropas Savienības (turpmāk</w:t>
      </w:r>
      <w:r>
        <w:rPr>
          <w:rFonts w:ascii="Times New Roman" w:hAnsi="Times New Roman"/>
          <w:sz w:val="24"/>
          <w:szCs w:val="24"/>
        </w:rPr>
        <w:t> –</w:t>
      </w:r>
      <w:r w:rsidRPr="00D67073">
        <w:rPr>
          <w:rFonts w:ascii="Times New Roman" w:hAnsi="Times New Roman"/>
          <w:sz w:val="24"/>
          <w:szCs w:val="24"/>
        </w:rPr>
        <w:t xml:space="preserve"> ES) fiskālās disciplīnas līgums atbilst valsts konstitūcijai, un vienlaicīgi </w:t>
      </w:r>
      <w:r>
        <w:rPr>
          <w:rFonts w:ascii="Times New Roman" w:hAnsi="Times New Roman"/>
          <w:sz w:val="24"/>
          <w:szCs w:val="24"/>
        </w:rPr>
        <w:t>uzsvēra</w:t>
      </w:r>
      <w:r w:rsidRPr="00D67073">
        <w:rPr>
          <w:rFonts w:ascii="Times New Roman" w:hAnsi="Times New Roman"/>
          <w:sz w:val="24"/>
          <w:szCs w:val="24"/>
        </w:rPr>
        <w:t>, ka jebkurš finansiāls slogs Vācijai saistībā ar ESM ir stingri ierobežots līdz fondā iemaksājamai valsts</w:t>
      </w:r>
      <w:r w:rsidR="004100A3">
        <w:rPr>
          <w:rFonts w:ascii="Times New Roman" w:hAnsi="Times New Roman"/>
          <w:sz w:val="24"/>
          <w:szCs w:val="24"/>
        </w:rPr>
        <w:t xml:space="preserve"> kapitāla daļai jeb 190 </w:t>
      </w:r>
      <w:proofErr w:type="spellStart"/>
      <w:r w:rsidR="004100A3">
        <w:rPr>
          <w:rFonts w:ascii="Times New Roman" w:hAnsi="Times New Roman"/>
          <w:sz w:val="24"/>
          <w:szCs w:val="24"/>
        </w:rPr>
        <w:t>mljrd</w:t>
      </w:r>
      <w:proofErr w:type="spellEnd"/>
      <w:r w:rsidR="004100A3">
        <w:rPr>
          <w:rFonts w:ascii="Times New Roman" w:hAnsi="Times New Roman"/>
          <w:sz w:val="24"/>
          <w:szCs w:val="24"/>
        </w:rPr>
        <w:t xml:space="preserve">. </w:t>
      </w:r>
      <w:proofErr w:type="spellStart"/>
      <w:r w:rsidR="004100A3" w:rsidRPr="004100A3">
        <w:rPr>
          <w:rFonts w:ascii="Times New Roman" w:hAnsi="Times New Roman"/>
          <w:i/>
          <w:sz w:val="24"/>
          <w:szCs w:val="24"/>
        </w:rPr>
        <w:t>eu</w:t>
      </w:r>
      <w:r w:rsidRPr="004100A3">
        <w:rPr>
          <w:rFonts w:ascii="Times New Roman" w:hAnsi="Times New Roman"/>
          <w:i/>
          <w:sz w:val="24"/>
          <w:szCs w:val="24"/>
        </w:rPr>
        <w:t>ro</w:t>
      </w:r>
      <w:proofErr w:type="spellEnd"/>
      <w:r w:rsidRPr="00D67073">
        <w:rPr>
          <w:rFonts w:ascii="Times New Roman" w:hAnsi="Times New Roman"/>
          <w:sz w:val="24"/>
          <w:szCs w:val="24"/>
        </w:rPr>
        <w:t xml:space="preserve">. Tiesas atzinums bija izšķirošs, lai uzsāktu nākamos soļus stabilizācijas ietvara veidošanā, </w:t>
      </w:r>
      <w:proofErr w:type="spellStart"/>
      <w:r w:rsidRPr="00D67073">
        <w:rPr>
          <w:rFonts w:ascii="Times New Roman" w:hAnsi="Times New Roman"/>
          <w:sz w:val="24"/>
          <w:szCs w:val="24"/>
        </w:rPr>
        <w:t>t.i</w:t>
      </w:r>
      <w:proofErr w:type="spellEnd"/>
      <w:r w:rsidRPr="00D67073">
        <w:rPr>
          <w:rFonts w:ascii="Times New Roman" w:hAnsi="Times New Roman"/>
          <w:sz w:val="24"/>
          <w:szCs w:val="24"/>
        </w:rPr>
        <w:t>.</w:t>
      </w:r>
      <w:r>
        <w:rPr>
          <w:rFonts w:ascii="Times New Roman" w:hAnsi="Times New Roman"/>
          <w:sz w:val="24"/>
          <w:szCs w:val="24"/>
        </w:rPr>
        <w:t>,</w:t>
      </w:r>
      <w:r w:rsidRPr="00D67073">
        <w:rPr>
          <w:rFonts w:ascii="Times New Roman" w:hAnsi="Times New Roman"/>
          <w:sz w:val="24"/>
          <w:szCs w:val="24"/>
        </w:rPr>
        <w:t xml:space="preserve"> vienota banku uzrauga un krīzes risinājuma mehānisma izstrādē. Tādējādi finanšu tirgi cerīgāk skat</w:t>
      </w:r>
      <w:r w:rsidR="00236139">
        <w:rPr>
          <w:rFonts w:ascii="Times New Roman" w:hAnsi="Times New Roman"/>
          <w:sz w:val="24"/>
          <w:szCs w:val="24"/>
        </w:rPr>
        <w:t xml:space="preserve">ījās uz </w:t>
      </w:r>
      <w:proofErr w:type="spellStart"/>
      <w:r w:rsidR="00236139" w:rsidRPr="00236139">
        <w:rPr>
          <w:rFonts w:ascii="Times New Roman" w:hAnsi="Times New Roman"/>
          <w:i/>
          <w:sz w:val="24"/>
          <w:szCs w:val="24"/>
        </w:rPr>
        <w:t>eu</w:t>
      </w:r>
      <w:r w:rsidRPr="00236139">
        <w:rPr>
          <w:rFonts w:ascii="Times New Roman" w:hAnsi="Times New Roman"/>
          <w:i/>
          <w:sz w:val="24"/>
          <w:szCs w:val="24"/>
        </w:rPr>
        <w:t>ro</w:t>
      </w:r>
      <w:proofErr w:type="spellEnd"/>
      <w:r w:rsidRPr="00D67073">
        <w:rPr>
          <w:rFonts w:ascii="Times New Roman" w:hAnsi="Times New Roman"/>
          <w:sz w:val="24"/>
          <w:szCs w:val="24"/>
        </w:rPr>
        <w:t xml:space="preserve"> zonas krīzes atrisināšanu.</w:t>
      </w:r>
    </w:p>
    <w:p w:rsidR="004F3FAA" w:rsidRPr="00D67073" w:rsidRDefault="0024086E" w:rsidP="004F3FAA">
      <w:pPr>
        <w:pStyle w:val="ListParagraph"/>
        <w:numPr>
          <w:ilvl w:val="1"/>
          <w:numId w:val="32"/>
        </w:numPr>
        <w:spacing w:after="120"/>
        <w:ind w:left="709" w:hanging="425"/>
        <w:jc w:val="both"/>
        <w:rPr>
          <w:rFonts w:ascii="Times New Roman" w:hAnsi="Times New Roman"/>
          <w:sz w:val="24"/>
          <w:szCs w:val="24"/>
        </w:rPr>
      </w:pPr>
      <w:r>
        <w:rPr>
          <w:rFonts w:ascii="Times New Roman" w:hAnsi="Times New Roman"/>
          <w:sz w:val="24"/>
          <w:szCs w:val="24"/>
        </w:rPr>
        <w:t>2012.gada</w:t>
      </w:r>
      <w:r w:rsidR="004F3FAA" w:rsidRPr="00D67073">
        <w:rPr>
          <w:rFonts w:ascii="Times New Roman" w:hAnsi="Times New Roman"/>
          <w:sz w:val="24"/>
          <w:szCs w:val="24"/>
        </w:rPr>
        <w:t xml:space="preserve"> septembrī </w:t>
      </w:r>
      <w:r w:rsidR="004F3FAA" w:rsidRPr="00E935E3">
        <w:rPr>
          <w:rFonts w:ascii="Times New Roman" w:hAnsi="Times New Roman"/>
          <w:sz w:val="24"/>
          <w:szCs w:val="24"/>
        </w:rPr>
        <w:t>ECB apstiprināja, ka ir gatava iegādāties valstu obligācijas</w:t>
      </w:r>
      <w:r w:rsidR="004F3FAA" w:rsidRPr="00D67073">
        <w:rPr>
          <w:rFonts w:ascii="Times New Roman" w:hAnsi="Times New Roman"/>
          <w:sz w:val="24"/>
          <w:szCs w:val="24"/>
        </w:rPr>
        <w:t xml:space="preserve"> ar atmaksas termiņu līdz trīs gadiem un neierobežotā apjomā. Vienlaicīgi ECB obligācij</w:t>
      </w:r>
      <w:r w:rsidR="004F3FAA">
        <w:rPr>
          <w:rFonts w:ascii="Times New Roman" w:hAnsi="Times New Roman"/>
          <w:sz w:val="24"/>
          <w:szCs w:val="24"/>
        </w:rPr>
        <w:t>u</w:t>
      </w:r>
      <w:r w:rsidR="004F3FAA" w:rsidRPr="00D67073">
        <w:rPr>
          <w:rFonts w:ascii="Times New Roman" w:hAnsi="Times New Roman"/>
          <w:sz w:val="24"/>
          <w:szCs w:val="24"/>
        </w:rPr>
        <w:t xml:space="preserve"> uzp</w:t>
      </w:r>
      <w:r w:rsidR="004F3FAA">
        <w:rPr>
          <w:rFonts w:ascii="Times New Roman" w:hAnsi="Times New Roman"/>
          <w:sz w:val="24"/>
          <w:szCs w:val="24"/>
        </w:rPr>
        <w:t>irkšanas pasākumu uzsākšanai būtu</w:t>
      </w:r>
      <w:r w:rsidR="004F3FAA" w:rsidRPr="00D67073">
        <w:rPr>
          <w:rFonts w:ascii="Times New Roman" w:hAnsi="Times New Roman"/>
          <w:sz w:val="24"/>
          <w:szCs w:val="24"/>
        </w:rPr>
        <w:t xml:space="preserve"> savi priekšnosacījumi, </w:t>
      </w:r>
      <w:proofErr w:type="spellStart"/>
      <w:r w:rsidR="004F3FAA" w:rsidRPr="00D67073">
        <w:rPr>
          <w:rFonts w:ascii="Times New Roman" w:hAnsi="Times New Roman"/>
          <w:sz w:val="24"/>
          <w:szCs w:val="24"/>
        </w:rPr>
        <w:t>t.i</w:t>
      </w:r>
      <w:proofErr w:type="spellEnd"/>
      <w:r w:rsidR="004F3FAA" w:rsidRPr="00D67073">
        <w:rPr>
          <w:rFonts w:ascii="Times New Roman" w:hAnsi="Times New Roman"/>
          <w:sz w:val="24"/>
          <w:szCs w:val="24"/>
        </w:rPr>
        <w:t>.</w:t>
      </w:r>
      <w:r w:rsidR="004F3FAA">
        <w:rPr>
          <w:rFonts w:ascii="Times New Roman" w:hAnsi="Times New Roman"/>
          <w:sz w:val="24"/>
          <w:szCs w:val="24"/>
        </w:rPr>
        <w:t>,</w:t>
      </w:r>
      <w:r w:rsidR="004F3FAA" w:rsidRPr="00D67073">
        <w:rPr>
          <w:rFonts w:ascii="Times New Roman" w:hAnsi="Times New Roman"/>
          <w:sz w:val="24"/>
          <w:szCs w:val="24"/>
        </w:rPr>
        <w:t xml:space="preserve"> attiecīgajai valstij jāiesniedz oficiāls pieprasījums un valstij jābūt uzņemtām politiskām saistībām fiskālo un strukturālo reformu jomā. Būtiska atšķirtība no iepriekšējām ECB obli</w:t>
      </w:r>
      <w:r w:rsidR="004F3FAA">
        <w:rPr>
          <w:rFonts w:ascii="Times New Roman" w:hAnsi="Times New Roman"/>
          <w:sz w:val="24"/>
          <w:szCs w:val="24"/>
        </w:rPr>
        <w:t>gāciju uzpirkšanas programmās bija</w:t>
      </w:r>
      <w:r w:rsidR="004F3FAA" w:rsidRPr="00D67073">
        <w:rPr>
          <w:rFonts w:ascii="Times New Roman" w:hAnsi="Times New Roman"/>
          <w:sz w:val="24"/>
          <w:szCs w:val="24"/>
        </w:rPr>
        <w:t xml:space="preserve"> tāda, ka ECB nebūs priekšroka attiecībā pret citiem investoriem. Līdzīgi kā iepriekš īstenoto vērtspapīru uzpirkšanas programmu šo monetārās politikas pasākumu </w:t>
      </w:r>
      <w:r w:rsidR="004F3FAA">
        <w:rPr>
          <w:rFonts w:ascii="Times New Roman" w:hAnsi="Times New Roman"/>
          <w:sz w:val="24"/>
          <w:szCs w:val="24"/>
        </w:rPr>
        <w:t>mērķis bija</w:t>
      </w:r>
      <w:r w:rsidR="004F3FAA" w:rsidRPr="00D67073">
        <w:rPr>
          <w:rFonts w:ascii="Times New Roman" w:hAnsi="Times New Roman"/>
          <w:sz w:val="24"/>
          <w:szCs w:val="24"/>
        </w:rPr>
        <w:t xml:space="preserve"> mazināt vērtspapīru likmju</w:t>
      </w:r>
      <w:r w:rsidR="00236139">
        <w:rPr>
          <w:rFonts w:ascii="Times New Roman" w:hAnsi="Times New Roman"/>
          <w:sz w:val="24"/>
          <w:szCs w:val="24"/>
        </w:rPr>
        <w:t xml:space="preserve"> palielināšanos un nodrošināt </w:t>
      </w:r>
      <w:proofErr w:type="spellStart"/>
      <w:r w:rsidR="00236139" w:rsidRPr="00236139">
        <w:rPr>
          <w:rFonts w:ascii="Times New Roman" w:hAnsi="Times New Roman"/>
          <w:i/>
          <w:sz w:val="24"/>
          <w:szCs w:val="24"/>
        </w:rPr>
        <w:t>eu</w:t>
      </w:r>
      <w:r w:rsidR="004F3FAA" w:rsidRPr="00236139">
        <w:rPr>
          <w:rFonts w:ascii="Times New Roman" w:hAnsi="Times New Roman"/>
          <w:i/>
          <w:sz w:val="24"/>
          <w:szCs w:val="24"/>
        </w:rPr>
        <w:t>ro</w:t>
      </w:r>
      <w:proofErr w:type="spellEnd"/>
      <w:r w:rsidR="004F3FAA" w:rsidRPr="00D67073">
        <w:rPr>
          <w:rFonts w:ascii="Times New Roman" w:hAnsi="Times New Roman"/>
          <w:sz w:val="24"/>
          <w:szCs w:val="24"/>
        </w:rPr>
        <w:t xml:space="preserve"> zonas stabilitāti.</w:t>
      </w:r>
    </w:p>
    <w:p w:rsidR="004F3FAA" w:rsidRPr="00D67073" w:rsidRDefault="00236139" w:rsidP="004F3FAA">
      <w:pPr>
        <w:pStyle w:val="ListParagraph"/>
        <w:numPr>
          <w:ilvl w:val="1"/>
          <w:numId w:val="32"/>
        </w:numPr>
        <w:spacing w:after="120"/>
        <w:ind w:left="709" w:hanging="425"/>
        <w:jc w:val="both"/>
        <w:rPr>
          <w:rFonts w:ascii="Times New Roman" w:hAnsi="Times New Roman"/>
          <w:sz w:val="24"/>
          <w:szCs w:val="24"/>
        </w:rPr>
      </w:pPr>
      <w:r>
        <w:rPr>
          <w:rFonts w:ascii="Times New Roman" w:hAnsi="Times New Roman"/>
          <w:sz w:val="24"/>
          <w:szCs w:val="24"/>
        </w:rPr>
        <w:t xml:space="preserve">2012.gada </w:t>
      </w:r>
      <w:r w:rsidR="004F3FAA" w:rsidRPr="00D67073">
        <w:rPr>
          <w:rFonts w:ascii="Times New Roman" w:hAnsi="Times New Roman"/>
          <w:sz w:val="24"/>
          <w:szCs w:val="24"/>
        </w:rPr>
        <w:t>septembrī</w:t>
      </w:r>
      <w:r w:rsidR="004F3FAA" w:rsidRPr="00D67073">
        <w:rPr>
          <w:rFonts w:ascii="Times New Roman" w:hAnsi="Times New Roman"/>
          <w:b/>
          <w:sz w:val="24"/>
          <w:szCs w:val="24"/>
        </w:rPr>
        <w:t xml:space="preserve"> </w:t>
      </w:r>
      <w:r w:rsidR="004F3FAA" w:rsidRPr="00E935E3">
        <w:rPr>
          <w:rFonts w:ascii="Times New Roman" w:hAnsi="Times New Roman"/>
          <w:sz w:val="24"/>
          <w:szCs w:val="24"/>
        </w:rPr>
        <w:t>ASV Federālo rezervju sistēma</w:t>
      </w:r>
      <w:r w:rsidR="004F3FAA" w:rsidRPr="00D67073">
        <w:rPr>
          <w:rFonts w:ascii="Times New Roman" w:hAnsi="Times New Roman"/>
          <w:b/>
          <w:sz w:val="24"/>
          <w:szCs w:val="24"/>
        </w:rPr>
        <w:t xml:space="preserve"> </w:t>
      </w:r>
      <w:r w:rsidR="004F3FAA" w:rsidRPr="006F3158">
        <w:rPr>
          <w:rFonts w:ascii="Times New Roman" w:hAnsi="Times New Roman"/>
          <w:sz w:val="24"/>
          <w:szCs w:val="24"/>
        </w:rPr>
        <w:t>(</w:t>
      </w:r>
      <w:r w:rsidR="004F3FAA" w:rsidRPr="00D67073">
        <w:rPr>
          <w:rFonts w:ascii="Times New Roman" w:hAnsi="Times New Roman"/>
          <w:sz w:val="24"/>
          <w:szCs w:val="24"/>
        </w:rPr>
        <w:t xml:space="preserve">turpmāk </w:t>
      </w:r>
      <w:r w:rsidR="004F3FAA">
        <w:rPr>
          <w:rFonts w:ascii="Times New Roman" w:hAnsi="Times New Roman"/>
          <w:sz w:val="24"/>
          <w:szCs w:val="24"/>
        </w:rPr>
        <w:t>–</w:t>
      </w:r>
      <w:r w:rsidR="004F3FAA" w:rsidRPr="00D67073">
        <w:rPr>
          <w:rFonts w:ascii="Times New Roman" w:hAnsi="Times New Roman"/>
          <w:sz w:val="24"/>
          <w:szCs w:val="24"/>
        </w:rPr>
        <w:t xml:space="preserve"> ASV </w:t>
      </w:r>
      <w:proofErr w:type="spellStart"/>
      <w:r w:rsidR="004F3FAA" w:rsidRPr="00D67073">
        <w:rPr>
          <w:rFonts w:ascii="Times New Roman" w:hAnsi="Times New Roman"/>
          <w:sz w:val="24"/>
          <w:szCs w:val="24"/>
        </w:rPr>
        <w:t>Fed</w:t>
      </w:r>
      <w:proofErr w:type="spellEnd"/>
      <w:r w:rsidR="004F3FAA" w:rsidRPr="00D67073">
        <w:rPr>
          <w:rFonts w:ascii="Times New Roman" w:hAnsi="Times New Roman"/>
          <w:sz w:val="24"/>
          <w:szCs w:val="24"/>
        </w:rPr>
        <w:t>), reaģējot uz lēno ASV ekonomikas izaugsmi un augsto bezdarba līmeni, pieņēma lēmumu uzsākt jaunu obligāciju pirkšanas programmu ar mērķi stimulēt ekonomikas attīstību. Tā paredz</w:t>
      </w:r>
      <w:r w:rsidR="004F3FAA">
        <w:rPr>
          <w:rFonts w:ascii="Times New Roman" w:hAnsi="Times New Roman"/>
          <w:sz w:val="24"/>
          <w:szCs w:val="24"/>
        </w:rPr>
        <w:t>ēja</w:t>
      </w:r>
      <w:r w:rsidR="004F3FAA" w:rsidRPr="00D67073">
        <w:rPr>
          <w:rFonts w:ascii="Times New Roman" w:hAnsi="Times New Roman"/>
          <w:sz w:val="24"/>
          <w:szCs w:val="24"/>
        </w:rPr>
        <w:t xml:space="preserve"> obligāciju iegādāšanos ik mēnesi 40 </w:t>
      </w:r>
      <w:proofErr w:type="spellStart"/>
      <w:r w:rsidR="004F3FAA" w:rsidRPr="00D67073">
        <w:rPr>
          <w:rFonts w:ascii="Times New Roman" w:hAnsi="Times New Roman"/>
          <w:sz w:val="24"/>
          <w:szCs w:val="24"/>
        </w:rPr>
        <w:t>m</w:t>
      </w:r>
      <w:r w:rsidR="004F3FAA">
        <w:rPr>
          <w:rFonts w:ascii="Times New Roman" w:hAnsi="Times New Roman"/>
          <w:sz w:val="24"/>
          <w:szCs w:val="24"/>
        </w:rPr>
        <w:t>ljrd</w:t>
      </w:r>
      <w:proofErr w:type="spellEnd"/>
      <w:r w:rsidR="004F3FAA">
        <w:rPr>
          <w:rFonts w:ascii="Times New Roman" w:hAnsi="Times New Roman"/>
          <w:sz w:val="24"/>
          <w:szCs w:val="24"/>
        </w:rPr>
        <w:t>. ASV</w:t>
      </w:r>
      <w:r w:rsidR="004F3FAA" w:rsidRPr="00D67073">
        <w:rPr>
          <w:rFonts w:ascii="Times New Roman" w:hAnsi="Times New Roman"/>
          <w:sz w:val="24"/>
          <w:szCs w:val="24"/>
        </w:rPr>
        <w:t xml:space="preserve"> dolāru apmērā tik ilgi, kamēr nebūs novērojami uzlabojumi ASV darba tirgū.</w:t>
      </w:r>
    </w:p>
    <w:p w:rsidR="004F3FAA" w:rsidRDefault="004F3FAA" w:rsidP="004F3FAA">
      <w:pPr>
        <w:pStyle w:val="ListParagraph"/>
        <w:numPr>
          <w:ilvl w:val="1"/>
          <w:numId w:val="32"/>
        </w:numPr>
        <w:spacing w:after="120"/>
        <w:ind w:left="709" w:hanging="425"/>
        <w:jc w:val="both"/>
        <w:rPr>
          <w:rFonts w:ascii="Times New Roman" w:hAnsi="Times New Roman"/>
          <w:sz w:val="24"/>
          <w:szCs w:val="24"/>
        </w:rPr>
      </w:pPr>
      <w:r>
        <w:rPr>
          <w:rFonts w:ascii="Times New Roman" w:hAnsi="Times New Roman"/>
          <w:sz w:val="24"/>
          <w:szCs w:val="24"/>
        </w:rPr>
        <w:t xml:space="preserve">Bāzes likmes </w:t>
      </w:r>
      <w:r w:rsidR="00236139">
        <w:rPr>
          <w:rFonts w:ascii="Times New Roman" w:hAnsi="Times New Roman"/>
          <w:sz w:val="24"/>
          <w:szCs w:val="24"/>
        </w:rPr>
        <w:t xml:space="preserve">2012.gada pēdējos mēnešos </w:t>
      </w:r>
      <w:r>
        <w:rPr>
          <w:rFonts w:ascii="Times New Roman" w:hAnsi="Times New Roman"/>
          <w:sz w:val="24"/>
          <w:szCs w:val="24"/>
        </w:rPr>
        <w:t>atra</w:t>
      </w:r>
      <w:r w:rsidRPr="00E935E3">
        <w:rPr>
          <w:rFonts w:ascii="Times New Roman" w:hAnsi="Times New Roman"/>
          <w:sz w:val="24"/>
          <w:szCs w:val="24"/>
        </w:rPr>
        <w:t>dās rekordzemos līmeņos.</w:t>
      </w:r>
      <w:r w:rsidRPr="00D67073">
        <w:rPr>
          <w:rFonts w:ascii="Times New Roman" w:hAnsi="Times New Roman"/>
          <w:b/>
          <w:sz w:val="24"/>
          <w:szCs w:val="24"/>
        </w:rPr>
        <w:t xml:space="preserve"> </w:t>
      </w:r>
      <w:r w:rsidRPr="00D67073">
        <w:rPr>
          <w:rFonts w:ascii="Times New Roman" w:hAnsi="Times New Roman"/>
          <w:sz w:val="24"/>
          <w:szCs w:val="24"/>
        </w:rPr>
        <w:t xml:space="preserve">ASV </w:t>
      </w:r>
      <w:proofErr w:type="spellStart"/>
      <w:r w:rsidRPr="00D67073">
        <w:rPr>
          <w:rFonts w:ascii="Times New Roman" w:hAnsi="Times New Roman"/>
          <w:sz w:val="24"/>
          <w:szCs w:val="24"/>
        </w:rPr>
        <w:t>Fed</w:t>
      </w:r>
      <w:proofErr w:type="spellEnd"/>
      <w:r w:rsidRPr="00D67073">
        <w:rPr>
          <w:rFonts w:ascii="Times New Roman" w:hAnsi="Times New Roman"/>
          <w:sz w:val="24"/>
          <w:szCs w:val="24"/>
        </w:rPr>
        <w:t xml:space="preserve"> bāzes procentu likmi plāno</w:t>
      </w:r>
      <w:r>
        <w:rPr>
          <w:rFonts w:ascii="Times New Roman" w:hAnsi="Times New Roman"/>
          <w:sz w:val="24"/>
          <w:szCs w:val="24"/>
        </w:rPr>
        <w:t>ja</w:t>
      </w:r>
      <w:r w:rsidRPr="00D67073">
        <w:rPr>
          <w:rFonts w:ascii="Times New Roman" w:hAnsi="Times New Roman"/>
          <w:sz w:val="24"/>
          <w:szCs w:val="24"/>
        </w:rPr>
        <w:t xml:space="preserve"> saglabāt 0%-0,25% līmenī vismaz līdz 2015.gada vidum. </w:t>
      </w:r>
      <w:r w:rsidRPr="00D67073">
        <w:rPr>
          <w:rFonts w:ascii="Times New Roman" w:hAnsi="Times New Roman"/>
          <w:sz w:val="24"/>
          <w:szCs w:val="24"/>
        </w:rPr>
        <w:lastRenderedPageBreak/>
        <w:t xml:space="preserve">Arī kopējās tirgus prognozes </w:t>
      </w:r>
      <w:r>
        <w:rPr>
          <w:rFonts w:ascii="Times New Roman" w:hAnsi="Times New Roman"/>
          <w:sz w:val="24"/>
          <w:szCs w:val="24"/>
        </w:rPr>
        <w:t>paredzēja</w:t>
      </w:r>
      <w:r w:rsidRPr="00D67073">
        <w:rPr>
          <w:rFonts w:ascii="Times New Roman" w:hAnsi="Times New Roman"/>
          <w:sz w:val="24"/>
          <w:szCs w:val="24"/>
        </w:rPr>
        <w:t>, ka ECB refinansēšanas likme saglabāsies zemajos līmeņos arī nākamā gada laikā</w:t>
      </w:r>
      <w:r w:rsidR="00996D48">
        <w:rPr>
          <w:rFonts w:ascii="Times New Roman" w:hAnsi="Times New Roman"/>
          <w:sz w:val="24"/>
          <w:szCs w:val="24"/>
        </w:rPr>
        <w:t xml:space="preserve"> (</w:t>
      </w:r>
      <w:proofErr w:type="spellStart"/>
      <w:r w:rsidR="00996D48">
        <w:rPr>
          <w:rFonts w:ascii="Times New Roman" w:hAnsi="Times New Roman"/>
          <w:sz w:val="24"/>
          <w:szCs w:val="24"/>
        </w:rPr>
        <w:t>skat</w:t>
      </w:r>
      <w:proofErr w:type="spellEnd"/>
      <w:r w:rsidR="00996D48">
        <w:rPr>
          <w:rFonts w:ascii="Times New Roman" w:hAnsi="Times New Roman"/>
          <w:sz w:val="24"/>
          <w:szCs w:val="24"/>
        </w:rPr>
        <w:t>. 6.att.).</w:t>
      </w:r>
    </w:p>
    <w:p w:rsidR="00996D48" w:rsidRPr="00996D48" w:rsidRDefault="00996D48" w:rsidP="00996D48">
      <w:pPr>
        <w:spacing w:after="120"/>
        <w:ind w:left="284"/>
        <w:jc w:val="center"/>
      </w:pPr>
      <w:r>
        <w:rPr>
          <w:noProof/>
        </w:rPr>
        <w:drawing>
          <wp:inline distT="0" distB="0" distL="0" distR="0" wp14:anchorId="096242A2" wp14:editId="19A305B7">
            <wp:extent cx="4776826" cy="2400211"/>
            <wp:effectExtent l="0" t="0" r="508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8791" cy="2401198"/>
                    </a:xfrm>
                    <a:prstGeom prst="rect">
                      <a:avLst/>
                    </a:prstGeom>
                    <a:noFill/>
                    <a:ln>
                      <a:noFill/>
                    </a:ln>
                  </pic:spPr>
                </pic:pic>
              </a:graphicData>
            </a:graphic>
          </wp:inline>
        </w:drawing>
      </w:r>
    </w:p>
    <w:p w:rsidR="00996D48" w:rsidRPr="00996D48" w:rsidRDefault="00996D48" w:rsidP="00996D48">
      <w:pPr>
        <w:pStyle w:val="ListParagraph"/>
        <w:spacing w:after="120"/>
        <w:ind w:left="0"/>
        <w:jc w:val="center"/>
        <w:rPr>
          <w:rFonts w:ascii="Times New Roman" w:hAnsi="Times New Roman"/>
          <w:b/>
          <w:sz w:val="24"/>
          <w:szCs w:val="24"/>
        </w:rPr>
      </w:pPr>
      <w:r w:rsidRPr="00996D48">
        <w:rPr>
          <w:rFonts w:ascii="Times New Roman" w:hAnsi="Times New Roman"/>
        </w:rPr>
        <w:t>6.attēls</w:t>
      </w:r>
      <w:r w:rsidRPr="00996D48">
        <w:rPr>
          <w:rFonts w:ascii="Times New Roman" w:hAnsi="Times New Roman"/>
          <w:sz w:val="24"/>
          <w:szCs w:val="24"/>
        </w:rPr>
        <w:t xml:space="preserve">. </w:t>
      </w:r>
      <w:r w:rsidRPr="00996D48">
        <w:rPr>
          <w:rFonts w:ascii="Times New Roman" w:hAnsi="Times New Roman"/>
          <w:b/>
          <w:sz w:val="24"/>
          <w:szCs w:val="24"/>
        </w:rPr>
        <w:t xml:space="preserve">ECB un ASV </w:t>
      </w:r>
      <w:proofErr w:type="spellStart"/>
      <w:r w:rsidRPr="00996D48">
        <w:rPr>
          <w:rFonts w:ascii="Times New Roman" w:hAnsi="Times New Roman"/>
          <w:b/>
          <w:sz w:val="24"/>
          <w:szCs w:val="24"/>
        </w:rPr>
        <w:t>Fed</w:t>
      </w:r>
      <w:proofErr w:type="spellEnd"/>
      <w:r w:rsidRPr="00996D48">
        <w:rPr>
          <w:rFonts w:ascii="Times New Roman" w:hAnsi="Times New Roman"/>
          <w:b/>
          <w:sz w:val="24"/>
          <w:szCs w:val="24"/>
        </w:rPr>
        <w:t xml:space="preserve"> bāzes likmes</w:t>
      </w:r>
    </w:p>
    <w:p w:rsidR="004F3FAA" w:rsidRDefault="004F3FAA" w:rsidP="004F3FAA">
      <w:pPr>
        <w:ind w:firstLine="709"/>
        <w:jc w:val="both"/>
        <w:rPr>
          <w:rFonts w:eastAsia="Calibri"/>
          <w:szCs w:val="22"/>
        </w:rPr>
      </w:pPr>
      <w:r w:rsidRPr="00BA2817">
        <w:rPr>
          <w:rFonts w:eastAsia="Calibri"/>
          <w:szCs w:val="22"/>
        </w:rPr>
        <w:t xml:space="preserve">2012.gada </w:t>
      </w:r>
      <w:r>
        <w:rPr>
          <w:rFonts w:eastAsia="Calibri"/>
          <w:szCs w:val="22"/>
        </w:rPr>
        <w:t>pēdējos mēnešos</w:t>
      </w:r>
      <w:r w:rsidRPr="00BA2817">
        <w:rPr>
          <w:rFonts w:eastAsia="Calibri"/>
          <w:szCs w:val="22"/>
        </w:rPr>
        <w:t xml:space="preserve"> situācija attīstījās tikai pozitīvāk un līdz 2012.gada beigām bāzes likmē</w:t>
      </w:r>
      <w:r w:rsidR="00996D48">
        <w:rPr>
          <w:rFonts w:eastAsia="Calibri"/>
          <w:szCs w:val="22"/>
        </w:rPr>
        <w:t>s</w:t>
      </w:r>
      <w:r w:rsidRPr="00BA2817">
        <w:rPr>
          <w:rFonts w:eastAsia="Calibri"/>
          <w:szCs w:val="22"/>
        </w:rPr>
        <w:t xml:space="preserve"> samazinājās vēl zemāk līdz</w:t>
      </w:r>
      <w:r>
        <w:rPr>
          <w:rFonts w:eastAsia="Calibri"/>
          <w:szCs w:val="22"/>
        </w:rPr>
        <w:t xml:space="preserve"> vēsturiski zemākajiem līmeņiem</w:t>
      </w:r>
      <w:r w:rsidR="00236139">
        <w:rPr>
          <w:rFonts w:eastAsia="Calibri"/>
          <w:szCs w:val="22"/>
        </w:rPr>
        <w:t>, kā arī</w:t>
      </w:r>
      <w:r>
        <w:rPr>
          <w:rFonts w:eastAsia="Calibri"/>
          <w:szCs w:val="22"/>
        </w:rPr>
        <w:t xml:space="preserve"> </w:t>
      </w:r>
      <w:r w:rsidR="00236139" w:rsidRPr="00996D48">
        <w:rPr>
          <w:rFonts w:eastAsia="Calibri"/>
          <w:szCs w:val="22"/>
        </w:rPr>
        <w:t xml:space="preserve">samazinājās </w:t>
      </w:r>
      <w:r>
        <w:rPr>
          <w:rFonts w:eastAsia="Calibri"/>
          <w:szCs w:val="22"/>
        </w:rPr>
        <w:t xml:space="preserve">riski, ko var izteikt CDS līmeņos, </w:t>
      </w:r>
      <w:r w:rsidRPr="00996D48">
        <w:rPr>
          <w:rFonts w:eastAsia="Calibri"/>
          <w:szCs w:val="22"/>
        </w:rPr>
        <w:t>(</w:t>
      </w:r>
      <w:proofErr w:type="spellStart"/>
      <w:r w:rsidRPr="00996D48">
        <w:rPr>
          <w:rFonts w:eastAsia="Calibri"/>
          <w:szCs w:val="22"/>
        </w:rPr>
        <w:t>sk</w:t>
      </w:r>
      <w:r w:rsidR="00996D48" w:rsidRPr="00996D48">
        <w:rPr>
          <w:rFonts w:eastAsia="Calibri"/>
          <w:szCs w:val="22"/>
        </w:rPr>
        <w:t>at</w:t>
      </w:r>
      <w:proofErr w:type="spellEnd"/>
      <w:r w:rsidRPr="00996D48">
        <w:rPr>
          <w:rFonts w:eastAsia="Calibri"/>
          <w:szCs w:val="22"/>
        </w:rPr>
        <w:t xml:space="preserve">. </w:t>
      </w:r>
      <w:r w:rsidR="00996D48" w:rsidRPr="00996D48">
        <w:rPr>
          <w:rFonts w:eastAsia="Calibri"/>
          <w:szCs w:val="22"/>
        </w:rPr>
        <w:t>7.</w:t>
      </w:r>
      <w:r w:rsidRPr="00996D48">
        <w:rPr>
          <w:rFonts w:eastAsia="Calibri"/>
          <w:szCs w:val="22"/>
        </w:rPr>
        <w:t>att</w:t>
      </w:r>
      <w:r w:rsidR="00996D48" w:rsidRPr="00996D48">
        <w:rPr>
          <w:rFonts w:eastAsia="Calibri"/>
          <w:szCs w:val="22"/>
        </w:rPr>
        <w:t>.</w:t>
      </w:r>
      <w:r w:rsidRPr="00996D48">
        <w:rPr>
          <w:rFonts w:eastAsia="Calibri"/>
          <w:szCs w:val="22"/>
        </w:rPr>
        <w:t xml:space="preserve"> un </w:t>
      </w:r>
      <w:r w:rsidR="00996D48" w:rsidRPr="00996D48">
        <w:rPr>
          <w:rFonts w:eastAsia="Calibri"/>
          <w:szCs w:val="22"/>
        </w:rPr>
        <w:t>8.</w:t>
      </w:r>
      <w:r w:rsidRPr="00996D48">
        <w:rPr>
          <w:rFonts w:eastAsia="Calibri"/>
          <w:szCs w:val="22"/>
        </w:rPr>
        <w:t>att</w:t>
      </w:r>
      <w:r w:rsidR="00996D48" w:rsidRPr="00996D48">
        <w:rPr>
          <w:rFonts w:eastAsia="Calibri"/>
          <w:szCs w:val="22"/>
        </w:rPr>
        <w:t>.</w:t>
      </w:r>
      <w:r w:rsidRPr="00996D48">
        <w:rPr>
          <w:rFonts w:eastAsia="Calibri"/>
          <w:szCs w:val="22"/>
        </w:rPr>
        <w:t>)</w:t>
      </w:r>
      <w:r w:rsidR="00996D48" w:rsidRPr="00996D48">
        <w:rPr>
          <w:rFonts w:eastAsia="Calibri"/>
          <w:szCs w:val="22"/>
        </w:rPr>
        <w:t>.</w:t>
      </w:r>
    </w:p>
    <w:p w:rsidR="00996D48" w:rsidRDefault="00996D48" w:rsidP="00996D48">
      <w:pPr>
        <w:jc w:val="center"/>
        <w:rPr>
          <w:rFonts w:eastAsia="Calibri"/>
          <w:szCs w:val="22"/>
        </w:rPr>
      </w:pPr>
      <w:r>
        <w:rPr>
          <w:rFonts w:eastAsia="Calibri"/>
          <w:noProof/>
          <w:szCs w:val="22"/>
        </w:rPr>
        <w:drawing>
          <wp:inline distT="0" distB="0" distL="0" distR="0" wp14:anchorId="791BB0B6" wp14:editId="365728FC">
            <wp:extent cx="4171950" cy="2148536"/>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4124" cy="2154806"/>
                    </a:xfrm>
                    <a:prstGeom prst="rect">
                      <a:avLst/>
                    </a:prstGeom>
                    <a:noFill/>
                  </pic:spPr>
                </pic:pic>
              </a:graphicData>
            </a:graphic>
          </wp:inline>
        </w:drawing>
      </w:r>
    </w:p>
    <w:p w:rsidR="00996D48" w:rsidRDefault="00996D48" w:rsidP="00996D48">
      <w:pPr>
        <w:spacing w:before="120" w:after="120"/>
        <w:jc w:val="center"/>
        <w:rPr>
          <w:rFonts w:eastAsia="Calibri"/>
          <w:b/>
          <w:szCs w:val="22"/>
        </w:rPr>
      </w:pPr>
      <w:r w:rsidRPr="00996D48">
        <w:rPr>
          <w:rFonts w:eastAsia="Calibri"/>
          <w:sz w:val="22"/>
          <w:szCs w:val="22"/>
        </w:rPr>
        <w:t>7.attēls.</w:t>
      </w:r>
      <w:r>
        <w:rPr>
          <w:rFonts w:eastAsia="Calibri"/>
          <w:szCs w:val="22"/>
        </w:rPr>
        <w:t xml:space="preserve"> </w:t>
      </w:r>
      <w:r w:rsidRPr="00996D48">
        <w:rPr>
          <w:rFonts w:eastAsia="Calibri"/>
          <w:b/>
          <w:szCs w:val="22"/>
        </w:rPr>
        <w:t>5 gadu USD mijmaiņas (SWAP) likme</w:t>
      </w:r>
    </w:p>
    <w:p w:rsidR="00996D48" w:rsidRDefault="00996D48" w:rsidP="00996D48">
      <w:pPr>
        <w:jc w:val="center"/>
        <w:rPr>
          <w:rFonts w:eastAsia="Calibri"/>
          <w:szCs w:val="22"/>
        </w:rPr>
      </w:pPr>
      <w:r>
        <w:rPr>
          <w:rFonts w:eastAsia="Calibri"/>
          <w:noProof/>
          <w:szCs w:val="22"/>
        </w:rPr>
        <w:drawing>
          <wp:inline distT="0" distB="0" distL="0" distR="0" wp14:anchorId="2FD051DA" wp14:editId="65E0F1BC">
            <wp:extent cx="3949969" cy="2412562"/>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58584" cy="2417824"/>
                    </a:xfrm>
                    <a:prstGeom prst="rect">
                      <a:avLst/>
                    </a:prstGeom>
                    <a:noFill/>
                  </pic:spPr>
                </pic:pic>
              </a:graphicData>
            </a:graphic>
          </wp:inline>
        </w:drawing>
      </w:r>
    </w:p>
    <w:p w:rsidR="00996D48" w:rsidRPr="00996D48" w:rsidRDefault="00996D48" w:rsidP="00996D48">
      <w:pPr>
        <w:jc w:val="center"/>
        <w:rPr>
          <w:rFonts w:eastAsia="Calibri"/>
          <w:b/>
          <w:szCs w:val="22"/>
        </w:rPr>
      </w:pPr>
      <w:r w:rsidRPr="00996D48">
        <w:rPr>
          <w:rFonts w:eastAsia="Calibri"/>
          <w:sz w:val="22"/>
          <w:szCs w:val="22"/>
        </w:rPr>
        <w:t>8.attēls</w:t>
      </w:r>
      <w:r>
        <w:rPr>
          <w:rFonts w:eastAsia="Calibri"/>
          <w:szCs w:val="22"/>
        </w:rPr>
        <w:t xml:space="preserve">. </w:t>
      </w:r>
      <w:r w:rsidRPr="00996D48">
        <w:rPr>
          <w:rFonts w:eastAsia="Calibri"/>
          <w:b/>
          <w:szCs w:val="22"/>
        </w:rPr>
        <w:t>Latvijas un citu ES valstu 5 gadu CDS attīstība</w:t>
      </w:r>
    </w:p>
    <w:p w:rsidR="004F3FAA" w:rsidRPr="009C4E7F" w:rsidRDefault="004F3FAA" w:rsidP="004F3FAA">
      <w:pPr>
        <w:ind w:firstLine="720"/>
        <w:jc w:val="both"/>
        <w:rPr>
          <w:rFonts w:eastAsia="Calibri"/>
          <w:szCs w:val="22"/>
        </w:rPr>
      </w:pPr>
      <w:r>
        <w:rPr>
          <w:rFonts w:eastAsia="Calibri"/>
          <w:szCs w:val="22"/>
        </w:rPr>
        <w:lastRenderedPageBreak/>
        <w:t xml:space="preserve">Monetāro institūciju lēmumi par papildu līdzekļu nodrošināšanu finanšu sistēmā un to ietekmi uz finanšu tirgu dalībnieku rīcību nav </w:t>
      </w:r>
      <w:r w:rsidR="009F1EAC">
        <w:rPr>
          <w:rFonts w:eastAsia="Calibri"/>
          <w:szCs w:val="22"/>
        </w:rPr>
        <w:t xml:space="preserve">iespējams </w:t>
      </w:r>
      <w:r>
        <w:rPr>
          <w:rFonts w:eastAsia="Calibri"/>
          <w:szCs w:val="22"/>
        </w:rPr>
        <w:t>iepriekš plāno</w:t>
      </w:r>
      <w:r w:rsidR="009F1EAC">
        <w:rPr>
          <w:rFonts w:eastAsia="Calibri"/>
          <w:szCs w:val="22"/>
        </w:rPr>
        <w:t>t</w:t>
      </w:r>
      <w:r>
        <w:rPr>
          <w:rFonts w:eastAsia="Calibri"/>
          <w:szCs w:val="22"/>
        </w:rPr>
        <w:t xml:space="preserve"> vai prognozē</w:t>
      </w:r>
      <w:r w:rsidR="009F1EAC">
        <w:rPr>
          <w:rFonts w:eastAsia="Calibri"/>
          <w:szCs w:val="22"/>
        </w:rPr>
        <w:t>t.</w:t>
      </w:r>
      <w:r>
        <w:rPr>
          <w:rFonts w:eastAsia="Calibri"/>
          <w:szCs w:val="22"/>
        </w:rPr>
        <w:t xml:space="preserve"> </w:t>
      </w:r>
      <w:r w:rsidR="009F1EAC">
        <w:rPr>
          <w:rFonts w:eastAsia="Calibri"/>
          <w:szCs w:val="22"/>
        </w:rPr>
        <w:t>A</w:t>
      </w:r>
      <w:r>
        <w:rPr>
          <w:rFonts w:eastAsia="Calibri"/>
          <w:szCs w:val="22"/>
        </w:rPr>
        <w:t xml:space="preserve">ttiecīgi </w:t>
      </w:r>
      <w:r w:rsidR="009F1EAC">
        <w:rPr>
          <w:rFonts w:eastAsia="Calibri"/>
          <w:szCs w:val="22"/>
        </w:rPr>
        <w:t xml:space="preserve">nav iespējams </w:t>
      </w:r>
      <w:r>
        <w:rPr>
          <w:rFonts w:eastAsia="Calibri"/>
          <w:szCs w:val="22"/>
        </w:rPr>
        <w:t xml:space="preserve">arī </w:t>
      </w:r>
      <w:r w:rsidR="009F1EAC">
        <w:rPr>
          <w:rFonts w:eastAsia="Calibri"/>
          <w:szCs w:val="22"/>
        </w:rPr>
        <w:t>paredzēt,</w:t>
      </w:r>
      <w:r>
        <w:rPr>
          <w:rFonts w:eastAsia="Calibri"/>
          <w:szCs w:val="22"/>
        </w:rPr>
        <w:t xml:space="preserve"> cik lielā mērā un cik ilgā laikā </w:t>
      </w:r>
      <w:r w:rsidR="009F1EAC">
        <w:rPr>
          <w:rFonts w:eastAsia="Calibri"/>
          <w:szCs w:val="22"/>
        </w:rPr>
        <w:t>šie lēmumi</w:t>
      </w:r>
      <w:r>
        <w:rPr>
          <w:rFonts w:eastAsia="Calibri"/>
          <w:szCs w:val="22"/>
        </w:rPr>
        <w:t xml:space="preserve"> ietekmē</w:t>
      </w:r>
      <w:r w:rsidR="009F1EAC">
        <w:rPr>
          <w:rFonts w:eastAsia="Calibri"/>
          <w:szCs w:val="22"/>
        </w:rPr>
        <w:t>s</w:t>
      </w:r>
      <w:r>
        <w:rPr>
          <w:rFonts w:eastAsia="Calibri"/>
          <w:szCs w:val="22"/>
        </w:rPr>
        <w:t xml:space="preserve"> bāzes likmju samazinājumu. </w:t>
      </w:r>
      <w:r w:rsidR="009F1EAC">
        <w:rPr>
          <w:rFonts w:eastAsia="Calibri"/>
          <w:szCs w:val="22"/>
        </w:rPr>
        <w:t>F</w:t>
      </w:r>
      <w:r>
        <w:rPr>
          <w:rFonts w:eastAsia="Calibri"/>
          <w:szCs w:val="22"/>
        </w:rPr>
        <w:t>aktiskā</w:t>
      </w:r>
      <w:r w:rsidR="009F1EAC">
        <w:rPr>
          <w:rFonts w:eastAsia="Calibri"/>
          <w:szCs w:val="22"/>
        </w:rPr>
        <w:t>s</w:t>
      </w:r>
      <w:r>
        <w:rPr>
          <w:rFonts w:eastAsia="Calibri"/>
          <w:szCs w:val="22"/>
        </w:rPr>
        <w:t xml:space="preserve"> </w:t>
      </w:r>
      <w:r w:rsidR="009F1EAC">
        <w:rPr>
          <w:rFonts w:eastAsia="Calibri"/>
          <w:szCs w:val="22"/>
        </w:rPr>
        <w:t xml:space="preserve">finanšu tirgus </w:t>
      </w:r>
      <w:r>
        <w:rPr>
          <w:rFonts w:eastAsia="Calibri"/>
          <w:szCs w:val="22"/>
        </w:rPr>
        <w:t xml:space="preserve">situācijas analīze un </w:t>
      </w:r>
      <w:r w:rsidR="00FD49A1">
        <w:rPr>
          <w:rFonts w:eastAsia="Calibri"/>
          <w:szCs w:val="22"/>
        </w:rPr>
        <w:t xml:space="preserve">finanšu tirgus prognozes liecināja </w:t>
      </w:r>
      <w:r w:rsidR="00FD49A1" w:rsidRPr="00FD49A1">
        <w:rPr>
          <w:rFonts w:eastAsia="Calibri"/>
          <w:szCs w:val="22"/>
        </w:rPr>
        <w:t xml:space="preserve">par </w:t>
      </w:r>
      <w:r w:rsidR="00FD49A1">
        <w:rPr>
          <w:rFonts w:eastAsia="Calibri"/>
          <w:szCs w:val="22"/>
        </w:rPr>
        <w:t xml:space="preserve">finanšu tirgu bažām saistībā ar </w:t>
      </w:r>
      <w:proofErr w:type="spellStart"/>
      <w:r w:rsidR="00FD49A1" w:rsidRPr="00FD49A1">
        <w:rPr>
          <w:rFonts w:eastAsia="Calibri"/>
          <w:i/>
          <w:szCs w:val="22"/>
        </w:rPr>
        <w:t>euro</w:t>
      </w:r>
      <w:proofErr w:type="spellEnd"/>
      <w:r w:rsidR="00FD49A1" w:rsidRPr="00FD49A1">
        <w:rPr>
          <w:rFonts w:eastAsia="Calibri"/>
          <w:szCs w:val="22"/>
        </w:rPr>
        <w:t xml:space="preserve"> zonas stabilitāti un finanšu tirgus pozitīvais noskaņojums bija raksturojams kā trausls</w:t>
      </w:r>
      <w:r w:rsidR="00C7092F">
        <w:rPr>
          <w:rFonts w:eastAsia="Calibri"/>
          <w:szCs w:val="22"/>
        </w:rPr>
        <w:t>, neļaujot prognozēt krasu bāzes likmju un kredītrisku uzcenojumu kritumu nākamajos mēnešos.</w:t>
      </w:r>
      <w:r>
        <w:rPr>
          <w:rFonts w:eastAsia="Calibri"/>
          <w:szCs w:val="22"/>
        </w:rPr>
        <w:t xml:space="preserve"> </w:t>
      </w:r>
      <w:r w:rsidR="00C7092F">
        <w:rPr>
          <w:rFonts w:eastAsia="Calibri"/>
          <w:szCs w:val="22"/>
        </w:rPr>
        <w:t xml:space="preserve">Šie pieņēmumi arī tika ņemti vērā, plānojot </w:t>
      </w:r>
      <w:r w:rsidRPr="006F2CE9">
        <w:rPr>
          <w:rFonts w:eastAsia="Calibri"/>
          <w:szCs w:val="22"/>
        </w:rPr>
        <w:t xml:space="preserve">apakšprogrammas 31.02.00 “Valsts parāda vadība” izdevumus 2013.-2015.gadam </w:t>
      </w:r>
      <w:r>
        <w:rPr>
          <w:rFonts w:eastAsia="Calibri"/>
          <w:szCs w:val="22"/>
        </w:rPr>
        <w:t xml:space="preserve">saskaņā ar </w:t>
      </w:r>
      <w:r w:rsidRPr="006F2CE9">
        <w:rPr>
          <w:rFonts w:eastAsia="Calibri"/>
          <w:szCs w:val="22"/>
        </w:rPr>
        <w:t>likuma „Par valsts budžetu 2013.gadam” sagatavošanas grafiku</w:t>
      </w:r>
      <w:r>
        <w:rPr>
          <w:rFonts w:eastAsia="Calibri"/>
          <w:szCs w:val="22"/>
        </w:rPr>
        <w:t>.</w:t>
      </w:r>
    </w:p>
    <w:p w:rsidR="004F3FAA" w:rsidRPr="00CD6E64" w:rsidRDefault="004F3FAA" w:rsidP="004F3FAA">
      <w:pPr>
        <w:spacing w:before="120" w:after="120"/>
        <w:jc w:val="both"/>
        <w:rPr>
          <w:u w:val="single"/>
        </w:rPr>
      </w:pPr>
      <w:r w:rsidRPr="00CD6E64">
        <w:rPr>
          <w:u w:val="single"/>
        </w:rPr>
        <w:t>Valsts kases veiktie pasākumi</w:t>
      </w:r>
      <w:r>
        <w:rPr>
          <w:u w:val="single"/>
        </w:rPr>
        <w:t xml:space="preserve"> izdevumu samazināšanai</w:t>
      </w:r>
    </w:p>
    <w:p w:rsidR="004F3FAA" w:rsidRDefault="004F3FAA" w:rsidP="004F3FAA">
      <w:pPr>
        <w:ind w:firstLine="709"/>
        <w:jc w:val="both"/>
      </w:pPr>
      <w:r w:rsidRPr="007853A1">
        <w:t xml:space="preserve">Lai gan pēc februārī veiktās eiroobligāciju emisijas 2012.gada aizņemšanās plāns starptautiskajos finanšu tirgos bija izpildīts, 2012.gada decembrī, izmantojot īpaši labvēlīgu situāciju starptautiskajos finanšu tirgos, kā arī pozitīvas izmaiņas Latvijas kredītreitinga līmenī, </w:t>
      </w:r>
      <w:r w:rsidR="007B2CAA">
        <w:t xml:space="preserve">Valsts kase </w:t>
      </w:r>
      <w:r w:rsidRPr="007853A1">
        <w:t>pieņ</w:t>
      </w:r>
      <w:r w:rsidR="007B2CAA">
        <w:t>ēma</w:t>
      </w:r>
      <w:r w:rsidRPr="007853A1">
        <w:t xml:space="preserve"> lēmum</w:t>
      </w:r>
      <w:r w:rsidR="007B2CAA">
        <w:t>u</w:t>
      </w:r>
      <w:r w:rsidRPr="007853A1">
        <w:t xml:space="preserve"> atkārtoti atgriezties starptautiskajos finanšu tirgos ar vēl vienu obligāciju emisiju 1,25 </w:t>
      </w:r>
      <w:proofErr w:type="spellStart"/>
      <w:r w:rsidRPr="007853A1">
        <w:t>mljrd</w:t>
      </w:r>
      <w:proofErr w:type="spellEnd"/>
      <w:r w:rsidRPr="007853A1">
        <w:t>.</w:t>
      </w:r>
      <w:r>
        <w:t xml:space="preserve"> </w:t>
      </w:r>
      <w:r w:rsidRPr="007853A1">
        <w:t>ASV dolāru apmērā ar septiņu gadu dzēšanas termiņu. Šo emisiju var uzskatīt par īpaši veiksmīgu darījumu, jo tajā tika fiksēta kupona likme 2,75%, kas ir vēsturiski zemākā vērtspapīru procentu likme, kopš Latvija veic publiskus aizņēmumus starptautiskajos finanšu tirgos, un zemākā likme salīdzinājumā ar līdzīgu valstu aizņēmuma likmēm</w:t>
      </w:r>
      <w:r>
        <w:t xml:space="preserve"> atbilstošā laika </w:t>
      </w:r>
      <w:r w:rsidRPr="005A0028">
        <w:t>periodā (</w:t>
      </w:r>
      <w:proofErr w:type="spellStart"/>
      <w:r w:rsidRPr="005A0028">
        <w:t>sk</w:t>
      </w:r>
      <w:r w:rsidR="005A0028" w:rsidRPr="005A0028">
        <w:t>at</w:t>
      </w:r>
      <w:proofErr w:type="spellEnd"/>
      <w:r w:rsidRPr="005A0028">
        <w:t xml:space="preserve">. </w:t>
      </w:r>
      <w:r w:rsidR="005A0028" w:rsidRPr="005A0028">
        <w:t>9.</w:t>
      </w:r>
      <w:r w:rsidRPr="005A0028">
        <w:t>att).</w:t>
      </w:r>
    </w:p>
    <w:p w:rsidR="005A0028" w:rsidRDefault="00CB7D46" w:rsidP="005A0028">
      <w:pPr>
        <w:jc w:val="center"/>
      </w:pPr>
      <w:r>
        <w:rPr>
          <w:noProof/>
        </w:rPr>
        <w:drawing>
          <wp:inline distT="0" distB="0" distL="0" distR="0" wp14:anchorId="724E81CF">
            <wp:extent cx="4921177" cy="28319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9708" cy="2831065"/>
                    </a:xfrm>
                    <a:prstGeom prst="rect">
                      <a:avLst/>
                    </a:prstGeom>
                    <a:noFill/>
                  </pic:spPr>
                </pic:pic>
              </a:graphicData>
            </a:graphic>
          </wp:inline>
        </w:drawing>
      </w:r>
    </w:p>
    <w:p w:rsidR="004F3FAA" w:rsidRPr="005A0028" w:rsidRDefault="005A0028" w:rsidP="005A0028">
      <w:pPr>
        <w:spacing w:after="120"/>
        <w:jc w:val="center"/>
        <w:rPr>
          <w:b/>
        </w:rPr>
      </w:pPr>
      <w:r w:rsidRPr="005A0028">
        <w:rPr>
          <w:sz w:val="22"/>
        </w:rPr>
        <w:t>9.attēls</w:t>
      </w:r>
      <w:r w:rsidRPr="006D2CC9">
        <w:t xml:space="preserve">. </w:t>
      </w:r>
      <w:r w:rsidR="002E7A87" w:rsidRPr="002E7A87">
        <w:rPr>
          <w:b/>
        </w:rPr>
        <w:t>Latvijas un citu valstu ārējā aizņēmuma 5 līdz 10 gadu USD vērtspapīru fiksēta ienākuma likmes 2012.gada beigās - 2013.gada sākumā</w:t>
      </w:r>
    </w:p>
    <w:p w:rsidR="004F3FAA" w:rsidRDefault="007B2CAA" w:rsidP="004F3FAA">
      <w:pPr>
        <w:ind w:firstLine="709"/>
        <w:jc w:val="both"/>
      </w:pPr>
      <w:r>
        <w:t>Valsts kases nodrošinātā r</w:t>
      </w:r>
      <w:r w:rsidR="004F3FAA" w:rsidRPr="00E935E3">
        <w:t>esursu piesaiste ar īpaši zemu likmi</w:t>
      </w:r>
      <w:r w:rsidR="004F3FAA">
        <w:t xml:space="preserve"> šīs emisijas ietvaros apliecināja</w:t>
      </w:r>
      <w:r w:rsidR="004F3FAA" w:rsidRPr="00E935E3">
        <w:t xml:space="preserve"> ne tikai investoru augsto novērtējumu par paveikto Latvijas valsts ekonomikā iepriekšējos gados, bet arī uzticību Latvijas attīstības ilgtermiņa stratēģijai, kuras būtiskākā prioritāte </w:t>
      </w:r>
      <w:r w:rsidR="004F3FAA">
        <w:t>bija</w:t>
      </w:r>
      <w:r w:rsidR="004F3FAA" w:rsidRPr="00E935E3">
        <w:t xml:space="preserve"> pievienošanās </w:t>
      </w:r>
      <w:proofErr w:type="spellStart"/>
      <w:r w:rsidR="004F3FAA" w:rsidRPr="00E935E3">
        <w:rPr>
          <w:i/>
        </w:rPr>
        <w:t>euro</w:t>
      </w:r>
      <w:proofErr w:type="spellEnd"/>
      <w:r w:rsidR="004F3FAA" w:rsidRPr="00E935E3">
        <w:t xml:space="preserve"> zonai no 2014.gada 1.janvāra.</w:t>
      </w:r>
    </w:p>
    <w:p w:rsidR="00CA7D93" w:rsidRDefault="00CA7D93" w:rsidP="004F3FAA">
      <w:pPr>
        <w:ind w:firstLine="709"/>
        <w:jc w:val="both"/>
      </w:pPr>
      <w:r w:rsidRPr="00CA7D93">
        <w:tab/>
        <w:t xml:space="preserve">Turklāt gan 2012.gada februārī, gan decembrī </w:t>
      </w:r>
      <w:r w:rsidR="005B3B82">
        <w:t xml:space="preserve">Valsts kases organizētajās </w:t>
      </w:r>
      <w:r w:rsidRPr="00CA7D93">
        <w:t xml:space="preserve">emisijās </w:t>
      </w:r>
      <w:r w:rsidR="005B3B82">
        <w:t xml:space="preserve">tika panākts būtisks aizņemšanās stratēģijas mērķis – </w:t>
      </w:r>
      <w:r w:rsidRPr="00CA7D93">
        <w:t>Latvijas</w:t>
      </w:r>
      <w:r w:rsidR="005B3B82">
        <w:t xml:space="preserve"> </w:t>
      </w:r>
      <w:r w:rsidRPr="00CA7D93">
        <w:t>investoru bāze tika diversificēta gan no reģionālā, gan institucionālā sadalījuma, gan jaunu investoru līdzdalības un pēc kopējā investoru skaita palielināšanās darījumā</w:t>
      </w:r>
      <w:r w:rsidR="0057574E">
        <w:t xml:space="preserve"> (skat.10.att.)</w:t>
      </w:r>
      <w:r w:rsidRPr="00CA7D93">
        <w:t xml:space="preserve">. Salīdzinot ar iepriekšējām emisijām, tika apgūts lielāks investoru skaits Eiropā pēc ģeogrāfiskā izvietojuma, kā arī palielināts Āzijas investoru skaits, tādā veidā ir nodrošināta investoru diversifikācija. 2012.gada decembra emisijā samazinājās aktīvu pārvaldītāju, pensiju fondu un apdrošināšanas </w:t>
      </w:r>
      <w:r w:rsidRPr="00CA7D93">
        <w:lastRenderedPageBreak/>
        <w:t>sabiedrību īpatsvars pēc investoru tipa, kas galvenokārt ir saistīts ar augsta riska aktīvu pārvaldītāju un banku īpatsvaru palielināšanos, un vienlaikus signalizē par Latvijas vērtspapīru likviditātes paaugstināšanos</w:t>
      </w:r>
      <w:r w:rsidR="0057574E">
        <w:t xml:space="preserve"> (</w:t>
      </w:r>
      <w:proofErr w:type="spellStart"/>
      <w:r w:rsidR="0057574E">
        <w:t>skat</w:t>
      </w:r>
      <w:proofErr w:type="spellEnd"/>
      <w:r w:rsidR="0057574E">
        <w:t>. 11.att.)</w:t>
      </w:r>
      <w:r w:rsidRPr="00CA7D93">
        <w:t>.</w:t>
      </w:r>
    </w:p>
    <w:p w:rsidR="00CA7D93" w:rsidRDefault="009D1A14" w:rsidP="00CA7D93">
      <w:pPr>
        <w:jc w:val="center"/>
      </w:pPr>
      <w:r>
        <w:rPr>
          <w:noProof/>
        </w:rPr>
        <w:drawing>
          <wp:inline distT="0" distB="0" distL="0" distR="0" wp14:anchorId="18685727">
            <wp:extent cx="3430310" cy="18902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0036" cy="1895575"/>
                    </a:xfrm>
                    <a:prstGeom prst="rect">
                      <a:avLst/>
                    </a:prstGeom>
                    <a:noFill/>
                  </pic:spPr>
                </pic:pic>
              </a:graphicData>
            </a:graphic>
          </wp:inline>
        </w:drawing>
      </w:r>
    </w:p>
    <w:p w:rsidR="00CA7D93" w:rsidRDefault="00CA7D93" w:rsidP="00CA7D93">
      <w:pPr>
        <w:jc w:val="center"/>
        <w:rPr>
          <w:b/>
        </w:rPr>
      </w:pPr>
      <w:r w:rsidRPr="00CA7D93">
        <w:rPr>
          <w:sz w:val="22"/>
        </w:rPr>
        <w:t xml:space="preserve">10.attēls. </w:t>
      </w:r>
      <w:r w:rsidRPr="00CA7D93">
        <w:rPr>
          <w:b/>
        </w:rPr>
        <w:t xml:space="preserve">Investoru sadalījums pēc ģeogrāfiskā izvietojuma pēc iegādātā apjoma 2008., 2011. un 2012.gadā </w:t>
      </w:r>
    </w:p>
    <w:p w:rsidR="00CA7D93" w:rsidRDefault="009D1A14" w:rsidP="00CA7D93">
      <w:pPr>
        <w:jc w:val="center"/>
        <w:rPr>
          <w:b/>
        </w:rPr>
      </w:pPr>
      <w:r>
        <w:rPr>
          <w:b/>
          <w:noProof/>
        </w:rPr>
        <w:drawing>
          <wp:inline distT="0" distB="0" distL="0" distR="0" wp14:anchorId="75A707A3">
            <wp:extent cx="3657600" cy="20178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8372" cy="2023798"/>
                    </a:xfrm>
                    <a:prstGeom prst="rect">
                      <a:avLst/>
                    </a:prstGeom>
                    <a:noFill/>
                  </pic:spPr>
                </pic:pic>
              </a:graphicData>
            </a:graphic>
          </wp:inline>
        </w:drawing>
      </w:r>
    </w:p>
    <w:p w:rsidR="00CA7D93" w:rsidRDefault="00CA7D93" w:rsidP="00CA7D93">
      <w:pPr>
        <w:jc w:val="center"/>
        <w:rPr>
          <w:b/>
        </w:rPr>
      </w:pPr>
      <w:r w:rsidRPr="00CA7D93">
        <w:rPr>
          <w:sz w:val="22"/>
        </w:rPr>
        <w:t>11.attēls.</w:t>
      </w:r>
      <w:r w:rsidRPr="00CA7D93">
        <w:rPr>
          <w:b/>
          <w:sz w:val="22"/>
        </w:rPr>
        <w:t xml:space="preserve"> </w:t>
      </w:r>
      <w:r w:rsidRPr="00CA7D93">
        <w:rPr>
          <w:b/>
        </w:rPr>
        <w:t>Investoru sadalījums pēc tā tipa pēc iegādātā apjoma 2008., 2011. un 2012.gadā</w:t>
      </w:r>
    </w:p>
    <w:p w:rsidR="00CA7D93" w:rsidRPr="00CA7D93" w:rsidRDefault="00CA7D93" w:rsidP="00CA7D93">
      <w:pPr>
        <w:jc w:val="center"/>
        <w:rPr>
          <w:b/>
        </w:rPr>
      </w:pPr>
    </w:p>
    <w:p w:rsidR="00CA7D93" w:rsidRDefault="00CA7D93" w:rsidP="004F3FAA">
      <w:pPr>
        <w:ind w:firstLine="567"/>
        <w:jc w:val="both"/>
      </w:pPr>
      <w:r w:rsidRPr="00CA7D93">
        <w:tab/>
        <w:t xml:space="preserve">Decembrī salīdzinājumā ar februāra emisiju pieauga investoru skaits, palielinot kopējo pieprasījumu, kā arī fakts, ka lielākie Latvijas vērtspapīru pircēji 2012.gada decembra emisijā jau iepriekšējo emisiju ietvaros bija tikušies ar Latvijas delegācijām norādīja uz to, ka investori bija pietiekami informēti par ekonomisko, politisko situāciju Latvijā no Valsts kases sagatavotajiem materiāliem, kā arī no banku un reitingu aģentūru analītiskajiem materiāliem. Tas liecina, ka </w:t>
      </w:r>
      <w:r w:rsidR="007B2CAA">
        <w:t xml:space="preserve">Valsts kase </w:t>
      </w:r>
      <w:r w:rsidRPr="00CA7D93">
        <w:t xml:space="preserve">ir </w:t>
      </w:r>
      <w:r w:rsidR="007B2CAA">
        <w:t>nodrošinājusi</w:t>
      </w:r>
      <w:r w:rsidRPr="00CA7D93">
        <w:t xml:space="preserve"> efektīv</w:t>
      </w:r>
      <w:r w:rsidR="007B2CAA">
        <w:t>u</w:t>
      </w:r>
      <w:r w:rsidRPr="00CA7D93">
        <w:t xml:space="preserve"> komunikācija ar esošajiem investoriem un to, ka tikšanās ar investoriem jāvērtē garākā termiņā. </w:t>
      </w:r>
    </w:p>
    <w:p w:rsidR="004F3FAA" w:rsidRPr="0079616B" w:rsidRDefault="005B3B82" w:rsidP="005B3B82">
      <w:pPr>
        <w:ind w:firstLine="709"/>
        <w:jc w:val="both"/>
      </w:pPr>
      <w:r>
        <w:t xml:space="preserve">Kopumā </w:t>
      </w:r>
      <w:r w:rsidR="00FD49A1">
        <w:t xml:space="preserve">Valsts kase pieņēma lēmumu </w:t>
      </w:r>
      <w:r w:rsidR="004F3FAA" w:rsidRPr="0079616B">
        <w:t>par aizņemšanos</w:t>
      </w:r>
      <w:r w:rsidR="00FD49A1">
        <w:t xml:space="preserve"> 2012.gada decembrī</w:t>
      </w:r>
      <w:r w:rsidR="004F3FAA" w:rsidRPr="0079616B">
        <w:t>, ņemot vērā šādus faktorus:</w:t>
      </w:r>
    </w:p>
    <w:p w:rsidR="004F3FAA" w:rsidRPr="00E935E3" w:rsidRDefault="004F3FAA" w:rsidP="004F3FAA">
      <w:pPr>
        <w:pStyle w:val="ListParagraph"/>
        <w:numPr>
          <w:ilvl w:val="0"/>
          <w:numId w:val="33"/>
        </w:numPr>
        <w:spacing w:before="120" w:after="120"/>
        <w:jc w:val="both"/>
        <w:rPr>
          <w:rFonts w:ascii="Times New Roman" w:hAnsi="Times New Roman"/>
          <w:sz w:val="24"/>
        </w:rPr>
      </w:pPr>
      <w:r>
        <w:rPr>
          <w:rFonts w:ascii="Times New Roman" w:hAnsi="Times New Roman"/>
          <w:sz w:val="24"/>
        </w:rPr>
        <w:t>B</w:t>
      </w:r>
      <w:r w:rsidRPr="0070683B">
        <w:rPr>
          <w:rFonts w:ascii="Times New Roman" w:hAnsi="Times New Roman"/>
          <w:sz w:val="24"/>
        </w:rPr>
        <w:t>āzes likmes sasniedza savus vēsturiski zemākos līmeņus</w:t>
      </w:r>
      <w:r w:rsidR="006D2CC9">
        <w:rPr>
          <w:rFonts w:ascii="Times New Roman" w:hAnsi="Times New Roman"/>
          <w:sz w:val="24"/>
        </w:rPr>
        <w:t xml:space="preserve"> (</w:t>
      </w:r>
      <w:proofErr w:type="spellStart"/>
      <w:r w:rsidR="006D2CC9">
        <w:rPr>
          <w:rFonts w:ascii="Times New Roman" w:hAnsi="Times New Roman"/>
          <w:sz w:val="24"/>
        </w:rPr>
        <w:t>skat</w:t>
      </w:r>
      <w:proofErr w:type="spellEnd"/>
      <w:r w:rsidR="006D2CC9">
        <w:rPr>
          <w:rFonts w:ascii="Times New Roman" w:hAnsi="Times New Roman"/>
          <w:sz w:val="24"/>
        </w:rPr>
        <w:t>. 1</w:t>
      </w:r>
      <w:r w:rsidR="008D1D6C">
        <w:rPr>
          <w:rFonts w:ascii="Times New Roman" w:hAnsi="Times New Roman"/>
          <w:sz w:val="24"/>
        </w:rPr>
        <w:t>2</w:t>
      </w:r>
      <w:r w:rsidR="006D2CC9">
        <w:rPr>
          <w:rFonts w:ascii="Times New Roman" w:hAnsi="Times New Roman"/>
          <w:sz w:val="24"/>
        </w:rPr>
        <w:t>.att.)</w:t>
      </w:r>
      <w:r w:rsidRPr="0070683B">
        <w:rPr>
          <w:rFonts w:ascii="Times New Roman" w:hAnsi="Times New Roman"/>
          <w:sz w:val="24"/>
        </w:rPr>
        <w:t>, vienlaicīgi finanšu tirgos parādījās pirmās bažas, ka procentu likmes drīzumā varētu sākt</w:t>
      </w:r>
      <w:r>
        <w:rPr>
          <w:rFonts w:ascii="Times New Roman" w:hAnsi="Times New Roman"/>
          <w:sz w:val="24"/>
        </w:rPr>
        <w:t xml:space="preserve"> pieaugt, jo tik zemi līmeņi nav uzturami ilgākā termiņā, kas arī vēlāk apstiprinājās un likme 2013.gada sākumā sāka palielināties. </w:t>
      </w:r>
      <w:r w:rsidRPr="00E935E3">
        <w:rPr>
          <w:rFonts w:ascii="Times New Roman" w:hAnsi="Times New Roman"/>
          <w:sz w:val="24"/>
          <w:szCs w:val="24"/>
        </w:rPr>
        <w:t>Likmju krišanās</w:t>
      </w:r>
      <w:r>
        <w:rPr>
          <w:rFonts w:ascii="Times New Roman" w:hAnsi="Times New Roman"/>
          <w:sz w:val="24"/>
          <w:szCs w:val="24"/>
        </w:rPr>
        <w:t xml:space="preserve"> 2012.gada </w:t>
      </w:r>
      <w:r w:rsidR="005B3B82">
        <w:rPr>
          <w:rFonts w:ascii="Times New Roman" w:hAnsi="Times New Roman"/>
          <w:sz w:val="24"/>
          <w:szCs w:val="24"/>
        </w:rPr>
        <w:t>nobeigumā</w:t>
      </w:r>
      <w:r w:rsidRPr="00E935E3">
        <w:rPr>
          <w:rFonts w:ascii="Times New Roman" w:hAnsi="Times New Roman"/>
          <w:sz w:val="24"/>
          <w:szCs w:val="24"/>
        </w:rPr>
        <w:t xml:space="preserve"> bija izskaidrojama ar investoru interesi pēc vēl drošākiem ieguldījumiem. USD </w:t>
      </w:r>
      <w:r>
        <w:rPr>
          <w:rFonts w:ascii="Times New Roman" w:hAnsi="Times New Roman"/>
          <w:sz w:val="24"/>
          <w:szCs w:val="24"/>
        </w:rPr>
        <w:t xml:space="preserve">bāzes </w:t>
      </w:r>
      <w:r w:rsidRPr="00E935E3">
        <w:rPr>
          <w:rFonts w:ascii="Times New Roman" w:hAnsi="Times New Roman"/>
          <w:sz w:val="24"/>
          <w:szCs w:val="24"/>
        </w:rPr>
        <w:t xml:space="preserve">likme </w:t>
      </w:r>
      <w:r>
        <w:rPr>
          <w:rFonts w:ascii="Times New Roman" w:hAnsi="Times New Roman"/>
          <w:sz w:val="24"/>
          <w:szCs w:val="24"/>
        </w:rPr>
        <w:t xml:space="preserve">2012.gadā </w:t>
      </w:r>
      <w:r w:rsidRPr="00E935E3">
        <w:rPr>
          <w:rFonts w:ascii="Times New Roman" w:hAnsi="Times New Roman"/>
          <w:sz w:val="24"/>
          <w:szCs w:val="24"/>
        </w:rPr>
        <w:t xml:space="preserve">kritās pastiprinātās intereses pēc ASV valdības vērtspapīriem dēļ, savukārt EUR </w:t>
      </w:r>
      <w:r>
        <w:rPr>
          <w:rFonts w:ascii="Times New Roman" w:hAnsi="Times New Roman"/>
          <w:sz w:val="24"/>
          <w:szCs w:val="24"/>
        </w:rPr>
        <w:t xml:space="preserve">bāzes </w:t>
      </w:r>
      <w:r w:rsidRPr="00E935E3">
        <w:rPr>
          <w:rFonts w:ascii="Times New Roman" w:hAnsi="Times New Roman"/>
          <w:sz w:val="24"/>
          <w:szCs w:val="24"/>
        </w:rPr>
        <w:t>likmes kritās, jo investorus interesē</w:t>
      </w:r>
      <w:r>
        <w:rPr>
          <w:rFonts w:ascii="Times New Roman" w:hAnsi="Times New Roman"/>
          <w:sz w:val="24"/>
          <w:szCs w:val="24"/>
        </w:rPr>
        <w:t>ja</w:t>
      </w:r>
      <w:r w:rsidRPr="00E935E3">
        <w:rPr>
          <w:rFonts w:ascii="Times New Roman" w:hAnsi="Times New Roman"/>
          <w:sz w:val="24"/>
          <w:szCs w:val="24"/>
        </w:rPr>
        <w:t xml:space="preserve"> ieguldījumi droš</w:t>
      </w:r>
      <w:r>
        <w:rPr>
          <w:rFonts w:ascii="Times New Roman" w:hAnsi="Times New Roman"/>
          <w:sz w:val="24"/>
          <w:szCs w:val="24"/>
        </w:rPr>
        <w:t>ākajā</w:t>
      </w:r>
      <w:r w:rsidRPr="00E935E3">
        <w:rPr>
          <w:rFonts w:ascii="Times New Roman" w:hAnsi="Times New Roman"/>
          <w:sz w:val="24"/>
          <w:szCs w:val="24"/>
        </w:rPr>
        <w:t xml:space="preserve"> </w:t>
      </w:r>
      <w:r>
        <w:rPr>
          <w:rFonts w:ascii="Times New Roman" w:hAnsi="Times New Roman"/>
          <w:sz w:val="24"/>
          <w:szCs w:val="24"/>
        </w:rPr>
        <w:t xml:space="preserve">aktīvu klasē – </w:t>
      </w:r>
      <w:r w:rsidRPr="00E935E3">
        <w:rPr>
          <w:rFonts w:ascii="Times New Roman" w:hAnsi="Times New Roman"/>
          <w:sz w:val="24"/>
          <w:szCs w:val="24"/>
        </w:rPr>
        <w:t>Vācijas, Francijas valsts vērtspapīros.</w:t>
      </w:r>
    </w:p>
    <w:p w:rsidR="004F3FAA" w:rsidRDefault="004F3FAA" w:rsidP="004F3FAA">
      <w:pPr>
        <w:jc w:val="center"/>
        <w:rPr>
          <w:sz w:val="22"/>
        </w:rPr>
      </w:pPr>
      <w:r>
        <w:rPr>
          <w:noProof/>
        </w:rPr>
        <w:lastRenderedPageBreak/>
        <w:drawing>
          <wp:inline distT="0" distB="0" distL="0" distR="0">
            <wp:extent cx="5158740" cy="333819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8740" cy="3338195"/>
                    </a:xfrm>
                    <a:prstGeom prst="rect">
                      <a:avLst/>
                    </a:prstGeom>
                    <a:noFill/>
                    <a:ln>
                      <a:noFill/>
                    </a:ln>
                  </pic:spPr>
                </pic:pic>
              </a:graphicData>
            </a:graphic>
          </wp:inline>
        </w:drawing>
      </w:r>
    </w:p>
    <w:p w:rsidR="004F3FAA" w:rsidRDefault="006D2CC9" w:rsidP="004F3FAA">
      <w:pPr>
        <w:ind w:left="426"/>
        <w:jc w:val="center"/>
        <w:rPr>
          <w:rFonts w:eastAsia="Calibri"/>
          <w:b/>
          <w:szCs w:val="22"/>
        </w:rPr>
      </w:pPr>
      <w:r>
        <w:rPr>
          <w:sz w:val="22"/>
        </w:rPr>
        <w:t>1</w:t>
      </w:r>
      <w:r w:rsidR="008D1D6C">
        <w:rPr>
          <w:sz w:val="22"/>
        </w:rPr>
        <w:t>2</w:t>
      </w:r>
      <w:r w:rsidR="004F3FAA" w:rsidRPr="00376D70">
        <w:rPr>
          <w:sz w:val="22"/>
        </w:rPr>
        <w:t xml:space="preserve">.attēls. </w:t>
      </w:r>
      <w:r w:rsidR="004F3FAA">
        <w:rPr>
          <w:b/>
        </w:rPr>
        <w:t>5, 7 un 10 gadu USD bāzes likm</w:t>
      </w:r>
      <w:r w:rsidR="004F3FAA" w:rsidRPr="00C019B9">
        <w:rPr>
          <w:rFonts w:eastAsia="Calibri"/>
          <w:b/>
          <w:szCs w:val="22"/>
        </w:rPr>
        <w:t>ju tendences</w:t>
      </w:r>
    </w:p>
    <w:p w:rsidR="004F3FAA" w:rsidRDefault="004F3FAA" w:rsidP="004F3FAA">
      <w:pPr>
        <w:ind w:left="426"/>
        <w:jc w:val="center"/>
        <w:rPr>
          <w:rFonts w:eastAsia="Calibri"/>
          <w:szCs w:val="22"/>
        </w:rPr>
      </w:pPr>
    </w:p>
    <w:p w:rsidR="004F3FAA" w:rsidRPr="00716BAF" w:rsidRDefault="004F3FAA" w:rsidP="004F3FAA">
      <w:pPr>
        <w:pStyle w:val="ListParagraph"/>
        <w:numPr>
          <w:ilvl w:val="0"/>
          <w:numId w:val="33"/>
        </w:numPr>
        <w:spacing w:after="120"/>
        <w:jc w:val="both"/>
        <w:rPr>
          <w:rFonts w:ascii="Times New Roman" w:hAnsi="Times New Roman"/>
          <w:sz w:val="24"/>
          <w:szCs w:val="24"/>
        </w:rPr>
      </w:pPr>
      <w:r>
        <w:rPr>
          <w:rFonts w:ascii="Times New Roman" w:hAnsi="Times New Roman"/>
          <w:sz w:val="24"/>
          <w:szCs w:val="24"/>
        </w:rPr>
        <w:t>Kopš ECB 2012.gada</w:t>
      </w:r>
      <w:r w:rsidRPr="00716BAF">
        <w:rPr>
          <w:rFonts w:ascii="Times New Roman" w:hAnsi="Times New Roman"/>
          <w:sz w:val="24"/>
          <w:szCs w:val="24"/>
        </w:rPr>
        <w:t xml:space="preserve"> februārī veiktajām LTRO operācijām investoru interese par ieguldījumiem drošos vērtspapīros turpināja augt, kā arī </w:t>
      </w:r>
      <w:r>
        <w:rPr>
          <w:rFonts w:ascii="Times New Roman" w:hAnsi="Times New Roman"/>
          <w:sz w:val="24"/>
          <w:szCs w:val="24"/>
        </w:rPr>
        <w:t xml:space="preserve">bija </w:t>
      </w:r>
      <w:r w:rsidRPr="00716BAF">
        <w:rPr>
          <w:rFonts w:ascii="Times New Roman" w:hAnsi="Times New Roman"/>
          <w:sz w:val="24"/>
          <w:szCs w:val="24"/>
        </w:rPr>
        <w:t xml:space="preserve">vērojama aktīvu portfeļu ģeogrāfiskā </w:t>
      </w:r>
      <w:r>
        <w:rPr>
          <w:rFonts w:ascii="Times New Roman" w:hAnsi="Times New Roman"/>
          <w:sz w:val="24"/>
          <w:szCs w:val="24"/>
        </w:rPr>
        <w:t>pārstrukturēšanā uz ieguldījumiem</w:t>
      </w:r>
      <w:r w:rsidR="006529E6">
        <w:rPr>
          <w:rFonts w:ascii="Times New Roman" w:hAnsi="Times New Roman"/>
          <w:sz w:val="24"/>
          <w:szCs w:val="24"/>
        </w:rPr>
        <w:t xml:space="preserve"> drošākos aktīvos </w:t>
      </w:r>
      <w:proofErr w:type="spellStart"/>
      <w:r w:rsidR="006529E6" w:rsidRPr="006529E6">
        <w:rPr>
          <w:rFonts w:ascii="Times New Roman" w:hAnsi="Times New Roman"/>
          <w:i/>
          <w:sz w:val="24"/>
          <w:szCs w:val="24"/>
        </w:rPr>
        <w:t>eu</w:t>
      </w:r>
      <w:r w:rsidRPr="006529E6">
        <w:rPr>
          <w:rFonts w:ascii="Times New Roman" w:hAnsi="Times New Roman"/>
          <w:i/>
          <w:sz w:val="24"/>
          <w:szCs w:val="24"/>
        </w:rPr>
        <w:t>ro</w:t>
      </w:r>
      <w:proofErr w:type="spellEnd"/>
      <w:r w:rsidRPr="00716BAF">
        <w:rPr>
          <w:rFonts w:ascii="Times New Roman" w:hAnsi="Times New Roman"/>
          <w:sz w:val="24"/>
          <w:szCs w:val="24"/>
        </w:rPr>
        <w:t xml:space="preserve"> zonas ietvaros un ārpus tās, </w:t>
      </w:r>
      <w:proofErr w:type="spellStart"/>
      <w:r w:rsidRPr="00716BAF">
        <w:rPr>
          <w:rFonts w:ascii="Times New Roman" w:hAnsi="Times New Roman"/>
          <w:sz w:val="24"/>
          <w:szCs w:val="24"/>
        </w:rPr>
        <w:t>t.i</w:t>
      </w:r>
      <w:proofErr w:type="spellEnd"/>
      <w:r w:rsidRPr="00716BAF">
        <w:rPr>
          <w:rFonts w:ascii="Times New Roman" w:hAnsi="Times New Roman"/>
          <w:sz w:val="24"/>
          <w:szCs w:val="24"/>
        </w:rPr>
        <w:t>., vairāk uz attīstības tirgiem (</w:t>
      </w:r>
      <w:proofErr w:type="spellStart"/>
      <w:r w:rsidRPr="00716BAF">
        <w:rPr>
          <w:rFonts w:ascii="Times New Roman" w:hAnsi="Times New Roman"/>
          <w:i/>
          <w:sz w:val="24"/>
          <w:szCs w:val="24"/>
        </w:rPr>
        <w:t>emerging</w:t>
      </w:r>
      <w:proofErr w:type="spellEnd"/>
      <w:r w:rsidRPr="00716BAF">
        <w:rPr>
          <w:rFonts w:ascii="Times New Roman" w:hAnsi="Times New Roman"/>
          <w:i/>
          <w:sz w:val="24"/>
          <w:szCs w:val="24"/>
        </w:rPr>
        <w:t xml:space="preserve"> </w:t>
      </w:r>
      <w:proofErr w:type="spellStart"/>
      <w:r w:rsidRPr="00716BAF">
        <w:rPr>
          <w:rFonts w:ascii="Times New Roman" w:hAnsi="Times New Roman"/>
          <w:i/>
          <w:sz w:val="24"/>
          <w:szCs w:val="24"/>
        </w:rPr>
        <w:t>market</w:t>
      </w:r>
      <w:proofErr w:type="spellEnd"/>
      <w:r w:rsidRPr="00716BAF">
        <w:rPr>
          <w:rFonts w:ascii="Times New Roman" w:hAnsi="Times New Roman"/>
          <w:sz w:val="24"/>
          <w:szCs w:val="24"/>
        </w:rPr>
        <w:t>)</w:t>
      </w:r>
      <w:r w:rsidRPr="00716BAF">
        <w:rPr>
          <w:rFonts w:ascii="Times New Roman" w:hAnsi="Times New Roman"/>
          <w:i/>
          <w:sz w:val="24"/>
          <w:szCs w:val="24"/>
        </w:rPr>
        <w:t>,</w:t>
      </w:r>
      <w:r>
        <w:rPr>
          <w:rFonts w:ascii="Times New Roman" w:hAnsi="Times New Roman"/>
          <w:sz w:val="24"/>
          <w:szCs w:val="24"/>
        </w:rPr>
        <w:t xml:space="preserve"> kas nodrošināja</w:t>
      </w:r>
      <w:r w:rsidRPr="00716BAF">
        <w:rPr>
          <w:rFonts w:ascii="Times New Roman" w:hAnsi="Times New Roman"/>
          <w:sz w:val="24"/>
          <w:szCs w:val="24"/>
        </w:rPr>
        <w:t xml:space="preserve"> investoriem pievilcīgāku ieguldījumu ienesīgumu</w:t>
      </w:r>
      <w:r w:rsidRPr="00716BAF">
        <w:rPr>
          <w:rFonts w:ascii="Times New Roman" w:hAnsi="Times New Roman"/>
          <w:i/>
          <w:sz w:val="24"/>
          <w:szCs w:val="24"/>
        </w:rPr>
        <w:t xml:space="preserve">. </w:t>
      </w:r>
      <w:r w:rsidRPr="00716BAF">
        <w:rPr>
          <w:rFonts w:ascii="Times New Roman" w:hAnsi="Times New Roman"/>
          <w:sz w:val="24"/>
          <w:szCs w:val="24"/>
        </w:rPr>
        <w:t>Rezultātā, palielinoties pieprasījumam pēc drošiem ieguldī</w:t>
      </w:r>
      <w:r w:rsidR="005B3B82">
        <w:rPr>
          <w:rFonts w:ascii="Times New Roman" w:hAnsi="Times New Roman"/>
          <w:sz w:val="24"/>
          <w:szCs w:val="24"/>
        </w:rPr>
        <w:t xml:space="preserve">jumu instrumentiem, atsevišķu </w:t>
      </w:r>
      <w:proofErr w:type="spellStart"/>
      <w:r w:rsidR="005B3B82" w:rsidRPr="005B3B82">
        <w:rPr>
          <w:rFonts w:ascii="Times New Roman" w:hAnsi="Times New Roman"/>
          <w:i/>
          <w:sz w:val="24"/>
          <w:szCs w:val="24"/>
        </w:rPr>
        <w:t>eu</w:t>
      </w:r>
      <w:r w:rsidRPr="005B3B82">
        <w:rPr>
          <w:rFonts w:ascii="Times New Roman" w:hAnsi="Times New Roman"/>
          <w:i/>
          <w:sz w:val="24"/>
          <w:szCs w:val="24"/>
        </w:rPr>
        <w:t>ro</w:t>
      </w:r>
      <w:proofErr w:type="spellEnd"/>
      <w:r w:rsidRPr="00716BAF">
        <w:rPr>
          <w:rFonts w:ascii="Times New Roman" w:hAnsi="Times New Roman"/>
          <w:sz w:val="24"/>
          <w:szCs w:val="24"/>
        </w:rPr>
        <w:t xml:space="preserve"> un ne </w:t>
      </w:r>
      <w:proofErr w:type="spellStart"/>
      <w:r w:rsidRPr="005B3B82">
        <w:rPr>
          <w:rFonts w:ascii="Times New Roman" w:hAnsi="Times New Roman"/>
          <w:i/>
          <w:sz w:val="24"/>
          <w:szCs w:val="24"/>
        </w:rPr>
        <w:t>e</w:t>
      </w:r>
      <w:r w:rsidR="005B3B82" w:rsidRPr="005B3B82">
        <w:rPr>
          <w:rFonts w:ascii="Times New Roman" w:hAnsi="Times New Roman"/>
          <w:i/>
          <w:sz w:val="24"/>
          <w:szCs w:val="24"/>
        </w:rPr>
        <w:t>u</w:t>
      </w:r>
      <w:r w:rsidRPr="005B3B82">
        <w:rPr>
          <w:rFonts w:ascii="Times New Roman" w:hAnsi="Times New Roman"/>
          <w:i/>
          <w:sz w:val="24"/>
          <w:szCs w:val="24"/>
        </w:rPr>
        <w:t>ro</w:t>
      </w:r>
      <w:proofErr w:type="spellEnd"/>
      <w:r w:rsidRPr="00716BAF">
        <w:rPr>
          <w:rFonts w:ascii="Times New Roman" w:hAnsi="Times New Roman"/>
          <w:sz w:val="24"/>
          <w:szCs w:val="24"/>
        </w:rPr>
        <w:t xml:space="preserve"> zonas valstu vērtspapīru (līdz 2 gadiem) </w:t>
      </w:r>
      <w:r>
        <w:rPr>
          <w:rFonts w:ascii="Times New Roman" w:hAnsi="Times New Roman"/>
          <w:sz w:val="24"/>
          <w:szCs w:val="24"/>
        </w:rPr>
        <w:t>procentu likmes kļuva</w:t>
      </w:r>
      <w:r w:rsidRPr="00716BAF">
        <w:rPr>
          <w:rFonts w:ascii="Times New Roman" w:hAnsi="Times New Roman"/>
          <w:sz w:val="24"/>
          <w:szCs w:val="24"/>
        </w:rPr>
        <w:t xml:space="preserve"> pat negatīvas. Savukārt</w:t>
      </w:r>
      <w:r w:rsidR="005B3B82">
        <w:rPr>
          <w:rFonts w:ascii="Times New Roman" w:hAnsi="Times New Roman"/>
          <w:sz w:val="24"/>
          <w:szCs w:val="24"/>
        </w:rPr>
        <w:t>,</w:t>
      </w:r>
      <w:r w:rsidRPr="00716BAF">
        <w:rPr>
          <w:rFonts w:ascii="Times New Roman" w:hAnsi="Times New Roman"/>
          <w:sz w:val="24"/>
          <w:szCs w:val="24"/>
        </w:rPr>
        <w:t xml:space="preserve"> Eiropas dienvidu valstīm vērtspapīru likmju pazeminājumu būtiski ietekmēja ECB paziņojums, ka tā ir gatava veikt obligāciju uzpirkšanu bez apjoma ierobežojuma.</w:t>
      </w:r>
    </w:p>
    <w:p w:rsidR="004F3FAA" w:rsidRPr="00013D37" w:rsidRDefault="004F3FAA" w:rsidP="004F3FAA">
      <w:pPr>
        <w:pStyle w:val="ListParagraph"/>
        <w:numPr>
          <w:ilvl w:val="1"/>
          <w:numId w:val="33"/>
        </w:numPr>
        <w:spacing w:after="120"/>
        <w:ind w:left="1134" w:hanging="513"/>
        <w:jc w:val="both"/>
        <w:rPr>
          <w:rFonts w:ascii="Times New Roman" w:hAnsi="Times New Roman"/>
          <w:sz w:val="24"/>
          <w:szCs w:val="24"/>
        </w:rPr>
      </w:pPr>
      <w:r w:rsidRPr="005E0A87">
        <w:rPr>
          <w:rFonts w:ascii="Times New Roman" w:hAnsi="Times New Roman"/>
          <w:sz w:val="24"/>
          <w:szCs w:val="24"/>
        </w:rPr>
        <w:t xml:space="preserve">ECB un ES valstu vadītāju lēmumi kopumā veicināja vērtspapīru likmju līdz </w:t>
      </w:r>
      <w:r w:rsidR="00F4762B">
        <w:rPr>
          <w:rFonts w:ascii="Times New Roman" w:hAnsi="Times New Roman"/>
          <w:sz w:val="24"/>
          <w:szCs w:val="24"/>
        </w:rPr>
        <w:t>trīs</w:t>
      </w:r>
      <w:r w:rsidRPr="005E0A87">
        <w:rPr>
          <w:rFonts w:ascii="Times New Roman" w:hAnsi="Times New Roman"/>
          <w:sz w:val="24"/>
          <w:szCs w:val="24"/>
        </w:rPr>
        <w:t> gadiem pazemināšanos, kas savukārt ietekmēja arī garāka</w:t>
      </w:r>
      <w:r w:rsidRPr="00D67073">
        <w:rPr>
          <w:rFonts w:ascii="Times New Roman" w:hAnsi="Times New Roman"/>
          <w:sz w:val="24"/>
          <w:szCs w:val="24"/>
        </w:rPr>
        <w:t xml:space="preserve"> termiņa likmju </w:t>
      </w:r>
      <w:r>
        <w:rPr>
          <w:rFonts w:ascii="Times New Roman" w:hAnsi="Times New Roman"/>
          <w:sz w:val="24"/>
          <w:szCs w:val="24"/>
        </w:rPr>
        <w:t>pazeminājumu</w:t>
      </w:r>
      <w:r w:rsidRPr="00D67073">
        <w:rPr>
          <w:rFonts w:ascii="Times New Roman" w:hAnsi="Times New Roman"/>
          <w:sz w:val="24"/>
          <w:szCs w:val="24"/>
        </w:rPr>
        <w:t xml:space="preserve"> kopējā pozitīvā noskaņojuma iespaidā. Tomēr m</w:t>
      </w:r>
      <w:r>
        <w:rPr>
          <w:rFonts w:ascii="Times New Roman" w:hAnsi="Times New Roman"/>
          <w:sz w:val="24"/>
          <w:szCs w:val="24"/>
        </w:rPr>
        <w:t>akro un fiskālie riski saglabājā</w:t>
      </w:r>
      <w:r w:rsidRPr="00D67073">
        <w:rPr>
          <w:rFonts w:ascii="Times New Roman" w:hAnsi="Times New Roman"/>
          <w:sz w:val="24"/>
          <w:szCs w:val="24"/>
        </w:rPr>
        <w:t>s, kas nozīmē</w:t>
      </w:r>
      <w:r>
        <w:rPr>
          <w:rFonts w:ascii="Times New Roman" w:hAnsi="Times New Roman"/>
          <w:sz w:val="24"/>
          <w:szCs w:val="24"/>
        </w:rPr>
        <w:t>ja</w:t>
      </w:r>
      <w:r w:rsidRPr="00D67073">
        <w:rPr>
          <w:rFonts w:ascii="Times New Roman" w:hAnsi="Times New Roman"/>
          <w:sz w:val="24"/>
          <w:szCs w:val="24"/>
        </w:rPr>
        <w:t xml:space="preserve">, ka </w:t>
      </w:r>
      <w:r>
        <w:rPr>
          <w:rFonts w:ascii="Times New Roman" w:hAnsi="Times New Roman"/>
          <w:sz w:val="24"/>
          <w:szCs w:val="24"/>
        </w:rPr>
        <w:t>tika</w:t>
      </w:r>
      <w:r w:rsidRPr="00D67073">
        <w:rPr>
          <w:rFonts w:ascii="Times New Roman" w:hAnsi="Times New Roman"/>
          <w:sz w:val="24"/>
          <w:szCs w:val="24"/>
        </w:rPr>
        <w:t xml:space="preserve"> iegūts laiks turpmākai</w:t>
      </w:r>
      <w:r>
        <w:rPr>
          <w:rFonts w:ascii="Times New Roman" w:hAnsi="Times New Roman"/>
          <w:sz w:val="24"/>
          <w:szCs w:val="24"/>
        </w:rPr>
        <w:t xml:space="preserve"> rīcībai un krīzes atrisināšanai</w:t>
      </w:r>
      <w:r w:rsidRPr="00D67073">
        <w:rPr>
          <w:rFonts w:ascii="Times New Roman" w:hAnsi="Times New Roman"/>
          <w:sz w:val="24"/>
          <w:szCs w:val="24"/>
        </w:rPr>
        <w:t>.</w:t>
      </w:r>
    </w:p>
    <w:p w:rsidR="006D2CC9" w:rsidRDefault="004F3FAA" w:rsidP="004F3FAA">
      <w:pPr>
        <w:pStyle w:val="ListParagraph"/>
        <w:numPr>
          <w:ilvl w:val="1"/>
          <w:numId w:val="33"/>
        </w:numPr>
        <w:spacing w:after="120"/>
        <w:ind w:left="1170" w:hanging="513"/>
        <w:jc w:val="both"/>
        <w:rPr>
          <w:rFonts w:ascii="Times New Roman" w:hAnsi="Times New Roman"/>
          <w:sz w:val="24"/>
          <w:szCs w:val="24"/>
        </w:rPr>
      </w:pPr>
      <w:r w:rsidRPr="00D67073">
        <w:rPr>
          <w:rFonts w:ascii="Times New Roman" w:hAnsi="Times New Roman"/>
          <w:sz w:val="24"/>
          <w:szCs w:val="24"/>
        </w:rPr>
        <w:t xml:space="preserve">Pēdējo 3-4 gadu laikā tika novērots, ka </w:t>
      </w:r>
      <w:r w:rsidRPr="000B00DC">
        <w:rPr>
          <w:rFonts w:ascii="Times New Roman" w:hAnsi="Times New Roman"/>
          <w:sz w:val="24"/>
          <w:szCs w:val="24"/>
        </w:rPr>
        <w:t>investori izvēlas ļoti drošus aktīvus</w:t>
      </w:r>
      <w:r w:rsidRPr="00D67073">
        <w:rPr>
          <w:rFonts w:ascii="Times New Roman" w:hAnsi="Times New Roman"/>
          <w:sz w:val="24"/>
          <w:szCs w:val="24"/>
        </w:rPr>
        <w:t>. Lielākais pieprasījums bija pēc ASV, Vācijas, Šveices valsts obligācijām. Īsāka termiņa (līdz 2 gadiem) vērtspapīru likmes pat sasniedza negatīvus līmeņus (</w:t>
      </w:r>
      <w:proofErr w:type="spellStart"/>
      <w:r w:rsidRPr="00D67073">
        <w:rPr>
          <w:rFonts w:ascii="Times New Roman" w:hAnsi="Times New Roman"/>
          <w:sz w:val="24"/>
          <w:szCs w:val="24"/>
        </w:rPr>
        <w:t>sk</w:t>
      </w:r>
      <w:r w:rsidR="006D2CC9">
        <w:rPr>
          <w:rFonts w:ascii="Times New Roman" w:hAnsi="Times New Roman"/>
          <w:sz w:val="24"/>
          <w:szCs w:val="24"/>
        </w:rPr>
        <w:t>at</w:t>
      </w:r>
      <w:proofErr w:type="spellEnd"/>
      <w:r w:rsidRPr="00D67073">
        <w:rPr>
          <w:rFonts w:ascii="Times New Roman" w:hAnsi="Times New Roman"/>
          <w:sz w:val="24"/>
          <w:szCs w:val="24"/>
        </w:rPr>
        <w:t xml:space="preserve">. </w:t>
      </w:r>
      <w:r w:rsidR="006D2CC9">
        <w:rPr>
          <w:rFonts w:ascii="Times New Roman" w:hAnsi="Times New Roman"/>
          <w:sz w:val="24"/>
          <w:szCs w:val="24"/>
        </w:rPr>
        <w:t>1</w:t>
      </w:r>
      <w:r w:rsidR="008D1D6C">
        <w:rPr>
          <w:rFonts w:ascii="Times New Roman" w:hAnsi="Times New Roman"/>
          <w:sz w:val="24"/>
          <w:szCs w:val="24"/>
        </w:rPr>
        <w:t>3</w:t>
      </w:r>
      <w:r w:rsidRPr="00D67073">
        <w:rPr>
          <w:rFonts w:ascii="Times New Roman" w:hAnsi="Times New Roman"/>
          <w:sz w:val="24"/>
          <w:szCs w:val="24"/>
        </w:rPr>
        <w:t xml:space="preserve">.att). </w:t>
      </w:r>
      <w:r>
        <w:rPr>
          <w:rFonts w:ascii="Times New Roman" w:hAnsi="Times New Roman"/>
          <w:sz w:val="24"/>
          <w:szCs w:val="24"/>
        </w:rPr>
        <w:t xml:space="preserve">2012.gada rudenī tika </w:t>
      </w:r>
      <w:r w:rsidRPr="00D67073">
        <w:rPr>
          <w:rFonts w:ascii="Times New Roman" w:hAnsi="Times New Roman"/>
          <w:sz w:val="24"/>
          <w:szCs w:val="24"/>
        </w:rPr>
        <w:t>prognozēt</w:t>
      </w:r>
      <w:r>
        <w:rPr>
          <w:rFonts w:ascii="Times New Roman" w:hAnsi="Times New Roman"/>
          <w:sz w:val="24"/>
          <w:szCs w:val="24"/>
        </w:rPr>
        <w:t>s</w:t>
      </w:r>
      <w:r w:rsidRPr="00D67073">
        <w:rPr>
          <w:rFonts w:ascii="Times New Roman" w:hAnsi="Times New Roman"/>
          <w:sz w:val="24"/>
          <w:szCs w:val="24"/>
        </w:rPr>
        <w:t>, ka arī turpmāk pasaulē saglabāsies liels pieprasījums pēc drošiem aktīviem (</w:t>
      </w:r>
      <w:r>
        <w:rPr>
          <w:rFonts w:ascii="Times New Roman" w:hAnsi="Times New Roman"/>
          <w:sz w:val="24"/>
          <w:szCs w:val="24"/>
        </w:rPr>
        <w:t>„</w:t>
      </w:r>
      <w:proofErr w:type="spellStart"/>
      <w:r w:rsidRPr="00D67073">
        <w:rPr>
          <w:rFonts w:ascii="Times New Roman" w:hAnsi="Times New Roman"/>
          <w:i/>
          <w:sz w:val="24"/>
          <w:szCs w:val="24"/>
        </w:rPr>
        <w:t>search</w:t>
      </w:r>
      <w:proofErr w:type="spellEnd"/>
      <w:r w:rsidRPr="00D67073">
        <w:rPr>
          <w:rFonts w:ascii="Times New Roman" w:hAnsi="Times New Roman"/>
          <w:i/>
          <w:sz w:val="24"/>
          <w:szCs w:val="24"/>
        </w:rPr>
        <w:t xml:space="preserve"> </w:t>
      </w:r>
      <w:proofErr w:type="spellStart"/>
      <w:r w:rsidRPr="00D67073">
        <w:rPr>
          <w:rFonts w:ascii="Times New Roman" w:hAnsi="Times New Roman"/>
          <w:i/>
          <w:sz w:val="24"/>
          <w:szCs w:val="24"/>
        </w:rPr>
        <w:t>for</w:t>
      </w:r>
      <w:proofErr w:type="spellEnd"/>
      <w:r w:rsidRPr="00D67073">
        <w:rPr>
          <w:rFonts w:ascii="Times New Roman" w:hAnsi="Times New Roman"/>
          <w:i/>
          <w:sz w:val="24"/>
          <w:szCs w:val="24"/>
        </w:rPr>
        <w:t xml:space="preserve"> </w:t>
      </w:r>
      <w:proofErr w:type="spellStart"/>
      <w:r w:rsidRPr="00D67073">
        <w:rPr>
          <w:rFonts w:ascii="Times New Roman" w:hAnsi="Times New Roman"/>
          <w:i/>
          <w:sz w:val="24"/>
          <w:szCs w:val="24"/>
        </w:rPr>
        <w:t>safety</w:t>
      </w:r>
      <w:proofErr w:type="spellEnd"/>
      <w:r w:rsidRPr="00D67073">
        <w:rPr>
          <w:rFonts w:ascii="Times New Roman" w:hAnsi="Times New Roman"/>
          <w:sz w:val="24"/>
          <w:szCs w:val="24"/>
        </w:rPr>
        <w:t>”). Šo pieprasījumu var</w:t>
      </w:r>
      <w:r>
        <w:rPr>
          <w:rFonts w:ascii="Times New Roman" w:hAnsi="Times New Roman"/>
          <w:sz w:val="24"/>
          <w:szCs w:val="24"/>
        </w:rPr>
        <w:t>ēja</w:t>
      </w:r>
      <w:r w:rsidRPr="00D67073">
        <w:rPr>
          <w:rFonts w:ascii="Times New Roman" w:hAnsi="Times New Roman"/>
          <w:sz w:val="24"/>
          <w:szCs w:val="24"/>
        </w:rPr>
        <w:t xml:space="preserve"> palielināt jaunas regulējošā</w:t>
      </w:r>
      <w:r>
        <w:rPr>
          <w:rFonts w:ascii="Times New Roman" w:hAnsi="Times New Roman"/>
          <w:sz w:val="24"/>
          <w:szCs w:val="24"/>
        </w:rPr>
        <w:t>s</w:t>
      </w:r>
      <w:r w:rsidRPr="00D67073">
        <w:rPr>
          <w:rFonts w:ascii="Times New Roman" w:hAnsi="Times New Roman"/>
          <w:sz w:val="24"/>
          <w:szCs w:val="24"/>
        </w:rPr>
        <w:t xml:space="preserve"> prasības finanšu nozarē, piemēram, Starptautiskais Valūtas fonds (turpmāk</w:t>
      </w:r>
      <w:r>
        <w:rPr>
          <w:rFonts w:ascii="Times New Roman" w:hAnsi="Times New Roman"/>
          <w:sz w:val="24"/>
          <w:szCs w:val="24"/>
        </w:rPr>
        <w:t> </w:t>
      </w:r>
      <w:r w:rsidRPr="00D67073">
        <w:rPr>
          <w:rFonts w:ascii="Times New Roman" w:hAnsi="Times New Roman"/>
          <w:sz w:val="24"/>
          <w:szCs w:val="24"/>
        </w:rPr>
        <w:t>– SVF) prognozē</w:t>
      </w:r>
      <w:r w:rsidR="00F4762B">
        <w:rPr>
          <w:rFonts w:ascii="Times New Roman" w:hAnsi="Times New Roman"/>
          <w:sz w:val="24"/>
          <w:szCs w:val="24"/>
        </w:rPr>
        <w:t>ja</w:t>
      </w:r>
      <w:r w:rsidRPr="00D67073">
        <w:rPr>
          <w:rFonts w:ascii="Times New Roman" w:hAnsi="Times New Roman"/>
          <w:sz w:val="24"/>
          <w:szCs w:val="24"/>
        </w:rPr>
        <w:t>, ka tikai Bāzeles III ieviešana vien var palielināt pieprasījumu pēc šādiem aktīviem par 2-4 triljoniem ASV dolāru. Rezultātā tas ietekmē</w:t>
      </w:r>
      <w:r w:rsidR="00F4762B">
        <w:rPr>
          <w:rFonts w:ascii="Times New Roman" w:hAnsi="Times New Roman"/>
          <w:sz w:val="24"/>
          <w:szCs w:val="24"/>
        </w:rPr>
        <w:t>ja</w:t>
      </w:r>
      <w:r w:rsidRPr="00D67073">
        <w:rPr>
          <w:rFonts w:ascii="Times New Roman" w:hAnsi="Times New Roman"/>
          <w:sz w:val="24"/>
          <w:szCs w:val="24"/>
        </w:rPr>
        <w:t xml:space="preserve"> ienesīgumu un cenu.</w:t>
      </w:r>
    </w:p>
    <w:p w:rsidR="004F3FAA" w:rsidRPr="00D67073" w:rsidRDefault="006D2CC9" w:rsidP="006D2CC9">
      <w:pPr>
        <w:pStyle w:val="ListParagraph"/>
        <w:spacing w:after="120"/>
        <w:ind w:left="0"/>
        <w:jc w:val="center"/>
        <w:rPr>
          <w:rFonts w:ascii="Times New Roman" w:hAnsi="Times New Roman"/>
          <w:sz w:val="24"/>
          <w:szCs w:val="24"/>
        </w:rPr>
      </w:pPr>
      <w:r>
        <w:rPr>
          <w:noProof/>
        </w:rPr>
        <w:lastRenderedPageBreak/>
        <w:drawing>
          <wp:inline distT="0" distB="0" distL="0" distR="0" wp14:anchorId="6ABCB9A4" wp14:editId="652AABB5">
            <wp:extent cx="4220859" cy="3057525"/>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9083" cy="3056239"/>
                    </a:xfrm>
                    <a:prstGeom prst="rect">
                      <a:avLst/>
                    </a:prstGeom>
                    <a:noFill/>
                    <a:ln>
                      <a:noFill/>
                    </a:ln>
                  </pic:spPr>
                </pic:pic>
              </a:graphicData>
            </a:graphic>
          </wp:inline>
        </w:drawing>
      </w:r>
    </w:p>
    <w:p w:rsidR="006D2CC9" w:rsidRDefault="006D2CC9" w:rsidP="006D2CC9">
      <w:pPr>
        <w:pStyle w:val="ListParagraph"/>
        <w:spacing w:after="120"/>
        <w:ind w:left="0"/>
        <w:jc w:val="center"/>
        <w:rPr>
          <w:rFonts w:ascii="Times New Roman" w:hAnsi="Times New Roman"/>
          <w:sz w:val="24"/>
          <w:szCs w:val="24"/>
        </w:rPr>
      </w:pPr>
      <w:r w:rsidRPr="006D2CC9">
        <w:rPr>
          <w:rFonts w:ascii="Times New Roman" w:hAnsi="Times New Roman"/>
          <w:szCs w:val="24"/>
        </w:rPr>
        <w:t>1</w:t>
      </w:r>
      <w:r w:rsidR="008D1D6C">
        <w:rPr>
          <w:rFonts w:ascii="Times New Roman" w:hAnsi="Times New Roman"/>
          <w:szCs w:val="24"/>
        </w:rPr>
        <w:t>3</w:t>
      </w:r>
      <w:r w:rsidRPr="006D2CC9">
        <w:rPr>
          <w:rFonts w:ascii="Times New Roman" w:hAnsi="Times New Roman"/>
          <w:szCs w:val="24"/>
        </w:rPr>
        <w:t xml:space="preserve">.attēls. </w:t>
      </w:r>
      <w:r w:rsidRPr="006D2CC9">
        <w:rPr>
          <w:rFonts w:ascii="Times New Roman" w:hAnsi="Times New Roman"/>
          <w:b/>
          <w:sz w:val="24"/>
          <w:szCs w:val="24"/>
        </w:rPr>
        <w:t>ASV, Vācijas, Šveices 2 gadu obligāciju likmes</w:t>
      </w:r>
    </w:p>
    <w:p w:rsidR="004F3FAA" w:rsidRDefault="004F3FAA" w:rsidP="004F3FAA">
      <w:pPr>
        <w:pStyle w:val="ListParagraph"/>
        <w:numPr>
          <w:ilvl w:val="1"/>
          <w:numId w:val="33"/>
        </w:numPr>
        <w:spacing w:after="120"/>
        <w:ind w:left="1134" w:hanging="513"/>
        <w:jc w:val="both"/>
        <w:rPr>
          <w:rFonts w:ascii="Times New Roman" w:hAnsi="Times New Roman"/>
          <w:sz w:val="24"/>
          <w:szCs w:val="24"/>
        </w:rPr>
      </w:pPr>
      <w:r w:rsidRPr="000B00DC">
        <w:rPr>
          <w:rFonts w:ascii="Times New Roman" w:hAnsi="Times New Roman"/>
          <w:sz w:val="24"/>
          <w:szCs w:val="24"/>
        </w:rPr>
        <w:t>Likmju pazemin</w:t>
      </w:r>
      <w:r>
        <w:rPr>
          <w:rFonts w:ascii="Times New Roman" w:hAnsi="Times New Roman"/>
          <w:sz w:val="24"/>
          <w:szCs w:val="24"/>
        </w:rPr>
        <w:t>āša</w:t>
      </w:r>
      <w:r w:rsidRPr="000B00DC">
        <w:rPr>
          <w:rFonts w:ascii="Times New Roman" w:hAnsi="Times New Roman"/>
          <w:sz w:val="24"/>
          <w:szCs w:val="24"/>
        </w:rPr>
        <w:t>nās</w:t>
      </w:r>
      <w:r>
        <w:rPr>
          <w:rFonts w:ascii="Times New Roman" w:hAnsi="Times New Roman"/>
          <w:sz w:val="24"/>
          <w:szCs w:val="24"/>
        </w:rPr>
        <w:t xml:space="preserve"> tika</w:t>
      </w:r>
      <w:r w:rsidR="00F4762B">
        <w:rPr>
          <w:rFonts w:ascii="Times New Roman" w:hAnsi="Times New Roman"/>
          <w:sz w:val="24"/>
          <w:szCs w:val="24"/>
        </w:rPr>
        <w:t xml:space="preserve"> vērota ne tikai </w:t>
      </w:r>
      <w:proofErr w:type="spellStart"/>
      <w:r w:rsidR="00F4762B" w:rsidRPr="00F4762B">
        <w:rPr>
          <w:rFonts w:ascii="Times New Roman" w:hAnsi="Times New Roman"/>
          <w:i/>
          <w:sz w:val="24"/>
          <w:szCs w:val="24"/>
        </w:rPr>
        <w:t>eu</w:t>
      </w:r>
      <w:r w:rsidRPr="00F4762B">
        <w:rPr>
          <w:rFonts w:ascii="Times New Roman" w:hAnsi="Times New Roman"/>
          <w:i/>
          <w:sz w:val="24"/>
          <w:szCs w:val="24"/>
        </w:rPr>
        <w:t>ro</w:t>
      </w:r>
      <w:proofErr w:type="spellEnd"/>
      <w:r w:rsidRPr="000B00DC">
        <w:rPr>
          <w:rFonts w:ascii="Times New Roman" w:hAnsi="Times New Roman"/>
          <w:sz w:val="24"/>
          <w:szCs w:val="24"/>
        </w:rPr>
        <w:t xml:space="preserve"> zonas valstīm, bet arī visā pārējā Eiropā</w:t>
      </w:r>
      <w:r w:rsidRPr="00D67073">
        <w:rPr>
          <w:rFonts w:ascii="Times New Roman" w:hAnsi="Times New Roman"/>
          <w:sz w:val="24"/>
          <w:szCs w:val="24"/>
        </w:rPr>
        <w:t xml:space="preserve">, </w:t>
      </w:r>
      <w:proofErr w:type="spellStart"/>
      <w:r w:rsidRPr="00D67073">
        <w:rPr>
          <w:rFonts w:ascii="Times New Roman" w:hAnsi="Times New Roman"/>
          <w:sz w:val="24"/>
          <w:szCs w:val="24"/>
        </w:rPr>
        <w:t>t.sk</w:t>
      </w:r>
      <w:proofErr w:type="spellEnd"/>
      <w:r w:rsidRPr="00D67073">
        <w:rPr>
          <w:rFonts w:ascii="Times New Roman" w:hAnsi="Times New Roman"/>
          <w:sz w:val="24"/>
          <w:szCs w:val="24"/>
        </w:rPr>
        <w:t>. attiecībā uz Latvijas eiroobligāciju likmēm (</w:t>
      </w:r>
      <w:proofErr w:type="spellStart"/>
      <w:r w:rsidRPr="00D67073">
        <w:rPr>
          <w:rFonts w:ascii="Times New Roman" w:hAnsi="Times New Roman"/>
          <w:sz w:val="24"/>
          <w:szCs w:val="24"/>
        </w:rPr>
        <w:t>sk</w:t>
      </w:r>
      <w:r w:rsidR="006D2CC9">
        <w:rPr>
          <w:rFonts w:ascii="Times New Roman" w:hAnsi="Times New Roman"/>
          <w:sz w:val="24"/>
          <w:szCs w:val="24"/>
        </w:rPr>
        <w:t>at</w:t>
      </w:r>
      <w:proofErr w:type="spellEnd"/>
      <w:r w:rsidRPr="00D67073">
        <w:rPr>
          <w:rFonts w:ascii="Times New Roman" w:hAnsi="Times New Roman"/>
          <w:sz w:val="24"/>
          <w:szCs w:val="24"/>
        </w:rPr>
        <w:t xml:space="preserve">. </w:t>
      </w:r>
      <w:r w:rsidR="006D2CC9">
        <w:rPr>
          <w:rFonts w:ascii="Times New Roman" w:hAnsi="Times New Roman"/>
          <w:sz w:val="24"/>
          <w:szCs w:val="24"/>
        </w:rPr>
        <w:t>1</w:t>
      </w:r>
      <w:r w:rsidR="008D1D6C">
        <w:rPr>
          <w:rFonts w:ascii="Times New Roman" w:hAnsi="Times New Roman"/>
          <w:sz w:val="24"/>
          <w:szCs w:val="24"/>
        </w:rPr>
        <w:t>4</w:t>
      </w:r>
      <w:r w:rsidRPr="00D67073">
        <w:rPr>
          <w:rFonts w:ascii="Times New Roman" w:hAnsi="Times New Roman"/>
          <w:sz w:val="24"/>
          <w:szCs w:val="24"/>
        </w:rPr>
        <w:t xml:space="preserve">. un </w:t>
      </w:r>
      <w:r w:rsidR="006D2CC9">
        <w:rPr>
          <w:rFonts w:ascii="Times New Roman" w:hAnsi="Times New Roman"/>
          <w:sz w:val="24"/>
          <w:szCs w:val="24"/>
        </w:rPr>
        <w:t>1</w:t>
      </w:r>
      <w:r w:rsidR="008D1D6C">
        <w:rPr>
          <w:rFonts w:ascii="Times New Roman" w:hAnsi="Times New Roman"/>
          <w:sz w:val="24"/>
          <w:szCs w:val="24"/>
        </w:rPr>
        <w:t>5</w:t>
      </w:r>
      <w:r w:rsidRPr="00D67073">
        <w:rPr>
          <w:rFonts w:ascii="Times New Roman" w:hAnsi="Times New Roman"/>
          <w:sz w:val="24"/>
          <w:szCs w:val="24"/>
        </w:rPr>
        <w:t>.att</w:t>
      </w:r>
      <w:r w:rsidR="00087260">
        <w:rPr>
          <w:rFonts w:ascii="Times New Roman" w:hAnsi="Times New Roman"/>
          <w:sz w:val="24"/>
          <w:szCs w:val="24"/>
        </w:rPr>
        <w:t>.</w:t>
      </w:r>
      <w:r w:rsidRPr="00D67073">
        <w:rPr>
          <w:rFonts w:ascii="Times New Roman" w:hAnsi="Times New Roman"/>
          <w:sz w:val="24"/>
          <w:szCs w:val="24"/>
        </w:rPr>
        <w:t>)</w:t>
      </w:r>
      <w:r>
        <w:rPr>
          <w:rFonts w:ascii="Times New Roman" w:hAnsi="Times New Roman"/>
          <w:sz w:val="24"/>
          <w:szCs w:val="24"/>
        </w:rPr>
        <w:t>.</w:t>
      </w:r>
    </w:p>
    <w:p w:rsidR="006D2CC9" w:rsidRDefault="006D2CC9" w:rsidP="006D2CC9">
      <w:pPr>
        <w:spacing w:after="120"/>
        <w:jc w:val="center"/>
      </w:pPr>
      <w:r>
        <w:rPr>
          <w:noProof/>
        </w:rPr>
        <w:drawing>
          <wp:inline distT="0" distB="0" distL="0" distR="0" wp14:anchorId="2DFF2458" wp14:editId="3021FFD6">
            <wp:extent cx="4473180" cy="2752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69751" cy="2750615"/>
                    </a:xfrm>
                    <a:prstGeom prst="rect">
                      <a:avLst/>
                    </a:prstGeom>
                    <a:noFill/>
                    <a:ln>
                      <a:noFill/>
                    </a:ln>
                  </pic:spPr>
                </pic:pic>
              </a:graphicData>
            </a:graphic>
          </wp:inline>
        </w:drawing>
      </w:r>
    </w:p>
    <w:p w:rsidR="006D2CC9" w:rsidRDefault="006D2CC9" w:rsidP="006D2CC9">
      <w:pPr>
        <w:spacing w:before="120" w:after="120"/>
        <w:jc w:val="center"/>
        <w:rPr>
          <w:b/>
        </w:rPr>
      </w:pPr>
      <w:r w:rsidRPr="006D2CC9">
        <w:rPr>
          <w:sz w:val="22"/>
        </w:rPr>
        <w:t>1</w:t>
      </w:r>
      <w:r w:rsidR="008D1D6C">
        <w:rPr>
          <w:sz w:val="22"/>
        </w:rPr>
        <w:t>4</w:t>
      </w:r>
      <w:r w:rsidRPr="006D2CC9">
        <w:rPr>
          <w:sz w:val="22"/>
        </w:rPr>
        <w:t>.attēls</w:t>
      </w:r>
      <w:r w:rsidRPr="006D2CC9">
        <w:t xml:space="preserve">. </w:t>
      </w:r>
      <w:r w:rsidRPr="006D2CC9">
        <w:rPr>
          <w:b/>
        </w:rPr>
        <w:t>Latvijas EUR obligāciju likmes 2012.gada rudenī</w:t>
      </w:r>
    </w:p>
    <w:p w:rsidR="00F4762B" w:rsidRPr="00D67073" w:rsidRDefault="00F4762B" w:rsidP="00F4762B">
      <w:pPr>
        <w:spacing w:after="120"/>
        <w:ind w:left="1134"/>
        <w:jc w:val="both"/>
      </w:pPr>
      <w:r w:rsidRPr="00D67073">
        <w:t>Jā</w:t>
      </w:r>
      <w:r>
        <w:t>piebilst</w:t>
      </w:r>
      <w:r w:rsidRPr="00D67073">
        <w:t xml:space="preserve">, ka Latvijas obligāciju </w:t>
      </w:r>
      <w:r>
        <w:t xml:space="preserve">likmju pazeminājumu </w:t>
      </w:r>
      <w:r w:rsidRPr="00D67073">
        <w:t>papildu</w:t>
      </w:r>
      <w:r>
        <w:t>s</w:t>
      </w:r>
      <w:r w:rsidRPr="00D67073">
        <w:t xml:space="preserve"> ietekmēja arī vēl viens nozīmīgs faktors. Abas Latvijas ASV dolāros emitētās obligācijas kopš augusta </w:t>
      </w:r>
      <w:r>
        <w:t>beigām bija</w:t>
      </w:r>
      <w:r w:rsidRPr="000A22DB">
        <w:t xml:space="preserve"> iekļautas JP </w:t>
      </w:r>
      <w:proofErr w:type="spellStart"/>
      <w:r w:rsidRPr="000A22DB">
        <w:t>Morgan</w:t>
      </w:r>
      <w:proofErr w:type="spellEnd"/>
      <w:r w:rsidRPr="000A22DB">
        <w:t xml:space="preserve"> </w:t>
      </w:r>
      <w:r w:rsidRPr="000A22DB">
        <w:rPr>
          <w:i/>
        </w:rPr>
        <w:t xml:space="preserve">EMBI </w:t>
      </w:r>
      <w:proofErr w:type="spellStart"/>
      <w:r w:rsidRPr="000A22DB">
        <w:rPr>
          <w:i/>
        </w:rPr>
        <w:t>Global</w:t>
      </w:r>
      <w:proofErr w:type="spellEnd"/>
      <w:r w:rsidRPr="000A22DB">
        <w:t xml:space="preserve"> un </w:t>
      </w:r>
      <w:r w:rsidRPr="000A22DB">
        <w:rPr>
          <w:i/>
        </w:rPr>
        <w:t xml:space="preserve">EMBI </w:t>
      </w:r>
      <w:proofErr w:type="spellStart"/>
      <w:r w:rsidRPr="000A22DB">
        <w:rPr>
          <w:i/>
        </w:rPr>
        <w:t>Global</w:t>
      </w:r>
      <w:proofErr w:type="spellEnd"/>
      <w:r w:rsidRPr="000A22DB">
        <w:rPr>
          <w:i/>
        </w:rPr>
        <w:t xml:space="preserve"> </w:t>
      </w:r>
      <w:proofErr w:type="spellStart"/>
      <w:r w:rsidRPr="000A22DB">
        <w:rPr>
          <w:i/>
        </w:rPr>
        <w:t>Diversified</w:t>
      </w:r>
      <w:proofErr w:type="spellEnd"/>
      <w:r w:rsidRPr="000A22DB">
        <w:t xml:space="preserve"> indeksos. Tādējādi</w:t>
      </w:r>
      <w:r w:rsidRPr="003E5C37">
        <w:t xml:space="preserve"> vairākiem ieguldījumu fondu pārva</w:t>
      </w:r>
      <w:r>
        <w:t>ldītājiem vairs nebija</w:t>
      </w:r>
      <w:r w:rsidRPr="007B29BD">
        <w:t xml:space="preserve"> ierobežojuma iegādāties Latvijas vērtspapīrus.</w:t>
      </w:r>
      <w:r w:rsidRPr="00666107">
        <w:t xml:space="preserve"> </w:t>
      </w:r>
      <w:r w:rsidRPr="00A317D7">
        <w:t>Rezultātā papildu pieprasījum</w:t>
      </w:r>
      <w:r w:rsidRPr="006F3158">
        <w:t>s</w:t>
      </w:r>
      <w:r w:rsidRPr="000A22DB">
        <w:t xml:space="preserve"> pēc Latvijas </w:t>
      </w:r>
      <w:r>
        <w:t>eiroobligācijām</w:t>
      </w:r>
      <w:r w:rsidRPr="000A22DB">
        <w:t xml:space="preserve"> </w:t>
      </w:r>
      <w:r>
        <w:t>vēl vairāk stimulēja</w:t>
      </w:r>
      <w:r w:rsidRPr="000A22DB">
        <w:t xml:space="preserve"> lielāku likmju pazeminājumu.</w:t>
      </w:r>
    </w:p>
    <w:p w:rsidR="00F4762B" w:rsidRDefault="00F4762B" w:rsidP="006D2CC9">
      <w:pPr>
        <w:spacing w:before="120" w:after="120"/>
        <w:jc w:val="center"/>
        <w:rPr>
          <w:b/>
        </w:rPr>
      </w:pPr>
    </w:p>
    <w:p w:rsidR="006D2CC9" w:rsidRDefault="006D2CC9" w:rsidP="006D2CC9">
      <w:pPr>
        <w:spacing w:after="120"/>
        <w:jc w:val="center"/>
        <w:rPr>
          <w:b/>
        </w:rPr>
      </w:pPr>
      <w:r>
        <w:rPr>
          <w:noProof/>
        </w:rPr>
        <w:lastRenderedPageBreak/>
        <w:drawing>
          <wp:inline distT="0" distB="0" distL="0" distR="0" wp14:anchorId="1194ADEA" wp14:editId="0FE09758">
            <wp:extent cx="3695072" cy="238125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5100" cy="2381268"/>
                    </a:xfrm>
                    <a:prstGeom prst="rect">
                      <a:avLst/>
                    </a:prstGeom>
                    <a:noFill/>
                    <a:ln>
                      <a:noFill/>
                    </a:ln>
                  </pic:spPr>
                </pic:pic>
              </a:graphicData>
            </a:graphic>
          </wp:inline>
        </w:drawing>
      </w:r>
    </w:p>
    <w:p w:rsidR="006D2CC9" w:rsidRPr="006D2CC9" w:rsidRDefault="006D2CC9" w:rsidP="00FC65C1">
      <w:pPr>
        <w:spacing w:after="120"/>
        <w:jc w:val="center"/>
        <w:rPr>
          <w:b/>
        </w:rPr>
      </w:pPr>
      <w:r w:rsidRPr="006D2CC9">
        <w:rPr>
          <w:sz w:val="22"/>
        </w:rPr>
        <w:t>1</w:t>
      </w:r>
      <w:r w:rsidR="008D1D6C">
        <w:rPr>
          <w:sz w:val="22"/>
        </w:rPr>
        <w:t>5</w:t>
      </w:r>
      <w:r w:rsidRPr="006D2CC9">
        <w:rPr>
          <w:sz w:val="22"/>
        </w:rPr>
        <w:t>.attēls.</w:t>
      </w:r>
      <w:r w:rsidRPr="006D2CC9">
        <w:rPr>
          <w:b/>
          <w:sz w:val="22"/>
        </w:rPr>
        <w:t xml:space="preserve"> </w:t>
      </w:r>
      <w:r w:rsidRPr="006D2CC9">
        <w:rPr>
          <w:b/>
        </w:rPr>
        <w:t>Latvijas USD obligāciju likmes 2012.gada rudenī</w:t>
      </w:r>
    </w:p>
    <w:p w:rsidR="005457B9" w:rsidRPr="005457B9" w:rsidRDefault="004F3FAA" w:rsidP="005457B9">
      <w:pPr>
        <w:pStyle w:val="ListParagraph"/>
        <w:numPr>
          <w:ilvl w:val="1"/>
          <w:numId w:val="33"/>
        </w:numPr>
        <w:spacing w:after="120"/>
        <w:ind w:hanging="502"/>
        <w:jc w:val="both"/>
        <w:rPr>
          <w:rFonts w:ascii="Times New Roman" w:hAnsi="Times New Roman"/>
          <w:sz w:val="24"/>
          <w:szCs w:val="24"/>
        </w:rPr>
      </w:pPr>
      <w:r w:rsidRPr="00D67073">
        <w:rPr>
          <w:rFonts w:ascii="Times New Roman" w:hAnsi="Times New Roman"/>
          <w:sz w:val="24"/>
          <w:szCs w:val="24"/>
        </w:rPr>
        <w:t xml:space="preserve">Likmju </w:t>
      </w:r>
      <w:r>
        <w:rPr>
          <w:rFonts w:ascii="Times New Roman" w:hAnsi="Times New Roman"/>
          <w:sz w:val="24"/>
          <w:szCs w:val="24"/>
        </w:rPr>
        <w:t>pazemināšanās</w:t>
      </w:r>
      <w:r w:rsidRPr="00D67073">
        <w:rPr>
          <w:rFonts w:ascii="Times New Roman" w:hAnsi="Times New Roman"/>
          <w:sz w:val="24"/>
          <w:szCs w:val="24"/>
        </w:rPr>
        <w:t xml:space="preserve"> </w:t>
      </w:r>
      <w:r w:rsidRPr="000B00DC">
        <w:rPr>
          <w:rFonts w:ascii="Times New Roman" w:hAnsi="Times New Roman"/>
          <w:sz w:val="24"/>
          <w:szCs w:val="24"/>
        </w:rPr>
        <w:t xml:space="preserve">tendence attiecībā uz „drošiem aktīviem” lika investoriem meklēt papildu ienesīgumu </w:t>
      </w:r>
      <w:r w:rsidRPr="00D67073">
        <w:rPr>
          <w:rFonts w:ascii="Times New Roman" w:hAnsi="Times New Roman"/>
          <w:i/>
          <w:sz w:val="24"/>
          <w:szCs w:val="24"/>
        </w:rPr>
        <w:t>(</w:t>
      </w:r>
      <w:r>
        <w:rPr>
          <w:rFonts w:ascii="Times New Roman" w:hAnsi="Times New Roman"/>
          <w:i/>
          <w:sz w:val="24"/>
          <w:szCs w:val="24"/>
        </w:rPr>
        <w:t>„</w:t>
      </w:r>
      <w:proofErr w:type="spellStart"/>
      <w:r w:rsidRPr="00D67073">
        <w:rPr>
          <w:rFonts w:ascii="Times New Roman" w:hAnsi="Times New Roman"/>
          <w:i/>
          <w:sz w:val="24"/>
          <w:szCs w:val="24"/>
        </w:rPr>
        <w:t>search</w:t>
      </w:r>
      <w:proofErr w:type="spellEnd"/>
      <w:r w:rsidRPr="00D67073">
        <w:rPr>
          <w:rFonts w:ascii="Times New Roman" w:hAnsi="Times New Roman"/>
          <w:i/>
          <w:sz w:val="24"/>
          <w:szCs w:val="24"/>
        </w:rPr>
        <w:t xml:space="preserve"> </w:t>
      </w:r>
      <w:proofErr w:type="spellStart"/>
      <w:r w:rsidRPr="00D67073">
        <w:rPr>
          <w:rFonts w:ascii="Times New Roman" w:hAnsi="Times New Roman"/>
          <w:i/>
          <w:sz w:val="24"/>
          <w:szCs w:val="24"/>
        </w:rPr>
        <w:t>for</w:t>
      </w:r>
      <w:proofErr w:type="spellEnd"/>
      <w:r w:rsidRPr="00D67073">
        <w:rPr>
          <w:rFonts w:ascii="Times New Roman" w:hAnsi="Times New Roman"/>
          <w:i/>
          <w:sz w:val="24"/>
          <w:szCs w:val="24"/>
        </w:rPr>
        <w:t xml:space="preserve"> </w:t>
      </w:r>
      <w:proofErr w:type="spellStart"/>
      <w:r w:rsidRPr="00D67073">
        <w:rPr>
          <w:rFonts w:ascii="Times New Roman" w:hAnsi="Times New Roman"/>
          <w:i/>
          <w:sz w:val="24"/>
          <w:szCs w:val="24"/>
        </w:rPr>
        <w:t>yield</w:t>
      </w:r>
      <w:proofErr w:type="spellEnd"/>
      <w:r w:rsidRPr="00D67073">
        <w:rPr>
          <w:rFonts w:ascii="Times New Roman" w:hAnsi="Times New Roman"/>
          <w:i/>
          <w:sz w:val="24"/>
          <w:szCs w:val="24"/>
        </w:rPr>
        <w:t>”)</w:t>
      </w:r>
      <w:r w:rsidRPr="00D67073">
        <w:rPr>
          <w:rFonts w:ascii="Times New Roman" w:hAnsi="Times New Roman"/>
          <w:sz w:val="24"/>
          <w:szCs w:val="24"/>
        </w:rPr>
        <w:t xml:space="preserve">. </w:t>
      </w:r>
      <w:r>
        <w:rPr>
          <w:rFonts w:ascii="Times New Roman" w:hAnsi="Times New Roman"/>
          <w:sz w:val="24"/>
          <w:szCs w:val="24"/>
        </w:rPr>
        <w:t>2012.gada p</w:t>
      </w:r>
      <w:r w:rsidRPr="00D67073">
        <w:rPr>
          <w:rFonts w:ascii="Times New Roman" w:hAnsi="Times New Roman"/>
          <w:sz w:val="24"/>
          <w:szCs w:val="24"/>
        </w:rPr>
        <w:t xml:space="preserve">ēdējos mēnešos </w:t>
      </w:r>
      <w:r>
        <w:rPr>
          <w:rFonts w:ascii="Times New Roman" w:hAnsi="Times New Roman"/>
          <w:sz w:val="24"/>
          <w:szCs w:val="24"/>
        </w:rPr>
        <w:t>bija</w:t>
      </w:r>
      <w:r w:rsidRPr="00D67073">
        <w:rPr>
          <w:rFonts w:ascii="Times New Roman" w:hAnsi="Times New Roman"/>
          <w:sz w:val="24"/>
          <w:szCs w:val="24"/>
        </w:rPr>
        <w:t xml:space="preserve"> vērojama īpaši liela investoru interese par </w:t>
      </w:r>
      <w:r>
        <w:rPr>
          <w:rFonts w:ascii="Times New Roman" w:hAnsi="Times New Roman"/>
          <w:sz w:val="24"/>
          <w:szCs w:val="24"/>
        </w:rPr>
        <w:t>jaun</w:t>
      </w:r>
      <w:r w:rsidRPr="00D67073">
        <w:rPr>
          <w:rFonts w:ascii="Times New Roman" w:hAnsi="Times New Roman"/>
          <w:sz w:val="24"/>
          <w:szCs w:val="24"/>
        </w:rPr>
        <w:t>attīstības tirgiem (</w:t>
      </w:r>
      <w:proofErr w:type="spellStart"/>
      <w:r w:rsidRPr="00D67073">
        <w:rPr>
          <w:rFonts w:ascii="Times New Roman" w:hAnsi="Times New Roman"/>
          <w:i/>
          <w:sz w:val="24"/>
          <w:szCs w:val="24"/>
        </w:rPr>
        <w:t>emergin</w:t>
      </w:r>
      <w:r w:rsidR="00F4762B">
        <w:rPr>
          <w:rFonts w:ascii="Times New Roman" w:hAnsi="Times New Roman"/>
          <w:i/>
          <w:sz w:val="24"/>
          <w:szCs w:val="24"/>
        </w:rPr>
        <w:t>g</w:t>
      </w:r>
      <w:proofErr w:type="spellEnd"/>
      <w:r w:rsidRPr="00D67073">
        <w:rPr>
          <w:rFonts w:ascii="Times New Roman" w:hAnsi="Times New Roman"/>
          <w:i/>
          <w:sz w:val="24"/>
          <w:szCs w:val="24"/>
        </w:rPr>
        <w:t xml:space="preserve"> </w:t>
      </w:r>
      <w:proofErr w:type="spellStart"/>
      <w:r w:rsidRPr="00D67073">
        <w:rPr>
          <w:rFonts w:ascii="Times New Roman" w:hAnsi="Times New Roman"/>
          <w:i/>
          <w:sz w:val="24"/>
          <w:szCs w:val="24"/>
        </w:rPr>
        <w:t>market</w:t>
      </w:r>
      <w:proofErr w:type="spellEnd"/>
      <w:r w:rsidRPr="006F3158">
        <w:rPr>
          <w:rFonts w:ascii="Times New Roman" w:hAnsi="Times New Roman"/>
          <w:sz w:val="24"/>
          <w:szCs w:val="24"/>
        </w:rPr>
        <w:t>)</w:t>
      </w:r>
      <w:r w:rsidRPr="00D67073">
        <w:rPr>
          <w:rFonts w:ascii="Times New Roman" w:hAnsi="Times New Roman"/>
          <w:sz w:val="24"/>
          <w:szCs w:val="24"/>
        </w:rPr>
        <w:t xml:space="preserve">, </w:t>
      </w:r>
      <w:proofErr w:type="spellStart"/>
      <w:r w:rsidRPr="00D67073">
        <w:rPr>
          <w:rFonts w:ascii="Times New Roman" w:hAnsi="Times New Roman"/>
          <w:sz w:val="24"/>
          <w:szCs w:val="24"/>
        </w:rPr>
        <w:t>t.s</w:t>
      </w:r>
      <w:r>
        <w:rPr>
          <w:rFonts w:ascii="Times New Roman" w:hAnsi="Times New Roman"/>
          <w:sz w:val="24"/>
          <w:szCs w:val="24"/>
        </w:rPr>
        <w:t>k</w:t>
      </w:r>
      <w:proofErr w:type="spellEnd"/>
      <w:r>
        <w:rPr>
          <w:rFonts w:ascii="Times New Roman" w:hAnsi="Times New Roman"/>
          <w:sz w:val="24"/>
          <w:szCs w:val="24"/>
        </w:rPr>
        <w:t>. par</w:t>
      </w:r>
      <w:r w:rsidRPr="00D67073">
        <w:rPr>
          <w:rFonts w:ascii="Times New Roman" w:hAnsi="Times New Roman"/>
          <w:sz w:val="24"/>
          <w:szCs w:val="24"/>
        </w:rPr>
        <w:t xml:space="preserve"> šajos tirgos emitētajām obligācijām (ASV dolāros, </w:t>
      </w:r>
      <w:proofErr w:type="spellStart"/>
      <w:r w:rsidRPr="00F4762B">
        <w:rPr>
          <w:rFonts w:ascii="Times New Roman" w:hAnsi="Times New Roman"/>
          <w:i/>
          <w:sz w:val="24"/>
          <w:szCs w:val="24"/>
        </w:rPr>
        <w:t>e</w:t>
      </w:r>
      <w:r w:rsidR="00F4762B" w:rsidRPr="00F4762B">
        <w:rPr>
          <w:rFonts w:ascii="Times New Roman" w:hAnsi="Times New Roman"/>
          <w:i/>
          <w:sz w:val="24"/>
          <w:szCs w:val="24"/>
        </w:rPr>
        <w:t>u</w:t>
      </w:r>
      <w:r w:rsidRPr="00F4762B">
        <w:rPr>
          <w:rFonts w:ascii="Times New Roman" w:hAnsi="Times New Roman"/>
          <w:i/>
          <w:sz w:val="24"/>
          <w:szCs w:val="24"/>
        </w:rPr>
        <w:t>ro</w:t>
      </w:r>
      <w:proofErr w:type="spellEnd"/>
      <w:r w:rsidRPr="00D67073">
        <w:rPr>
          <w:rFonts w:ascii="Times New Roman" w:hAnsi="Times New Roman"/>
          <w:sz w:val="24"/>
          <w:szCs w:val="24"/>
        </w:rPr>
        <w:t xml:space="preserve"> vai Šveices frankos).</w:t>
      </w:r>
      <w:r w:rsidR="005457B9">
        <w:rPr>
          <w:rFonts w:ascii="Times New Roman" w:hAnsi="Times New Roman"/>
          <w:sz w:val="24"/>
          <w:szCs w:val="24"/>
        </w:rPr>
        <w:t xml:space="preserve"> </w:t>
      </w:r>
      <w:r w:rsidRPr="005457B9">
        <w:rPr>
          <w:rFonts w:ascii="Times New Roman" w:hAnsi="Times New Roman"/>
          <w:sz w:val="24"/>
          <w:szCs w:val="24"/>
        </w:rPr>
        <w:t>Tātad</w:t>
      </w:r>
      <w:r w:rsidR="00F4762B">
        <w:rPr>
          <w:rFonts w:ascii="Times New Roman" w:hAnsi="Times New Roman"/>
          <w:sz w:val="24"/>
          <w:szCs w:val="24"/>
        </w:rPr>
        <w:t>,</w:t>
      </w:r>
      <w:r w:rsidRPr="005457B9">
        <w:rPr>
          <w:rFonts w:ascii="Times New Roman" w:hAnsi="Times New Roman"/>
          <w:sz w:val="24"/>
          <w:szCs w:val="24"/>
        </w:rPr>
        <w:t xml:space="preserve"> bija vērojama tendence, ka naudas plūsmu apjoms </w:t>
      </w:r>
      <w:r w:rsidR="00F4762B">
        <w:rPr>
          <w:rFonts w:ascii="Times New Roman" w:hAnsi="Times New Roman"/>
          <w:sz w:val="24"/>
          <w:szCs w:val="24"/>
        </w:rPr>
        <w:t>pakāpeniski</w:t>
      </w:r>
      <w:r w:rsidRPr="005457B9">
        <w:rPr>
          <w:rFonts w:ascii="Times New Roman" w:hAnsi="Times New Roman"/>
          <w:sz w:val="24"/>
          <w:szCs w:val="24"/>
        </w:rPr>
        <w:t xml:space="preserve"> pieaug uz tādiem tirgiem kā Dienvidamerika, Āzija un Austrumeiropa. 2012.gada pirmajos astoņos mēnešos, gandrīz 50 mljrd. ASV dolāru tika ieguldīti jaunattīstības tirgu fondos. Jāuzsver, ka pie attīstības tirgiem tiek pieskaitīta arī Latvija</w:t>
      </w:r>
      <w:r w:rsidR="005457B9">
        <w:rPr>
          <w:rFonts w:ascii="Times New Roman" w:hAnsi="Times New Roman"/>
          <w:sz w:val="24"/>
          <w:szCs w:val="24"/>
        </w:rPr>
        <w:t xml:space="preserve"> (</w:t>
      </w:r>
      <w:proofErr w:type="spellStart"/>
      <w:r w:rsidR="005457B9">
        <w:rPr>
          <w:rFonts w:ascii="Times New Roman" w:hAnsi="Times New Roman"/>
          <w:sz w:val="24"/>
          <w:szCs w:val="24"/>
        </w:rPr>
        <w:t>skat</w:t>
      </w:r>
      <w:proofErr w:type="spellEnd"/>
      <w:r w:rsidR="005457B9">
        <w:rPr>
          <w:rFonts w:ascii="Times New Roman" w:hAnsi="Times New Roman"/>
          <w:sz w:val="24"/>
          <w:szCs w:val="24"/>
        </w:rPr>
        <w:t>. 1</w:t>
      </w:r>
      <w:r w:rsidR="00356F67">
        <w:rPr>
          <w:rFonts w:ascii="Times New Roman" w:hAnsi="Times New Roman"/>
          <w:sz w:val="24"/>
          <w:szCs w:val="24"/>
        </w:rPr>
        <w:t>6</w:t>
      </w:r>
      <w:r w:rsidR="005457B9">
        <w:rPr>
          <w:rFonts w:ascii="Times New Roman" w:hAnsi="Times New Roman"/>
          <w:sz w:val="24"/>
          <w:szCs w:val="24"/>
        </w:rPr>
        <w:t>.att.)</w:t>
      </w:r>
      <w:r w:rsidRPr="005457B9">
        <w:rPr>
          <w:rFonts w:ascii="Times New Roman" w:hAnsi="Times New Roman"/>
          <w:sz w:val="24"/>
          <w:szCs w:val="24"/>
        </w:rPr>
        <w:t>.</w:t>
      </w:r>
    </w:p>
    <w:p w:rsidR="004F3FAA" w:rsidRDefault="005457B9" w:rsidP="005457B9">
      <w:pPr>
        <w:pStyle w:val="ListParagraph"/>
        <w:spacing w:after="120"/>
        <w:ind w:left="0"/>
        <w:jc w:val="center"/>
        <w:rPr>
          <w:noProof/>
        </w:rPr>
      </w:pPr>
      <w:r>
        <w:rPr>
          <w:noProof/>
        </w:rPr>
        <w:drawing>
          <wp:inline distT="0" distB="0" distL="0" distR="0" wp14:anchorId="06202A8A" wp14:editId="1B0C9320">
            <wp:extent cx="4645349" cy="275272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5349" cy="2752725"/>
                    </a:xfrm>
                    <a:prstGeom prst="rect">
                      <a:avLst/>
                    </a:prstGeom>
                    <a:noFill/>
                    <a:ln>
                      <a:noFill/>
                    </a:ln>
                  </pic:spPr>
                </pic:pic>
              </a:graphicData>
            </a:graphic>
          </wp:inline>
        </w:drawing>
      </w:r>
    </w:p>
    <w:p w:rsidR="005457B9" w:rsidRDefault="005457B9" w:rsidP="005457B9">
      <w:pPr>
        <w:pStyle w:val="ListParagraph"/>
        <w:spacing w:after="120"/>
        <w:ind w:left="0"/>
        <w:jc w:val="center"/>
        <w:rPr>
          <w:rFonts w:ascii="Times New Roman" w:hAnsi="Times New Roman"/>
          <w:sz w:val="24"/>
          <w:szCs w:val="24"/>
        </w:rPr>
      </w:pPr>
      <w:r w:rsidRPr="005457B9">
        <w:rPr>
          <w:rFonts w:ascii="Times New Roman" w:hAnsi="Times New Roman"/>
          <w:szCs w:val="24"/>
        </w:rPr>
        <w:t>1</w:t>
      </w:r>
      <w:r w:rsidR="00356F67">
        <w:rPr>
          <w:rFonts w:ascii="Times New Roman" w:hAnsi="Times New Roman"/>
          <w:szCs w:val="24"/>
        </w:rPr>
        <w:t>6</w:t>
      </w:r>
      <w:r w:rsidRPr="005457B9">
        <w:rPr>
          <w:rFonts w:ascii="Times New Roman" w:hAnsi="Times New Roman"/>
          <w:szCs w:val="24"/>
        </w:rPr>
        <w:t xml:space="preserve">.attēls. </w:t>
      </w:r>
      <w:r w:rsidRPr="005457B9">
        <w:rPr>
          <w:rFonts w:ascii="Times New Roman" w:hAnsi="Times New Roman"/>
          <w:b/>
          <w:sz w:val="24"/>
          <w:szCs w:val="24"/>
        </w:rPr>
        <w:t>Ieguldījumu plūsmu EM un DM salīdzinājums</w:t>
      </w:r>
    </w:p>
    <w:p w:rsidR="004F3FAA" w:rsidRPr="00C0687D" w:rsidRDefault="004F3FAA" w:rsidP="007D70A2">
      <w:pPr>
        <w:pStyle w:val="ListParagraph"/>
        <w:numPr>
          <w:ilvl w:val="0"/>
          <w:numId w:val="33"/>
        </w:numPr>
        <w:spacing w:after="120"/>
        <w:jc w:val="both"/>
        <w:rPr>
          <w:rFonts w:ascii="Times New Roman" w:hAnsi="Times New Roman"/>
          <w:sz w:val="24"/>
          <w:szCs w:val="24"/>
        </w:rPr>
      </w:pPr>
      <w:r w:rsidRPr="00E935E3">
        <w:rPr>
          <w:rFonts w:ascii="Times New Roman" w:hAnsi="Times New Roman"/>
          <w:sz w:val="24"/>
          <w:szCs w:val="24"/>
        </w:rPr>
        <w:t xml:space="preserve">Investoru novērtējums </w:t>
      </w:r>
      <w:r>
        <w:rPr>
          <w:rFonts w:ascii="Times New Roman" w:hAnsi="Times New Roman"/>
          <w:sz w:val="24"/>
          <w:szCs w:val="24"/>
        </w:rPr>
        <w:t xml:space="preserve">2012.gada </w:t>
      </w:r>
      <w:r w:rsidRPr="00E935E3">
        <w:rPr>
          <w:rFonts w:ascii="Times New Roman" w:hAnsi="Times New Roman"/>
          <w:sz w:val="24"/>
          <w:szCs w:val="24"/>
        </w:rPr>
        <w:t>pēdējo mēnešu laikā par valstu riska līmeņiem</w:t>
      </w:r>
      <w:r>
        <w:rPr>
          <w:rFonts w:ascii="Times New Roman" w:hAnsi="Times New Roman"/>
          <w:sz w:val="24"/>
          <w:szCs w:val="24"/>
        </w:rPr>
        <w:t xml:space="preserve"> kļuva</w:t>
      </w:r>
      <w:r w:rsidRPr="00E935E3">
        <w:rPr>
          <w:rFonts w:ascii="Times New Roman" w:hAnsi="Times New Roman"/>
          <w:sz w:val="24"/>
          <w:szCs w:val="24"/>
        </w:rPr>
        <w:t xml:space="preserve"> emitentiem pozitīvāks. Saskaņā ar 5 gadu CDS kredītriska uzcenojuma attīstības analīzi var</w:t>
      </w:r>
      <w:r>
        <w:rPr>
          <w:rFonts w:ascii="Times New Roman" w:hAnsi="Times New Roman"/>
          <w:sz w:val="24"/>
          <w:szCs w:val="24"/>
        </w:rPr>
        <w:t>ēja</w:t>
      </w:r>
      <w:r w:rsidRPr="00E935E3">
        <w:rPr>
          <w:rFonts w:ascii="Times New Roman" w:hAnsi="Times New Roman"/>
          <w:sz w:val="24"/>
          <w:szCs w:val="24"/>
        </w:rPr>
        <w:t xml:space="preserve"> secināt, ka pēc kredītriska kāpuma</w:t>
      </w:r>
      <w:r>
        <w:rPr>
          <w:rFonts w:ascii="Times New Roman" w:hAnsi="Times New Roman"/>
          <w:sz w:val="24"/>
          <w:szCs w:val="24"/>
        </w:rPr>
        <w:t xml:space="preserve"> 2012.gada sākumā</w:t>
      </w:r>
      <w:r w:rsidRPr="00E935E3">
        <w:rPr>
          <w:rFonts w:ascii="Times New Roman" w:hAnsi="Times New Roman"/>
          <w:sz w:val="24"/>
          <w:szCs w:val="24"/>
        </w:rPr>
        <w:t xml:space="preserve"> CDS</w:t>
      </w:r>
      <w:r>
        <w:rPr>
          <w:rFonts w:ascii="Times New Roman" w:hAnsi="Times New Roman"/>
          <w:sz w:val="24"/>
          <w:szCs w:val="24"/>
        </w:rPr>
        <w:t xml:space="preserve"> bija</w:t>
      </w:r>
      <w:r w:rsidRPr="00E935E3">
        <w:rPr>
          <w:rFonts w:ascii="Times New Roman" w:hAnsi="Times New Roman"/>
          <w:sz w:val="24"/>
          <w:szCs w:val="24"/>
        </w:rPr>
        <w:t xml:space="preserve"> atgriezies pēdēj</w:t>
      </w:r>
      <w:r>
        <w:rPr>
          <w:rFonts w:ascii="Times New Roman" w:hAnsi="Times New Roman"/>
          <w:sz w:val="24"/>
          <w:szCs w:val="24"/>
        </w:rPr>
        <w:t>ā gada zemākajos līmeņos. Tas bija</w:t>
      </w:r>
      <w:r w:rsidRPr="00E935E3">
        <w:rPr>
          <w:rFonts w:ascii="Times New Roman" w:hAnsi="Times New Roman"/>
          <w:sz w:val="24"/>
          <w:szCs w:val="24"/>
        </w:rPr>
        <w:t xml:space="preserve"> samazinājies gan </w:t>
      </w:r>
      <w:proofErr w:type="spellStart"/>
      <w:r w:rsidRPr="007D70A2">
        <w:rPr>
          <w:rFonts w:ascii="Times New Roman" w:hAnsi="Times New Roman"/>
          <w:i/>
          <w:sz w:val="24"/>
          <w:szCs w:val="24"/>
        </w:rPr>
        <w:t>e</w:t>
      </w:r>
      <w:r w:rsidR="007D70A2" w:rsidRPr="007D70A2">
        <w:rPr>
          <w:rFonts w:ascii="Times New Roman" w:hAnsi="Times New Roman"/>
          <w:i/>
          <w:sz w:val="24"/>
          <w:szCs w:val="24"/>
        </w:rPr>
        <w:t>u</w:t>
      </w:r>
      <w:r w:rsidRPr="007D70A2">
        <w:rPr>
          <w:rFonts w:ascii="Times New Roman" w:hAnsi="Times New Roman"/>
          <w:i/>
          <w:sz w:val="24"/>
          <w:szCs w:val="24"/>
        </w:rPr>
        <w:t>ro</w:t>
      </w:r>
      <w:proofErr w:type="spellEnd"/>
      <w:r w:rsidRPr="00E935E3">
        <w:rPr>
          <w:rFonts w:ascii="Times New Roman" w:hAnsi="Times New Roman"/>
          <w:sz w:val="24"/>
          <w:szCs w:val="24"/>
        </w:rPr>
        <w:t xml:space="preserve"> zonas valstīm, gan arī Latvijai līdzīgu emitentu grupai. Tas nozīmē</w:t>
      </w:r>
      <w:r>
        <w:rPr>
          <w:rFonts w:ascii="Times New Roman" w:hAnsi="Times New Roman"/>
          <w:sz w:val="24"/>
          <w:szCs w:val="24"/>
        </w:rPr>
        <w:t>ja</w:t>
      </w:r>
      <w:r w:rsidRPr="00E935E3">
        <w:rPr>
          <w:rFonts w:ascii="Times New Roman" w:hAnsi="Times New Roman"/>
          <w:sz w:val="24"/>
          <w:szCs w:val="24"/>
        </w:rPr>
        <w:t xml:space="preserve">, ka </w:t>
      </w:r>
      <w:r>
        <w:rPr>
          <w:rFonts w:ascii="Times New Roman" w:hAnsi="Times New Roman"/>
          <w:sz w:val="24"/>
          <w:szCs w:val="24"/>
        </w:rPr>
        <w:t xml:space="preserve">tā brīža </w:t>
      </w:r>
      <w:r w:rsidRPr="00E935E3">
        <w:rPr>
          <w:rFonts w:ascii="Times New Roman" w:hAnsi="Times New Roman"/>
          <w:sz w:val="24"/>
          <w:szCs w:val="24"/>
        </w:rPr>
        <w:t>optimisms</w:t>
      </w:r>
      <w:r>
        <w:rPr>
          <w:rFonts w:ascii="Times New Roman" w:hAnsi="Times New Roman"/>
          <w:sz w:val="24"/>
          <w:szCs w:val="24"/>
        </w:rPr>
        <w:t xml:space="preserve"> nebija</w:t>
      </w:r>
      <w:r w:rsidRPr="00E935E3">
        <w:rPr>
          <w:rFonts w:ascii="Times New Roman" w:hAnsi="Times New Roman"/>
          <w:sz w:val="24"/>
          <w:szCs w:val="24"/>
        </w:rPr>
        <w:t xml:space="preserve"> saistīts vienīgi ar konkrētas valsts sekmēm stabilizēt ekonomiku, bet ar vispārējo noskaņojumu finanšu tirgos </w:t>
      </w:r>
      <w:r w:rsidRPr="00C0687D">
        <w:rPr>
          <w:rFonts w:ascii="Times New Roman" w:hAnsi="Times New Roman"/>
          <w:sz w:val="24"/>
          <w:szCs w:val="24"/>
        </w:rPr>
        <w:t>(</w:t>
      </w:r>
      <w:proofErr w:type="spellStart"/>
      <w:r w:rsidRPr="00C0687D">
        <w:rPr>
          <w:rFonts w:ascii="Times New Roman" w:hAnsi="Times New Roman"/>
          <w:sz w:val="24"/>
          <w:szCs w:val="24"/>
        </w:rPr>
        <w:t>sk</w:t>
      </w:r>
      <w:r w:rsidR="00C0687D" w:rsidRPr="00C0687D">
        <w:rPr>
          <w:rFonts w:ascii="Times New Roman" w:hAnsi="Times New Roman"/>
          <w:sz w:val="24"/>
          <w:szCs w:val="24"/>
        </w:rPr>
        <w:t>at</w:t>
      </w:r>
      <w:proofErr w:type="spellEnd"/>
      <w:r w:rsidRPr="00C0687D">
        <w:rPr>
          <w:rFonts w:ascii="Times New Roman" w:hAnsi="Times New Roman"/>
          <w:sz w:val="24"/>
          <w:szCs w:val="24"/>
        </w:rPr>
        <w:t xml:space="preserve">. </w:t>
      </w:r>
      <w:r w:rsidR="00C0687D" w:rsidRPr="00C0687D">
        <w:rPr>
          <w:rFonts w:ascii="Times New Roman" w:hAnsi="Times New Roman"/>
          <w:sz w:val="24"/>
          <w:szCs w:val="24"/>
        </w:rPr>
        <w:t>1</w:t>
      </w:r>
      <w:r w:rsidR="00356F67">
        <w:rPr>
          <w:rFonts w:ascii="Times New Roman" w:hAnsi="Times New Roman"/>
          <w:sz w:val="24"/>
          <w:szCs w:val="24"/>
        </w:rPr>
        <w:t>7</w:t>
      </w:r>
      <w:r w:rsidRPr="00C0687D">
        <w:rPr>
          <w:rFonts w:ascii="Times New Roman" w:hAnsi="Times New Roman"/>
          <w:sz w:val="24"/>
          <w:szCs w:val="24"/>
        </w:rPr>
        <w:t xml:space="preserve">. un </w:t>
      </w:r>
      <w:r w:rsidR="00C0687D" w:rsidRPr="00C0687D">
        <w:rPr>
          <w:rFonts w:ascii="Times New Roman" w:hAnsi="Times New Roman"/>
          <w:sz w:val="24"/>
          <w:szCs w:val="24"/>
        </w:rPr>
        <w:t>1</w:t>
      </w:r>
      <w:r w:rsidR="00356F67">
        <w:rPr>
          <w:rFonts w:ascii="Times New Roman" w:hAnsi="Times New Roman"/>
          <w:sz w:val="24"/>
          <w:szCs w:val="24"/>
        </w:rPr>
        <w:t>8</w:t>
      </w:r>
      <w:r w:rsidRPr="00C0687D">
        <w:rPr>
          <w:rFonts w:ascii="Times New Roman" w:hAnsi="Times New Roman"/>
          <w:sz w:val="24"/>
          <w:szCs w:val="24"/>
        </w:rPr>
        <w:t>.att</w:t>
      </w:r>
      <w:r w:rsidR="00C0687D" w:rsidRPr="00C0687D">
        <w:rPr>
          <w:rFonts w:ascii="Times New Roman" w:hAnsi="Times New Roman"/>
          <w:sz w:val="24"/>
          <w:szCs w:val="24"/>
        </w:rPr>
        <w:t>.</w:t>
      </w:r>
      <w:r w:rsidRPr="00C0687D">
        <w:rPr>
          <w:rFonts w:ascii="Times New Roman" w:hAnsi="Times New Roman"/>
          <w:sz w:val="24"/>
          <w:szCs w:val="24"/>
        </w:rPr>
        <w:t>)</w:t>
      </w:r>
      <w:r w:rsidR="007D70A2">
        <w:rPr>
          <w:rFonts w:ascii="Times New Roman" w:hAnsi="Times New Roman"/>
          <w:sz w:val="24"/>
          <w:szCs w:val="24"/>
        </w:rPr>
        <w:t xml:space="preserve">. </w:t>
      </w:r>
      <w:r w:rsidR="007D70A2" w:rsidRPr="007D70A2">
        <w:rPr>
          <w:rFonts w:ascii="Times New Roman" w:hAnsi="Times New Roman"/>
          <w:sz w:val="24"/>
          <w:szCs w:val="24"/>
        </w:rPr>
        <w:t xml:space="preserve">Latvijas kredītriska uzcenojums vērtspapīriem otrreizējā tirgū </w:t>
      </w:r>
      <w:r w:rsidR="007D70A2" w:rsidRPr="007D70A2">
        <w:rPr>
          <w:rFonts w:ascii="Times New Roman" w:hAnsi="Times New Roman"/>
          <w:sz w:val="24"/>
          <w:szCs w:val="24"/>
        </w:rPr>
        <w:lastRenderedPageBreak/>
        <w:t>samazinājās, ko sekmēja arī kopējais tā perioda pozitīvais noskaņojums viscaur Eiropas vērtspapīru tirgū.</w:t>
      </w:r>
      <w:r w:rsidR="007D70A2">
        <w:rPr>
          <w:rFonts w:ascii="Times New Roman" w:hAnsi="Times New Roman"/>
          <w:sz w:val="24"/>
          <w:szCs w:val="24"/>
        </w:rPr>
        <w:t xml:space="preserve"> </w:t>
      </w:r>
    </w:p>
    <w:p w:rsidR="001A04D0" w:rsidRDefault="001A04D0" w:rsidP="001A04D0">
      <w:pPr>
        <w:pStyle w:val="ListParagraph"/>
        <w:spacing w:after="120"/>
        <w:ind w:left="0"/>
        <w:jc w:val="center"/>
        <w:rPr>
          <w:rFonts w:ascii="Times New Roman" w:hAnsi="Times New Roman"/>
          <w:sz w:val="24"/>
          <w:szCs w:val="24"/>
        </w:rPr>
      </w:pPr>
      <w:r>
        <w:rPr>
          <w:b/>
          <w:noProof/>
        </w:rPr>
        <w:drawing>
          <wp:inline distT="0" distB="0" distL="0" distR="0" wp14:anchorId="4D5625C1" wp14:editId="7CF33A3F">
            <wp:extent cx="3914774" cy="2581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7261" cy="2582915"/>
                    </a:xfrm>
                    <a:prstGeom prst="rect">
                      <a:avLst/>
                    </a:prstGeom>
                    <a:noFill/>
                    <a:ln>
                      <a:noFill/>
                    </a:ln>
                  </pic:spPr>
                </pic:pic>
              </a:graphicData>
            </a:graphic>
          </wp:inline>
        </w:drawing>
      </w:r>
    </w:p>
    <w:p w:rsidR="001A04D0" w:rsidRDefault="001A04D0" w:rsidP="00C0687D">
      <w:pPr>
        <w:pStyle w:val="ListParagraph"/>
        <w:spacing w:after="120"/>
        <w:ind w:left="360"/>
        <w:jc w:val="center"/>
        <w:rPr>
          <w:rFonts w:ascii="Times New Roman" w:hAnsi="Times New Roman"/>
          <w:b/>
          <w:sz w:val="24"/>
          <w:szCs w:val="24"/>
        </w:rPr>
      </w:pPr>
      <w:r w:rsidRPr="00C0687D">
        <w:rPr>
          <w:rFonts w:ascii="Times New Roman" w:hAnsi="Times New Roman"/>
          <w:szCs w:val="24"/>
        </w:rPr>
        <w:t>1</w:t>
      </w:r>
      <w:r w:rsidR="00356F67">
        <w:rPr>
          <w:rFonts w:ascii="Times New Roman" w:hAnsi="Times New Roman"/>
          <w:szCs w:val="24"/>
        </w:rPr>
        <w:t>7</w:t>
      </w:r>
      <w:r w:rsidRPr="00C0687D">
        <w:rPr>
          <w:rFonts w:ascii="Times New Roman" w:hAnsi="Times New Roman"/>
          <w:szCs w:val="24"/>
        </w:rPr>
        <w:t xml:space="preserve">.attēls. </w:t>
      </w:r>
      <w:r w:rsidRPr="00C0687D">
        <w:rPr>
          <w:rFonts w:ascii="Times New Roman" w:hAnsi="Times New Roman"/>
          <w:b/>
          <w:sz w:val="24"/>
          <w:szCs w:val="24"/>
        </w:rPr>
        <w:t>Rietumeiropas valstu 5 gadu CDS 2012.gada rudenī</w:t>
      </w:r>
    </w:p>
    <w:p w:rsidR="00C0687D" w:rsidRDefault="00C0687D" w:rsidP="00C0687D">
      <w:pPr>
        <w:pStyle w:val="ListParagraph"/>
        <w:spacing w:after="120"/>
        <w:ind w:left="0"/>
        <w:jc w:val="center"/>
        <w:rPr>
          <w:rFonts w:ascii="Times New Roman" w:hAnsi="Times New Roman"/>
          <w:b/>
          <w:sz w:val="24"/>
          <w:szCs w:val="24"/>
        </w:rPr>
      </w:pPr>
      <w:r>
        <w:rPr>
          <w:b/>
          <w:noProof/>
        </w:rPr>
        <w:drawing>
          <wp:inline distT="0" distB="0" distL="0" distR="0" wp14:anchorId="6F8E5CAF" wp14:editId="438685B5">
            <wp:extent cx="3933825" cy="2676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0597" cy="2681133"/>
                    </a:xfrm>
                    <a:prstGeom prst="rect">
                      <a:avLst/>
                    </a:prstGeom>
                    <a:noFill/>
                    <a:ln>
                      <a:noFill/>
                    </a:ln>
                  </pic:spPr>
                </pic:pic>
              </a:graphicData>
            </a:graphic>
          </wp:inline>
        </w:drawing>
      </w:r>
    </w:p>
    <w:p w:rsidR="00C0687D" w:rsidRPr="00C0687D" w:rsidRDefault="00C44982" w:rsidP="00C0687D">
      <w:pPr>
        <w:pStyle w:val="ListParagraph"/>
        <w:spacing w:after="120"/>
        <w:ind w:left="0"/>
        <w:jc w:val="center"/>
        <w:rPr>
          <w:rFonts w:ascii="Times New Roman" w:hAnsi="Times New Roman"/>
          <w:b/>
          <w:sz w:val="24"/>
          <w:szCs w:val="24"/>
        </w:rPr>
      </w:pPr>
      <w:r>
        <w:rPr>
          <w:rFonts w:ascii="Times New Roman" w:hAnsi="Times New Roman"/>
          <w:szCs w:val="24"/>
        </w:rPr>
        <w:t>1</w:t>
      </w:r>
      <w:r w:rsidR="00356F67">
        <w:rPr>
          <w:rFonts w:ascii="Times New Roman" w:hAnsi="Times New Roman"/>
          <w:szCs w:val="24"/>
        </w:rPr>
        <w:t>8</w:t>
      </w:r>
      <w:r w:rsidR="00C0687D" w:rsidRPr="00C0687D">
        <w:rPr>
          <w:rFonts w:ascii="Times New Roman" w:hAnsi="Times New Roman"/>
          <w:szCs w:val="24"/>
        </w:rPr>
        <w:t>.attēls.</w:t>
      </w:r>
      <w:r w:rsidR="00C0687D" w:rsidRPr="00C0687D">
        <w:rPr>
          <w:rFonts w:ascii="Times New Roman" w:hAnsi="Times New Roman"/>
          <w:b/>
          <w:szCs w:val="24"/>
        </w:rPr>
        <w:t xml:space="preserve"> </w:t>
      </w:r>
      <w:r w:rsidR="00C0687D" w:rsidRPr="00C0687D">
        <w:rPr>
          <w:rFonts w:ascii="Times New Roman" w:hAnsi="Times New Roman"/>
          <w:b/>
          <w:sz w:val="24"/>
          <w:szCs w:val="24"/>
        </w:rPr>
        <w:t>Latvijas un līdzīga reitinga valstu 5 gadu CDS 2012.gada rudenī</w:t>
      </w:r>
    </w:p>
    <w:p w:rsidR="008544C7" w:rsidRPr="00F520CD" w:rsidRDefault="008544C7" w:rsidP="00D22B86">
      <w:pPr>
        <w:ind w:left="426"/>
        <w:jc w:val="both"/>
      </w:pPr>
      <w:r>
        <w:t xml:space="preserve">Visu iepriekš minēto faktoru kopums veicināja </w:t>
      </w:r>
      <w:r w:rsidR="00A14444">
        <w:t xml:space="preserve">Valsts kases </w:t>
      </w:r>
      <w:r>
        <w:t>lēmuma pieņemšanu par jaunu emisijas veikšanu, jo iepriekšējo gadu saspīlējums, situācijas svārstīgums un savstarpējās neuzticības līmenis starp tirgus dalībniekiem bija būtiski samazinājis iespējas emitentiem bez apgrūtinājuma iziet tirgos ar jaunu vērtspapīru emisijas darījumu, tomēr 2012.gada rudenī situācija izvērsās īpaši labvēlīga un 2012.gada decembra sākumā jau varēja sasniegt ļoti zemus procentu likmju līmeņus</w:t>
      </w:r>
      <w:r w:rsidR="002A39C0">
        <w:t xml:space="preserve"> (</w:t>
      </w:r>
      <w:proofErr w:type="spellStart"/>
      <w:r w:rsidR="002A39C0">
        <w:t>skat</w:t>
      </w:r>
      <w:proofErr w:type="spellEnd"/>
      <w:r w:rsidR="002A39C0">
        <w:t xml:space="preserve">. </w:t>
      </w:r>
      <w:r w:rsidR="00CA1B00">
        <w:t>1</w:t>
      </w:r>
      <w:r w:rsidR="002B07DE">
        <w:t>2</w:t>
      </w:r>
      <w:r w:rsidR="00CA1B00">
        <w:t xml:space="preserve">. un </w:t>
      </w:r>
      <w:r w:rsidR="002A39C0">
        <w:t>1</w:t>
      </w:r>
      <w:r w:rsidR="002B07DE">
        <w:t>9</w:t>
      </w:r>
      <w:r w:rsidR="002A39C0">
        <w:t>.att.)</w:t>
      </w:r>
      <w:r>
        <w:t>.</w:t>
      </w:r>
    </w:p>
    <w:p w:rsidR="004F3FAA" w:rsidRDefault="008D4113" w:rsidP="004F3FAA">
      <w:pPr>
        <w:jc w:val="center"/>
        <w:rPr>
          <w:rFonts w:eastAsia="Calibri"/>
          <w:szCs w:val="22"/>
        </w:rPr>
      </w:pPr>
      <w:r>
        <w:rPr>
          <w:rFonts w:eastAsia="Calibri"/>
          <w:noProof/>
          <w:szCs w:val="22"/>
        </w:rPr>
        <w:lastRenderedPageBreak/>
        <w:drawing>
          <wp:inline distT="0" distB="0" distL="0" distR="0" wp14:anchorId="07BBBCB7">
            <wp:extent cx="4867684" cy="28823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0433" cy="2889858"/>
                    </a:xfrm>
                    <a:prstGeom prst="rect">
                      <a:avLst/>
                    </a:prstGeom>
                    <a:noFill/>
                  </pic:spPr>
                </pic:pic>
              </a:graphicData>
            </a:graphic>
          </wp:inline>
        </w:drawing>
      </w:r>
    </w:p>
    <w:p w:rsidR="004F3FAA" w:rsidRDefault="00C0687D" w:rsidP="004F3FAA">
      <w:pPr>
        <w:jc w:val="center"/>
        <w:rPr>
          <w:rFonts w:eastAsia="Calibri"/>
          <w:szCs w:val="22"/>
        </w:rPr>
      </w:pPr>
      <w:r>
        <w:rPr>
          <w:rFonts w:eastAsia="Calibri"/>
          <w:sz w:val="22"/>
          <w:szCs w:val="22"/>
        </w:rPr>
        <w:t>1</w:t>
      </w:r>
      <w:r w:rsidR="002B07DE">
        <w:rPr>
          <w:rFonts w:eastAsia="Calibri"/>
          <w:sz w:val="22"/>
          <w:szCs w:val="22"/>
        </w:rPr>
        <w:t>9</w:t>
      </w:r>
      <w:r w:rsidR="004F3FAA" w:rsidRPr="006A0848">
        <w:rPr>
          <w:rFonts w:eastAsia="Calibri"/>
          <w:sz w:val="22"/>
          <w:szCs w:val="22"/>
        </w:rPr>
        <w:t>.attēls.</w:t>
      </w:r>
      <w:r w:rsidR="004F3FAA" w:rsidRPr="006A0848">
        <w:rPr>
          <w:rFonts w:eastAsia="Calibri"/>
          <w:b/>
          <w:sz w:val="22"/>
          <w:szCs w:val="22"/>
        </w:rPr>
        <w:t xml:space="preserve"> </w:t>
      </w:r>
      <w:r w:rsidR="004F3FAA" w:rsidRPr="006A0848">
        <w:rPr>
          <w:rFonts w:eastAsia="Calibri"/>
          <w:b/>
          <w:szCs w:val="22"/>
        </w:rPr>
        <w:t xml:space="preserve">Latvijas </w:t>
      </w:r>
      <w:r w:rsidR="004F3FAA">
        <w:rPr>
          <w:rFonts w:eastAsia="Calibri"/>
          <w:b/>
          <w:szCs w:val="22"/>
        </w:rPr>
        <w:t xml:space="preserve">kredītriska uzcenojuma izmaiņas </w:t>
      </w:r>
    </w:p>
    <w:p w:rsidR="004F3FAA" w:rsidRPr="008D4113" w:rsidRDefault="004F3FAA" w:rsidP="004F3FAA">
      <w:pPr>
        <w:jc w:val="center"/>
        <w:rPr>
          <w:rFonts w:eastAsia="Calibri"/>
          <w:sz w:val="22"/>
          <w:szCs w:val="22"/>
        </w:rPr>
      </w:pPr>
      <w:r w:rsidRPr="008D4113">
        <w:rPr>
          <w:rFonts w:eastAsia="Calibri"/>
          <w:sz w:val="22"/>
          <w:szCs w:val="22"/>
        </w:rPr>
        <w:t>(2012.gada februārī emitētās 5 gadu obligācijas uzcenojums virs USD mijmaiņas likmes)</w:t>
      </w:r>
    </w:p>
    <w:p w:rsidR="004F3FAA" w:rsidRPr="00A1796C" w:rsidRDefault="004F3FAA" w:rsidP="004F3FAA">
      <w:pPr>
        <w:jc w:val="both"/>
        <w:rPr>
          <w:highlight w:val="yellow"/>
        </w:rPr>
      </w:pPr>
    </w:p>
    <w:p w:rsidR="00E512AC" w:rsidRPr="007D70A2" w:rsidRDefault="00026ABD" w:rsidP="003D7CC4">
      <w:pPr>
        <w:pStyle w:val="ListParagraph"/>
        <w:numPr>
          <w:ilvl w:val="0"/>
          <w:numId w:val="33"/>
        </w:numPr>
        <w:spacing w:after="120"/>
        <w:jc w:val="both"/>
        <w:rPr>
          <w:rFonts w:ascii="Times New Roman" w:hAnsi="Times New Roman"/>
          <w:sz w:val="24"/>
          <w:szCs w:val="24"/>
        </w:rPr>
      </w:pPr>
      <w:r w:rsidRPr="007D70A2">
        <w:rPr>
          <w:rFonts w:ascii="Times New Roman" w:hAnsi="Times New Roman"/>
          <w:sz w:val="24"/>
          <w:szCs w:val="24"/>
        </w:rPr>
        <w:t>R</w:t>
      </w:r>
      <w:r w:rsidR="004F3FAA" w:rsidRPr="007D70A2">
        <w:rPr>
          <w:rFonts w:ascii="Times New Roman" w:hAnsi="Times New Roman"/>
          <w:sz w:val="24"/>
          <w:szCs w:val="24"/>
        </w:rPr>
        <w:t>eitingu aģentūru „</w:t>
      </w:r>
      <w:proofErr w:type="spellStart"/>
      <w:r w:rsidR="004F3FAA" w:rsidRPr="007D70A2">
        <w:rPr>
          <w:rFonts w:ascii="Times New Roman" w:hAnsi="Times New Roman"/>
          <w:sz w:val="24"/>
          <w:szCs w:val="24"/>
        </w:rPr>
        <w:t>Fitch</w:t>
      </w:r>
      <w:proofErr w:type="spellEnd"/>
      <w:r w:rsidR="004F3FAA" w:rsidRPr="007D70A2">
        <w:rPr>
          <w:rFonts w:ascii="Times New Roman" w:hAnsi="Times New Roman"/>
          <w:sz w:val="24"/>
          <w:szCs w:val="24"/>
        </w:rPr>
        <w:t xml:space="preserve"> </w:t>
      </w:r>
      <w:proofErr w:type="spellStart"/>
      <w:r w:rsidR="004F3FAA" w:rsidRPr="007D70A2">
        <w:rPr>
          <w:rFonts w:ascii="Times New Roman" w:hAnsi="Times New Roman"/>
          <w:sz w:val="24"/>
          <w:szCs w:val="24"/>
        </w:rPr>
        <w:t>Ratings</w:t>
      </w:r>
      <w:proofErr w:type="spellEnd"/>
      <w:r w:rsidR="004F3FAA" w:rsidRPr="007D70A2">
        <w:rPr>
          <w:rFonts w:ascii="Times New Roman" w:hAnsi="Times New Roman"/>
          <w:sz w:val="24"/>
          <w:szCs w:val="24"/>
        </w:rPr>
        <w:t>” un „</w:t>
      </w:r>
      <w:proofErr w:type="spellStart"/>
      <w:r w:rsidR="004F3FAA" w:rsidRPr="007D70A2">
        <w:rPr>
          <w:rFonts w:ascii="Times New Roman" w:hAnsi="Times New Roman"/>
          <w:sz w:val="24"/>
          <w:szCs w:val="24"/>
        </w:rPr>
        <w:t>Standard&amp;Poor`s</w:t>
      </w:r>
      <w:proofErr w:type="spellEnd"/>
      <w:r w:rsidR="004F3FAA" w:rsidRPr="007D70A2">
        <w:rPr>
          <w:rFonts w:ascii="Times New Roman" w:hAnsi="Times New Roman"/>
          <w:sz w:val="24"/>
          <w:szCs w:val="24"/>
        </w:rPr>
        <w:t>” reitinga palielinājums Latvijai par vienu pakāpi, nosakot arī pozitīvu reitinga nākotnes perspektīvu</w:t>
      </w:r>
      <w:r w:rsidR="007D70A2" w:rsidRPr="007D70A2">
        <w:rPr>
          <w:rFonts w:ascii="Times New Roman" w:hAnsi="Times New Roman"/>
          <w:sz w:val="24"/>
          <w:szCs w:val="24"/>
        </w:rPr>
        <w:t xml:space="preserve">. </w:t>
      </w:r>
      <w:r w:rsidR="00E512AC" w:rsidRPr="007D70A2">
        <w:rPr>
          <w:rFonts w:ascii="Times New Roman" w:hAnsi="Times New Roman"/>
          <w:sz w:val="24"/>
          <w:szCs w:val="24"/>
        </w:rPr>
        <w:t xml:space="preserve">Valsts kredītreitinga notikumi 2012.gada nogalē papildu veicināja starptautiskās vērtspapīru emisijas veiksmīgu izdošanos un palielināja iespējas samazināt valsts parāda apkalpošanas izmaksas. 2012.gada maijā reitingu aģentūra </w:t>
      </w:r>
      <w:r w:rsidR="003D7CC4" w:rsidRPr="003D7CC4">
        <w:rPr>
          <w:rFonts w:ascii="Times New Roman" w:hAnsi="Times New Roman"/>
          <w:sz w:val="24"/>
          <w:szCs w:val="24"/>
        </w:rPr>
        <w:t>„</w:t>
      </w:r>
      <w:proofErr w:type="spellStart"/>
      <w:r w:rsidR="003D7CC4" w:rsidRPr="003D7CC4">
        <w:rPr>
          <w:rFonts w:ascii="Times New Roman" w:hAnsi="Times New Roman"/>
          <w:sz w:val="24"/>
          <w:szCs w:val="24"/>
        </w:rPr>
        <w:t>Standard&amp;Poor`s</w:t>
      </w:r>
      <w:proofErr w:type="spellEnd"/>
      <w:r w:rsidR="003D7CC4" w:rsidRPr="003D7CC4">
        <w:rPr>
          <w:rFonts w:ascii="Times New Roman" w:hAnsi="Times New Roman"/>
          <w:sz w:val="24"/>
          <w:szCs w:val="24"/>
        </w:rPr>
        <w:t>”</w:t>
      </w:r>
      <w:r w:rsidR="00E512AC" w:rsidRPr="007D70A2">
        <w:rPr>
          <w:rFonts w:ascii="Times New Roman" w:hAnsi="Times New Roman"/>
          <w:sz w:val="24"/>
          <w:szCs w:val="24"/>
        </w:rPr>
        <w:t xml:space="preserve">, kā pēdējā no reitingu aģentūrām, atgrieza Latvijas kredītreitingu investīciju kategorijas līmenī, sekojot ar vēl vienu reitinga paaugstinājumu 2012.gada novembrī, īsi pirms veiksmīgās obligāciju emisijas decembra sākumā. Dažas dienas vēlāk novembrī arī </w:t>
      </w:r>
      <w:r w:rsidR="003D7CC4" w:rsidRPr="003D7CC4">
        <w:rPr>
          <w:rFonts w:ascii="Times New Roman" w:hAnsi="Times New Roman"/>
          <w:sz w:val="24"/>
          <w:szCs w:val="24"/>
        </w:rPr>
        <w:t>„</w:t>
      </w:r>
      <w:proofErr w:type="spellStart"/>
      <w:r w:rsidR="003D7CC4" w:rsidRPr="003D7CC4">
        <w:rPr>
          <w:rFonts w:ascii="Times New Roman" w:hAnsi="Times New Roman"/>
          <w:sz w:val="24"/>
          <w:szCs w:val="24"/>
        </w:rPr>
        <w:t>Fitch</w:t>
      </w:r>
      <w:proofErr w:type="spellEnd"/>
      <w:r w:rsidR="003D7CC4" w:rsidRPr="003D7CC4">
        <w:rPr>
          <w:rFonts w:ascii="Times New Roman" w:hAnsi="Times New Roman"/>
          <w:sz w:val="24"/>
          <w:szCs w:val="24"/>
        </w:rPr>
        <w:t xml:space="preserve"> </w:t>
      </w:r>
      <w:proofErr w:type="spellStart"/>
      <w:r w:rsidR="003D7CC4" w:rsidRPr="003D7CC4">
        <w:rPr>
          <w:rFonts w:ascii="Times New Roman" w:hAnsi="Times New Roman"/>
          <w:sz w:val="24"/>
          <w:szCs w:val="24"/>
        </w:rPr>
        <w:t>Ratings</w:t>
      </w:r>
      <w:proofErr w:type="spellEnd"/>
      <w:r w:rsidR="003D7CC4" w:rsidRPr="003D7CC4">
        <w:rPr>
          <w:rFonts w:ascii="Times New Roman" w:hAnsi="Times New Roman"/>
          <w:sz w:val="24"/>
          <w:szCs w:val="24"/>
        </w:rPr>
        <w:t xml:space="preserve">” </w:t>
      </w:r>
      <w:r w:rsidR="00E512AC" w:rsidRPr="007D70A2">
        <w:rPr>
          <w:rFonts w:ascii="Times New Roman" w:hAnsi="Times New Roman"/>
          <w:sz w:val="24"/>
          <w:szCs w:val="24"/>
        </w:rPr>
        <w:t xml:space="preserve">paaugstināja Latvijas kredītreitingu par vienu pakāpi, kas deva papildu pozitīvu stimulu zemākas aizņemšanās cenas noteikšanai </w:t>
      </w:r>
      <w:r w:rsidR="003D7CC4">
        <w:rPr>
          <w:rFonts w:ascii="Times New Roman" w:hAnsi="Times New Roman"/>
          <w:sz w:val="24"/>
          <w:szCs w:val="24"/>
        </w:rPr>
        <w:t xml:space="preserve">2012.gada </w:t>
      </w:r>
      <w:r w:rsidR="00E512AC" w:rsidRPr="007D70A2">
        <w:rPr>
          <w:rFonts w:ascii="Times New Roman" w:hAnsi="Times New Roman"/>
          <w:sz w:val="24"/>
          <w:szCs w:val="24"/>
        </w:rPr>
        <w:t xml:space="preserve">decembra </w:t>
      </w:r>
      <w:r w:rsidR="003D7CC4">
        <w:rPr>
          <w:rFonts w:ascii="Times New Roman" w:hAnsi="Times New Roman"/>
          <w:sz w:val="24"/>
          <w:szCs w:val="24"/>
        </w:rPr>
        <w:t xml:space="preserve">eiroobligāciju </w:t>
      </w:r>
      <w:r w:rsidR="00E512AC" w:rsidRPr="007D70A2">
        <w:rPr>
          <w:rFonts w:ascii="Times New Roman" w:hAnsi="Times New Roman"/>
          <w:sz w:val="24"/>
          <w:szCs w:val="24"/>
        </w:rPr>
        <w:t>emisijai.</w:t>
      </w:r>
    </w:p>
    <w:p w:rsidR="004F3FAA" w:rsidRDefault="004F3FAA" w:rsidP="00E512AC">
      <w:pPr>
        <w:jc w:val="center"/>
      </w:pPr>
      <w:r>
        <w:rPr>
          <w:noProof/>
        </w:rPr>
        <mc:AlternateContent>
          <mc:Choice Requires="wps">
            <w:drawing>
              <wp:anchor distT="0" distB="0" distL="114300" distR="114300" simplePos="0" relativeHeight="251660288" behindDoc="0" locked="0" layoutInCell="1" allowOverlap="1" wp14:anchorId="3C3F4E80" wp14:editId="63B36BD3">
                <wp:simplePos x="0" y="0"/>
                <wp:positionH relativeFrom="column">
                  <wp:posOffset>2800985</wp:posOffset>
                </wp:positionH>
                <wp:positionV relativeFrom="paragraph">
                  <wp:posOffset>925830</wp:posOffset>
                </wp:positionV>
                <wp:extent cx="1052830" cy="607060"/>
                <wp:effectExtent l="13970" t="8255" r="9525" b="965835"/>
                <wp:wrapNone/>
                <wp:docPr id="28"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830" cy="607060"/>
                        </a:xfrm>
                        <a:prstGeom prst="wedgeRectCallout">
                          <a:avLst>
                            <a:gd name="adj1" fmla="val -14778"/>
                            <a:gd name="adj2" fmla="val 202718"/>
                          </a:avLst>
                        </a:prstGeom>
                        <a:solidFill>
                          <a:srgbClr val="B5F030">
                            <a:alpha val="50195"/>
                          </a:srgbClr>
                        </a:solidFill>
                        <a:ln w="9525">
                          <a:solidFill>
                            <a:srgbClr val="000000"/>
                          </a:solidFill>
                          <a:miter lim="800000"/>
                          <a:headEnd/>
                          <a:tailEnd/>
                        </a:ln>
                      </wps:spPr>
                      <wps:txbx>
                        <w:txbxContent>
                          <w:p w:rsidR="00E14210" w:rsidRPr="00206172" w:rsidRDefault="00E14210" w:rsidP="004F3FAA">
                            <w:pPr>
                              <w:pStyle w:val="NormalWeb"/>
                              <w:spacing w:before="0" w:beforeAutospacing="0" w:after="0" w:afterAutospacing="0" w:line="200" w:lineRule="exact"/>
                              <w:jc w:val="center"/>
                              <w:rPr>
                                <w:rFonts w:ascii="Calibri" w:hAnsi="Calibri" w:cs="Calibri"/>
                                <w:sz w:val="16"/>
                                <w:szCs w:val="16"/>
                              </w:rPr>
                            </w:pPr>
                            <w:r w:rsidRPr="00206172">
                              <w:rPr>
                                <w:rFonts w:ascii="Calibri" w:hAnsi="Calibri" w:cs="Calibri"/>
                                <w:b/>
                                <w:bCs/>
                                <w:sz w:val="16"/>
                                <w:szCs w:val="16"/>
                              </w:rPr>
                              <w:t xml:space="preserve">Martā </w:t>
                            </w:r>
                            <w:proofErr w:type="spellStart"/>
                            <w:r w:rsidRPr="00206172">
                              <w:rPr>
                                <w:rFonts w:ascii="Calibri" w:hAnsi="Calibri" w:cs="Calibri"/>
                                <w:sz w:val="16"/>
                                <w:szCs w:val="16"/>
                              </w:rPr>
                              <w:t>Moody's</w:t>
                            </w:r>
                            <w:proofErr w:type="spellEnd"/>
                            <w:r w:rsidRPr="00206172">
                              <w:rPr>
                                <w:rFonts w:ascii="Calibri" w:hAnsi="Calibri" w:cs="Calibri"/>
                                <w:sz w:val="16"/>
                                <w:szCs w:val="16"/>
                              </w:rPr>
                              <w:t xml:space="preserve"> </w:t>
                            </w:r>
                            <w:r w:rsidRPr="00206172">
                              <w:rPr>
                                <w:rFonts w:ascii="Calibri" w:hAnsi="Calibri" w:cs="Calibri"/>
                                <w:color w:val="000000"/>
                                <w:kern w:val="24"/>
                                <w:sz w:val="16"/>
                                <w:szCs w:val="16"/>
                              </w:rPr>
                              <w:t xml:space="preserve">paaugstina reitingu uz </w:t>
                            </w:r>
                            <w:r w:rsidRPr="00206172">
                              <w:rPr>
                                <w:rFonts w:ascii="Calibri" w:hAnsi="Calibri" w:cs="Calibri"/>
                                <w:b/>
                                <w:bCs/>
                                <w:color w:val="000000"/>
                                <w:kern w:val="24"/>
                                <w:sz w:val="16"/>
                                <w:szCs w:val="16"/>
                                <w:lang w:val="en-GB"/>
                              </w:rPr>
                              <w:t>B</w:t>
                            </w:r>
                            <w:r w:rsidRPr="00206172">
                              <w:rPr>
                                <w:rFonts w:ascii="Calibri" w:hAnsi="Calibri" w:cs="Calibri"/>
                                <w:b/>
                                <w:bCs/>
                                <w:color w:val="000000"/>
                                <w:kern w:val="24"/>
                                <w:sz w:val="16"/>
                                <w:szCs w:val="16"/>
                              </w:rPr>
                              <w:t>aa2</w:t>
                            </w:r>
                            <w:r w:rsidRPr="00206172">
                              <w:rPr>
                                <w:rFonts w:ascii="Calibri" w:hAnsi="Calibri" w:cs="Calibri"/>
                                <w:b/>
                                <w:bCs/>
                                <w:color w:val="000000"/>
                                <w:kern w:val="24"/>
                                <w:sz w:val="16"/>
                                <w:szCs w:val="16"/>
                                <w:lang w:val="en-GB"/>
                              </w:rPr>
                              <w:t>;</w:t>
                            </w:r>
                            <w:r w:rsidRPr="00206172">
                              <w:rPr>
                                <w:rFonts w:ascii="Calibri" w:hAnsi="Calibri" w:cs="Calibri"/>
                                <w:color w:val="000000"/>
                                <w:kern w:val="24"/>
                                <w:sz w:val="16"/>
                                <w:szCs w:val="16"/>
                                <w:lang w:val="en-GB"/>
                              </w:rPr>
                              <w:t xml:space="preserve"> </w:t>
                            </w:r>
                            <w:r w:rsidRPr="00206172">
                              <w:rPr>
                                <w:rFonts w:ascii="Calibri" w:hAnsi="Calibri" w:cs="Calibri"/>
                                <w:color w:val="000000"/>
                                <w:kern w:val="24"/>
                                <w:sz w:val="16"/>
                                <w:szCs w:val="16"/>
                              </w:rPr>
                              <w:t xml:space="preserve">maina </w:t>
                            </w:r>
                            <w:r w:rsidRPr="00206172">
                              <w:rPr>
                                <w:rFonts w:ascii="Calibri" w:hAnsi="Calibri" w:cs="Calibri"/>
                                <w:i/>
                                <w:iCs/>
                                <w:color w:val="000000"/>
                                <w:kern w:val="24"/>
                                <w:sz w:val="16"/>
                                <w:szCs w:val="16"/>
                                <w:lang w:val="en-GB"/>
                              </w:rPr>
                              <w:t>outlook</w:t>
                            </w:r>
                            <w:r w:rsidRPr="00206172">
                              <w:rPr>
                                <w:rFonts w:ascii="Calibri" w:hAnsi="Calibri" w:cs="Calibri"/>
                                <w:color w:val="000000"/>
                                <w:kern w:val="24"/>
                                <w:sz w:val="16"/>
                                <w:szCs w:val="16"/>
                                <w:lang w:val="en-GB"/>
                              </w:rPr>
                              <w:t xml:space="preserve"> </w:t>
                            </w:r>
                            <w:r w:rsidRPr="00206172">
                              <w:rPr>
                                <w:rFonts w:ascii="Calibri" w:hAnsi="Calibri" w:cs="Calibri"/>
                                <w:color w:val="000000"/>
                                <w:kern w:val="24"/>
                                <w:sz w:val="16"/>
                                <w:szCs w:val="16"/>
                              </w:rPr>
                              <w:t xml:space="preserve">uz </w:t>
                            </w:r>
                            <w:r w:rsidRPr="00206172">
                              <w:rPr>
                                <w:rFonts w:ascii="Calibri" w:hAnsi="Calibri" w:cs="Calibri"/>
                                <w:b/>
                                <w:bCs/>
                                <w:color w:val="000000"/>
                                <w:kern w:val="24"/>
                                <w:sz w:val="16"/>
                                <w:szCs w:val="16"/>
                              </w:rPr>
                              <w:t>pozitīvu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8" o:spid="_x0000_s1026" type="#_x0000_t61" style="position:absolute;left:0;text-align:left;margin-left:220.55pt;margin-top:72.9pt;width:82.9pt;height:4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" adj="7608,54587" fillcolor="#b5f030">
                <v:fill opacity="32896f"/>
                <v:textbox>
                  <w:txbxContent>
                    <w:p w:rsidR="00E14210" w:rsidRPr="00206172" w:rsidRDefault="00E14210" w:rsidP="004F3FAA">
                      <w:pPr>
                        <w:pStyle w:val="NormalWeb"/>
                        <w:spacing w:before="0" w:beforeAutospacing="0" w:after="0" w:afterAutospacing="0" w:line="200" w:lineRule="exact"/>
                        <w:jc w:val="center"/>
                        <w:rPr>
                          <w:rFonts w:ascii="Calibri" w:hAnsi="Calibri" w:cs="Calibri"/>
                          <w:sz w:val="16"/>
                          <w:szCs w:val="16"/>
                        </w:rPr>
                      </w:pPr>
                      <w:r w:rsidRPr="00206172">
                        <w:rPr>
                          <w:rFonts w:ascii="Calibri" w:hAnsi="Calibri" w:cs="Calibri"/>
                          <w:b/>
                          <w:bCs/>
                          <w:sz w:val="16"/>
                          <w:szCs w:val="16"/>
                        </w:rPr>
                        <w:t xml:space="preserve">Martā </w:t>
                      </w:r>
                      <w:proofErr w:type="spellStart"/>
                      <w:r w:rsidRPr="00206172">
                        <w:rPr>
                          <w:rFonts w:ascii="Calibri" w:hAnsi="Calibri" w:cs="Calibri"/>
                          <w:sz w:val="16"/>
                          <w:szCs w:val="16"/>
                        </w:rPr>
                        <w:t>Moody's</w:t>
                      </w:r>
                      <w:proofErr w:type="spellEnd"/>
                      <w:r w:rsidRPr="00206172">
                        <w:rPr>
                          <w:rFonts w:ascii="Calibri" w:hAnsi="Calibri" w:cs="Calibri"/>
                          <w:sz w:val="16"/>
                          <w:szCs w:val="16"/>
                        </w:rPr>
                        <w:t xml:space="preserve"> </w:t>
                      </w:r>
                      <w:r w:rsidRPr="00206172">
                        <w:rPr>
                          <w:rFonts w:ascii="Calibri" w:hAnsi="Calibri" w:cs="Calibri"/>
                          <w:color w:val="000000"/>
                          <w:kern w:val="24"/>
                          <w:sz w:val="16"/>
                          <w:szCs w:val="16"/>
                        </w:rPr>
                        <w:t xml:space="preserve">paaugstina reitingu uz </w:t>
                      </w:r>
                      <w:r w:rsidRPr="00206172">
                        <w:rPr>
                          <w:rFonts w:ascii="Calibri" w:hAnsi="Calibri" w:cs="Calibri"/>
                          <w:b/>
                          <w:bCs/>
                          <w:color w:val="000000"/>
                          <w:kern w:val="24"/>
                          <w:sz w:val="16"/>
                          <w:szCs w:val="16"/>
                          <w:lang w:val="en-GB"/>
                        </w:rPr>
                        <w:t>B</w:t>
                      </w:r>
                      <w:r w:rsidRPr="00206172">
                        <w:rPr>
                          <w:rFonts w:ascii="Calibri" w:hAnsi="Calibri" w:cs="Calibri"/>
                          <w:b/>
                          <w:bCs/>
                          <w:color w:val="000000"/>
                          <w:kern w:val="24"/>
                          <w:sz w:val="16"/>
                          <w:szCs w:val="16"/>
                        </w:rPr>
                        <w:t>aa2</w:t>
                      </w:r>
                      <w:r w:rsidRPr="00206172">
                        <w:rPr>
                          <w:rFonts w:ascii="Calibri" w:hAnsi="Calibri" w:cs="Calibri"/>
                          <w:b/>
                          <w:bCs/>
                          <w:color w:val="000000"/>
                          <w:kern w:val="24"/>
                          <w:sz w:val="16"/>
                          <w:szCs w:val="16"/>
                          <w:lang w:val="en-GB"/>
                        </w:rPr>
                        <w:t>;</w:t>
                      </w:r>
                      <w:r w:rsidRPr="00206172">
                        <w:rPr>
                          <w:rFonts w:ascii="Calibri" w:hAnsi="Calibri" w:cs="Calibri"/>
                          <w:color w:val="000000"/>
                          <w:kern w:val="24"/>
                          <w:sz w:val="16"/>
                          <w:szCs w:val="16"/>
                          <w:lang w:val="en-GB"/>
                        </w:rPr>
                        <w:t xml:space="preserve"> </w:t>
                      </w:r>
                      <w:r w:rsidRPr="00206172">
                        <w:rPr>
                          <w:rFonts w:ascii="Calibri" w:hAnsi="Calibri" w:cs="Calibri"/>
                          <w:color w:val="000000"/>
                          <w:kern w:val="24"/>
                          <w:sz w:val="16"/>
                          <w:szCs w:val="16"/>
                        </w:rPr>
                        <w:t xml:space="preserve">maina </w:t>
                      </w:r>
                      <w:r w:rsidRPr="00206172">
                        <w:rPr>
                          <w:rFonts w:ascii="Calibri" w:hAnsi="Calibri" w:cs="Calibri"/>
                          <w:i/>
                          <w:iCs/>
                          <w:color w:val="000000"/>
                          <w:kern w:val="24"/>
                          <w:sz w:val="16"/>
                          <w:szCs w:val="16"/>
                          <w:lang w:val="en-GB"/>
                        </w:rPr>
                        <w:t>outlook</w:t>
                      </w:r>
                      <w:r w:rsidRPr="00206172">
                        <w:rPr>
                          <w:rFonts w:ascii="Calibri" w:hAnsi="Calibri" w:cs="Calibri"/>
                          <w:color w:val="000000"/>
                          <w:kern w:val="24"/>
                          <w:sz w:val="16"/>
                          <w:szCs w:val="16"/>
                          <w:lang w:val="en-GB"/>
                        </w:rPr>
                        <w:t xml:space="preserve"> </w:t>
                      </w:r>
                      <w:r w:rsidRPr="00206172">
                        <w:rPr>
                          <w:rFonts w:ascii="Calibri" w:hAnsi="Calibri" w:cs="Calibri"/>
                          <w:color w:val="000000"/>
                          <w:kern w:val="24"/>
                          <w:sz w:val="16"/>
                          <w:szCs w:val="16"/>
                        </w:rPr>
                        <w:t xml:space="preserve">uz </w:t>
                      </w:r>
                      <w:r w:rsidRPr="00206172">
                        <w:rPr>
                          <w:rFonts w:ascii="Calibri" w:hAnsi="Calibri" w:cs="Calibri"/>
                          <w:b/>
                          <w:bCs/>
                          <w:color w:val="000000"/>
                          <w:kern w:val="24"/>
                          <w:sz w:val="16"/>
                          <w:szCs w:val="16"/>
                        </w:rPr>
                        <w:t>pozitīvu</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53C69FF" wp14:editId="29BB4E81">
                <wp:simplePos x="0" y="0"/>
                <wp:positionH relativeFrom="column">
                  <wp:posOffset>4104640</wp:posOffset>
                </wp:positionH>
                <wp:positionV relativeFrom="paragraph">
                  <wp:posOffset>551180</wp:posOffset>
                </wp:positionV>
                <wp:extent cx="1380490" cy="526415"/>
                <wp:effectExtent l="155575" t="5080" r="6985" b="1249680"/>
                <wp:wrapNone/>
                <wp:docPr id="27" name="Rectangular Callou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26415"/>
                        </a:xfrm>
                        <a:prstGeom prst="wedgeRectCallout">
                          <a:avLst>
                            <a:gd name="adj1" fmla="val -59750"/>
                            <a:gd name="adj2" fmla="val 279190"/>
                          </a:avLst>
                        </a:prstGeom>
                        <a:solidFill>
                          <a:srgbClr val="B5F030">
                            <a:alpha val="50195"/>
                          </a:srgbClr>
                        </a:solidFill>
                        <a:ln w="9525">
                          <a:solidFill>
                            <a:srgbClr val="000000"/>
                          </a:solidFill>
                          <a:miter lim="800000"/>
                          <a:headEnd/>
                          <a:tailEnd/>
                        </a:ln>
                      </wps:spPr>
                      <wps:txbx>
                        <w:txbxContent>
                          <w:p w:rsidR="00E14210" w:rsidRPr="00206172" w:rsidRDefault="00E14210" w:rsidP="004F3FAA">
                            <w:pPr>
                              <w:pStyle w:val="NormalWeb"/>
                              <w:spacing w:before="0" w:beforeAutospacing="0" w:after="0" w:afterAutospacing="0" w:line="200" w:lineRule="exact"/>
                              <w:jc w:val="center"/>
                              <w:rPr>
                                <w:rFonts w:ascii="Calibri" w:hAnsi="Calibri" w:cs="Calibri"/>
                                <w:sz w:val="16"/>
                                <w:szCs w:val="16"/>
                              </w:rPr>
                            </w:pPr>
                            <w:r w:rsidRPr="00206172">
                              <w:rPr>
                                <w:rFonts w:ascii="Calibri" w:hAnsi="Calibri" w:cs="Calibri"/>
                                <w:b/>
                                <w:bCs/>
                                <w:sz w:val="16"/>
                                <w:szCs w:val="16"/>
                              </w:rPr>
                              <w:t>Jūnijā</w:t>
                            </w:r>
                            <w:r w:rsidRPr="00206172">
                              <w:rPr>
                                <w:rFonts w:ascii="Calibri" w:hAnsi="Calibri" w:cs="Calibri"/>
                                <w:sz w:val="16"/>
                                <w:szCs w:val="16"/>
                              </w:rPr>
                              <w:t xml:space="preserve"> S&amp;P un </w:t>
                            </w:r>
                            <w:r w:rsidRPr="00206172">
                              <w:rPr>
                                <w:rFonts w:ascii="Calibri" w:hAnsi="Calibri" w:cs="Calibri"/>
                                <w:b/>
                                <w:bCs/>
                                <w:sz w:val="16"/>
                                <w:szCs w:val="16"/>
                              </w:rPr>
                              <w:t>jūlijā</w:t>
                            </w:r>
                            <w:r w:rsidRPr="00206172">
                              <w:rPr>
                                <w:rFonts w:ascii="Calibri" w:hAnsi="Calibri" w:cs="Calibri"/>
                                <w:sz w:val="16"/>
                                <w:szCs w:val="16"/>
                              </w:rPr>
                              <w:t xml:space="preserve"> </w:t>
                            </w:r>
                            <w:proofErr w:type="spellStart"/>
                            <w:r w:rsidRPr="00206172">
                              <w:rPr>
                                <w:rFonts w:ascii="Calibri" w:hAnsi="Calibri" w:cs="Calibri"/>
                                <w:sz w:val="16"/>
                                <w:szCs w:val="16"/>
                              </w:rPr>
                              <w:t>Fitch</w:t>
                            </w:r>
                            <w:proofErr w:type="spellEnd"/>
                            <w:r w:rsidRPr="00206172">
                              <w:rPr>
                                <w:rFonts w:ascii="Calibri" w:hAnsi="Calibri" w:cs="Calibri"/>
                                <w:sz w:val="16"/>
                                <w:szCs w:val="16"/>
                              </w:rPr>
                              <w:t xml:space="preserve"> </w:t>
                            </w:r>
                            <w:r w:rsidRPr="00206172">
                              <w:rPr>
                                <w:rFonts w:ascii="Calibri" w:hAnsi="Calibri" w:cs="Calibri"/>
                                <w:color w:val="000000"/>
                                <w:kern w:val="24"/>
                                <w:sz w:val="16"/>
                                <w:szCs w:val="16"/>
                              </w:rPr>
                              <w:t xml:space="preserve">paaugstina reitingu uz </w:t>
                            </w:r>
                            <w:r w:rsidRPr="00206172">
                              <w:rPr>
                                <w:rFonts w:ascii="Calibri" w:hAnsi="Calibri" w:cs="Calibri"/>
                                <w:b/>
                                <w:bCs/>
                                <w:color w:val="000000"/>
                                <w:kern w:val="24"/>
                                <w:sz w:val="16"/>
                                <w:szCs w:val="16"/>
                                <w:lang w:val="en-GB"/>
                              </w:rPr>
                              <w:t>BBB</w:t>
                            </w:r>
                            <w:r w:rsidRPr="00206172">
                              <w:rPr>
                                <w:rFonts w:ascii="Calibri" w:hAnsi="Calibri" w:cs="Calibri"/>
                                <w:b/>
                                <w:bCs/>
                                <w:color w:val="000000"/>
                                <w:kern w:val="24"/>
                                <w:sz w:val="16"/>
                                <w:szCs w:val="16"/>
                              </w:rPr>
                              <w:t>+</w:t>
                            </w:r>
                            <w:r w:rsidRPr="00206172">
                              <w:rPr>
                                <w:rFonts w:ascii="Calibri" w:hAnsi="Calibri" w:cs="Calibri"/>
                                <w:b/>
                                <w:bCs/>
                                <w:color w:val="000000"/>
                                <w:kern w:val="24"/>
                                <w:sz w:val="16"/>
                                <w:szCs w:val="16"/>
                                <w:lang w:val="en-GB"/>
                              </w:rPr>
                              <w:t>;</w:t>
                            </w:r>
                            <w:r w:rsidRPr="00206172">
                              <w:rPr>
                                <w:rFonts w:ascii="Calibri" w:hAnsi="Calibri" w:cs="Calibri"/>
                                <w:color w:val="000000"/>
                                <w:kern w:val="24"/>
                                <w:sz w:val="16"/>
                                <w:szCs w:val="16"/>
                                <w:lang w:val="en-GB"/>
                              </w:rPr>
                              <w:t xml:space="preserve"> </w:t>
                            </w:r>
                            <w:r w:rsidRPr="00206172">
                              <w:rPr>
                                <w:rFonts w:ascii="Calibri" w:hAnsi="Calibri" w:cs="Calibri"/>
                                <w:color w:val="000000"/>
                                <w:kern w:val="24"/>
                                <w:sz w:val="16"/>
                                <w:szCs w:val="16"/>
                              </w:rPr>
                              <w:t xml:space="preserve">maina </w:t>
                            </w:r>
                            <w:r w:rsidRPr="00206172">
                              <w:rPr>
                                <w:rFonts w:ascii="Calibri" w:hAnsi="Calibri" w:cs="Calibri"/>
                                <w:i/>
                                <w:iCs/>
                                <w:color w:val="000000"/>
                                <w:kern w:val="24"/>
                                <w:sz w:val="16"/>
                                <w:szCs w:val="16"/>
                                <w:lang w:val="en-GB"/>
                              </w:rPr>
                              <w:t>outlook</w:t>
                            </w:r>
                            <w:r w:rsidRPr="00206172">
                              <w:rPr>
                                <w:rFonts w:ascii="Calibri" w:hAnsi="Calibri" w:cs="Calibri"/>
                                <w:color w:val="000000"/>
                                <w:kern w:val="24"/>
                                <w:sz w:val="16"/>
                                <w:szCs w:val="16"/>
                                <w:lang w:val="en-GB"/>
                              </w:rPr>
                              <w:t xml:space="preserve"> </w:t>
                            </w:r>
                            <w:r w:rsidRPr="00206172">
                              <w:rPr>
                                <w:rFonts w:ascii="Calibri" w:hAnsi="Calibri" w:cs="Calibri"/>
                                <w:color w:val="000000"/>
                                <w:kern w:val="24"/>
                                <w:sz w:val="16"/>
                                <w:szCs w:val="16"/>
                              </w:rPr>
                              <w:t xml:space="preserve">uz </w:t>
                            </w:r>
                            <w:r w:rsidRPr="00206172">
                              <w:rPr>
                                <w:rFonts w:ascii="Calibri" w:hAnsi="Calibri" w:cs="Calibri"/>
                                <w:b/>
                                <w:bCs/>
                                <w:color w:val="000000"/>
                                <w:kern w:val="24"/>
                                <w:sz w:val="16"/>
                                <w:szCs w:val="16"/>
                              </w:rPr>
                              <w:t>stabilu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Rectangular Callout 27" o:spid="_x0000_s1027" type="#_x0000_t61" style="position:absolute;left:0;text-align:left;margin-left:323.2pt;margin-top:43.4pt;width:108.7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" adj="-2106,71105" fillcolor="#b5f030">
                <v:fill opacity="32896f"/>
                <v:textbox>
                  <w:txbxContent>
                    <w:p w:rsidR="00E14210" w:rsidRPr="00206172" w:rsidRDefault="00E14210" w:rsidP="004F3FAA">
                      <w:pPr>
                        <w:pStyle w:val="NormalWeb"/>
                        <w:spacing w:before="0" w:beforeAutospacing="0" w:after="0" w:afterAutospacing="0" w:line="200" w:lineRule="exact"/>
                        <w:jc w:val="center"/>
                        <w:rPr>
                          <w:rFonts w:ascii="Calibri" w:hAnsi="Calibri" w:cs="Calibri"/>
                          <w:sz w:val="16"/>
                          <w:szCs w:val="16"/>
                        </w:rPr>
                      </w:pPr>
                      <w:r w:rsidRPr="00206172">
                        <w:rPr>
                          <w:rFonts w:ascii="Calibri" w:hAnsi="Calibri" w:cs="Calibri"/>
                          <w:b/>
                          <w:bCs/>
                          <w:sz w:val="16"/>
                          <w:szCs w:val="16"/>
                        </w:rPr>
                        <w:t>Jūnijā</w:t>
                      </w:r>
                      <w:r w:rsidRPr="00206172">
                        <w:rPr>
                          <w:rFonts w:ascii="Calibri" w:hAnsi="Calibri" w:cs="Calibri"/>
                          <w:sz w:val="16"/>
                          <w:szCs w:val="16"/>
                        </w:rPr>
                        <w:t xml:space="preserve"> S&amp;P un </w:t>
                      </w:r>
                      <w:r w:rsidRPr="00206172">
                        <w:rPr>
                          <w:rFonts w:ascii="Calibri" w:hAnsi="Calibri" w:cs="Calibri"/>
                          <w:b/>
                          <w:bCs/>
                          <w:sz w:val="16"/>
                          <w:szCs w:val="16"/>
                        </w:rPr>
                        <w:t>jūlijā</w:t>
                      </w:r>
                      <w:r w:rsidRPr="00206172">
                        <w:rPr>
                          <w:rFonts w:ascii="Calibri" w:hAnsi="Calibri" w:cs="Calibri"/>
                          <w:sz w:val="16"/>
                          <w:szCs w:val="16"/>
                        </w:rPr>
                        <w:t xml:space="preserve"> </w:t>
                      </w:r>
                      <w:proofErr w:type="spellStart"/>
                      <w:r w:rsidRPr="00206172">
                        <w:rPr>
                          <w:rFonts w:ascii="Calibri" w:hAnsi="Calibri" w:cs="Calibri"/>
                          <w:sz w:val="16"/>
                          <w:szCs w:val="16"/>
                        </w:rPr>
                        <w:t>Fitch</w:t>
                      </w:r>
                      <w:proofErr w:type="spellEnd"/>
                      <w:r w:rsidRPr="00206172">
                        <w:rPr>
                          <w:rFonts w:ascii="Calibri" w:hAnsi="Calibri" w:cs="Calibri"/>
                          <w:sz w:val="16"/>
                          <w:szCs w:val="16"/>
                        </w:rPr>
                        <w:t xml:space="preserve"> </w:t>
                      </w:r>
                      <w:r w:rsidRPr="00206172">
                        <w:rPr>
                          <w:rFonts w:ascii="Calibri" w:hAnsi="Calibri" w:cs="Calibri"/>
                          <w:color w:val="000000"/>
                          <w:kern w:val="24"/>
                          <w:sz w:val="16"/>
                          <w:szCs w:val="16"/>
                        </w:rPr>
                        <w:t xml:space="preserve">paaugstina reitingu uz </w:t>
                      </w:r>
                      <w:r w:rsidRPr="00206172">
                        <w:rPr>
                          <w:rFonts w:ascii="Calibri" w:hAnsi="Calibri" w:cs="Calibri"/>
                          <w:b/>
                          <w:bCs/>
                          <w:color w:val="000000"/>
                          <w:kern w:val="24"/>
                          <w:sz w:val="16"/>
                          <w:szCs w:val="16"/>
                          <w:lang w:val="en-GB"/>
                        </w:rPr>
                        <w:t>BBB</w:t>
                      </w:r>
                      <w:r w:rsidRPr="00206172">
                        <w:rPr>
                          <w:rFonts w:ascii="Calibri" w:hAnsi="Calibri" w:cs="Calibri"/>
                          <w:b/>
                          <w:bCs/>
                          <w:color w:val="000000"/>
                          <w:kern w:val="24"/>
                          <w:sz w:val="16"/>
                          <w:szCs w:val="16"/>
                        </w:rPr>
                        <w:t>+</w:t>
                      </w:r>
                      <w:r w:rsidRPr="00206172">
                        <w:rPr>
                          <w:rFonts w:ascii="Calibri" w:hAnsi="Calibri" w:cs="Calibri"/>
                          <w:b/>
                          <w:bCs/>
                          <w:color w:val="000000"/>
                          <w:kern w:val="24"/>
                          <w:sz w:val="16"/>
                          <w:szCs w:val="16"/>
                          <w:lang w:val="en-GB"/>
                        </w:rPr>
                        <w:t>;</w:t>
                      </w:r>
                      <w:r w:rsidRPr="00206172">
                        <w:rPr>
                          <w:rFonts w:ascii="Calibri" w:hAnsi="Calibri" w:cs="Calibri"/>
                          <w:color w:val="000000"/>
                          <w:kern w:val="24"/>
                          <w:sz w:val="16"/>
                          <w:szCs w:val="16"/>
                          <w:lang w:val="en-GB"/>
                        </w:rPr>
                        <w:t xml:space="preserve"> </w:t>
                      </w:r>
                      <w:r w:rsidRPr="00206172">
                        <w:rPr>
                          <w:rFonts w:ascii="Calibri" w:hAnsi="Calibri" w:cs="Calibri"/>
                          <w:color w:val="000000"/>
                          <w:kern w:val="24"/>
                          <w:sz w:val="16"/>
                          <w:szCs w:val="16"/>
                        </w:rPr>
                        <w:t xml:space="preserve">maina </w:t>
                      </w:r>
                      <w:r w:rsidRPr="00206172">
                        <w:rPr>
                          <w:rFonts w:ascii="Calibri" w:hAnsi="Calibri" w:cs="Calibri"/>
                          <w:i/>
                          <w:iCs/>
                          <w:color w:val="000000"/>
                          <w:kern w:val="24"/>
                          <w:sz w:val="16"/>
                          <w:szCs w:val="16"/>
                          <w:lang w:val="en-GB"/>
                        </w:rPr>
                        <w:t>outlook</w:t>
                      </w:r>
                      <w:r w:rsidRPr="00206172">
                        <w:rPr>
                          <w:rFonts w:ascii="Calibri" w:hAnsi="Calibri" w:cs="Calibri"/>
                          <w:color w:val="000000"/>
                          <w:kern w:val="24"/>
                          <w:sz w:val="16"/>
                          <w:szCs w:val="16"/>
                          <w:lang w:val="en-GB"/>
                        </w:rPr>
                        <w:t xml:space="preserve"> </w:t>
                      </w:r>
                      <w:r w:rsidRPr="00206172">
                        <w:rPr>
                          <w:rFonts w:ascii="Calibri" w:hAnsi="Calibri" w:cs="Calibri"/>
                          <w:color w:val="000000"/>
                          <w:kern w:val="24"/>
                          <w:sz w:val="16"/>
                          <w:szCs w:val="16"/>
                        </w:rPr>
                        <w:t xml:space="preserve">uz </w:t>
                      </w:r>
                      <w:r w:rsidRPr="00206172">
                        <w:rPr>
                          <w:rFonts w:ascii="Calibri" w:hAnsi="Calibri" w:cs="Calibri"/>
                          <w:b/>
                          <w:bCs/>
                          <w:color w:val="000000"/>
                          <w:kern w:val="24"/>
                          <w:sz w:val="16"/>
                          <w:szCs w:val="16"/>
                        </w:rPr>
                        <w:t>stabilu</w:t>
                      </w:r>
                    </w:p>
                  </w:txbxContent>
                </v:textbox>
              </v:shape>
            </w:pict>
          </mc:Fallback>
        </mc:AlternateContent>
      </w:r>
      <w:r>
        <w:rPr>
          <w:noProof/>
        </w:rPr>
        <mc:AlternateContent>
          <mc:Choice Requires="wpg">
            <w:drawing>
              <wp:anchor distT="0" distB="0" distL="114300" distR="114300" simplePos="0" relativeHeight="251662336" behindDoc="0" locked="0" layoutInCell="1" allowOverlap="1" wp14:anchorId="11BF6FE0" wp14:editId="7833A303">
                <wp:simplePos x="0" y="0"/>
                <wp:positionH relativeFrom="column">
                  <wp:posOffset>395605</wp:posOffset>
                </wp:positionH>
                <wp:positionV relativeFrom="paragraph">
                  <wp:posOffset>36195</wp:posOffset>
                </wp:positionV>
                <wp:extent cx="5490210" cy="3068955"/>
                <wp:effectExtent l="0" t="4445" r="6350" b="317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0210" cy="3068955"/>
                          <a:chOff x="2324" y="2602"/>
                          <a:chExt cx="8646" cy="4833"/>
                        </a:xfrm>
                      </wpg:grpSpPr>
                      <wps:wsp>
                        <wps:cNvPr id="25" name="TextBox 1"/>
                        <wps:cNvSpPr txBox="1">
                          <a:spLocks noChangeArrowheads="1"/>
                        </wps:cNvSpPr>
                        <wps:spPr bwMode="auto">
                          <a:xfrm>
                            <a:off x="9394" y="5680"/>
                            <a:ext cx="1576" cy="1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4210" w:rsidRPr="009C5DE9" w:rsidRDefault="00E14210" w:rsidP="004F3FAA">
                              <w:pPr>
                                <w:pStyle w:val="NormalWeb"/>
                                <w:spacing w:before="0" w:beforeAutospacing="0" w:after="0" w:afterAutospacing="0"/>
                                <w:rPr>
                                  <w:sz w:val="16"/>
                                </w:rPr>
                              </w:pPr>
                              <w:r w:rsidRPr="009C5DE9">
                                <w:rPr>
                                  <w:b/>
                                  <w:bCs/>
                                  <w:color w:val="008A3E"/>
                                  <w:sz w:val="16"/>
                                </w:rPr>
                                <w:t>S&amp;P:BBB</w:t>
                              </w:r>
                            </w:p>
                            <w:p w:rsidR="00E14210" w:rsidRPr="009C5DE9" w:rsidRDefault="00E14210" w:rsidP="004F3FAA">
                              <w:pPr>
                                <w:pStyle w:val="NormalWeb"/>
                                <w:spacing w:before="0" w:beforeAutospacing="0" w:after="0" w:afterAutospacing="0"/>
                                <w:rPr>
                                  <w:sz w:val="16"/>
                                </w:rPr>
                              </w:pPr>
                              <w:r w:rsidRPr="009C5DE9">
                                <w:rPr>
                                  <w:b/>
                                  <w:bCs/>
                                  <w:color w:val="FF0000"/>
                                  <w:sz w:val="16"/>
                                </w:rPr>
                                <w:t>S&amp;P:BBB+</w:t>
                              </w:r>
                            </w:p>
                            <w:p w:rsidR="00E14210" w:rsidRPr="001A63E6" w:rsidRDefault="00E14210" w:rsidP="004F3FAA">
                              <w:pPr>
                                <w:pStyle w:val="NormalWeb"/>
                                <w:spacing w:before="0" w:beforeAutospacing="0" w:after="0" w:afterAutospacing="0"/>
                                <w:rPr>
                                  <w:color w:val="59DBE9"/>
                                  <w:sz w:val="16"/>
                                </w:rPr>
                              </w:pPr>
                              <w:r w:rsidRPr="001A63E6">
                                <w:rPr>
                                  <w:b/>
                                  <w:bCs/>
                                  <w:color w:val="59DBE9"/>
                                  <w:sz w:val="16"/>
                                </w:rPr>
                                <w:t>S&amp;P:BBB</w:t>
                              </w:r>
                            </w:p>
                            <w:p w:rsidR="00E14210" w:rsidRPr="001A63E6" w:rsidRDefault="00E14210" w:rsidP="004F3FAA">
                              <w:pPr>
                                <w:pStyle w:val="NormalWeb"/>
                                <w:spacing w:before="0" w:beforeAutospacing="0" w:after="0" w:afterAutospacing="0"/>
                                <w:rPr>
                                  <w:color w:val="E68ECF"/>
                                  <w:sz w:val="16"/>
                                </w:rPr>
                              </w:pPr>
                              <w:r w:rsidRPr="001A63E6">
                                <w:rPr>
                                  <w:b/>
                                  <w:bCs/>
                                  <w:color w:val="E68ECF"/>
                                  <w:sz w:val="16"/>
                                </w:rPr>
                                <w:t>S&amp;P:BBB-</w:t>
                              </w:r>
                            </w:p>
                            <w:p w:rsidR="00E14210" w:rsidRPr="009C5DE9" w:rsidRDefault="00E14210" w:rsidP="004F3FAA">
                              <w:pPr>
                                <w:pStyle w:val="NormalWeb"/>
                                <w:spacing w:before="0" w:beforeAutospacing="0" w:after="0" w:afterAutospacing="0"/>
                                <w:rPr>
                                  <w:sz w:val="16"/>
                                </w:rPr>
                              </w:pPr>
                              <w:r w:rsidRPr="00EC5EDC">
                                <w:rPr>
                                  <w:b/>
                                  <w:bCs/>
                                  <w:color w:val="000000"/>
                                  <w:sz w:val="16"/>
                                </w:rPr>
                                <w:t>S&amp;P:A</w:t>
                              </w:r>
                            </w:p>
                          </w:txbxContent>
                        </wps:txbx>
                        <wps:bodyPr rot="0" vert="horz" wrap="square" lIns="91440" tIns="45720" rIns="91440" bIns="45720" anchor="t" anchorCtr="0" upright="1">
                          <a:noAutofit/>
                        </wps:bodyPr>
                      </wps:wsp>
                      <wps:wsp>
                        <wps:cNvPr id="26" name="Text Box 3"/>
                        <wps:cNvSpPr txBox="1">
                          <a:spLocks noChangeArrowheads="1"/>
                        </wps:cNvSpPr>
                        <wps:spPr bwMode="auto">
                          <a:xfrm>
                            <a:off x="2324" y="2602"/>
                            <a:ext cx="731" cy="40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14210" w:rsidRPr="009C5DE9" w:rsidRDefault="00E14210" w:rsidP="004F3FAA">
                              <w:pPr>
                                <w:rPr>
                                  <w:sz w:val="16"/>
                                </w:rPr>
                              </w:pPr>
                              <w:r w:rsidRPr="009C5DE9">
                                <w:rPr>
                                  <w:sz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8" style="position:absolute;left:0;text-align:left;margin-left:31.15pt;margin-top:2.85pt;width:432.3pt;height:241.65pt;z-index:251662336" coordorigin="2324,2602" coordsize="8646,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">
                <v:shapetype id="_x0000_t202" coordsize="21600,21600" o:spt="202" path="m,l,21600r21600,l21600,xe">
                  <v:stroke joinstyle="miter"/>
                  <v:path gradientshapeok="t" o:connecttype="rect"/>
                </v:shapetype>
                <v:shape id="TextBox 1" o:spid="_x0000_s1029" type="#_x0000_t202" style="position:absolute;left:9394;top:5680;width:1576;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h4cMA&#10;AADbAAAADwAAAGRycy9kb3ducmV2LnhtbESPX2vCMBTF3wd+h3AFX4amFpR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h4cMAAADbAAAADwAAAAAAAAAAAAAAAACYAgAAZHJzL2Rv&#10;d25yZXYueG1sUEsFBgAAAAAEAAQA9QAAAIgDAAAAAA==&#10;" stroked="f">
                  <v:fill opacity="0"/>
                  <v:textbox>
                    <w:txbxContent>
                      <w:p w:rsidR="00E14210" w:rsidRPr="009C5DE9" w:rsidRDefault="00E14210" w:rsidP="004F3FAA">
                        <w:pPr>
                          <w:pStyle w:val="NormalWeb"/>
                          <w:spacing w:before="0" w:beforeAutospacing="0" w:after="0" w:afterAutospacing="0"/>
                          <w:rPr>
                            <w:sz w:val="16"/>
                          </w:rPr>
                        </w:pPr>
                        <w:r w:rsidRPr="009C5DE9">
                          <w:rPr>
                            <w:b/>
                            <w:bCs/>
                            <w:color w:val="008A3E"/>
                            <w:sz w:val="16"/>
                          </w:rPr>
                          <w:t>S&amp;P:BBB</w:t>
                        </w:r>
                      </w:p>
                      <w:p w:rsidR="00E14210" w:rsidRPr="009C5DE9" w:rsidRDefault="00E14210" w:rsidP="004F3FAA">
                        <w:pPr>
                          <w:pStyle w:val="NormalWeb"/>
                          <w:spacing w:before="0" w:beforeAutospacing="0" w:after="0" w:afterAutospacing="0"/>
                          <w:rPr>
                            <w:sz w:val="16"/>
                          </w:rPr>
                        </w:pPr>
                        <w:r w:rsidRPr="009C5DE9">
                          <w:rPr>
                            <w:b/>
                            <w:bCs/>
                            <w:color w:val="FF0000"/>
                            <w:sz w:val="16"/>
                          </w:rPr>
                          <w:t>S&amp;P:BBB+</w:t>
                        </w:r>
                      </w:p>
                      <w:p w:rsidR="00E14210" w:rsidRPr="001A63E6" w:rsidRDefault="00E14210" w:rsidP="004F3FAA">
                        <w:pPr>
                          <w:pStyle w:val="NormalWeb"/>
                          <w:spacing w:before="0" w:beforeAutospacing="0" w:after="0" w:afterAutospacing="0"/>
                          <w:rPr>
                            <w:color w:val="59DBE9"/>
                            <w:sz w:val="16"/>
                          </w:rPr>
                        </w:pPr>
                        <w:r w:rsidRPr="001A63E6">
                          <w:rPr>
                            <w:b/>
                            <w:bCs/>
                            <w:color w:val="59DBE9"/>
                            <w:sz w:val="16"/>
                          </w:rPr>
                          <w:t>S&amp;P:BBB</w:t>
                        </w:r>
                      </w:p>
                      <w:p w:rsidR="00E14210" w:rsidRPr="001A63E6" w:rsidRDefault="00E14210" w:rsidP="004F3FAA">
                        <w:pPr>
                          <w:pStyle w:val="NormalWeb"/>
                          <w:spacing w:before="0" w:beforeAutospacing="0" w:after="0" w:afterAutospacing="0"/>
                          <w:rPr>
                            <w:color w:val="E68ECF"/>
                            <w:sz w:val="16"/>
                          </w:rPr>
                        </w:pPr>
                        <w:r w:rsidRPr="001A63E6">
                          <w:rPr>
                            <w:b/>
                            <w:bCs/>
                            <w:color w:val="E68ECF"/>
                            <w:sz w:val="16"/>
                          </w:rPr>
                          <w:t>S&amp;P:BBB-</w:t>
                        </w:r>
                      </w:p>
                      <w:p w:rsidR="00E14210" w:rsidRPr="009C5DE9" w:rsidRDefault="00E14210" w:rsidP="004F3FAA">
                        <w:pPr>
                          <w:pStyle w:val="NormalWeb"/>
                          <w:spacing w:before="0" w:beforeAutospacing="0" w:after="0" w:afterAutospacing="0"/>
                          <w:rPr>
                            <w:sz w:val="16"/>
                          </w:rPr>
                        </w:pPr>
                        <w:r w:rsidRPr="00EC5EDC">
                          <w:rPr>
                            <w:b/>
                            <w:bCs/>
                            <w:color w:val="000000"/>
                            <w:sz w:val="16"/>
                          </w:rPr>
                          <w:t>S&amp;P:A</w:t>
                        </w:r>
                      </w:p>
                    </w:txbxContent>
                  </v:textbox>
                </v:shape>
                <v:shape id="Text Box 3" o:spid="_x0000_s1030" type="#_x0000_t202" style="position:absolute;left:2324;top:2602;width:73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O68AA&#10;AADbAAAADwAAAGRycy9kb3ducmV2LnhtbESPT4vCMBTE7wt+h/AEb2uqiEg1LSIIexL8e340z6bY&#10;vJQkq9VPb4SFPQ4z8xtmVfa2FXfyoXGsYDLOQBBXTjdcKzgdt98LECEia2wdk4InBSiLwdcKc+0e&#10;vKf7IdYiQTjkqMDE2OVShsqQxTB2HXHyrs5bjEn6WmqPjwS3rZxm2VxabDgtGOxoY6i6HX6tgktt&#10;X5fzpPNG23bGu9fzeHKNUqNhv16CiNTH//Bf+0crmM7h8yX9AF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oO68AAAADbAAAADwAAAAAAAAAAAAAAAACYAgAAZHJzL2Rvd25y&#10;ZXYueG1sUEsFBgAAAAAEAAQA9QAAAIUDAAAAAA==&#10;" stroked="f" strokeweight=".5pt">
                  <v:textbox>
                    <w:txbxContent>
                      <w:p w:rsidR="00E14210" w:rsidRPr="009C5DE9" w:rsidRDefault="00E14210" w:rsidP="004F3FAA">
                        <w:pPr>
                          <w:rPr>
                            <w:sz w:val="16"/>
                          </w:rPr>
                        </w:pPr>
                        <w:r w:rsidRPr="009C5DE9">
                          <w:rPr>
                            <w:sz w:val="16"/>
                          </w:rPr>
                          <w:t>%</w:t>
                        </w:r>
                      </w:p>
                    </w:txbxContent>
                  </v:textbox>
                </v:shape>
              </v:group>
            </w:pict>
          </mc:Fallback>
        </mc:AlternateContent>
      </w:r>
      <w:r>
        <w:rPr>
          <w:noProof/>
        </w:rPr>
        <mc:AlternateContent>
          <mc:Choice Requires="wps">
            <w:drawing>
              <wp:anchor distT="0" distB="0" distL="114300" distR="114300" simplePos="0" relativeHeight="251663360" behindDoc="0" locked="0" layoutInCell="1" allowOverlap="1" wp14:anchorId="7001A498" wp14:editId="0A145AD3">
                <wp:simplePos x="0" y="0"/>
                <wp:positionH relativeFrom="column">
                  <wp:posOffset>262890</wp:posOffset>
                </wp:positionH>
                <wp:positionV relativeFrom="paragraph">
                  <wp:posOffset>2524760</wp:posOffset>
                </wp:positionV>
                <wp:extent cx="1303655" cy="477520"/>
                <wp:effectExtent l="9525" t="578485" r="10795" b="10795"/>
                <wp:wrapNone/>
                <wp:docPr id="23" name="Rectangular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1303655" cy="477520"/>
                        </a:xfrm>
                        <a:prstGeom prst="wedgeRectCallout">
                          <a:avLst>
                            <a:gd name="adj1" fmla="val -5481"/>
                            <a:gd name="adj2" fmla="val -166227"/>
                          </a:avLst>
                        </a:prstGeom>
                        <a:solidFill>
                          <a:srgbClr val="B5F030">
                            <a:alpha val="50195"/>
                          </a:srgbClr>
                        </a:solidFill>
                        <a:ln w="9525">
                          <a:solidFill>
                            <a:srgbClr val="000000"/>
                          </a:solidFill>
                          <a:miter lim="800000"/>
                          <a:headEnd/>
                          <a:tailEnd/>
                        </a:ln>
                      </wps:spPr>
                      <wps:txbx>
                        <w:txbxContent>
                          <w:p w:rsidR="00E14210" w:rsidRPr="00206172" w:rsidRDefault="00E14210" w:rsidP="004F3FAA">
                            <w:pPr>
                              <w:pStyle w:val="NormalWeb"/>
                              <w:spacing w:before="0" w:beforeAutospacing="0" w:after="0" w:afterAutospacing="0" w:line="200" w:lineRule="exact"/>
                              <w:jc w:val="center"/>
                              <w:rPr>
                                <w:rFonts w:ascii="Calibri" w:hAnsi="Calibri" w:cs="Calibri"/>
                                <w:sz w:val="16"/>
                                <w:szCs w:val="16"/>
                              </w:rPr>
                            </w:pPr>
                            <w:r w:rsidRPr="00206172">
                              <w:rPr>
                                <w:rFonts w:ascii="Calibri" w:hAnsi="Calibri" w:cs="Calibri"/>
                                <w:b/>
                                <w:bCs/>
                                <w:sz w:val="16"/>
                                <w:szCs w:val="16"/>
                              </w:rPr>
                              <w:t>Maijā</w:t>
                            </w:r>
                            <w:r w:rsidRPr="00206172">
                              <w:rPr>
                                <w:rFonts w:ascii="Calibri" w:hAnsi="Calibri" w:cs="Calibri"/>
                                <w:sz w:val="16"/>
                                <w:szCs w:val="16"/>
                              </w:rPr>
                              <w:t xml:space="preserve"> S&amp;P </w:t>
                            </w:r>
                            <w:r w:rsidRPr="00206172">
                              <w:rPr>
                                <w:rFonts w:ascii="Calibri" w:hAnsi="Calibri" w:cs="Calibri"/>
                                <w:color w:val="000000"/>
                                <w:kern w:val="24"/>
                                <w:sz w:val="16"/>
                                <w:szCs w:val="16"/>
                              </w:rPr>
                              <w:t xml:space="preserve">paaugstina reitingu uz </w:t>
                            </w:r>
                            <w:r w:rsidRPr="00206172">
                              <w:rPr>
                                <w:rFonts w:ascii="Calibri" w:hAnsi="Calibri" w:cs="Calibri"/>
                                <w:b/>
                                <w:bCs/>
                                <w:color w:val="000000"/>
                                <w:kern w:val="24"/>
                                <w:sz w:val="16"/>
                                <w:szCs w:val="16"/>
                                <w:lang w:val="en-GB"/>
                              </w:rPr>
                              <w:t>BBB-;</w:t>
                            </w:r>
                            <w:r w:rsidRPr="00206172">
                              <w:rPr>
                                <w:rFonts w:ascii="Calibri" w:hAnsi="Calibri" w:cs="Calibri"/>
                                <w:color w:val="000000"/>
                                <w:kern w:val="24"/>
                                <w:sz w:val="16"/>
                                <w:szCs w:val="16"/>
                                <w:lang w:val="en-GB"/>
                              </w:rPr>
                              <w:t xml:space="preserve"> </w:t>
                            </w:r>
                            <w:proofErr w:type="spellStart"/>
                            <w:r w:rsidRPr="00206172">
                              <w:rPr>
                                <w:rFonts w:ascii="Calibri" w:hAnsi="Calibri" w:cs="Calibri"/>
                                <w:color w:val="000000"/>
                                <w:kern w:val="24"/>
                                <w:sz w:val="16"/>
                                <w:szCs w:val="16"/>
                                <w:lang w:val="en-GB"/>
                              </w:rPr>
                              <w:t>maina</w:t>
                            </w:r>
                            <w:proofErr w:type="spellEnd"/>
                            <w:r w:rsidRPr="00206172">
                              <w:rPr>
                                <w:rFonts w:ascii="Calibri" w:hAnsi="Calibri" w:cs="Calibri"/>
                                <w:color w:val="000000"/>
                                <w:kern w:val="24"/>
                                <w:sz w:val="16"/>
                                <w:szCs w:val="16"/>
                                <w:lang w:val="en-GB"/>
                              </w:rPr>
                              <w:t xml:space="preserve"> </w:t>
                            </w:r>
                            <w:r w:rsidRPr="00206172">
                              <w:rPr>
                                <w:rFonts w:ascii="Calibri" w:hAnsi="Calibri" w:cs="Calibri"/>
                                <w:i/>
                                <w:iCs/>
                                <w:color w:val="000000"/>
                                <w:kern w:val="24"/>
                                <w:sz w:val="16"/>
                                <w:szCs w:val="16"/>
                                <w:lang w:val="en-GB"/>
                              </w:rPr>
                              <w:t>outlook</w:t>
                            </w:r>
                            <w:r w:rsidRPr="00206172">
                              <w:rPr>
                                <w:rFonts w:ascii="Calibri" w:hAnsi="Calibri" w:cs="Calibri"/>
                                <w:color w:val="000000"/>
                                <w:kern w:val="24"/>
                                <w:sz w:val="16"/>
                                <w:szCs w:val="16"/>
                                <w:lang w:val="en-GB"/>
                              </w:rPr>
                              <w:t xml:space="preserve"> </w:t>
                            </w:r>
                            <w:proofErr w:type="spellStart"/>
                            <w:r w:rsidRPr="00206172">
                              <w:rPr>
                                <w:rFonts w:ascii="Calibri" w:hAnsi="Calibri" w:cs="Calibri"/>
                                <w:color w:val="000000"/>
                                <w:kern w:val="24"/>
                                <w:sz w:val="16"/>
                                <w:szCs w:val="16"/>
                                <w:lang w:val="en-GB"/>
                              </w:rPr>
                              <w:t>uz</w:t>
                            </w:r>
                            <w:proofErr w:type="spellEnd"/>
                            <w:r w:rsidRPr="00206172">
                              <w:rPr>
                                <w:rFonts w:ascii="Calibri" w:hAnsi="Calibri" w:cs="Calibri"/>
                                <w:color w:val="000000"/>
                                <w:kern w:val="24"/>
                                <w:sz w:val="16"/>
                                <w:szCs w:val="16"/>
                                <w:lang w:val="en-GB"/>
                              </w:rPr>
                              <w:t xml:space="preserve"> </w:t>
                            </w:r>
                            <w:r w:rsidRPr="00206172">
                              <w:rPr>
                                <w:rFonts w:ascii="Calibri" w:hAnsi="Calibri" w:cs="Calibri"/>
                                <w:b/>
                                <w:bCs/>
                                <w:color w:val="000000"/>
                                <w:kern w:val="24"/>
                                <w:sz w:val="16"/>
                                <w:szCs w:val="16"/>
                              </w:rPr>
                              <w:t>stabil</w:t>
                            </w:r>
                            <w:r w:rsidRPr="00206172">
                              <w:rPr>
                                <w:rFonts w:ascii="Calibri" w:hAnsi="Calibri" w:cs="Calibri"/>
                                <w:b/>
                                <w:sz w:val="16"/>
                                <w:szCs w:val="16"/>
                              </w:rPr>
                              <w: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Rectangular Callout 23" o:spid="_x0000_s1031" type="#_x0000_t61" style="position:absolute;left:0;text-align:left;margin-left:20.7pt;margin-top:198.8pt;width:102.65pt;height:37.6pt;rotation:180;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" adj="9616,-25105" fillcolor="#b5f030">
                <v:fill opacity="32896f"/>
                <v:textbox>
                  <w:txbxContent>
                    <w:p w:rsidR="00E14210" w:rsidRPr="00206172" w:rsidRDefault="00E14210" w:rsidP="004F3FAA">
                      <w:pPr>
                        <w:pStyle w:val="NormalWeb"/>
                        <w:spacing w:before="0" w:beforeAutospacing="0" w:after="0" w:afterAutospacing="0" w:line="200" w:lineRule="exact"/>
                        <w:jc w:val="center"/>
                        <w:rPr>
                          <w:rFonts w:ascii="Calibri" w:hAnsi="Calibri" w:cs="Calibri"/>
                          <w:sz w:val="16"/>
                          <w:szCs w:val="16"/>
                        </w:rPr>
                      </w:pPr>
                      <w:r w:rsidRPr="00206172">
                        <w:rPr>
                          <w:rFonts w:ascii="Calibri" w:hAnsi="Calibri" w:cs="Calibri"/>
                          <w:b/>
                          <w:bCs/>
                          <w:sz w:val="16"/>
                          <w:szCs w:val="16"/>
                        </w:rPr>
                        <w:t>Maijā</w:t>
                      </w:r>
                      <w:r w:rsidRPr="00206172">
                        <w:rPr>
                          <w:rFonts w:ascii="Calibri" w:hAnsi="Calibri" w:cs="Calibri"/>
                          <w:sz w:val="16"/>
                          <w:szCs w:val="16"/>
                        </w:rPr>
                        <w:t xml:space="preserve"> S&amp;P </w:t>
                      </w:r>
                      <w:r w:rsidRPr="00206172">
                        <w:rPr>
                          <w:rFonts w:ascii="Calibri" w:hAnsi="Calibri" w:cs="Calibri"/>
                          <w:color w:val="000000"/>
                          <w:kern w:val="24"/>
                          <w:sz w:val="16"/>
                          <w:szCs w:val="16"/>
                        </w:rPr>
                        <w:t xml:space="preserve">paaugstina reitingu uz </w:t>
                      </w:r>
                      <w:r w:rsidRPr="00206172">
                        <w:rPr>
                          <w:rFonts w:ascii="Calibri" w:hAnsi="Calibri" w:cs="Calibri"/>
                          <w:b/>
                          <w:bCs/>
                          <w:color w:val="000000"/>
                          <w:kern w:val="24"/>
                          <w:sz w:val="16"/>
                          <w:szCs w:val="16"/>
                          <w:lang w:val="en-GB"/>
                        </w:rPr>
                        <w:t>BBB-;</w:t>
                      </w:r>
                      <w:r w:rsidRPr="00206172">
                        <w:rPr>
                          <w:rFonts w:ascii="Calibri" w:hAnsi="Calibri" w:cs="Calibri"/>
                          <w:color w:val="000000"/>
                          <w:kern w:val="24"/>
                          <w:sz w:val="16"/>
                          <w:szCs w:val="16"/>
                          <w:lang w:val="en-GB"/>
                        </w:rPr>
                        <w:t xml:space="preserve"> </w:t>
                      </w:r>
                      <w:proofErr w:type="spellStart"/>
                      <w:r w:rsidRPr="00206172">
                        <w:rPr>
                          <w:rFonts w:ascii="Calibri" w:hAnsi="Calibri" w:cs="Calibri"/>
                          <w:color w:val="000000"/>
                          <w:kern w:val="24"/>
                          <w:sz w:val="16"/>
                          <w:szCs w:val="16"/>
                          <w:lang w:val="en-GB"/>
                        </w:rPr>
                        <w:t>maina</w:t>
                      </w:r>
                      <w:proofErr w:type="spellEnd"/>
                      <w:r w:rsidRPr="00206172">
                        <w:rPr>
                          <w:rFonts w:ascii="Calibri" w:hAnsi="Calibri" w:cs="Calibri"/>
                          <w:color w:val="000000"/>
                          <w:kern w:val="24"/>
                          <w:sz w:val="16"/>
                          <w:szCs w:val="16"/>
                          <w:lang w:val="en-GB"/>
                        </w:rPr>
                        <w:t xml:space="preserve"> </w:t>
                      </w:r>
                      <w:r w:rsidRPr="00206172">
                        <w:rPr>
                          <w:rFonts w:ascii="Calibri" w:hAnsi="Calibri" w:cs="Calibri"/>
                          <w:i/>
                          <w:iCs/>
                          <w:color w:val="000000"/>
                          <w:kern w:val="24"/>
                          <w:sz w:val="16"/>
                          <w:szCs w:val="16"/>
                          <w:lang w:val="en-GB"/>
                        </w:rPr>
                        <w:t>outlook</w:t>
                      </w:r>
                      <w:r w:rsidRPr="00206172">
                        <w:rPr>
                          <w:rFonts w:ascii="Calibri" w:hAnsi="Calibri" w:cs="Calibri"/>
                          <w:color w:val="000000"/>
                          <w:kern w:val="24"/>
                          <w:sz w:val="16"/>
                          <w:szCs w:val="16"/>
                          <w:lang w:val="en-GB"/>
                        </w:rPr>
                        <w:t xml:space="preserve"> </w:t>
                      </w:r>
                      <w:proofErr w:type="spellStart"/>
                      <w:r w:rsidRPr="00206172">
                        <w:rPr>
                          <w:rFonts w:ascii="Calibri" w:hAnsi="Calibri" w:cs="Calibri"/>
                          <w:color w:val="000000"/>
                          <w:kern w:val="24"/>
                          <w:sz w:val="16"/>
                          <w:szCs w:val="16"/>
                          <w:lang w:val="en-GB"/>
                        </w:rPr>
                        <w:t>uz</w:t>
                      </w:r>
                      <w:proofErr w:type="spellEnd"/>
                      <w:r w:rsidRPr="00206172">
                        <w:rPr>
                          <w:rFonts w:ascii="Calibri" w:hAnsi="Calibri" w:cs="Calibri"/>
                          <w:color w:val="000000"/>
                          <w:kern w:val="24"/>
                          <w:sz w:val="16"/>
                          <w:szCs w:val="16"/>
                          <w:lang w:val="en-GB"/>
                        </w:rPr>
                        <w:t xml:space="preserve"> </w:t>
                      </w:r>
                      <w:r w:rsidRPr="00206172">
                        <w:rPr>
                          <w:rFonts w:ascii="Calibri" w:hAnsi="Calibri" w:cs="Calibri"/>
                          <w:b/>
                          <w:bCs/>
                          <w:color w:val="000000"/>
                          <w:kern w:val="24"/>
                          <w:sz w:val="16"/>
                          <w:szCs w:val="16"/>
                        </w:rPr>
                        <w:t>stabil</w:t>
                      </w:r>
                      <w:r w:rsidRPr="00206172">
                        <w:rPr>
                          <w:rFonts w:ascii="Calibri" w:hAnsi="Calibri" w:cs="Calibri"/>
                          <w:b/>
                          <w:sz w:val="16"/>
                          <w:szCs w:val="16"/>
                        </w:rPr>
                        <w:t>u</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9ED1104" wp14:editId="26B2A16B">
                <wp:simplePos x="0" y="0"/>
                <wp:positionH relativeFrom="column">
                  <wp:posOffset>1238250</wp:posOffset>
                </wp:positionH>
                <wp:positionV relativeFrom="paragraph">
                  <wp:posOffset>245745</wp:posOffset>
                </wp:positionV>
                <wp:extent cx="1628775" cy="477520"/>
                <wp:effectExtent l="13335" t="13970" r="5715" b="1851660"/>
                <wp:wrapNone/>
                <wp:docPr id="22" name="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628775" cy="477520"/>
                        </a:xfrm>
                        <a:prstGeom prst="wedgeRectCallout">
                          <a:avLst>
                            <a:gd name="adj1" fmla="val -13861"/>
                            <a:gd name="adj2" fmla="val 426861"/>
                          </a:avLst>
                        </a:prstGeom>
                        <a:solidFill>
                          <a:srgbClr val="B5F030">
                            <a:alpha val="50195"/>
                          </a:srgbClr>
                        </a:solidFill>
                        <a:ln w="9525">
                          <a:solidFill>
                            <a:srgbClr val="000000"/>
                          </a:solidFill>
                          <a:miter lim="800000"/>
                          <a:headEnd/>
                          <a:tailEnd/>
                        </a:ln>
                      </wps:spPr>
                      <wps:txbx>
                        <w:txbxContent>
                          <w:p w:rsidR="00E14210" w:rsidRPr="00206172" w:rsidRDefault="00E14210" w:rsidP="004F3FAA">
                            <w:pPr>
                              <w:pStyle w:val="NormalWeb"/>
                              <w:spacing w:before="0" w:beforeAutospacing="0" w:after="0" w:afterAutospacing="0" w:line="200" w:lineRule="exact"/>
                              <w:jc w:val="center"/>
                              <w:rPr>
                                <w:rFonts w:ascii="Calibri" w:hAnsi="Calibri" w:cs="Calibri"/>
                                <w:sz w:val="16"/>
                                <w:szCs w:val="16"/>
                              </w:rPr>
                            </w:pPr>
                            <w:r w:rsidRPr="00206172">
                              <w:rPr>
                                <w:rFonts w:ascii="Calibri" w:hAnsi="Calibri" w:cs="Calibri"/>
                                <w:b/>
                                <w:bCs/>
                                <w:sz w:val="16"/>
                                <w:szCs w:val="16"/>
                              </w:rPr>
                              <w:t>Novembrī</w:t>
                            </w:r>
                            <w:r w:rsidRPr="00206172">
                              <w:rPr>
                                <w:rFonts w:ascii="Calibri" w:hAnsi="Calibri" w:cs="Calibri"/>
                                <w:sz w:val="16"/>
                                <w:szCs w:val="16"/>
                              </w:rPr>
                              <w:t xml:space="preserve"> S&amp;P un </w:t>
                            </w:r>
                            <w:proofErr w:type="spellStart"/>
                            <w:r w:rsidRPr="00206172">
                              <w:rPr>
                                <w:rFonts w:ascii="Calibri" w:hAnsi="Calibri" w:cs="Calibri"/>
                                <w:sz w:val="16"/>
                                <w:szCs w:val="16"/>
                              </w:rPr>
                              <w:t>Fitch</w:t>
                            </w:r>
                            <w:proofErr w:type="spellEnd"/>
                            <w:r w:rsidRPr="00206172">
                              <w:rPr>
                                <w:rFonts w:ascii="Calibri" w:hAnsi="Calibri" w:cs="Calibri"/>
                                <w:sz w:val="16"/>
                                <w:szCs w:val="16"/>
                              </w:rPr>
                              <w:t xml:space="preserve"> </w:t>
                            </w:r>
                            <w:r w:rsidRPr="00206172">
                              <w:rPr>
                                <w:rFonts w:ascii="Calibri" w:hAnsi="Calibri" w:cs="Calibri"/>
                                <w:color w:val="000000"/>
                                <w:kern w:val="24"/>
                                <w:sz w:val="16"/>
                                <w:szCs w:val="16"/>
                              </w:rPr>
                              <w:t xml:space="preserve">paaugstina reitingu uz </w:t>
                            </w:r>
                            <w:r w:rsidRPr="00206172">
                              <w:rPr>
                                <w:rFonts w:ascii="Calibri" w:hAnsi="Calibri" w:cs="Calibri"/>
                                <w:b/>
                                <w:bCs/>
                                <w:color w:val="000000"/>
                                <w:kern w:val="24"/>
                                <w:sz w:val="16"/>
                                <w:szCs w:val="16"/>
                                <w:lang w:val="en-GB"/>
                              </w:rPr>
                              <w:t>BBB;</w:t>
                            </w:r>
                            <w:r w:rsidRPr="00206172">
                              <w:rPr>
                                <w:rFonts w:ascii="Calibri" w:hAnsi="Calibri" w:cs="Calibri"/>
                                <w:color w:val="000000"/>
                                <w:kern w:val="24"/>
                                <w:sz w:val="16"/>
                                <w:szCs w:val="16"/>
                                <w:lang w:val="en-GB"/>
                              </w:rPr>
                              <w:t xml:space="preserve"> </w:t>
                            </w:r>
                            <w:r w:rsidRPr="00206172">
                              <w:rPr>
                                <w:rFonts w:ascii="Calibri" w:hAnsi="Calibri" w:cs="Calibri"/>
                                <w:color w:val="000000"/>
                                <w:kern w:val="24"/>
                                <w:sz w:val="16"/>
                                <w:szCs w:val="16"/>
                              </w:rPr>
                              <w:t xml:space="preserve">maina </w:t>
                            </w:r>
                            <w:r w:rsidRPr="00206172">
                              <w:rPr>
                                <w:rFonts w:ascii="Calibri" w:hAnsi="Calibri" w:cs="Calibri"/>
                                <w:i/>
                                <w:iCs/>
                                <w:color w:val="000000"/>
                                <w:kern w:val="24"/>
                                <w:sz w:val="16"/>
                                <w:szCs w:val="16"/>
                                <w:lang w:val="en-GB"/>
                              </w:rPr>
                              <w:t>outlook</w:t>
                            </w:r>
                            <w:r w:rsidRPr="00206172">
                              <w:rPr>
                                <w:rFonts w:ascii="Calibri" w:hAnsi="Calibri" w:cs="Calibri"/>
                                <w:color w:val="000000"/>
                                <w:kern w:val="24"/>
                                <w:sz w:val="16"/>
                                <w:szCs w:val="16"/>
                                <w:lang w:val="en-GB"/>
                              </w:rPr>
                              <w:t xml:space="preserve"> </w:t>
                            </w:r>
                            <w:r w:rsidRPr="00206172">
                              <w:rPr>
                                <w:rFonts w:ascii="Calibri" w:hAnsi="Calibri" w:cs="Calibri"/>
                                <w:color w:val="000000"/>
                                <w:kern w:val="24"/>
                                <w:sz w:val="16"/>
                                <w:szCs w:val="16"/>
                              </w:rPr>
                              <w:t xml:space="preserve">uz </w:t>
                            </w:r>
                            <w:r w:rsidRPr="00206172">
                              <w:rPr>
                                <w:rFonts w:ascii="Calibri" w:hAnsi="Calibri" w:cs="Calibri"/>
                                <w:b/>
                                <w:bCs/>
                                <w:color w:val="000000"/>
                                <w:kern w:val="24"/>
                                <w:sz w:val="16"/>
                                <w:szCs w:val="16"/>
                              </w:rPr>
                              <w:t>pozitīvu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Rectangular Callout 22" o:spid="_x0000_s1032" type="#_x0000_t61" style="position:absolute;left:0;text-align:left;margin-left:97.5pt;margin-top:19.35pt;width:128.25pt;height:37.6pt;rotation:18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" adj="7806,103002" fillcolor="#b5f030">
                <v:fill opacity="32896f"/>
                <v:textbox>
                  <w:txbxContent>
                    <w:p w:rsidR="00E14210" w:rsidRPr="00206172" w:rsidRDefault="00E14210" w:rsidP="004F3FAA">
                      <w:pPr>
                        <w:pStyle w:val="NormalWeb"/>
                        <w:spacing w:before="0" w:beforeAutospacing="0" w:after="0" w:afterAutospacing="0" w:line="200" w:lineRule="exact"/>
                        <w:jc w:val="center"/>
                        <w:rPr>
                          <w:rFonts w:ascii="Calibri" w:hAnsi="Calibri" w:cs="Calibri"/>
                          <w:sz w:val="16"/>
                          <w:szCs w:val="16"/>
                        </w:rPr>
                      </w:pPr>
                      <w:r w:rsidRPr="00206172">
                        <w:rPr>
                          <w:rFonts w:ascii="Calibri" w:hAnsi="Calibri" w:cs="Calibri"/>
                          <w:b/>
                          <w:bCs/>
                          <w:sz w:val="16"/>
                          <w:szCs w:val="16"/>
                        </w:rPr>
                        <w:t>Novembrī</w:t>
                      </w:r>
                      <w:r w:rsidRPr="00206172">
                        <w:rPr>
                          <w:rFonts w:ascii="Calibri" w:hAnsi="Calibri" w:cs="Calibri"/>
                          <w:sz w:val="16"/>
                          <w:szCs w:val="16"/>
                        </w:rPr>
                        <w:t xml:space="preserve"> S&amp;P un </w:t>
                      </w:r>
                      <w:proofErr w:type="spellStart"/>
                      <w:r w:rsidRPr="00206172">
                        <w:rPr>
                          <w:rFonts w:ascii="Calibri" w:hAnsi="Calibri" w:cs="Calibri"/>
                          <w:sz w:val="16"/>
                          <w:szCs w:val="16"/>
                        </w:rPr>
                        <w:t>Fitch</w:t>
                      </w:r>
                      <w:proofErr w:type="spellEnd"/>
                      <w:r w:rsidRPr="00206172">
                        <w:rPr>
                          <w:rFonts w:ascii="Calibri" w:hAnsi="Calibri" w:cs="Calibri"/>
                          <w:sz w:val="16"/>
                          <w:szCs w:val="16"/>
                        </w:rPr>
                        <w:t xml:space="preserve"> </w:t>
                      </w:r>
                      <w:r w:rsidRPr="00206172">
                        <w:rPr>
                          <w:rFonts w:ascii="Calibri" w:hAnsi="Calibri" w:cs="Calibri"/>
                          <w:color w:val="000000"/>
                          <w:kern w:val="24"/>
                          <w:sz w:val="16"/>
                          <w:szCs w:val="16"/>
                        </w:rPr>
                        <w:t xml:space="preserve">paaugstina reitingu uz </w:t>
                      </w:r>
                      <w:r w:rsidRPr="00206172">
                        <w:rPr>
                          <w:rFonts w:ascii="Calibri" w:hAnsi="Calibri" w:cs="Calibri"/>
                          <w:b/>
                          <w:bCs/>
                          <w:color w:val="000000"/>
                          <w:kern w:val="24"/>
                          <w:sz w:val="16"/>
                          <w:szCs w:val="16"/>
                          <w:lang w:val="en-GB"/>
                        </w:rPr>
                        <w:t>BBB;</w:t>
                      </w:r>
                      <w:r w:rsidRPr="00206172">
                        <w:rPr>
                          <w:rFonts w:ascii="Calibri" w:hAnsi="Calibri" w:cs="Calibri"/>
                          <w:color w:val="000000"/>
                          <w:kern w:val="24"/>
                          <w:sz w:val="16"/>
                          <w:szCs w:val="16"/>
                          <w:lang w:val="en-GB"/>
                        </w:rPr>
                        <w:t xml:space="preserve"> </w:t>
                      </w:r>
                      <w:r w:rsidRPr="00206172">
                        <w:rPr>
                          <w:rFonts w:ascii="Calibri" w:hAnsi="Calibri" w:cs="Calibri"/>
                          <w:color w:val="000000"/>
                          <w:kern w:val="24"/>
                          <w:sz w:val="16"/>
                          <w:szCs w:val="16"/>
                        </w:rPr>
                        <w:t xml:space="preserve">maina </w:t>
                      </w:r>
                      <w:r w:rsidRPr="00206172">
                        <w:rPr>
                          <w:rFonts w:ascii="Calibri" w:hAnsi="Calibri" w:cs="Calibri"/>
                          <w:i/>
                          <w:iCs/>
                          <w:color w:val="000000"/>
                          <w:kern w:val="24"/>
                          <w:sz w:val="16"/>
                          <w:szCs w:val="16"/>
                          <w:lang w:val="en-GB"/>
                        </w:rPr>
                        <w:t>outlook</w:t>
                      </w:r>
                      <w:r w:rsidRPr="00206172">
                        <w:rPr>
                          <w:rFonts w:ascii="Calibri" w:hAnsi="Calibri" w:cs="Calibri"/>
                          <w:color w:val="000000"/>
                          <w:kern w:val="24"/>
                          <w:sz w:val="16"/>
                          <w:szCs w:val="16"/>
                          <w:lang w:val="en-GB"/>
                        </w:rPr>
                        <w:t xml:space="preserve"> </w:t>
                      </w:r>
                      <w:r w:rsidRPr="00206172">
                        <w:rPr>
                          <w:rFonts w:ascii="Calibri" w:hAnsi="Calibri" w:cs="Calibri"/>
                          <w:color w:val="000000"/>
                          <w:kern w:val="24"/>
                          <w:sz w:val="16"/>
                          <w:szCs w:val="16"/>
                        </w:rPr>
                        <w:t xml:space="preserve">uz </w:t>
                      </w:r>
                      <w:r w:rsidRPr="00206172">
                        <w:rPr>
                          <w:rFonts w:ascii="Calibri" w:hAnsi="Calibri" w:cs="Calibri"/>
                          <w:b/>
                          <w:bCs/>
                          <w:color w:val="000000"/>
                          <w:kern w:val="24"/>
                          <w:sz w:val="16"/>
                          <w:szCs w:val="16"/>
                        </w:rPr>
                        <w:t>pozitīvu</w:t>
                      </w:r>
                    </w:p>
                  </w:txbxContent>
                </v:textbox>
              </v:shape>
            </w:pict>
          </mc:Fallback>
        </mc:AlternateContent>
      </w:r>
      <w:r w:rsidR="001B5EAA">
        <w:rPr>
          <w:noProof/>
        </w:rPr>
        <w:drawing>
          <wp:inline distT="0" distB="0" distL="0" distR="0" wp14:anchorId="2DE74CFB" wp14:editId="1D80FB1F">
            <wp:extent cx="5098276" cy="3006253"/>
            <wp:effectExtent l="0" t="0" r="762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5366" cy="3010434"/>
                    </a:xfrm>
                    <a:prstGeom prst="rect">
                      <a:avLst/>
                    </a:prstGeom>
                    <a:noFill/>
                  </pic:spPr>
                </pic:pic>
              </a:graphicData>
            </a:graphic>
          </wp:inline>
        </w:drawing>
      </w:r>
    </w:p>
    <w:p w:rsidR="00E512AC" w:rsidRDefault="00DB02A3" w:rsidP="00E512AC">
      <w:pPr>
        <w:pStyle w:val="StyleJustifiedFirstline127cm"/>
        <w:spacing w:before="0" w:beforeAutospacing="0" w:after="0" w:afterAutospacing="0"/>
        <w:ind w:firstLine="0"/>
        <w:jc w:val="center"/>
        <w:rPr>
          <w:b/>
          <w:color w:val="000000"/>
        </w:rPr>
      </w:pPr>
      <w:r>
        <w:rPr>
          <w:sz w:val="22"/>
        </w:rPr>
        <w:t>20</w:t>
      </w:r>
      <w:r w:rsidR="004F3FAA" w:rsidRPr="001B5EAA">
        <w:rPr>
          <w:sz w:val="22"/>
        </w:rPr>
        <w:t>.attēls.</w:t>
      </w:r>
      <w:r w:rsidR="004F3FAA" w:rsidRPr="001B5EAA">
        <w:rPr>
          <w:i/>
          <w:sz w:val="20"/>
        </w:rPr>
        <w:t xml:space="preserve"> </w:t>
      </w:r>
      <w:r w:rsidR="00E512AC" w:rsidRPr="00E512AC">
        <w:rPr>
          <w:b/>
        </w:rPr>
        <w:t xml:space="preserve">Atsevišķu valstu 10 gadu obligāciju uzcenojums </w:t>
      </w:r>
      <w:r w:rsidR="00E512AC">
        <w:rPr>
          <w:b/>
        </w:rPr>
        <w:t xml:space="preserve">virs </w:t>
      </w:r>
      <w:proofErr w:type="spellStart"/>
      <w:r w:rsidR="004F3FAA" w:rsidRPr="00682401">
        <w:rPr>
          <w:b/>
          <w:i/>
          <w:color w:val="000000"/>
        </w:rPr>
        <w:t>swap</w:t>
      </w:r>
      <w:proofErr w:type="spellEnd"/>
      <w:r w:rsidR="004F3FAA" w:rsidRPr="00416FAD">
        <w:rPr>
          <w:b/>
          <w:color w:val="000000"/>
        </w:rPr>
        <w:t xml:space="preserve"> peļņas līknes (</w:t>
      </w:r>
      <w:r w:rsidR="004F3FAA" w:rsidRPr="00682401">
        <w:rPr>
          <w:b/>
          <w:i/>
          <w:color w:val="000000"/>
        </w:rPr>
        <w:t>z-</w:t>
      </w:r>
      <w:proofErr w:type="spellStart"/>
      <w:r w:rsidR="004F3FAA" w:rsidRPr="00682401">
        <w:rPr>
          <w:b/>
          <w:i/>
          <w:color w:val="000000"/>
        </w:rPr>
        <w:t>spread</w:t>
      </w:r>
      <w:proofErr w:type="spellEnd"/>
      <w:r w:rsidR="004F3FAA" w:rsidRPr="00416FAD">
        <w:rPr>
          <w:b/>
          <w:color w:val="000000"/>
        </w:rPr>
        <w:t>) un kredītreitingi</w:t>
      </w:r>
    </w:p>
    <w:p w:rsidR="004F3FAA" w:rsidRPr="00416FAD" w:rsidRDefault="004F3FAA" w:rsidP="001B5EAA">
      <w:pPr>
        <w:pStyle w:val="StyleJustifiedFirstline127cm"/>
        <w:spacing w:before="0" w:beforeAutospacing="0" w:after="0" w:afterAutospacing="0"/>
        <w:ind w:firstLine="0"/>
        <w:jc w:val="center"/>
        <w:rPr>
          <w:color w:val="000000"/>
        </w:rPr>
      </w:pPr>
      <w:r w:rsidRPr="00B72275">
        <w:rPr>
          <w:color w:val="000000"/>
          <w:sz w:val="22"/>
        </w:rPr>
        <w:t>(uz 28.11.2013.)</w:t>
      </w:r>
    </w:p>
    <w:p w:rsidR="003D7CC4" w:rsidRDefault="00151C08" w:rsidP="00D22B86">
      <w:pPr>
        <w:ind w:left="426"/>
        <w:jc w:val="both"/>
      </w:pPr>
      <w:r w:rsidRPr="00151C08">
        <w:lastRenderedPageBreak/>
        <w:t>Kā iepriekš tika norādīts, finanšu tirgos notiekošais atspoguļojas vērtspapīru uzcenojumos otrreizējā tirgū, tomēr papildu</w:t>
      </w:r>
      <w:r w:rsidR="003D7CC4">
        <w:t>s</w:t>
      </w:r>
      <w:r w:rsidRPr="00151C08">
        <w:t xml:space="preserve"> to ietekmē arī investoru viedoklis par Latviju kā aizņēmēju un Latvijas kredītreitinga pozitīvām izmaiņām, tāpēc arī Latvijas eiroobligāciju uzcenojuma izmaiņas otrreizējā tirgū galvenokārt saistītas ar situācijas attīstību un notikumiem starptautiskajos kapitāla tirgos, tirgus dalībnieku svārstīgo viedokli par tirgus stabilitāti un pieņemtajiem parādu krīzes risinājumiem, no otras puses – saistīts ar notikumiem Latvijas ekonomikā un Latvijas kredītreitinga pozitīvām izmaiņām. </w:t>
      </w:r>
    </w:p>
    <w:p w:rsidR="00D631BD" w:rsidRDefault="00151C08" w:rsidP="00D22B86">
      <w:pPr>
        <w:ind w:left="426"/>
        <w:jc w:val="both"/>
      </w:pPr>
      <w:r w:rsidRPr="00151C08">
        <w:t>2012.gada otrajā pusē (</w:t>
      </w:r>
      <w:proofErr w:type="spellStart"/>
      <w:r w:rsidR="00DB02A3">
        <w:t>skat</w:t>
      </w:r>
      <w:proofErr w:type="spellEnd"/>
      <w:r w:rsidR="00DB02A3">
        <w:t>.</w:t>
      </w:r>
      <w:r w:rsidRPr="00151C08">
        <w:t xml:space="preserve"> 2</w:t>
      </w:r>
      <w:r w:rsidR="00DB02A3">
        <w:t>0</w:t>
      </w:r>
      <w:r w:rsidRPr="00151C08">
        <w:t>.att</w:t>
      </w:r>
      <w:r w:rsidR="00DB02A3">
        <w:t>.</w:t>
      </w:r>
      <w:r w:rsidRPr="00151C08">
        <w:t xml:space="preserve">), Latvijas kredītreitingu atgriešana investīciju kategorijas līmenī </w:t>
      </w:r>
      <w:r w:rsidR="008C1EAE">
        <w:t xml:space="preserve">(skat.21.att.) </w:t>
      </w:r>
      <w:r w:rsidRPr="00151C08">
        <w:t>ir izteikti labvēlīgi ietekmējusi Latvijas 10 gadu obligāciju uzcenojumu, kas kalpo kā viena no referencēm investoriem nosakot cenu jaunai vērtspapīru emisijai</w:t>
      </w:r>
      <w:r w:rsidR="003D7CC4">
        <w:t>.</w:t>
      </w:r>
      <w:r w:rsidRPr="00151C08">
        <w:t xml:space="preserve"> Tomēr salīdzinājumā ar Lietuvas un dažu Eiropas perifērijas valstu obligāciju uzcenojumiem, var secināt, ka finanšu tirgus dalībnieki, </w:t>
      </w:r>
      <w:proofErr w:type="spellStart"/>
      <w:r w:rsidRPr="00151C08">
        <w:t>t.sk</w:t>
      </w:r>
      <w:proofErr w:type="spellEnd"/>
      <w:r w:rsidRPr="00151C08">
        <w:t xml:space="preserve"> investori</w:t>
      </w:r>
      <w:r w:rsidR="003D7CC4">
        <w:t>,</w:t>
      </w:r>
      <w:r w:rsidRPr="00151C08">
        <w:t xml:space="preserve"> 2012.gada otrajā pusē Latviju vērtēja mazāk riskanti ne</w:t>
      </w:r>
      <w:r w:rsidR="003D7CC4">
        <w:t>kā reitingu aģentūras.</w:t>
      </w:r>
      <w:r w:rsidRPr="00151C08">
        <w:t xml:space="preserve"> </w:t>
      </w:r>
      <w:r w:rsidR="003D7CC4">
        <w:t>P</w:t>
      </w:r>
      <w:r w:rsidRPr="00151C08">
        <w:t xml:space="preserve">iemēram, Lietuvas kredītreitings no </w:t>
      </w:r>
      <w:r w:rsidR="003D7CC4" w:rsidRPr="003D7CC4">
        <w:t>„</w:t>
      </w:r>
      <w:proofErr w:type="spellStart"/>
      <w:r w:rsidR="003D7CC4" w:rsidRPr="003D7CC4">
        <w:t>Standard&amp;Poor`s</w:t>
      </w:r>
      <w:proofErr w:type="spellEnd"/>
      <w:r w:rsidR="003D7CC4" w:rsidRPr="003D7CC4">
        <w:t>”</w:t>
      </w:r>
      <w:r w:rsidRPr="00151C08">
        <w:t xml:space="preserve"> 2012.gada otrajā pusē bija par vienu pakāpi augstāks, bet obligāciju uzcenojums jau ilgāku laika periodu bija vienā līmenī ar Latviju. Tas liecina, ka </w:t>
      </w:r>
      <w:r w:rsidR="003D7CC4">
        <w:t xml:space="preserve">Valsts kases nodrošinātā </w:t>
      </w:r>
      <w:r w:rsidRPr="00151C08">
        <w:t>komuni</w:t>
      </w:r>
      <w:r w:rsidR="003D7CC4">
        <w:t>kācija ar investoriem</w:t>
      </w:r>
      <w:r w:rsidRPr="00151C08">
        <w:t xml:space="preserve"> par aktualitātēm Latvijā bija radījusi daudz pozitīvāku priekšstatu nekā reitingu aģentūrām.</w:t>
      </w:r>
    </w:p>
    <w:p w:rsidR="004F3FAA" w:rsidRDefault="00E512AC" w:rsidP="00D22B86">
      <w:pPr>
        <w:ind w:left="426"/>
        <w:jc w:val="center"/>
      </w:pPr>
      <w:r>
        <w:rPr>
          <w:noProof/>
        </w:rPr>
        <w:drawing>
          <wp:inline distT="0" distB="0" distL="0" distR="0" wp14:anchorId="3299993F" wp14:editId="4998E738">
            <wp:extent cx="5197407" cy="23336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7407" cy="2333625"/>
                    </a:xfrm>
                    <a:prstGeom prst="rect">
                      <a:avLst/>
                    </a:prstGeom>
                    <a:noFill/>
                  </pic:spPr>
                </pic:pic>
              </a:graphicData>
            </a:graphic>
          </wp:inline>
        </w:drawing>
      </w:r>
    </w:p>
    <w:p w:rsidR="004F3FAA" w:rsidRPr="00416FAD" w:rsidRDefault="00DB02A3" w:rsidP="00D22B86">
      <w:pPr>
        <w:pStyle w:val="StyleJustifiedFirstline127cm"/>
        <w:tabs>
          <w:tab w:val="left" w:pos="1260"/>
        </w:tabs>
        <w:spacing w:before="0" w:beforeAutospacing="0" w:after="120" w:afterAutospacing="0"/>
        <w:ind w:left="426" w:firstLine="0"/>
        <w:jc w:val="center"/>
        <w:rPr>
          <w:b/>
          <w:color w:val="000000"/>
        </w:rPr>
      </w:pPr>
      <w:r>
        <w:rPr>
          <w:sz w:val="22"/>
        </w:rPr>
        <w:t>21</w:t>
      </w:r>
      <w:r w:rsidR="00711002">
        <w:rPr>
          <w:sz w:val="22"/>
        </w:rPr>
        <w:t>.</w:t>
      </w:r>
      <w:r w:rsidR="004F3FAA" w:rsidRPr="00416FAD">
        <w:rPr>
          <w:sz w:val="22"/>
        </w:rPr>
        <w:t xml:space="preserve">attēls. </w:t>
      </w:r>
      <w:r w:rsidR="004F3FAA" w:rsidRPr="00416FAD">
        <w:rPr>
          <w:b/>
        </w:rPr>
        <w:t>L</w:t>
      </w:r>
      <w:r w:rsidR="004F3FAA">
        <w:rPr>
          <w:b/>
          <w:color w:val="000000"/>
        </w:rPr>
        <w:t>atvijas</w:t>
      </w:r>
      <w:r w:rsidR="004F3FAA" w:rsidRPr="00416FAD">
        <w:rPr>
          <w:b/>
          <w:color w:val="000000"/>
        </w:rPr>
        <w:t xml:space="preserve"> kredītreitinga izmaiņas</w:t>
      </w:r>
    </w:p>
    <w:p w:rsidR="004F3FAA" w:rsidRDefault="00E14210" w:rsidP="00D22B86">
      <w:pPr>
        <w:ind w:left="426"/>
        <w:jc w:val="both"/>
      </w:pPr>
      <w:r>
        <w:t>J</w:t>
      </w:r>
      <w:r w:rsidR="00E512AC" w:rsidRPr="00E512AC">
        <w:t>āatzīmē, ka</w:t>
      </w:r>
      <w:r w:rsidR="00E512AC">
        <w:t xml:space="preserve"> 2012.gadā Latvija bija vienīgā</w:t>
      </w:r>
      <w:r w:rsidR="00E512AC" w:rsidRPr="00E512AC">
        <w:t xml:space="preserve"> valsts Eiropas Savienībā, kurai tika paaugstināts valsts kredītreitings, kas deva ļoti pozitīvu</w:t>
      </w:r>
      <w:r w:rsidR="00E512AC">
        <w:t xml:space="preserve"> signālu investoru sabiedrībai</w:t>
      </w:r>
      <w:r w:rsidR="00A22183">
        <w:t xml:space="preserve"> (</w:t>
      </w:r>
      <w:proofErr w:type="spellStart"/>
      <w:r w:rsidR="00A22183">
        <w:t>skat</w:t>
      </w:r>
      <w:proofErr w:type="spellEnd"/>
      <w:r w:rsidR="00A22183">
        <w:t>. 22.att.)</w:t>
      </w:r>
      <w:r w:rsidR="00E512AC">
        <w:t>.</w:t>
      </w:r>
    </w:p>
    <w:p w:rsidR="00151C08" w:rsidRDefault="00151C08" w:rsidP="00D22B86">
      <w:pPr>
        <w:ind w:left="426" w:firstLine="709"/>
        <w:jc w:val="both"/>
      </w:pPr>
    </w:p>
    <w:p w:rsidR="004F3FAA" w:rsidRDefault="00E512AC" w:rsidP="00D22B86">
      <w:pPr>
        <w:ind w:left="426"/>
        <w:jc w:val="both"/>
      </w:pPr>
      <w:r>
        <w:rPr>
          <w:noProof/>
        </w:rPr>
        <w:drawing>
          <wp:inline distT="0" distB="0" distL="0" distR="0" wp14:anchorId="09EB2750" wp14:editId="1D4FE4FB">
            <wp:extent cx="5760085" cy="1272364"/>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1272364"/>
                    </a:xfrm>
                    <a:prstGeom prst="rect">
                      <a:avLst/>
                    </a:prstGeom>
                    <a:noFill/>
                  </pic:spPr>
                </pic:pic>
              </a:graphicData>
            </a:graphic>
          </wp:inline>
        </w:drawing>
      </w:r>
    </w:p>
    <w:p w:rsidR="004F3FAA" w:rsidRPr="00523A12" w:rsidRDefault="00D34471" w:rsidP="00D22B86">
      <w:pPr>
        <w:pStyle w:val="StyleJustifiedFirstline127cm"/>
        <w:tabs>
          <w:tab w:val="left" w:pos="1260"/>
        </w:tabs>
        <w:spacing w:before="0" w:beforeAutospacing="0" w:after="120" w:afterAutospacing="0"/>
        <w:ind w:left="426" w:firstLine="0"/>
        <w:jc w:val="center"/>
        <w:rPr>
          <w:b/>
          <w:color w:val="000000"/>
        </w:rPr>
      </w:pPr>
      <w:r>
        <w:rPr>
          <w:sz w:val="22"/>
          <w:szCs w:val="22"/>
        </w:rPr>
        <w:t>2</w:t>
      </w:r>
      <w:r w:rsidR="0057336A">
        <w:rPr>
          <w:sz w:val="22"/>
          <w:szCs w:val="22"/>
        </w:rPr>
        <w:t>2</w:t>
      </w:r>
      <w:r>
        <w:rPr>
          <w:sz w:val="22"/>
          <w:szCs w:val="22"/>
        </w:rPr>
        <w:t>.</w:t>
      </w:r>
      <w:r w:rsidR="004F3FAA" w:rsidRPr="00416FAD">
        <w:rPr>
          <w:sz w:val="22"/>
          <w:szCs w:val="22"/>
        </w:rPr>
        <w:t>attēls</w:t>
      </w:r>
      <w:r w:rsidR="004F3FAA" w:rsidRPr="00416FAD">
        <w:rPr>
          <w:b/>
          <w:sz w:val="22"/>
          <w:szCs w:val="22"/>
        </w:rPr>
        <w:t xml:space="preserve">. </w:t>
      </w:r>
      <w:r w:rsidR="004F3FAA" w:rsidRPr="00523A12">
        <w:rPr>
          <w:b/>
        </w:rPr>
        <w:t>L</w:t>
      </w:r>
      <w:r w:rsidR="004F3FAA">
        <w:rPr>
          <w:b/>
        </w:rPr>
        <w:t>atvijas</w:t>
      </w:r>
      <w:r w:rsidR="004F3FAA" w:rsidRPr="00523A12">
        <w:rPr>
          <w:b/>
        </w:rPr>
        <w:t xml:space="preserve"> un citu ES valstu</w:t>
      </w:r>
      <w:r w:rsidR="004F3FAA" w:rsidRPr="00523A12">
        <w:rPr>
          <w:b/>
          <w:color w:val="000000"/>
        </w:rPr>
        <w:t xml:space="preserve"> kredītreitinga izmaiņas</w:t>
      </w:r>
      <w:r w:rsidR="004F3FAA">
        <w:rPr>
          <w:b/>
          <w:color w:val="000000"/>
        </w:rPr>
        <w:t xml:space="preserve"> </w:t>
      </w:r>
      <w:r w:rsidR="004F3FAA" w:rsidRPr="00523A12">
        <w:rPr>
          <w:b/>
          <w:color w:val="000000"/>
        </w:rPr>
        <w:t>2012.gadā</w:t>
      </w:r>
    </w:p>
    <w:p w:rsidR="00E14210" w:rsidRDefault="00151C08" w:rsidP="00D22B86">
      <w:pPr>
        <w:ind w:left="426"/>
        <w:jc w:val="both"/>
      </w:pPr>
      <w:r w:rsidRPr="00151C08">
        <w:t xml:space="preserve">Lai veicinātu reitingu aģentūras pieņemt lēmumus Latvijas kredītreitinga pozitīvai attīstībai, 2012.gadā Valsts kase organizēja ikgadējās reitingu aģentūru vizītes Rīgā, lai nodrošinātu aktuālāko informāciju par notikumiem Latvijā. Lai nodrošinātu vispusīgu informāciju, Valsts kasei organizējot starpinstitūciju darbu, reitingu aģentūras tikās gan ar </w:t>
      </w:r>
      <w:r w:rsidRPr="00151C08">
        <w:lastRenderedPageBreak/>
        <w:t xml:space="preserve">valsts sektora, gan privātā sektora, tai skaitā komercbanku, pārstāvjiem. 2012.gadā Latvijā ikgadējā vizītē ir bijuši </w:t>
      </w:r>
      <w:r w:rsidR="00E14210" w:rsidRPr="003D7CC4">
        <w:t>„</w:t>
      </w:r>
      <w:proofErr w:type="spellStart"/>
      <w:r w:rsidR="00E14210" w:rsidRPr="003D7CC4">
        <w:t>Standard&amp;Poor`s</w:t>
      </w:r>
      <w:proofErr w:type="spellEnd"/>
      <w:r w:rsidR="00E14210" w:rsidRPr="003D7CC4">
        <w:t>”</w:t>
      </w:r>
      <w:r w:rsidRPr="00151C08">
        <w:t xml:space="preserve"> reitingu aģentū</w:t>
      </w:r>
      <w:r w:rsidR="00E14210">
        <w:t xml:space="preserve">ras analītiķi (2012.gada </w:t>
      </w:r>
      <w:r w:rsidRPr="00151C08">
        <w:t xml:space="preserve">martā), </w:t>
      </w:r>
      <w:r w:rsidR="00E14210">
        <w:t>„</w:t>
      </w:r>
      <w:proofErr w:type="spellStart"/>
      <w:r w:rsidRPr="00151C08">
        <w:t>Moody’s</w:t>
      </w:r>
      <w:proofErr w:type="spellEnd"/>
      <w:r w:rsidR="00E14210">
        <w:t>”</w:t>
      </w:r>
      <w:r w:rsidRPr="00151C08">
        <w:t xml:space="preserve"> reitingu aģentūras analītiķi (201</w:t>
      </w:r>
      <w:r w:rsidR="00031E95">
        <w:t>2</w:t>
      </w:r>
      <w:r w:rsidRPr="00151C08">
        <w:t>.gada maijā)</w:t>
      </w:r>
      <w:r w:rsidR="00031E95">
        <w:t>,</w:t>
      </w:r>
      <w:r w:rsidRPr="00151C08">
        <w:t xml:space="preserve"> </w:t>
      </w:r>
      <w:r w:rsidR="00E14210">
        <w:t>„</w:t>
      </w:r>
      <w:proofErr w:type="spellStart"/>
      <w:r w:rsidRPr="00151C08">
        <w:t>Fitch</w:t>
      </w:r>
      <w:proofErr w:type="spellEnd"/>
      <w:r w:rsidR="00E14210">
        <w:t xml:space="preserve"> </w:t>
      </w:r>
      <w:proofErr w:type="spellStart"/>
      <w:r w:rsidR="00E14210">
        <w:t>Raitings</w:t>
      </w:r>
      <w:proofErr w:type="spellEnd"/>
      <w:r w:rsidR="00E14210">
        <w:t>”</w:t>
      </w:r>
      <w:r w:rsidRPr="00151C08">
        <w:t xml:space="preserve"> analītiķi (2012.gada oktobrī), un R&amp;I 2012.gada novembrī. Tāpat 2012.gada septembrī ar reitingu aģentūrām </w:t>
      </w:r>
      <w:r w:rsidR="00E14210">
        <w:t>„</w:t>
      </w:r>
      <w:proofErr w:type="spellStart"/>
      <w:r w:rsidRPr="00151C08">
        <w:t>Moody’s</w:t>
      </w:r>
      <w:proofErr w:type="spellEnd"/>
      <w:r w:rsidR="00E14210">
        <w:t>”</w:t>
      </w:r>
      <w:r w:rsidRPr="00151C08">
        <w:t xml:space="preserve"> un </w:t>
      </w:r>
      <w:r w:rsidR="00E14210" w:rsidRPr="00E14210">
        <w:t>„</w:t>
      </w:r>
      <w:proofErr w:type="spellStart"/>
      <w:r w:rsidR="00E14210" w:rsidRPr="00E14210">
        <w:t>Standard&amp;Poor`s</w:t>
      </w:r>
      <w:proofErr w:type="spellEnd"/>
      <w:r w:rsidR="00E14210" w:rsidRPr="00E14210">
        <w:t>”</w:t>
      </w:r>
      <w:r w:rsidRPr="00151C08">
        <w:t xml:space="preserve"> Ņujorkā tikās Valsts prezidents Andris Bērziņš. Savukārt</w:t>
      </w:r>
      <w:r w:rsidR="00E14210">
        <w:t>,</w:t>
      </w:r>
      <w:r w:rsidRPr="00151C08">
        <w:t xml:space="preserve"> Valsts kase papildus ikgadējām tikšanām organizēja Latvijas valdības pārstāvju sarunas ar </w:t>
      </w:r>
      <w:r w:rsidR="00E14210">
        <w:t xml:space="preserve">visu reitinga aģentūru </w:t>
      </w:r>
      <w:r w:rsidRPr="00151C08">
        <w:t>pārstāvjiem 2012.gada septembrī S</w:t>
      </w:r>
      <w:r w:rsidR="00E14210">
        <w:t>tarptautiskā Valūtas fonda un Pasaules Bankas</w:t>
      </w:r>
      <w:r w:rsidRPr="00151C08">
        <w:t xml:space="preserve"> ikgadējās oktobra sanāksmes ietvaros Tokijā. Tāpat ikdienā reitingu aģentūrām </w:t>
      </w:r>
      <w:r w:rsidR="00E14210">
        <w:t xml:space="preserve">Valsts kase </w:t>
      </w:r>
      <w:r w:rsidRPr="00151C08">
        <w:t>regulāri nodrošinā</w:t>
      </w:r>
      <w:r w:rsidR="00E14210">
        <w:t>j</w:t>
      </w:r>
      <w:r w:rsidRPr="00151C08">
        <w:t>a informācij</w:t>
      </w:r>
      <w:r w:rsidR="00E14210">
        <w:t>u</w:t>
      </w:r>
      <w:r w:rsidRPr="00151C08">
        <w:t xml:space="preserve"> par aktualitātēm valstī, ik nedēļu sniedzot notikumu apkopojumu, kā arī nodrošinot ar nepiecieša</w:t>
      </w:r>
      <w:r w:rsidR="00A22183">
        <w:t xml:space="preserve">mo informācijas aktualizēšanu. </w:t>
      </w:r>
    </w:p>
    <w:p w:rsidR="004F3FAA" w:rsidRDefault="00151C08" w:rsidP="00D22B86">
      <w:pPr>
        <w:ind w:left="426"/>
        <w:jc w:val="both"/>
      </w:pPr>
      <w:r w:rsidRPr="00151C08">
        <w:t xml:space="preserve">Šādas </w:t>
      </w:r>
      <w:r w:rsidR="00E14210">
        <w:t xml:space="preserve">Valsts kases </w:t>
      </w:r>
      <w:proofErr w:type="spellStart"/>
      <w:r w:rsidRPr="00151C08">
        <w:t>proaktīvas</w:t>
      </w:r>
      <w:proofErr w:type="spellEnd"/>
      <w:r w:rsidRPr="00151C08">
        <w:t xml:space="preserve"> darbības rezultātā reitingu aģentūras bija maksimāli motivētas rīkoties operatīvi ar pozitīvu reitinga lēmumu pieņemšanu, kas labvēlīgi ietekmēja aizņemšanās izmaksas 2012.gada nogalē.</w:t>
      </w:r>
    </w:p>
    <w:p w:rsidR="00151C08" w:rsidRPr="00D22B86" w:rsidRDefault="00151C08" w:rsidP="00151C08">
      <w:pPr>
        <w:ind w:firstLine="786"/>
        <w:jc w:val="both"/>
      </w:pPr>
    </w:p>
    <w:p w:rsidR="00151C08" w:rsidRPr="00D22B86" w:rsidRDefault="00151C08" w:rsidP="00D22B86">
      <w:pPr>
        <w:pStyle w:val="ListParagraph"/>
        <w:numPr>
          <w:ilvl w:val="0"/>
          <w:numId w:val="33"/>
        </w:numPr>
        <w:spacing w:after="120"/>
        <w:jc w:val="both"/>
        <w:rPr>
          <w:rFonts w:ascii="Times New Roman" w:hAnsi="Times New Roman"/>
          <w:sz w:val="24"/>
          <w:szCs w:val="24"/>
        </w:rPr>
      </w:pPr>
      <w:r w:rsidRPr="00D22B86">
        <w:rPr>
          <w:rFonts w:ascii="Times New Roman" w:hAnsi="Times New Roman"/>
          <w:sz w:val="24"/>
          <w:szCs w:val="24"/>
        </w:rPr>
        <w:t>Investoru labvēlīgais noskaņojums un informētība par Latvijas pozitīvo attīstību</w:t>
      </w:r>
      <w:r w:rsidR="00D22B86" w:rsidRPr="00D22B86">
        <w:rPr>
          <w:rFonts w:ascii="Times New Roman" w:hAnsi="Times New Roman"/>
          <w:sz w:val="24"/>
          <w:szCs w:val="24"/>
        </w:rPr>
        <w:t xml:space="preserve">. </w:t>
      </w:r>
      <w:r w:rsidRPr="00D22B86">
        <w:rPr>
          <w:rFonts w:ascii="Times New Roman" w:hAnsi="Times New Roman"/>
          <w:sz w:val="24"/>
          <w:szCs w:val="24"/>
        </w:rPr>
        <w:t>2012.gadā ārējā tirgus investoriem tika pastāvīgi nodrošināta regulārā informācija par aktualitātēm Latvijā un izmaiņām valsts parāda struktūrā, sagatavojot iknedēļas Latvijas notikumu apskatu, ceturkšņa parāda vadības biļetenu un parāda vadības gada pārskatu. Valsts kases mājas lapā tika nodrošināta prezentācijas investoriem ikmēneša aktualizēšana. Tāpat tika sniegta informācija inves</w:t>
      </w:r>
      <w:r w:rsidR="00710F03">
        <w:rPr>
          <w:rFonts w:ascii="Times New Roman" w:hAnsi="Times New Roman"/>
          <w:sz w:val="24"/>
          <w:szCs w:val="24"/>
        </w:rPr>
        <w:t>toriem ar ārkārtas paziņojumiem</w:t>
      </w:r>
      <w:r w:rsidRPr="00D22B86">
        <w:rPr>
          <w:rFonts w:ascii="Times New Roman" w:hAnsi="Times New Roman"/>
          <w:sz w:val="24"/>
          <w:szCs w:val="24"/>
        </w:rPr>
        <w:t xml:space="preserve"> par īpaši nozīmīgiem notikumiem Latvijas ekonomikā un finansēs, </w:t>
      </w:r>
      <w:proofErr w:type="spellStart"/>
      <w:r w:rsidRPr="00D22B86">
        <w:rPr>
          <w:rFonts w:ascii="Times New Roman" w:hAnsi="Times New Roman"/>
          <w:sz w:val="24"/>
          <w:szCs w:val="24"/>
        </w:rPr>
        <w:t>piem</w:t>
      </w:r>
      <w:proofErr w:type="spellEnd"/>
      <w:r w:rsidRPr="00D22B86">
        <w:rPr>
          <w:rFonts w:ascii="Times New Roman" w:hAnsi="Times New Roman"/>
          <w:sz w:val="24"/>
          <w:szCs w:val="24"/>
        </w:rPr>
        <w:t xml:space="preserve">., par valsts kredītreitinga paaugstinājumiem, starptautiskās aizņēmuma programmas noslēgšanu un atmaksu </w:t>
      </w:r>
      <w:proofErr w:type="spellStart"/>
      <w:r w:rsidRPr="00D22B86">
        <w:rPr>
          <w:rFonts w:ascii="Times New Roman" w:hAnsi="Times New Roman"/>
          <w:sz w:val="24"/>
          <w:szCs w:val="24"/>
        </w:rPr>
        <w:t>u.c</w:t>
      </w:r>
      <w:proofErr w:type="spellEnd"/>
      <w:r w:rsidRPr="00D22B86">
        <w:rPr>
          <w:rFonts w:ascii="Times New Roman" w:hAnsi="Times New Roman"/>
          <w:sz w:val="24"/>
          <w:szCs w:val="24"/>
        </w:rPr>
        <w:t>. būtiskiem notikumiem. Tas nodrošinājis aktīvu neklātienes informācijas sniegšanu investoru sabiedrībai – tiešajiem vērtspapīru investoriem, investīciju banku analītiķiem un baņķieriem, reitingu aģentūrām</w:t>
      </w:r>
      <w:r w:rsidR="00D22B86" w:rsidRPr="00D22B86">
        <w:rPr>
          <w:rFonts w:ascii="Times New Roman" w:hAnsi="Times New Roman"/>
          <w:sz w:val="24"/>
          <w:szCs w:val="24"/>
        </w:rPr>
        <w:t xml:space="preserve">. Tāpat 2012.gadā tika organizētas klātienes tikšanās ar investoriem februāra </w:t>
      </w:r>
      <w:r w:rsidR="00710F03">
        <w:rPr>
          <w:rFonts w:ascii="Times New Roman" w:hAnsi="Times New Roman"/>
          <w:sz w:val="24"/>
          <w:szCs w:val="24"/>
        </w:rPr>
        <w:t xml:space="preserve">eiroobligāciju </w:t>
      </w:r>
      <w:r w:rsidR="00D22B86" w:rsidRPr="00D22B86">
        <w:rPr>
          <w:rFonts w:ascii="Times New Roman" w:hAnsi="Times New Roman"/>
          <w:sz w:val="24"/>
          <w:szCs w:val="24"/>
        </w:rPr>
        <w:t xml:space="preserve">emisijas kontekstā, kad Latvijas delegācija tikās ar investoriem ASV un Lielbritānijā. Tāpat Pasaules Bankas un Starptautiskā Valūtas fonda ikgadējās konferences laikā notika papildus tikšanās ar Tokijas investoriem, tādejādi atsākot tiešu dialogu ar Japānas investoriem. </w:t>
      </w:r>
      <w:r w:rsidRPr="00D22B86">
        <w:rPr>
          <w:rFonts w:ascii="Times New Roman" w:hAnsi="Times New Roman"/>
          <w:sz w:val="24"/>
          <w:szCs w:val="24"/>
        </w:rPr>
        <w:t>Papildus tam 2012.gadā Valsts kases pārstāvji aktīvi tikās ar ārvalstu investīciju banku pārstāvjiem, sniedzot informāciju par aizņemšanās plāniem un stratēģiju, kas nodrošināj</w:t>
      </w:r>
      <w:r w:rsidR="00710F03">
        <w:rPr>
          <w:rFonts w:ascii="Times New Roman" w:hAnsi="Times New Roman"/>
          <w:sz w:val="24"/>
          <w:szCs w:val="24"/>
        </w:rPr>
        <w:t>a</w:t>
      </w:r>
      <w:r w:rsidRPr="00D22B86">
        <w:rPr>
          <w:rFonts w:ascii="Times New Roman" w:hAnsi="Times New Roman"/>
          <w:sz w:val="24"/>
          <w:szCs w:val="24"/>
        </w:rPr>
        <w:t xml:space="preserve"> papildu atbalstu informācijas izplatīšanā investoru sabiedrībai.</w:t>
      </w:r>
      <w:r w:rsidR="00D22B86" w:rsidRPr="00D22B86">
        <w:rPr>
          <w:rFonts w:ascii="Times New Roman" w:hAnsi="Times New Roman"/>
          <w:sz w:val="24"/>
          <w:szCs w:val="24"/>
        </w:rPr>
        <w:t xml:space="preserve"> </w:t>
      </w:r>
      <w:r w:rsidRPr="00D22B86">
        <w:rPr>
          <w:rFonts w:ascii="Times New Roman" w:hAnsi="Times New Roman"/>
          <w:sz w:val="24"/>
          <w:szCs w:val="24"/>
        </w:rPr>
        <w:t xml:space="preserve">2012.gadā veiktie klātienes un neklātienes </w:t>
      </w:r>
      <w:r w:rsidR="00710F03">
        <w:rPr>
          <w:rFonts w:ascii="Times New Roman" w:hAnsi="Times New Roman"/>
          <w:sz w:val="24"/>
          <w:szCs w:val="24"/>
        </w:rPr>
        <w:t xml:space="preserve">investoru komunikācijas </w:t>
      </w:r>
      <w:r w:rsidRPr="00D22B86">
        <w:rPr>
          <w:rFonts w:ascii="Times New Roman" w:hAnsi="Times New Roman"/>
          <w:sz w:val="24"/>
          <w:szCs w:val="24"/>
        </w:rPr>
        <w:t xml:space="preserve">pasākumi ļāva 2012.gada nogalē izmantot labvēlīgos finanšu tirgus nosacījumus, emitējot obligācijas bez klātienes investoru komunikācijas darījuma laikā. Emisijas brīdī investoriem tika nodrošināta pieeja Latvijas prezentācijai, kā arī bija iespēja saņemt viens-pret-viens </w:t>
      </w:r>
      <w:proofErr w:type="spellStart"/>
      <w:r w:rsidRPr="00D22B86">
        <w:rPr>
          <w:rFonts w:ascii="Times New Roman" w:hAnsi="Times New Roman"/>
          <w:sz w:val="24"/>
          <w:szCs w:val="24"/>
        </w:rPr>
        <w:t>telefonkonferences</w:t>
      </w:r>
      <w:proofErr w:type="spellEnd"/>
      <w:r w:rsidRPr="00D22B86">
        <w:rPr>
          <w:rFonts w:ascii="Times New Roman" w:hAnsi="Times New Roman"/>
          <w:sz w:val="24"/>
          <w:szCs w:val="24"/>
        </w:rPr>
        <w:t xml:space="preserve"> zvanu ar Latvijas delegācijas pārstāvjiem. Taču neviens no investoriem šo iespēju neizmantoja, ko var skaidrot ar pietiekošu informāciju lēmuma pieņemšanai par ieguldījumu Latvijas vērtspapīros. Ņemot vērā pozitīvos emisijas rezultātus, </w:t>
      </w:r>
      <w:r w:rsidR="00710F03">
        <w:rPr>
          <w:rFonts w:ascii="Times New Roman" w:hAnsi="Times New Roman"/>
          <w:sz w:val="24"/>
          <w:szCs w:val="24"/>
        </w:rPr>
        <w:t>var secināt</w:t>
      </w:r>
      <w:r w:rsidRPr="00D22B86">
        <w:rPr>
          <w:rFonts w:ascii="Times New Roman" w:hAnsi="Times New Roman"/>
          <w:sz w:val="24"/>
          <w:szCs w:val="24"/>
        </w:rPr>
        <w:t>, ka iepriekš veiktie investoru pasākumi ir bijuši pietiekoši, lai sasniegtu iespējami zemu emisijas uzcenojumu.</w:t>
      </w:r>
    </w:p>
    <w:p w:rsidR="000B3DF5" w:rsidRPr="00D22B86" w:rsidRDefault="004F3FAA" w:rsidP="00D22B86">
      <w:pPr>
        <w:pStyle w:val="ListParagraph"/>
        <w:numPr>
          <w:ilvl w:val="0"/>
          <w:numId w:val="33"/>
        </w:numPr>
        <w:spacing w:after="120"/>
        <w:jc w:val="both"/>
        <w:rPr>
          <w:rFonts w:ascii="Times New Roman" w:hAnsi="Times New Roman"/>
          <w:sz w:val="24"/>
          <w:szCs w:val="24"/>
        </w:rPr>
      </w:pPr>
      <w:r w:rsidRPr="00D22B86">
        <w:rPr>
          <w:rFonts w:ascii="Times New Roman" w:hAnsi="Times New Roman"/>
          <w:sz w:val="24"/>
          <w:szCs w:val="24"/>
        </w:rPr>
        <w:t>Valsts kases profesionāli sniegtā argumentācija vairākkārtējās diskusijās ar vērtspapīru emisijas vadošajām bankām ļāva Valsts kasei nodrošināt zemo likmju fik</w:t>
      </w:r>
      <w:r w:rsidR="00151C08" w:rsidRPr="00D22B86">
        <w:rPr>
          <w:rFonts w:ascii="Times New Roman" w:hAnsi="Times New Roman"/>
          <w:sz w:val="24"/>
          <w:szCs w:val="24"/>
        </w:rPr>
        <w:t>sāciju pie darījuma izcenošanas</w:t>
      </w:r>
      <w:r w:rsidRPr="00D22B86">
        <w:rPr>
          <w:rFonts w:ascii="Times New Roman" w:hAnsi="Times New Roman"/>
          <w:sz w:val="24"/>
          <w:szCs w:val="24"/>
        </w:rPr>
        <w:t>.</w:t>
      </w:r>
      <w:r w:rsidR="00D22B86">
        <w:rPr>
          <w:rFonts w:ascii="Times New Roman" w:hAnsi="Times New Roman"/>
          <w:sz w:val="24"/>
          <w:szCs w:val="24"/>
        </w:rPr>
        <w:t xml:space="preserve"> </w:t>
      </w:r>
      <w:r w:rsidRPr="00D22B86">
        <w:rPr>
          <w:rFonts w:ascii="Times New Roman" w:hAnsi="Times New Roman"/>
          <w:sz w:val="24"/>
          <w:szCs w:val="24"/>
        </w:rPr>
        <w:t xml:space="preserve">Jaunas emisijas organizēšanā ļoti būtiska loma ir labvēlīgākā laika izvēlei. </w:t>
      </w:r>
      <w:r w:rsidR="0090369F" w:rsidRPr="00D22B86">
        <w:rPr>
          <w:rFonts w:ascii="Times New Roman" w:hAnsi="Times New Roman"/>
          <w:sz w:val="24"/>
          <w:szCs w:val="24"/>
        </w:rPr>
        <w:t>Valsts kase a</w:t>
      </w:r>
      <w:r w:rsidRPr="00D22B86">
        <w:rPr>
          <w:rFonts w:ascii="Times New Roman" w:hAnsi="Times New Roman"/>
          <w:sz w:val="24"/>
          <w:szCs w:val="24"/>
        </w:rPr>
        <w:t xml:space="preserve">ktīvi sekojot situācijas attīstībai un notikumiem starptautiskos finanšu tirgos, regulāri vērtēja procentu likmju līmeņus un to pozicionēšanas mehānismu investoriem potenciālai jaunai emisijai dažādās valūtās ar dažādiem vērtspapīru dzēšanas termiņiem, un izdevīgākajā brīdī izlēma organizēt jaunu emisiju. Pēc publiskā piedāvājuma paziņošanas par jaunu Latvijas obligāciju emisiju pieprasījums četras reizes </w:t>
      </w:r>
      <w:r w:rsidRPr="00D22B86">
        <w:rPr>
          <w:rFonts w:ascii="Times New Roman" w:hAnsi="Times New Roman"/>
          <w:sz w:val="24"/>
          <w:szCs w:val="24"/>
        </w:rPr>
        <w:lastRenderedPageBreak/>
        <w:t xml:space="preserve">pārsniedza piedāvājumu, kas ļāva </w:t>
      </w:r>
      <w:r w:rsidR="00710F03">
        <w:rPr>
          <w:rFonts w:ascii="Times New Roman" w:hAnsi="Times New Roman"/>
          <w:sz w:val="24"/>
          <w:szCs w:val="24"/>
        </w:rPr>
        <w:t xml:space="preserve">Valsts kasei </w:t>
      </w:r>
      <w:r w:rsidRPr="00D22B86">
        <w:rPr>
          <w:rFonts w:ascii="Times New Roman" w:hAnsi="Times New Roman"/>
          <w:sz w:val="24"/>
          <w:szCs w:val="24"/>
        </w:rPr>
        <w:t xml:space="preserve">sarunu procesā ar investoriem vērtspapīru ienesīgumu samazināt pat par 0,25% no sākotnēji pozicionētajiem emisijas vadošo banku līmeņiem. </w:t>
      </w:r>
      <w:r w:rsidR="000B3DF5" w:rsidRPr="00D22B86">
        <w:rPr>
          <w:rFonts w:ascii="Times New Roman" w:hAnsi="Times New Roman"/>
          <w:sz w:val="24"/>
          <w:szCs w:val="24"/>
        </w:rPr>
        <w:t xml:space="preserve">Tāpat jāatzīmē, ka Valsts kase, izvēloties emisijas laiku un regulāri diskutējot ar sadarbības partneriem, spēja pārliecināt emisijas vadošās bankas par darījuma noslēgšanu ar investoriem piedāvājot tiem vērtspapīrus ar 0,52% mazāku uzcenojuma līmeni nekā tas būtu bijis, ja emitētu 2012.gada novembrī, tādējādi ietaupot </w:t>
      </w:r>
      <w:r w:rsidR="00282ADF" w:rsidRPr="00D22B86">
        <w:rPr>
          <w:rFonts w:ascii="Times New Roman" w:hAnsi="Times New Roman"/>
          <w:sz w:val="24"/>
          <w:szCs w:val="24"/>
        </w:rPr>
        <w:t xml:space="preserve">valsts parāda apkalpošanas izdevumos </w:t>
      </w:r>
      <w:r w:rsidR="000B3DF5" w:rsidRPr="00D22B86">
        <w:rPr>
          <w:rFonts w:ascii="Times New Roman" w:hAnsi="Times New Roman"/>
          <w:sz w:val="24"/>
          <w:szCs w:val="24"/>
        </w:rPr>
        <w:t>apt</w:t>
      </w:r>
      <w:r w:rsidR="0012500C" w:rsidRPr="00D22B86">
        <w:rPr>
          <w:rFonts w:ascii="Times New Roman" w:hAnsi="Times New Roman"/>
          <w:sz w:val="24"/>
          <w:szCs w:val="24"/>
        </w:rPr>
        <w:t>uveni</w:t>
      </w:r>
      <w:r w:rsidR="000B3DF5" w:rsidRPr="00D22B86">
        <w:rPr>
          <w:rFonts w:ascii="Times New Roman" w:hAnsi="Times New Roman"/>
          <w:sz w:val="24"/>
          <w:szCs w:val="24"/>
        </w:rPr>
        <w:t xml:space="preserve"> 6,5 </w:t>
      </w:r>
      <w:proofErr w:type="spellStart"/>
      <w:r w:rsidR="000B3DF5" w:rsidRPr="00D22B86">
        <w:rPr>
          <w:rFonts w:ascii="Times New Roman" w:hAnsi="Times New Roman"/>
          <w:sz w:val="24"/>
          <w:szCs w:val="24"/>
        </w:rPr>
        <w:t>milj</w:t>
      </w:r>
      <w:proofErr w:type="spellEnd"/>
      <w:r w:rsidR="000B3DF5" w:rsidRPr="00D22B86">
        <w:rPr>
          <w:rFonts w:ascii="Times New Roman" w:hAnsi="Times New Roman"/>
          <w:sz w:val="24"/>
          <w:szCs w:val="24"/>
        </w:rPr>
        <w:t xml:space="preserve">. </w:t>
      </w:r>
      <w:r w:rsidR="00282ADF">
        <w:rPr>
          <w:rFonts w:ascii="Times New Roman" w:hAnsi="Times New Roman"/>
          <w:sz w:val="24"/>
          <w:szCs w:val="24"/>
        </w:rPr>
        <w:t>ASV dolāru</w:t>
      </w:r>
      <w:r w:rsidR="000B3DF5" w:rsidRPr="00D22B86">
        <w:rPr>
          <w:rFonts w:ascii="Times New Roman" w:hAnsi="Times New Roman"/>
          <w:sz w:val="24"/>
          <w:szCs w:val="24"/>
        </w:rPr>
        <w:t xml:space="preserve"> gadā, jeb kopsummā </w:t>
      </w:r>
      <w:r w:rsidR="00282ADF">
        <w:rPr>
          <w:rFonts w:ascii="Times New Roman" w:hAnsi="Times New Roman"/>
          <w:sz w:val="24"/>
          <w:szCs w:val="24"/>
        </w:rPr>
        <w:t xml:space="preserve">45,5 </w:t>
      </w:r>
      <w:proofErr w:type="spellStart"/>
      <w:r w:rsidR="00282ADF">
        <w:rPr>
          <w:rFonts w:ascii="Times New Roman" w:hAnsi="Times New Roman"/>
          <w:sz w:val="24"/>
          <w:szCs w:val="24"/>
        </w:rPr>
        <w:t>milj</w:t>
      </w:r>
      <w:proofErr w:type="spellEnd"/>
      <w:r w:rsidR="00282ADF">
        <w:rPr>
          <w:rFonts w:ascii="Times New Roman" w:hAnsi="Times New Roman"/>
          <w:sz w:val="24"/>
          <w:szCs w:val="24"/>
        </w:rPr>
        <w:t>. ASV dolāru septiņu</w:t>
      </w:r>
      <w:r w:rsidR="000B3DF5" w:rsidRPr="00D22B86">
        <w:rPr>
          <w:rFonts w:ascii="Times New Roman" w:hAnsi="Times New Roman"/>
          <w:sz w:val="24"/>
          <w:szCs w:val="24"/>
        </w:rPr>
        <w:t xml:space="preserve"> gadu laikā</w:t>
      </w:r>
      <w:r w:rsidR="00282ADF">
        <w:rPr>
          <w:rFonts w:ascii="Times New Roman" w:hAnsi="Times New Roman"/>
          <w:sz w:val="24"/>
          <w:szCs w:val="24"/>
        </w:rPr>
        <w:t>.</w:t>
      </w:r>
      <w:r w:rsidR="000B3DF5" w:rsidRPr="00D22B86">
        <w:rPr>
          <w:rFonts w:ascii="Times New Roman" w:hAnsi="Times New Roman"/>
          <w:sz w:val="24"/>
          <w:szCs w:val="24"/>
        </w:rPr>
        <w:t xml:space="preserve"> </w:t>
      </w:r>
    </w:p>
    <w:p w:rsidR="004F3FAA" w:rsidRPr="00E274F8" w:rsidRDefault="004F3FAA" w:rsidP="00282ADF">
      <w:pPr>
        <w:jc w:val="both"/>
      </w:pPr>
      <w:r w:rsidRPr="00452AF0">
        <w:rPr>
          <w:b/>
        </w:rPr>
        <w:t>3.2. S</w:t>
      </w:r>
      <w:r>
        <w:rPr>
          <w:b/>
        </w:rPr>
        <w:t xml:space="preserve">tarptautiskā Valūtas fonda aizdevuma </w:t>
      </w:r>
      <w:r w:rsidRPr="00452AF0">
        <w:rPr>
          <w:b/>
        </w:rPr>
        <w:t xml:space="preserve">pirmstermiņa atmaksa </w:t>
      </w:r>
      <w:r>
        <w:rPr>
          <w:b/>
        </w:rPr>
        <w:t>pilnā apjomā 2012.gadā</w:t>
      </w:r>
    </w:p>
    <w:p w:rsidR="004F3FAA" w:rsidRDefault="004F3FAA" w:rsidP="004F3FAA">
      <w:pPr>
        <w:spacing w:before="120" w:after="120"/>
        <w:jc w:val="both"/>
        <w:rPr>
          <w:highlight w:val="yellow"/>
        </w:rPr>
      </w:pPr>
      <w:r w:rsidRPr="00DD6442">
        <w:rPr>
          <w:u w:val="single"/>
        </w:rPr>
        <w:t>Apakšprogrammas izdevumu plānošanā izmantotie pieņēmumi un to pamatojums</w:t>
      </w:r>
    </w:p>
    <w:p w:rsidR="004F3FAA" w:rsidRDefault="004F3FAA" w:rsidP="004F3FAA">
      <w:pPr>
        <w:ind w:firstLine="709"/>
        <w:jc w:val="both"/>
        <w:rPr>
          <w:noProof/>
        </w:rPr>
      </w:pPr>
      <w:r>
        <w:rPr>
          <w:noProof/>
        </w:rPr>
        <w:t xml:space="preserve">Starptautiskā aizņēmuma programmas ietvaros finansējums tika saņemts 4,5 miljrd.EUR ekvivalenta apmērā, t.sk. aizņēmums no Starptautiskā Valūtas fonda (turpmāk – SVF) bija otrais lielākais pēc finansējuma apjoma – 1,1 miljrd.EUR ekvivalentā (skat. </w:t>
      </w:r>
      <w:r w:rsidR="004D500D">
        <w:rPr>
          <w:noProof/>
        </w:rPr>
        <w:t>2</w:t>
      </w:r>
      <w:r w:rsidR="00F930AF">
        <w:rPr>
          <w:noProof/>
        </w:rPr>
        <w:t>3</w:t>
      </w:r>
      <w:r w:rsidR="004D500D">
        <w:rPr>
          <w:noProof/>
        </w:rPr>
        <w:t>.</w:t>
      </w:r>
      <w:r>
        <w:rPr>
          <w:noProof/>
        </w:rPr>
        <w:t xml:space="preserve">att.). SVF aizdevums tika piešķirts četrās dažāda apjoma daļās un, saskaņā ar starptautiskā aizņēmuma programmas aizdevumu atmaksas grafiku, tā atmaksa bija jānodrošina no 2012.gada marta līdz 2015.gada augustam (skat. </w:t>
      </w:r>
      <w:r w:rsidR="00641990">
        <w:rPr>
          <w:noProof/>
        </w:rPr>
        <w:t>2</w:t>
      </w:r>
      <w:r w:rsidR="00F930AF">
        <w:rPr>
          <w:noProof/>
        </w:rPr>
        <w:t>4</w:t>
      </w:r>
      <w:r w:rsidR="00641990">
        <w:rPr>
          <w:noProof/>
        </w:rPr>
        <w:t>.</w:t>
      </w:r>
      <w:r>
        <w:rPr>
          <w:noProof/>
        </w:rPr>
        <w:t xml:space="preserve">att. un </w:t>
      </w:r>
      <w:r w:rsidR="00641990">
        <w:rPr>
          <w:noProof/>
        </w:rPr>
        <w:t>4.tab.</w:t>
      </w:r>
      <w:r>
        <w:rPr>
          <w:noProof/>
        </w:rPr>
        <w:t>).</w:t>
      </w:r>
    </w:p>
    <w:p w:rsidR="00127DD0" w:rsidRPr="00127DD0" w:rsidRDefault="00127DD0" w:rsidP="004F3FAA">
      <w:pPr>
        <w:ind w:firstLine="709"/>
        <w:jc w:val="both"/>
        <w:rPr>
          <w:noProof/>
          <w:sz w:val="20"/>
          <w:szCs w:val="20"/>
        </w:rPr>
      </w:pPr>
    </w:p>
    <w:p w:rsidR="004F3FAA" w:rsidRDefault="004F3FAA" w:rsidP="004F3FAA">
      <w:pPr>
        <w:jc w:val="both"/>
        <w:rPr>
          <w:highlight w:val="yellow"/>
        </w:rPr>
      </w:pPr>
      <w:r>
        <w:rPr>
          <w:noProof/>
        </w:rPr>
        <w:drawing>
          <wp:inline distT="0" distB="0" distL="0" distR="0" wp14:anchorId="38814FDB" wp14:editId="53E148E4">
            <wp:extent cx="5727700" cy="1483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1483995"/>
                    </a:xfrm>
                    <a:prstGeom prst="rect">
                      <a:avLst/>
                    </a:prstGeom>
                    <a:noFill/>
                    <a:ln>
                      <a:noFill/>
                    </a:ln>
                  </pic:spPr>
                </pic:pic>
              </a:graphicData>
            </a:graphic>
          </wp:inline>
        </w:drawing>
      </w:r>
    </w:p>
    <w:p w:rsidR="004F3FAA" w:rsidRPr="00C65742" w:rsidRDefault="004F3FAA" w:rsidP="004F3FAA">
      <w:pPr>
        <w:pStyle w:val="NormalWeb"/>
        <w:spacing w:before="0" w:beforeAutospacing="0" w:after="0" w:afterAutospacing="0"/>
        <w:jc w:val="right"/>
        <w:rPr>
          <w:rFonts w:ascii="Calibri" w:hAnsi="Calibri" w:cs="Calibri"/>
          <w:sz w:val="22"/>
        </w:rPr>
      </w:pPr>
      <w:r w:rsidRPr="00C65742">
        <w:rPr>
          <w:rFonts w:ascii="Calibri" w:hAnsi="Calibri" w:cs="Calibri"/>
          <w:color w:val="000000"/>
          <w:kern w:val="24"/>
          <w:sz w:val="18"/>
          <w:szCs w:val="20"/>
        </w:rPr>
        <w:t>*ieguldījums AS "Parex banka" akciju un subordinētajā kapitālā; atbalsta resursi nav aizdevums Latvijai</w:t>
      </w:r>
    </w:p>
    <w:p w:rsidR="004F3FAA" w:rsidRDefault="004F3FAA" w:rsidP="004F3FAA">
      <w:pPr>
        <w:jc w:val="center"/>
        <w:rPr>
          <w:rFonts w:eastAsia="Calibri"/>
          <w:sz w:val="22"/>
          <w:szCs w:val="22"/>
        </w:rPr>
      </w:pPr>
    </w:p>
    <w:p w:rsidR="004F3FAA" w:rsidRPr="005D3E0E" w:rsidRDefault="004D500D" w:rsidP="004F3FAA">
      <w:pPr>
        <w:jc w:val="center"/>
        <w:rPr>
          <w:rFonts w:eastAsia="Calibri"/>
          <w:b/>
          <w:sz w:val="28"/>
          <w:szCs w:val="22"/>
        </w:rPr>
      </w:pPr>
      <w:r>
        <w:rPr>
          <w:rFonts w:eastAsia="Calibri"/>
          <w:sz w:val="22"/>
          <w:szCs w:val="22"/>
        </w:rPr>
        <w:t>2</w:t>
      </w:r>
      <w:r w:rsidR="00F930AF">
        <w:rPr>
          <w:rFonts w:eastAsia="Calibri"/>
          <w:sz w:val="22"/>
          <w:szCs w:val="22"/>
        </w:rPr>
        <w:t>3</w:t>
      </w:r>
      <w:r>
        <w:rPr>
          <w:rFonts w:eastAsia="Calibri"/>
          <w:sz w:val="22"/>
          <w:szCs w:val="22"/>
        </w:rPr>
        <w:t>.</w:t>
      </w:r>
      <w:r w:rsidR="004F3FAA" w:rsidRPr="006A0848">
        <w:rPr>
          <w:rFonts w:eastAsia="Calibri"/>
          <w:sz w:val="22"/>
          <w:szCs w:val="22"/>
        </w:rPr>
        <w:t>attēls.</w:t>
      </w:r>
      <w:r w:rsidR="004F3FAA" w:rsidRPr="005D3E0E">
        <w:rPr>
          <w:rFonts w:eastAsia="Calibri"/>
          <w:sz w:val="22"/>
          <w:szCs w:val="22"/>
        </w:rPr>
        <w:t xml:space="preserve"> </w:t>
      </w:r>
      <w:r w:rsidR="004F3FAA" w:rsidRPr="005D3E0E">
        <w:rPr>
          <w:rFonts w:eastAsia="Calibri"/>
          <w:b/>
          <w:szCs w:val="22"/>
        </w:rPr>
        <w:t>Starptautiskā aizņēmuma programmas finansējums</w:t>
      </w:r>
    </w:p>
    <w:p w:rsidR="004F3FAA" w:rsidRDefault="004F3FAA" w:rsidP="004F3FAA">
      <w:pPr>
        <w:jc w:val="center"/>
      </w:pPr>
      <w:r>
        <w:rPr>
          <w:noProof/>
        </w:rPr>
        <w:drawing>
          <wp:inline distT="0" distB="0" distL="0" distR="0" wp14:anchorId="04B645D9" wp14:editId="5FA24256">
            <wp:extent cx="5675815" cy="2371061"/>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7412" cy="2375906"/>
                    </a:xfrm>
                    <a:prstGeom prst="rect">
                      <a:avLst/>
                    </a:prstGeom>
                    <a:noFill/>
                  </pic:spPr>
                </pic:pic>
              </a:graphicData>
            </a:graphic>
          </wp:inline>
        </w:drawing>
      </w:r>
    </w:p>
    <w:p w:rsidR="004F3FAA" w:rsidRDefault="00641990" w:rsidP="004F3FAA">
      <w:pPr>
        <w:jc w:val="center"/>
        <w:rPr>
          <w:rFonts w:eastAsia="Calibri"/>
          <w:b/>
          <w:szCs w:val="22"/>
        </w:rPr>
      </w:pPr>
      <w:r>
        <w:rPr>
          <w:rFonts w:eastAsia="Calibri"/>
          <w:sz w:val="22"/>
          <w:szCs w:val="22"/>
        </w:rPr>
        <w:t>2</w:t>
      </w:r>
      <w:r w:rsidR="00F930AF">
        <w:rPr>
          <w:rFonts w:eastAsia="Calibri"/>
          <w:sz w:val="22"/>
          <w:szCs w:val="22"/>
        </w:rPr>
        <w:t>4</w:t>
      </w:r>
      <w:r>
        <w:rPr>
          <w:rFonts w:eastAsia="Calibri"/>
          <w:sz w:val="22"/>
          <w:szCs w:val="22"/>
        </w:rPr>
        <w:t>.</w:t>
      </w:r>
      <w:r w:rsidR="004F3FAA" w:rsidRPr="006A0848">
        <w:rPr>
          <w:rFonts w:eastAsia="Calibri"/>
          <w:sz w:val="22"/>
          <w:szCs w:val="22"/>
        </w:rPr>
        <w:t>attēls.</w:t>
      </w:r>
      <w:r w:rsidR="004F3FAA" w:rsidRPr="005D3E0E">
        <w:rPr>
          <w:rFonts w:eastAsia="Calibri"/>
          <w:sz w:val="22"/>
          <w:szCs w:val="22"/>
        </w:rPr>
        <w:t xml:space="preserve"> </w:t>
      </w:r>
      <w:r w:rsidR="004F3FAA" w:rsidRPr="005D3E0E">
        <w:rPr>
          <w:rFonts w:eastAsia="Calibri"/>
          <w:b/>
          <w:szCs w:val="22"/>
        </w:rPr>
        <w:t xml:space="preserve">Starptautiskā aizņēmuma programmas </w:t>
      </w:r>
      <w:r w:rsidR="004F3FAA">
        <w:rPr>
          <w:rFonts w:eastAsia="Calibri"/>
          <w:b/>
          <w:szCs w:val="22"/>
        </w:rPr>
        <w:t>aizdevumu atmaksas sākotnējais grafiks</w:t>
      </w:r>
    </w:p>
    <w:p w:rsidR="004F3FAA" w:rsidRDefault="004F3FAA" w:rsidP="004F3FAA">
      <w:pPr>
        <w:spacing w:after="120"/>
        <w:jc w:val="center"/>
        <w:rPr>
          <w:rFonts w:eastAsia="Calibri"/>
          <w:sz w:val="22"/>
          <w:szCs w:val="22"/>
        </w:rPr>
      </w:pPr>
      <w:r w:rsidRPr="00682401">
        <w:rPr>
          <w:rFonts w:eastAsia="Calibri"/>
          <w:sz w:val="22"/>
          <w:szCs w:val="22"/>
        </w:rPr>
        <w:t>(uz 01.01.2012.)</w:t>
      </w:r>
    </w:p>
    <w:p w:rsidR="008114DE" w:rsidRDefault="008114DE" w:rsidP="008114DE">
      <w:pPr>
        <w:ind w:firstLine="709"/>
        <w:jc w:val="both"/>
        <w:rPr>
          <w:noProof/>
        </w:rPr>
      </w:pPr>
      <w:r w:rsidRPr="001732D5">
        <w:rPr>
          <w:noProof/>
        </w:rPr>
        <w:t xml:space="preserve">Procentu maksājumi par visām saņemtajām SVF aizdevuma daļām </w:t>
      </w:r>
      <w:r>
        <w:rPr>
          <w:noProof/>
        </w:rPr>
        <w:t>bija jāmaksā</w:t>
      </w:r>
      <w:r w:rsidRPr="001732D5">
        <w:rPr>
          <w:noProof/>
        </w:rPr>
        <w:t xml:space="preserve"> reizi trijos mēnešos. SVF aizdevuma procentu likme </w:t>
      </w:r>
      <w:r>
        <w:rPr>
          <w:noProof/>
        </w:rPr>
        <w:t>bija</w:t>
      </w:r>
      <w:r w:rsidRPr="001732D5">
        <w:rPr>
          <w:noProof/>
        </w:rPr>
        <w:t xml:space="preserve"> mainīga un </w:t>
      </w:r>
      <w:r>
        <w:rPr>
          <w:noProof/>
        </w:rPr>
        <w:t>ti</w:t>
      </w:r>
      <w:r w:rsidRPr="001732D5">
        <w:rPr>
          <w:noProof/>
        </w:rPr>
        <w:t>k</w:t>
      </w:r>
      <w:r>
        <w:rPr>
          <w:noProof/>
        </w:rPr>
        <w:t>a</w:t>
      </w:r>
      <w:r w:rsidRPr="001732D5">
        <w:rPr>
          <w:noProof/>
        </w:rPr>
        <w:t xml:space="preserve"> noteikta reizi nedēļā, balstoties uz SVF standarta noteikumiem, nosakot to atkarībā no Latvijas kvotas lieluma un aizdevuma attiecības.</w:t>
      </w:r>
      <w:r>
        <w:rPr>
          <w:noProof/>
        </w:rPr>
        <w:t xml:space="preserve"> </w:t>
      </w:r>
      <w:r w:rsidRPr="003D6EB3">
        <w:rPr>
          <w:noProof/>
        </w:rPr>
        <w:t xml:space="preserve">Lai saskaņā ar Latvijas Valsts parāda vadības stratēģiju valsts parāda </w:t>
      </w:r>
      <w:r w:rsidRPr="003D6EB3">
        <w:rPr>
          <w:noProof/>
        </w:rPr>
        <w:lastRenderedPageBreak/>
        <w:t>portfelī ierobežotu ar SVF aizdevumu saistītos valūtu un procentu likmju riskus, šo risku vadībai Valsts kase noslēdza valūtu un procentu likmju mijmaiņas darījumus, kuru ietvaros katru ceturksni notika procentu maksājumu plismu apmaiņa.</w:t>
      </w:r>
    </w:p>
    <w:p w:rsidR="004F3FAA" w:rsidRDefault="00C949A6" w:rsidP="004F3FAA">
      <w:pPr>
        <w:spacing w:after="120"/>
        <w:ind w:firstLine="567"/>
        <w:jc w:val="right"/>
        <w:rPr>
          <w:sz w:val="22"/>
        </w:rPr>
      </w:pPr>
      <w:r>
        <w:rPr>
          <w:sz w:val="22"/>
        </w:rPr>
        <w:t>4</w:t>
      </w:r>
      <w:r w:rsidR="004F3FAA" w:rsidRPr="00376D70">
        <w:rPr>
          <w:sz w:val="22"/>
        </w:rPr>
        <w:t>.tabula</w:t>
      </w:r>
    </w:p>
    <w:p w:rsidR="004F3FAA" w:rsidRPr="004A53FF" w:rsidRDefault="004F3FAA" w:rsidP="004F3FAA">
      <w:pPr>
        <w:spacing w:after="120"/>
        <w:ind w:firstLine="567"/>
        <w:jc w:val="center"/>
        <w:rPr>
          <w:b/>
        </w:rPr>
      </w:pPr>
      <w:r w:rsidRPr="004A53FF">
        <w:rPr>
          <w:b/>
        </w:rPr>
        <w:t xml:space="preserve">SVF aizdevuma saistību izpildes sākotnējais grafiks 2012.-2015.gadam, </w:t>
      </w:r>
      <w:proofErr w:type="spellStart"/>
      <w:r w:rsidRPr="004A53FF">
        <w:rPr>
          <w:b/>
        </w:rPr>
        <w:t>milj.latu</w:t>
      </w:r>
      <w:proofErr w:type="spellEnd"/>
    </w:p>
    <w:p w:rsidR="004F3FAA" w:rsidRDefault="004F3FAA" w:rsidP="004F3FAA">
      <w:pPr>
        <w:jc w:val="center"/>
      </w:pPr>
      <w:r>
        <w:rPr>
          <w:noProof/>
        </w:rPr>
        <w:drawing>
          <wp:inline distT="0" distB="0" distL="0" distR="0">
            <wp:extent cx="4080510" cy="1906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80510" cy="1906270"/>
                    </a:xfrm>
                    <a:prstGeom prst="rect">
                      <a:avLst/>
                    </a:prstGeom>
                    <a:noFill/>
                    <a:ln>
                      <a:noFill/>
                    </a:ln>
                  </pic:spPr>
                </pic:pic>
              </a:graphicData>
            </a:graphic>
          </wp:inline>
        </w:drawing>
      </w:r>
    </w:p>
    <w:p w:rsidR="004F3FAA" w:rsidRDefault="004F3FAA" w:rsidP="004F3FAA">
      <w:pPr>
        <w:jc w:val="both"/>
      </w:pPr>
    </w:p>
    <w:p w:rsidR="004F3FAA" w:rsidRDefault="004F3FAA" w:rsidP="004F3FAA">
      <w:pPr>
        <w:ind w:firstLine="709"/>
        <w:jc w:val="both"/>
        <w:rPr>
          <w:u w:val="single"/>
        </w:rPr>
      </w:pPr>
      <w:r>
        <w:t xml:space="preserve">Līdz ar to, apakšprogrammas </w:t>
      </w:r>
      <w:r w:rsidRPr="008E1A08">
        <w:t>31.02.00 “Valsts parāda vadība”</w:t>
      </w:r>
      <w:r>
        <w:t xml:space="preserve"> plānotajos izdevumos gan 2013.gadā, gan nākamajos gados tika iekļauti procentu maksājumi par SVF aizdevuma visām daļām atbilstoši saistību izpildes grafikam, kā arī izdevumu plānā tika iekļauts SVF aizdevumiem piesaistīto valūtu un procentu likmju mijmaiņas darījumu rezultāta novērtējums (</w:t>
      </w:r>
      <w:proofErr w:type="spellStart"/>
      <w:r>
        <w:t>skat</w:t>
      </w:r>
      <w:proofErr w:type="spellEnd"/>
      <w:r>
        <w:t xml:space="preserve">. </w:t>
      </w:r>
      <w:r w:rsidR="00C949A6">
        <w:t>4.</w:t>
      </w:r>
      <w:r>
        <w:t>t</w:t>
      </w:r>
      <w:r w:rsidR="008A6019">
        <w:t>ab.).</w:t>
      </w:r>
    </w:p>
    <w:p w:rsidR="004F3FAA" w:rsidRDefault="004F3FAA" w:rsidP="004F3FAA">
      <w:pPr>
        <w:spacing w:before="120" w:after="120"/>
        <w:jc w:val="both"/>
      </w:pPr>
      <w:r w:rsidRPr="0072376D">
        <w:rPr>
          <w:u w:val="single"/>
        </w:rPr>
        <w:t>Valsts kases veiktie pasākumi izdevumu samazināšanai</w:t>
      </w:r>
    </w:p>
    <w:p w:rsidR="004F3FAA" w:rsidRDefault="004F3FAA" w:rsidP="004F3FAA">
      <w:pPr>
        <w:ind w:firstLine="720"/>
        <w:jc w:val="both"/>
      </w:pPr>
      <w:r>
        <w:t xml:space="preserve">2012.gada februārī un decembrī veiktās </w:t>
      </w:r>
      <w:r w:rsidRPr="00FE0685">
        <w:t>eiroobligāciju emisijā</w:t>
      </w:r>
      <w:r>
        <w:t>s</w:t>
      </w:r>
      <w:r w:rsidRPr="00FE0685">
        <w:t xml:space="preserve"> piesaistītais finansējums tika izmantots, lai spertu nākamo soli publisku finanšu sakārtošanā, līdz 2012.gada beigām pilnā apmērā pirms termiņa atmaksājot </w:t>
      </w:r>
      <w:r>
        <w:t xml:space="preserve">starptautiskā aizņēmuma programmas ietvaros saņemto </w:t>
      </w:r>
      <w:r w:rsidRPr="00FE0685">
        <w:t>aizdevumu SV</w:t>
      </w:r>
      <w:r>
        <w:t>F</w:t>
      </w:r>
      <w:r w:rsidRPr="00FE0685">
        <w:t xml:space="preserve">. </w:t>
      </w:r>
      <w:r>
        <w:t>SVF aizdevuma pirmstermiņa atmaksa 2012.gadā veikta divas reizes:</w:t>
      </w:r>
    </w:p>
    <w:p w:rsidR="004F3FAA" w:rsidRPr="005B56C2" w:rsidRDefault="004F3FAA" w:rsidP="004F3FAA">
      <w:pPr>
        <w:pStyle w:val="ListParagraph"/>
        <w:numPr>
          <w:ilvl w:val="0"/>
          <w:numId w:val="30"/>
        </w:numPr>
        <w:spacing w:before="120" w:after="120"/>
        <w:jc w:val="both"/>
        <w:rPr>
          <w:rFonts w:ascii="Times New Roman" w:hAnsi="Times New Roman"/>
          <w:sz w:val="24"/>
        </w:rPr>
      </w:pPr>
      <w:r w:rsidRPr="005B56C2">
        <w:rPr>
          <w:rFonts w:ascii="Times New Roman" w:hAnsi="Times New Roman"/>
          <w:sz w:val="24"/>
        </w:rPr>
        <w:t xml:space="preserve">2012.gada septembrī tika atmaksāta SVF </w:t>
      </w:r>
      <w:r w:rsidRPr="00211243">
        <w:rPr>
          <w:rFonts w:ascii="Times New Roman" w:hAnsi="Times New Roman"/>
          <w:sz w:val="24"/>
        </w:rPr>
        <w:t>aizdevuma otrā daļa (</w:t>
      </w:r>
      <w:proofErr w:type="spellStart"/>
      <w:r w:rsidRPr="00211243">
        <w:rPr>
          <w:rFonts w:ascii="Times New Roman" w:hAnsi="Times New Roman"/>
          <w:sz w:val="24"/>
        </w:rPr>
        <w:t>skat</w:t>
      </w:r>
      <w:proofErr w:type="spellEnd"/>
      <w:r w:rsidRPr="00211243">
        <w:rPr>
          <w:rFonts w:ascii="Times New Roman" w:hAnsi="Times New Roman"/>
          <w:sz w:val="24"/>
        </w:rPr>
        <w:t>. 4.tab.), atmaksai</w:t>
      </w:r>
      <w:r w:rsidRPr="005B56C2">
        <w:rPr>
          <w:rFonts w:ascii="Times New Roman" w:hAnsi="Times New Roman"/>
          <w:sz w:val="24"/>
        </w:rPr>
        <w:t xml:space="preserve"> izmantojot Valsts kases kontos pieejamos resursus, </w:t>
      </w:r>
      <w:proofErr w:type="spellStart"/>
      <w:r w:rsidRPr="005B56C2">
        <w:rPr>
          <w:rFonts w:ascii="Times New Roman" w:hAnsi="Times New Roman"/>
          <w:sz w:val="24"/>
        </w:rPr>
        <w:t>t.sk</w:t>
      </w:r>
      <w:proofErr w:type="spellEnd"/>
      <w:r w:rsidRPr="005B56C2">
        <w:rPr>
          <w:rFonts w:ascii="Times New Roman" w:hAnsi="Times New Roman"/>
          <w:sz w:val="24"/>
        </w:rPr>
        <w:t xml:space="preserve">. 2012.gada februārī veiktās piecu gadu eiroobligāciju emisijas rezultātā piesaistītos resursus; </w:t>
      </w:r>
    </w:p>
    <w:p w:rsidR="004F3FAA" w:rsidRPr="005B56C2" w:rsidRDefault="004F3FAA" w:rsidP="004F3FAA">
      <w:pPr>
        <w:pStyle w:val="ListParagraph"/>
        <w:numPr>
          <w:ilvl w:val="0"/>
          <w:numId w:val="30"/>
        </w:numPr>
        <w:spacing w:before="120" w:after="120"/>
        <w:jc w:val="both"/>
        <w:rPr>
          <w:rFonts w:ascii="Times New Roman" w:hAnsi="Times New Roman"/>
          <w:sz w:val="24"/>
        </w:rPr>
      </w:pPr>
      <w:r w:rsidRPr="005B56C2">
        <w:rPr>
          <w:rFonts w:ascii="Times New Roman" w:hAnsi="Times New Roman"/>
          <w:sz w:val="24"/>
        </w:rPr>
        <w:t>2012.gada decembrī tika atmaksāta</w:t>
      </w:r>
      <w:r>
        <w:rPr>
          <w:rFonts w:ascii="Times New Roman" w:hAnsi="Times New Roman"/>
          <w:sz w:val="24"/>
        </w:rPr>
        <w:t>s</w:t>
      </w:r>
      <w:r w:rsidRPr="005B56C2">
        <w:rPr>
          <w:rFonts w:ascii="Times New Roman" w:hAnsi="Times New Roman"/>
          <w:sz w:val="24"/>
        </w:rPr>
        <w:t xml:space="preserve"> </w:t>
      </w:r>
      <w:r>
        <w:rPr>
          <w:rFonts w:ascii="Times New Roman" w:hAnsi="Times New Roman"/>
          <w:sz w:val="24"/>
        </w:rPr>
        <w:t xml:space="preserve">visas </w:t>
      </w:r>
      <w:r w:rsidRPr="005B56C2">
        <w:rPr>
          <w:rFonts w:ascii="Times New Roman" w:hAnsi="Times New Roman"/>
          <w:sz w:val="24"/>
        </w:rPr>
        <w:t xml:space="preserve">SVF </w:t>
      </w:r>
      <w:r w:rsidRPr="00211243">
        <w:rPr>
          <w:rFonts w:ascii="Times New Roman" w:hAnsi="Times New Roman"/>
          <w:sz w:val="24"/>
        </w:rPr>
        <w:t>aizdevuma atlikušās daļas (</w:t>
      </w:r>
      <w:proofErr w:type="spellStart"/>
      <w:r w:rsidRPr="00211243">
        <w:rPr>
          <w:rFonts w:ascii="Times New Roman" w:hAnsi="Times New Roman"/>
          <w:sz w:val="24"/>
        </w:rPr>
        <w:t>skat</w:t>
      </w:r>
      <w:proofErr w:type="spellEnd"/>
      <w:r w:rsidRPr="00211243">
        <w:rPr>
          <w:rFonts w:ascii="Times New Roman" w:hAnsi="Times New Roman"/>
          <w:sz w:val="24"/>
        </w:rPr>
        <w:t>. 4.tab.),</w:t>
      </w:r>
      <w:r w:rsidRPr="005B56C2">
        <w:rPr>
          <w:rFonts w:ascii="Times New Roman" w:hAnsi="Times New Roman"/>
          <w:sz w:val="24"/>
        </w:rPr>
        <w:t xml:space="preserve"> atmaksai izmantojot 2012.gada decembrī </w:t>
      </w:r>
      <w:r>
        <w:rPr>
          <w:rFonts w:ascii="Times New Roman" w:hAnsi="Times New Roman"/>
          <w:sz w:val="24"/>
        </w:rPr>
        <w:t xml:space="preserve">veiktās </w:t>
      </w:r>
      <w:r w:rsidRPr="005B56C2">
        <w:rPr>
          <w:rFonts w:ascii="Times New Roman" w:hAnsi="Times New Roman"/>
          <w:sz w:val="24"/>
        </w:rPr>
        <w:t xml:space="preserve">septiņu gadu eiroobligāciju emisijas rezultātā piesaistītos resursus. </w:t>
      </w:r>
    </w:p>
    <w:p w:rsidR="004F3FAA" w:rsidRDefault="004F3FAA" w:rsidP="004F3FAA">
      <w:pPr>
        <w:ind w:firstLine="720"/>
        <w:jc w:val="both"/>
      </w:pPr>
      <w:r>
        <w:t>Ņemot vērā SVF aizdevuma atmaksas grafiku un tā apkalpošanas nosacījumus, tieši šī aizdevuma pirmstermiņa atmaksai bija lielāka pozitīva ietekme gan uz valsts parāda procentu izdevumu optimizēšanu vidējā termiņā,</w:t>
      </w:r>
      <w:r w:rsidRPr="00274B10">
        <w:t xml:space="preserve"> </w:t>
      </w:r>
      <w:r>
        <w:t>gan uz valsts parāda īstermiņa pārfinansēšanas riska samazināšanu.</w:t>
      </w:r>
      <w:r w:rsidRPr="00D50C26">
        <w:t xml:space="preserve"> </w:t>
      </w:r>
    </w:p>
    <w:p w:rsidR="004F3FAA" w:rsidRDefault="004F3FAA" w:rsidP="004F3FAA">
      <w:pPr>
        <w:ind w:firstLine="720"/>
        <w:jc w:val="both"/>
      </w:pPr>
      <w:r>
        <w:t>V</w:t>
      </w:r>
      <w:r w:rsidRPr="00C32D28">
        <w:t>iens no 2012.gad</w:t>
      </w:r>
      <w:r>
        <w:t>ā</w:t>
      </w:r>
      <w:r w:rsidRPr="00C32D28">
        <w:t xml:space="preserve"> veikt</w:t>
      </w:r>
      <w:r>
        <w:t xml:space="preserve">ās </w:t>
      </w:r>
      <w:r w:rsidRPr="00C32D28">
        <w:t>vērtspapīru emisijas starptautiskajos tirgos būtiskākiem mērķiem atbilstoši vidēja termiņa aizņemšanās stratēģijai bija finanšu resursu savlaicīg</w:t>
      </w:r>
      <w:r>
        <w:t>a un pakāpeniska</w:t>
      </w:r>
      <w:r w:rsidRPr="00C32D28">
        <w:t xml:space="preserve"> piesaist</w:t>
      </w:r>
      <w:r>
        <w:t>e</w:t>
      </w:r>
      <w:r w:rsidRPr="00C32D28">
        <w:t xml:space="preserve"> valsts parāda pārfinansēšanas riska samazināšanai vidējā termiņā</w:t>
      </w:r>
      <w:r>
        <w:t>.</w:t>
      </w:r>
      <w:r w:rsidRPr="00C32D28">
        <w:t xml:space="preserve"> </w:t>
      </w:r>
      <w:r>
        <w:t xml:space="preserve">Tādēļ arī eiroobligāciju </w:t>
      </w:r>
      <w:r w:rsidRPr="00C32D28">
        <w:t xml:space="preserve">emisijas rezultātā piesaistīto līdzekļu novirzīšana daļējai valsts parāda </w:t>
      </w:r>
      <w:r>
        <w:t xml:space="preserve">pirmstermiņa </w:t>
      </w:r>
      <w:r w:rsidRPr="00C32D28">
        <w:t xml:space="preserve">atmaksai </w:t>
      </w:r>
      <w:r>
        <w:t>(</w:t>
      </w:r>
      <w:proofErr w:type="spellStart"/>
      <w:r>
        <w:t>t.i</w:t>
      </w:r>
      <w:proofErr w:type="spellEnd"/>
      <w:r>
        <w:t xml:space="preserve">. aizdevuma pirmstermiņa atmaksai SVF 2012.gada septembrī un decembrī) bija atbilstoša aizņemšanās mērķim, kā arī bija </w:t>
      </w:r>
      <w:r w:rsidRPr="00C32D28">
        <w:t>finansiāli izdevīga</w:t>
      </w:r>
      <w:r>
        <w:t xml:space="preserve"> šādu apsvērumu dēļ:</w:t>
      </w:r>
    </w:p>
    <w:p w:rsidR="004F3FAA" w:rsidRPr="00D11810" w:rsidRDefault="004F3FAA" w:rsidP="004F3FAA">
      <w:pPr>
        <w:numPr>
          <w:ilvl w:val="0"/>
          <w:numId w:val="31"/>
        </w:numPr>
        <w:spacing w:before="120"/>
        <w:jc w:val="both"/>
        <w:rPr>
          <w:rFonts w:eastAsia="Calibri"/>
          <w:szCs w:val="22"/>
        </w:rPr>
      </w:pPr>
      <w:r w:rsidRPr="00D11810">
        <w:rPr>
          <w:rFonts w:eastAsia="Calibri"/>
          <w:szCs w:val="22"/>
        </w:rPr>
        <w:lastRenderedPageBreak/>
        <w:t xml:space="preserve">Pieņemot lēmumu par SVF aizdevuma otrās daļas pirmstermiņa atmaksu </w:t>
      </w:r>
      <w:r>
        <w:rPr>
          <w:rFonts w:eastAsia="Calibri"/>
          <w:szCs w:val="22"/>
        </w:rPr>
        <w:t xml:space="preserve">2012.gada </w:t>
      </w:r>
      <w:r w:rsidRPr="00D11810">
        <w:rPr>
          <w:rFonts w:eastAsia="Calibri"/>
          <w:szCs w:val="22"/>
        </w:rPr>
        <w:t xml:space="preserve">septembrī, Valsts kase secināja, ka, salīdzinot SVF aizdevuma otrās daļas pirmstermiņa atmaksu ar alternatīvām resursu izvietošanas iespējām (piemēram, līdzīga apjoma resursu ieguldījumi depozītos un vērtspapīros), līdz 2013.gada beigām ieguldījumi jebkuros </w:t>
      </w:r>
      <w:r>
        <w:rPr>
          <w:rFonts w:eastAsia="Calibri"/>
          <w:szCs w:val="22"/>
        </w:rPr>
        <w:t xml:space="preserve">pieejamos finanšu </w:t>
      </w:r>
      <w:r w:rsidRPr="00D11810">
        <w:rPr>
          <w:rFonts w:eastAsia="Calibri"/>
          <w:szCs w:val="22"/>
        </w:rPr>
        <w:t>instrumentos būtu ar mazāku ienesīgumu (</w:t>
      </w:r>
      <w:r>
        <w:rPr>
          <w:rFonts w:eastAsia="Calibri"/>
          <w:szCs w:val="22"/>
        </w:rPr>
        <w:t>līdz</w:t>
      </w:r>
      <w:r w:rsidRPr="00D11810">
        <w:rPr>
          <w:rFonts w:eastAsia="Calibri"/>
          <w:szCs w:val="22"/>
        </w:rPr>
        <w:t xml:space="preserve"> ~0,7% gadā) nekā SVF aizdevuma likme (~1,9% gadā). Līdz ar to, no finansiālā izdevīguma viedokļa Valsts kases kontos pieejamo resursu, </w:t>
      </w:r>
      <w:proofErr w:type="spellStart"/>
      <w:r w:rsidRPr="00D11810">
        <w:rPr>
          <w:rFonts w:eastAsia="Calibri"/>
          <w:szCs w:val="22"/>
        </w:rPr>
        <w:t>t.sk</w:t>
      </w:r>
      <w:proofErr w:type="spellEnd"/>
      <w:r w:rsidRPr="00D11810">
        <w:rPr>
          <w:rFonts w:eastAsia="Calibri"/>
          <w:szCs w:val="22"/>
        </w:rPr>
        <w:t>. 2012.gada februārī veiktās piecu gadu eiroobligāciju emisijas rezultātā piesaistīto resursu,</w:t>
      </w:r>
      <w:r w:rsidRPr="00D11810">
        <w:t xml:space="preserve"> novirzīšana SVF </w:t>
      </w:r>
      <w:r w:rsidRPr="00211243">
        <w:t>aizdevuma otrās daļas pirmstermiņa</w:t>
      </w:r>
      <w:r w:rsidRPr="00D11810">
        <w:t xml:space="preserve"> atmaksai septembrī bija finansiāli izdevīgākais šo resursu izmantošanas veids, salīdzinot ar citām pieejamām ieguldījumu alternatīvām.</w:t>
      </w:r>
    </w:p>
    <w:p w:rsidR="004F3FAA" w:rsidRPr="008114FA" w:rsidRDefault="004F3FAA" w:rsidP="004F3FAA">
      <w:pPr>
        <w:pStyle w:val="ListParagraph"/>
        <w:numPr>
          <w:ilvl w:val="0"/>
          <w:numId w:val="31"/>
        </w:numPr>
        <w:spacing w:before="120" w:after="120"/>
        <w:jc w:val="both"/>
        <w:rPr>
          <w:rFonts w:ascii="Times New Roman" w:hAnsi="Times New Roman"/>
          <w:sz w:val="24"/>
        </w:rPr>
      </w:pPr>
      <w:r>
        <w:rPr>
          <w:rFonts w:ascii="Times New Roman" w:hAnsi="Times New Roman"/>
          <w:sz w:val="24"/>
        </w:rPr>
        <w:t xml:space="preserve">Veicot visu atlikušo SVF aizdevuma daļu pirmstermiņa atmaksu 2012.gada decembrī, </w:t>
      </w:r>
      <w:r w:rsidRPr="00DE2E74">
        <w:rPr>
          <w:rFonts w:ascii="Times New Roman" w:hAnsi="Times New Roman"/>
          <w:sz w:val="24"/>
        </w:rPr>
        <w:t xml:space="preserve">atmaksai izmantojot 2012.gada decembrī veiktās eiroobligāciju emisijas </w:t>
      </w:r>
      <w:r>
        <w:rPr>
          <w:rFonts w:ascii="Times New Roman" w:hAnsi="Times New Roman"/>
          <w:sz w:val="24"/>
        </w:rPr>
        <w:t xml:space="preserve">rezultātā piesaistītos resursus, Valsts kase faktiski pārfinansēja relatīvi </w:t>
      </w:r>
      <w:r w:rsidRPr="008C0954">
        <w:rPr>
          <w:rFonts w:ascii="Times New Roman" w:hAnsi="Times New Roman"/>
          <w:sz w:val="24"/>
        </w:rPr>
        <w:t>dārgu SVF īstermiņa aizdevumu ar lētiem ilgtermiņa (septiņu gadu) aizņēmuma resursiem.</w:t>
      </w:r>
      <w:r>
        <w:rPr>
          <w:rFonts w:ascii="Times New Roman" w:hAnsi="Times New Roman"/>
          <w:sz w:val="24"/>
        </w:rPr>
        <w:t xml:space="preserve"> </w:t>
      </w:r>
      <w:r w:rsidRPr="008114FA">
        <w:rPr>
          <w:rFonts w:ascii="Times New Roman" w:hAnsi="Times New Roman"/>
          <w:sz w:val="24"/>
        </w:rPr>
        <w:t xml:space="preserve">SVF aizdevuma procentu likme (mainīga) pirms tā atmaksas bija nedaudz zem 2% un aizdevuma atlikušais dzēšanas termiņš bija vidēji 1,5 gadi. Ņemot vērā, ka finanšu tirgos resursus ar līdzīgu atmaksas termiņu 2012.gada noslēgumā </w:t>
      </w:r>
      <w:r>
        <w:rPr>
          <w:rFonts w:ascii="Times New Roman" w:hAnsi="Times New Roman"/>
          <w:sz w:val="24"/>
        </w:rPr>
        <w:t xml:space="preserve">Valsts kase </w:t>
      </w:r>
      <w:r w:rsidRPr="008114FA">
        <w:rPr>
          <w:rFonts w:ascii="Times New Roman" w:hAnsi="Times New Roman"/>
          <w:sz w:val="24"/>
        </w:rPr>
        <w:t>varēja aizņemties ar zemāku procentu likmi (zem 1%), SVF aizdevums no finansiālā izdevīguma viedokļa bija uzskatāms par dārgu īstermiņa aizņēmumu. Tādēļ SVF aizdevuma atlikusī daļa pilnā apmērā 2012.gada decembrī tika pārfinansēta ar 2012.gada decembr</w:t>
      </w:r>
      <w:r>
        <w:rPr>
          <w:rFonts w:ascii="Times New Roman" w:hAnsi="Times New Roman"/>
          <w:sz w:val="24"/>
        </w:rPr>
        <w:t xml:space="preserve">ī </w:t>
      </w:r>
      <w:r w:rsidRPr="008114FA">
        <w:rPr>
          <w:rFonts w:ascii="Times New Roman" w:hAnsi="Times New Roman"/>
          <w:sz w:val="24"/>
        </w:rPr>
        <w:t>piesaistītiem ilgtermiņa eiroobligāciju resursiem, kuriem fiksēta vēsturiski zemākā kupona likme kopš Latvija veic publiskus aizņēmumus starptautiskajos finanšu tirgos – 2</w:t>
      </w:r>
      <w:r w:rsidR="003A4F6B">
        <w:rPr>
          <w:rFonts w:ascii="Times New Roman" w:hAnsi="Times New Roman"/>
          <w:sz w:val="24"/>
        </w:rPr>
        <w:t>,75% (ienesīguma likme 2,889%).</w:t>
      </w:r>
    </w:p>
    <w:p w:rsidR="004F3FAA" w:rsidRDefault="004F3FAA" w:rsidP="004F3FAA">
      <w:pPr>
        <w:ind w:firstLine="720"/>
        <w:jc w:val="both"/>
      </w:pPr>
      <w:r>
        <w:t>SVF īstermiņa aizdevuma pārfinansēšana ar ilgtermiņa aizņēmuma (piecu un septiņu gadu eiroobligāciju) resursiem samazināja valsts parāda īstermiņa pārfinansēšanas risku, jo tika samazināti valsts parāda atmaksājamie apjomi tuvākajos gados</w:t>
      </w:r>
      <w:r w:rsidRPr="00274B10">
        <w:t xml:space="preserve"> </w:t>
      </w:r>
      <w:r>
        <w:t xml:space="preserve">(SVF aizdevums veidoja lielāko atmaksājamo saistību apjomu valsts parāda portfelī tuvākajos divos gados – </w:t>
      </w:r>
      <w:proofErr w:type="spellStart"/>
      <w:r>
        <w:t>skat</w:t>
      </w:r>
      <w:proofErr w:type="spellEnd"/>
      <w:r>
        <w:t xml:space="preserve">. </w:t>
      </w:r>
      <w:r w:rsidR="0021248F" w:rsidRPr="0021248F">
        <w:t>23.</w:t>
      </w:r>
      <w:r w:rsidRPr="0021248F">
        <w:t>att.), kā rezultātā valsts parāda atmaksas profils kļuva izlīdzinātāks un līdz ar to arī mazāk riskants.</w:t>
      </w:r>
      <w:r>
        <w:t xml:space="preserve"> </w:t>
      </w:r>
    </w:p>
    <w:p w:rsidR="004F3FAA" w:rsidRDefault="004F3FAA" w:rsidP="004F3FAA">
      <w:pPr>
        <w:ind w:firstLine="720"/>
        <w:jc w:val="both"/>
      </w:pPr>
      <w:r>
        <w:t xml:space="preserve">Pēdējais procentu maksājums 1,2 </w:t>
      </w:r>
      <w:proofErr w:type="spellStart"/>
      <w:r>
        <w:t>milj.latu</w:t>
      </w:r>
      <w:proofErr w:type="spellEnd"/>
      <w:r>
        <w:t xml:space="preserve"> apmērā par SVF aizdevumu tika veikts 2013.gada </w:t>
      </w:r>
      <w:r w:rsidR="0021248F">
        <w:t>februārī</w:t>
      </w:r>
      <w:r>
        <w:t xml:space="preserve">. 2012.gadā pilnā apmērā veiktās SVF aizdevuma pirmstermiņa atmaksas rezultātā </w:t>
      </w:r>
      <w:r w:rsidRPr="005721FA">
        <w:t>apakšprogrammas 31.02.00 “Valsts parāda vadība” ietvaros</w:t>
      </w:r>
      <w:r>
        <w:t xml:space="preserve"> 2013.gadā izveidojās izdevumu ietaupījums 11,0 </w:t>
      </w:r>
      <w:proofErr w:type="spellStart"/>
      <w:r>
        <w:t>milj.latu</w:t>
      </w:r>
      <w:proofErr w:type="spellEnd"/>
      <w:r>
        <w:t xml:space="preserve"> apmērā.</w:t>
      </w:r>
    </w:p>
    <w:p w:rsidR="004F3FAA" w:rsidRDefault="004F3FAA" w:rsidP="004F3FAA">
      <w:pPr>
        <w:ind w:firstLine="709"/>
        <w:jc w:val="both"/>
      </w:pPr>
      <w:r>
        <w:t xml:space="preserve">Atmaksājot SVF aizdevumu pilnā apmērā, Valsts kase 2012.gada beigās pirms termiņa izbeidza arī </w:t>
      </w:r>
      <w:r w:rsidRPr="00FF79E2">
        <w:t>SVF aizdevum</w:t>
      </w:r>
      <w:r>
        <w:t>a</w:t>
      </w:r>
      <w:r w:rsidRPr="00FF79E2">
        <w:t xml:space="preserve"> </w:t>
      </w:r>
      <w:r>
        <w:t>finanšu</w:t>
      </w:r>
      <w:r w:rsidRPr="00FF79E2">
        <w:t xml:space="preserve"> risku vadībai noslē</w:t>
      </w:r>
      <w:r>
        <w:t>gtos</w:t>
      </w:r>
      <w:r w:rsidRPr="00FF79E2">
        <w:t xml:space="preserve"> valūtu un procentu likmju mijmaiņas darījumus</w:t>
      </w:r>
      <w:r>
        <w:t>, fiksējot SVF aizdevuma finanšu risku vadībai noslēgto atvasināto finanšu instrumentu pārtraukšanas rezultātu un veicot atbilstošus norēķinus</w:t>
      </w:r>
      <w:r w:rsidRPr="00D36F32">
        <w:t xml:space="preserve"> </w:t>
      </w:r>
      <w:r>
        <w:t xml:space="preserve">ar darījuma partneriem 2012.gada decembra beigās. Šo darbību rezultātā </w:t>
      </w:r>
      <w:r w:rsidRPr="00C711E1">
        <w:t>apakšprogrammas 31.02.00 “Valsts parāda vadība”</w:t>
      </w:r>
      <w:r>
        <w:t xml:space="preserve"> ietvaros plānotie izdevumi 1,72 </w:t>
      </w:r>
      <w:proofErr w:type="spellStart"/>
      <w:r>
        <w:t>milj.latu</w:t>
      </w:r>
      <w:proofErr w:type="spellEnd"/>
      <w:r>
        <w:t xml:space="preserve"> apmērā par </w:t>
      </w:r>
      <w:r w:rsidRPr="002C0E85">
        <w:t>SVF aizdevuma finanšu risku vadībai noslēgt</w:t>
      </w:r>
      <w:r>
        <w:t>o valūtu un procentu likmju mijmaiņas darījumu rezultātu 2013.gadā nebija jāveic.</w:t>
      </w:r>
    </w:p>
    <w:p w:rsidR="004F3FAA" w:rsidRDefault="004F3FAA" w:rsidP="004F3FAA">
      <w:pPr>
        <w:ind w:firstLine="720"/>
        <w:jc w:val="both"/>
      </w:pPr>
      <w:r>
        <w:t>Valsts kase pirms SVF aizdevuma atmaksas izvērtēja visu starptautiskā aizņēmuma programmas darbības laikā saņemto aizņēmumu pirmstermiņa atmaksas iespējas, sazinoties ar visiem aizdevējiem, kā rezultātā tika secināts:</w:t>
      </w:r>
    </w:p>
    <w:p w:rsidR="004F3FAA" w:rsidRDefault="004F3FAA" w:rsidP="004F3FAA">
      <w:pPr>
        <w:numPr>
          <w:ilvl w:val="0"/>
          <w:numId w:val="29"/>
        </w:numPr>
        <w:spacing w:before="120"/>
        <w:ind w:left="357" w:hanging="357"/>
        <w:jc w:val="both"/>
      </w:pPr>
      <w:r>
        <w:t>Eiropas Komisijas aizdevuma pirmstermiņa atmaksa nav iespējama, jo aizdevums Latvijai tika nodrošināts no finanšu resursiem, kas piesaistīti, Eiropas Savienībai emitējot vērtspapīrus finanšu tirgos, un neietver pirmstermiņa atmaksas iespējas, kas būtu sadārdzinājis sākotnējo aizņēmumu. Eiropas Komisijas aizdevuma atlikušais atmaksas termiņš šobrīd ir 12</w:t>
      </w:r>
      <w:r w:rsidRPr="002C0E85">
        <w:t xml:space="preserve"> gadi (visgarākais aizdevums starptautiskā aizņēmuma programmas </w:t>
      </w:r>
      <w:r w:rsidRPr="002C0E85">
        <w:lastRenderedPageBreak/>
        <w:t>ietvaros) un tā likme ir 2,875-3,375%,</w:t>
      </w:r>
      <w:r>
        <w:t xml:space="preserve"> kas uzskatāma par atbilstošu ilgtermiņa aizdevuma resursiem.</w:t>
      </w:r>
    </w:p>
    <w:p w:rsidR="004F3FAA" w:rsidRPr="002C0E85" w:rsidRDefault="004F3FAA" w:rsidP="004F3FAA">
      <w:pPr>
        <w:numPr>
          <w:ilvl w:val="0"/>
          <w:numId w:val="29"/>
        </w:numPr>
        <w:spacing w:before="120"/>
        <w:ind w:left="357" w:hanging="357"/>
        <w:jc w:val="both"/>
      </w:pPr>
      <w:r>
        <w:t>Pasaules Bankas aizdevuma pirmstermiņa atmaksa būtu saistīta ar nesamērīgi lielām soda naudām, kā rezultātā šī aizdevuma atmaksa pirms termiņa ir finansiāli neizdevīga. Pasaules bankas aizdevuma atlikušais atmaksas termiņš šobrīd ir 7</w:t>
      </w:r>
      <w:r w:rsidRPr="002C0E85">
        <w:t xml:space="preserve"> </w:t>
      </w:r>
      <w:r>
        <w:t>gadi un tā likme ir 4,18</w:t>
      </w:r>
      <w:r w:rsidRPr="002C0E85">
        <w:t>-4,22%.</w:t>
      </w:r>
    </w:p>
    <w:p w:rsidR="004F3FAA" w:rsidRPr="009C223A" w:rsidRDefault="004F3FAA" w:rsidP="004F3FAA">
      <w:pPr>
        <w:spacing w:before="120" w:after="120"/>
        <w:jc w:val="both"/>
        <w:rPr>
          <w:b/>
        </w:rPr>
      </w:pPr>
      <w:r w:rsidRPr="00452AF0">
        <w:rPr>
          <w:b/>
        </w:rPr>
        <w:t>3.</w:t>
      </w:r>
      <w:r>
        <w:rPr>
          <w:b/>
        </w:rPr>
        <w:t>3</w:t>
      </w:r>
      <w:r w:rsidRPr="00452AF0">
        <w:rPr>
          <w:b/>
        </w:rPr>
        <w:t xml:space="preserve">. </w:t>
      </w:r>
      <w:r>
        <w:rPr>
          <w:b/>
        </w:rPr>
        <w:t xml:space="preserve">Valsts kases veiktās darbības iekšzemes finanšu tirgū un </w:t>
      </w:r>
      <w:r w:rsidR="00EA740A">
        <w:rPr>
          <w:b/>
        </w:rPr>
        <w:t>īs</w:t>
      </w:r>
      <w:r w:rsidR="00EA740A" w:rsidRPr="00EA740A">
        <w:rPr>
          <w:b/>
        </w:rPr>
        <w:t xml:space="preserve">tenotie pasākumi </w:t>
      </w:r>
      <w:r>
        <w:rPr>
          <w:b/>
        </w:rPr>
        <w:t>tirgus attīstībai</w:t>
      </w:r>
    </w:p>
    <w:p w:rsidR="0041352D" w:rsidRDefault="0041352D" w:rsidP="00282ADF">
      <w:pPr>
        <w:ind w:firstLine="709"/>
        <w:jc w:val="both"/>
      </w:pPr>
      <w:r>
        <w:t xml:space="preserve">Viens no </w:t>
      </w:r>
      <w:r w:rsidR="00337E4A">
        <w:t xml:space="preserve">Valsts kases īstenotiem iekšzemes finanšu tirgus </w:t>
      </w:r>
      <w:r>
        <w:t xml:space="preserve">attīstības pasākumiem </w:t>
      </w:r>
      <w:r w:rsidR="00337E4A">
        <w:t xml:space="preserve">2013.gada sākumā </w:t>
      </w:r>
      <w:r>
        <w:t>bija izmaiņ</w:t>
      </w:r>
      <w:r w:rsidR="00337E4A">
        <w:t>u ieviešana</w:t>
      </w:r>
      <w:r>
        <w:t xml:space="preserve"> valsts vērtspapīru iegādes procesā, Latvijā ieviešot primāro dīleru sistēmu. Šādas sistēmas ieviešanas mērķis ir sekmēt valsts vērtspapīru tirgus attīstību un aktivitāti – jaunu aizņemšanās instrumentu veidošanos, investoru bāzes paplašināšanos, aktīvāku, likvīdāku un investoriem pievilcīgāku valsts vērtspapīru tirgu, kā arī ar valsts parāda apkalpošanu saistīto risku samazināšanu.</w:t>
      </w:r>
    </w:p>
    <w:p w:rsidR="0041352D" w:rsidRDefault="0041352D" w:rsidP="00282ADF">
      <w:pPr>
        <w:ind w:firstLine="709"/>
        <w:jc w:val="both"/>
      </w:pPr>
      <w:r>
        <w:t>No vienas puses</w:t>
      </w:r>
      <w:r w:rsidR="00337E4A">
        <w:t>,</w:t>
      </w:r>
      <w:r>
        <w:t xml:space="preserve"> Primāro dīleru sistēmas ietvaros valsts vērtspapīru izsolēs piedalās ierobežots skaits kredītiestāžu, kurām ir noslēgts primārā dīlera līgums ar Valsts kasi un tās šobrīd ir Citadele banka, DNB banka, </w:t>
      </w:r>
      <w:proofErr w:type="spellStart"/>
      <w:r>
        <w:t>Nordea</w:t>
      </w:r>
      <w:proofErr w:type="spellEnd"/>
      <w:r>
        <w:t xml:space="preserve"> </w:t>
      </w:r>
      <w:proofErr w:type="spellStart"/>
      <w:r>
        <w:t>Bank</w:t>
      </w:r>
      <w:proofErr w:type="spellEnd"/>
      <w:r>
        <w:t xml:space="preserve"> </w:t>
      </w:r>
      <w:proofErr w:type="spellStart"/>
      <w:r>
        <w:t>Finland</w:t>
      </w:r>
      <w:proofErr w:type="spellEnd"/>
      <w:r>
        <w:t xml:space="preserve"> </w:t>
      </w:r>
      <w:proofErr w:type="spellStart"/>
      <w:r>
        <w:t>Plc</w:t>
      </w:r>
      <w:proofErr w:type="spellEnd"/>
      <w:r>
        <w:t xml:space="preserve">, SEB banka un </w:t>
      </w:r>
      <w:proofErr w:type="spellStart"/>
      <w:r>
        <w:t>Swedbank</w:t>
      </w:r>
      <w:proofErr w:type="spellEnd"/>
      <w:r>
        <w:t>. No otras puses</w:t>
      </w:r>
      <w:r w:rsidR="00337E4A">
        <w:t>,</w:t>
      </w:r>
      <w:r>
        <w:t xml:space="preserve"> primārajiem dīleriem ir virkne pienākumu, kādi nebija pirms sistēmas ieviešanas, </w:t>
      </w:r>
      <w:proofErr w:type="spellStart"/>
      <w:r>
        <w:t>t.i</w:t>
      </w:r>
      <w:proofErr w:type="spellEnd"/>
      <w:r>
        <w:t xml:space="preserve">. pienākumi sākotnējā tirgū, ņemot aktīvu dalību izsolēs un iegādājoties vērtspapīrus, un pienākumi otrreizējā tirgū, uzturot tirgū aktuālu pirkšanas pārdošanas cenu, </w:t>
      </w:r>
      <w:proofErr w:type="spellStart"/>
      <w:r>
        <w:t>t.i</w:t>
      </w:r>
      <w:proofErr w:type="spellEnd"/>
      <w:r>
        <w:t>. palielinot likviditāti, jo likviditāte ir būtisks priekšnosacījums un faktors, lai investori būtu ieinteresēti ieguldīt savus brīvos resursus vērtspapīros.</w:t>
      </w:r>
    </w:p>
    <w:p w:rsidR="0041352D" w:rsidRDefault="0041352D" w:rsidP="00282ADF">
      <w:pPr>
        <w:ind w:firstLine="709"/>
        <w:jc w:val="both"/>
      </w:pPr>
      <w:r>
        <w:t>Primāro dīleru sistēmas valsts parāda un aizņēmumu vadībā ir plaši izplatītas arī Eiropas Savienības dalībvalstīs, un lēmumu par nepieciešamību Latvijā ieviest primāro dīleru sistēmu Valsts kase pieņēmusi, izvērtējot sagaidāmos ieguvumus Latvijas finanšu tirgum kopumā. Pirmā valsts vērtspapīru izsole primāro dīleru sistēmas ietvaros notika 2013.gada 13.februārī, piedāvājot investoriem iegādāties valsts iekšējā aizņēmuma trīs gadu obligācijas.</w:t>
      </w:r>
    </w:p>
    <w:p w:rsidR="0041352D" w:rsidRDefault="0041352D" w:rsidP="00282ADF">
      <w:pPr>
        <w:ind w:firstLine="709"/>
        <w:jc w:val="both"/>
      </w:pPr>
      <w:r>
        <w:t>Līdzšinējie secinājumi par Primāro dīleru sistēmas darbību apstiprina, ka ir uzlabojies valsts vērtspapīru otrreizējais tirgus un interese par valsts vērtspapīriem saglabājas stabili augsta</w:t>
      </w:r>
      <w:r w:rsidR="00337E4A">
        <w:t>. Tā piemēram. līdzīgi kā 2012.</w:t>
      </w:r>
      <w:r>
        <w:t xml:space="preserve">gadā, arī 2013.gadāValsts kase turpināja regulāras valsts iekšējā aizņēmuma vērtspapīru izsoles, piedāvājot investoriem iegādāties plašu instrumentu spektru – no īstermiņa līdz ilgtermiņa valsts vērtspapīriem. Līdzīgi kā iepriekšējos gados 6 un 12 mēnešu parādzīmju izsoles Valsts kase rīko, lai nodrošinātu galvenokārt relatīvi lētus likviditātes resursus un uzturētu iekšējā aizņēmuma vērtspapīru tirgu, </w:t>
      </w:r>
      <w:proofErr w:type="spellStart"/>
      <w:r>
        <w:t>t.sk</w:t>
      </w:r>
      <w:proofErr w:type="spellEnd"/>
      <w:r>
        <w:t>. nodrošinātu īstermiņa latu resursu aizņemšanās etalona regulāru aktualizēšanu tirgū. Savukārt, lai nodrošinātu vidēja un ilgtermiņa vērtspapīru piedāvājumu institucionālajiem investoriem, Valsts kase 2012.gada sākumā piedāvāja jaunu 5 gadu obligāciju programmu un 2012.gada aprīlī uzsāka jaunu 10 gadu obligāciju programmu, uzrādot labus izsoļu rezultātus un pieprasījumu, jo pieprasījums izsolēs lielākoties vairākkārtīgi pārsniedza Valsts kases piedāvājumu, rezultātā bija iespēja</w:t>
      </w:r>
      <w:r w:rsidR="00337E4A">
        <w:t>ms</w:t>
      </w:r>
      <w:r>
        <w:t xml:space="preserve"> pakāpeniski samazināt vidējās peļņas likmes. 2012.gadā jaunās 10 gadu obligāciju programmas ietvaros procentu likmes ar katru izsoli samazinājās straujāk, nekā to uzrādīja tendence attiecīgā termiņa EUR SWAP likmē</w:t>
      </w:r>
      <w:r w:rsidR="00337E4A">
        <w:t xml:space="preserve">m, ko var skaidrot ar latu un </w:t>
      </w:r>
      <w:proofErr w:type="spellStart"/>
      <w:r w:rsidR="00337E4A" w:rsidRPr="00337E4A">
        <w:rPr>
          <w:i/>
        </w:rPr>
        <w:t>eu</w:t>
      </w:r>
      <w:r w:rsidRPr="00337E4A">
        <w:rPr>
          <w:i/>
        </w:rPr>
        <w:t>ro</w:t>
      </w:r>
      <w:proofErr w:type="spellEnd"/>
      <w:r w:rsidR="00337E4A">
        <w:t xml:space="preserve"> likmju konverģenci </w:t>
      </w:r>
      <w:proofErr w:type="spellStart"/>
      <w:r w:rsidR="00337E4A" w:rsidRPr="00337E4A">
        <w:rPr>
          <w:i/>
        </w:rPr>
        <w:t>eu</w:t>
      </w:r>
      <w:r w:rsidRPr="00337E4A">
        <w:rPr>
          <w:i/>
        </w:rPr>
        <w:t>ro</w:t>
      </w:r>
      <w:proofErr w:type="spellEnd"/>
      <w:r>
        <w:t xml:space="preserve"> ieviešanas kontekstā, kā arī tiem faktoriem, kas noteikuši Latvijas kredītreitinga attīstības pozitīvo </w:t>
      </w:r>
      <w:r w:rsidR="007B2940">
        <w:t>attīstību</w:t>
      </w:r>
      <w:r>
        <w:t>. Pateicoties veiksmīgām 10 gadu obligāciju programmas emisijām sākotnējā tirgū, samazinājās valsts vērtspapīru ilgtermiņa procentu likme otrreizējā tirgū, nodrošin</w:t>
      </w:r>
      <w:r w:rsidR="007B2940">
        <w:t>ot</w:t>
      </w:r>
      <w:r>
        <w:t xml:space="preserve"> papildu ietaupījumu valsts parāda apkalpošan</w:t>
      </w:r>
      <w:r w:rsidR="007B2940">
        <w:t>as izdevumos</w:t>
      </w:r>
      <w:r>
        <w:t>.</w:t>
      </w:r>
    </w:p>
    <w:p w:rsidR="004F3FAA" w:rsidRDefault="00337E4A" w:rsidP="00282ADF">
      <w:pPr>
        <w:ind w:firstLine="709"/>
        <w:jc w:val="both"/>
      </w:pPr>
      <w:r>
        <w:lastRenderedPageBreak/>
        <w:t xml:space="preserve">Arī 2013.gadā </w:t>
      </w:r>
      <w:r w:rsidR="007B2940">
        <w:t>Valsts kase piedāvāja</w:t>
      </w:r>
      <w:r w:rsidR="0041352D">
        <w:t xml:space="preserve"> īstermiņa, vidēja un ilgtermiņa ieguldījuma instrument</w:t>
      </w:r>
      <w:r w:rsidR="007B2940">
        <w:t xml:space="preserve">us, </w:t>
      </w:r>
      <w:r w:rsidR="0041352D">
        <w:t>uzsāk</w:t>
      </w:r>
      <w:r w:rsidR="007B2940">
        <w:t>ot</w:t>
      </w:r>
      <w:r w:rsidR="0041352D">
        <w:t xml:space="preserve"> jauna 3 un 5 gadu vērtspapīru programma</w:t>
      </w:r>
      <w:r w:rsidR="007B2940">
        <w:t>s</w:t>
      </w:r>
      <w:r w:rsidR="0041352D">
        <w:t xml:space="preserve">, pēc kurām </w:t>
      </w:r>
      <w:r w:rsidR="007B2940">
        <w:t xml:space="preserve">investoru </w:t>
      </w:r>
      <w:r w:rsidR="0041352D">
        <w:t xml:space="preserve">pieprasījums bija augsts, </w:t>
      </w:r>
      <w:r w:rsidR="007B2940">
        <w:t>veicinot</w:t>
      </w:r>
      <w:r w:rsidR="0041352D">
        <w:t xml:space="preserve"> likm</w:t>
      </w:r>
      <w:r w:rsidR="007B2940">
        <w:t>ju</w:t>
      </w:r>
      <w:r w:rsidR="0041352D">
        <w:t xml:space="preserve"> atra</w:t>
      </w:r>
      <w:r w:rsidR="007B2940">
        <w:t>šanos</w:t>
      </w:r>
      <w:r w:rsidR="0041352D">
        <w:t xml:space="preserve"> vēsturiski zemākajos līmeņos (</w:t>
      </w:r>
      <w:proofErr w:type="spellStart"/>
      <w:r w:rsidR="0041352D">
        <w:t>sk</w:t>
      </w:r>
      <w:r w:rsidR="007D6C6F">
        <w:t>at</w:t>
      </w:r>
      <w:proofErr w:type="spellEnd"/>
      <w:r w:rsidR="0041352D">
        <w:t xml:space="preserve">. </w:t>
      </w:r>
      <w:r w:rsidR="007D6C6F">
        <w:t>25.</w:t>
      </w:r>
      <w:r w:rsidR="0041352D">
        <w:t>att</w:t>
      </w:r>
      <w:r w:rsidR="007D6C6F">
        <w:t>.</w:t>
      </w:r>
      <w:r w:rsidR="0041352D">
        <w:t>).</w:t>
      </w:r>
    </w:p>
    <w:p w:rsidR="004F3FAA" w:rsidRDefault="007D6C6F" w:rsidP="00853F2A">
      <w:pPr>
        <w:ind w:right="45"/>
        <w:jc w:val="center"/>
      </w:pPr>
      <w:r>
        <w:rPr>
          <w:noProof/>
        </w:rPr>
        <w:drawing>
          <wp:inline distT="0" distB="0" distL="0" distR="0" wp14:anchorId="6FDFE0FD" wp14:editId="7AC72FA9">
            <wp:extent cx="5373839" cy="30099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1600" cy="3014247"/>
                    </a:xfrm>
                    <a:prstGeom prst="rect">
                      <a:avLst/>
                    </a:prstGeom>
                    <a:noFill/>
                  </pic:spPr>
                </pic:pic>
              </a:graphicData>
            </a:graphic>
          </wp:inline>
        </w:drawing>
      </w:r>
    </w:p>
    <w:p w:rsidR="004F3FAA" w:rsidRDefault="007D6C6F" w:rsidP="00282ADF">
      <w:pPr>
        <w:ind w:right="45"/>
        <w:jc w:val="center"/>
        <w:rPr>
          <w:bCs/>
          <w:sz w:val="22"/>
        </w:rPr>
      </w:pPr>
      <w:r w:rsidRPr="007D6C6F">
        <w:rPr>
          <w:bCs/>
          <w:sz w:val="22"/>
        </w:rPr>
        <w:t>25.</w:t>
      </w:r>
      <w:r w:rsidR="004F3FAA" w:rsidRPr="007D6C6F">
        <w:rPr>
          <w:bCs/>
          <w:sz w:val="22"/>
        </w:rPr>
        <w:t>att</w:t>
      </w:r>
      <w:r w:rsidR="002556BB" w:rsidRPr="007D6C6F">
        <w:rPr>
          <w:bCs/>
          <w:sz w:val="22"/>
        </w:rPr>
        <w:t>ēls</w:t>
      </w:r>
      <w:r w:rsidR="004F3FAA" w:rsidRPr="007D6C6F">
        <w:rPr>
          <w:bCs/>
          <w:sz w:val="22"/>
        </w:rPr>
        <w:t>.</w:t>
      </w:r>
      <w:r w:rsidR="002556BB" w:rsidRPr="007D6C6F">
        <w:rPr>
          <w:bCs/>
          <w:sz w:val="22"/>
        </w:rPr>
        <w:t xml:space="preserve"> </w:t>
      </w:r>
      <w:r w:rsidR="002556BB" w:rsidRPr="007D6C6F">
        <w:rPr>
          <w:b/>
          <w:bCs/>
        </w:rPr>
        <w:t>Valsts</w:t>
      </w:r>
      <w:r w:rsidR="002556BB" w:rsidRPr="002556BB">
        <w:rPr>
          <w:b/>
          <w:bCs/>
        </w:rPr>
        <w:t xml:space="preserve"> vērtspapīru konkurējošās </w:t>
      </w:r>
      <w:proofErr w:type="spellStart"/>
      <w:r w:rsidR="002556BB" w:rsidRPr="002556BB">
        <w:rPr>
          <w:b/>
          <w:bCs/>
        </w:rPr>
        <w:t>daudzcenu</w:t>
      </w:r>
      <w:proofErr w:type="spellEnd"/>
      <w:r w:rsidR="002556BB" w:rsidRPr="002556BB">
        <w:rPr>
          <w:b/>
          <w:bCs/>
        </w:rPr>
        <w:t xml:space="preserve"> izsolēs noteiktās vidējās svērtās procentu likmes</w:t>
      </w:r>
    </w:p>
    <w:p w:rsidR="002556BB" w:rsidRPr="009C6E26" w:rsidRDefault="002556BB" w:rsidP="00282ADF">
      <w:pPr>
        <w:spacing w:after="120"/>
        <w:ind w:right="45"/>
        <w:jc w:val="center"/>
        <w:rPr>
          <w:bCs/>
          <w:sz w:val="22"/>
        </w:rPr>
      </w:pPr>
      <w:r>
        <w:rPr>
          <w:bCs/>
          <w:sz w:val="22"/>
        </w:rPr>
        <w:t>(2009</w:t>
      </w:r>
      <w:r w:rsidRPr="007D6C6F">
        <w:rPr>
          <w:bCs/>
          <w:sz w:val="22"/>
        </w:rPr>
        <w:t>.gada janvāris – 201</w:t>
      </w:r>
      <w:r w:rsidR="007D6C6F" w:rsidRPr="007D6C6F">
        <w:rPr>
          <w:bCs/>
          <w:sz w:val="22"/>
        </w:rPr>
        <w:t>3</w:t>
      </w:r>
      <w:r w:rsidRPr="007D6C6F">
        <w:rPr>
          <w:bCs/>
          <w:sz w:val="22"/>
        </w:rPr>
        <w:t>.gada decembris)</w:t>
      </w:r>
    </w:p>
    <w:p w:rsidR="00065ABA" w:rsidRPr="00AC75ED" w:rsidRDefault="00065ABA" w:rsidP="00065ABA">
      <w:pPr>
        <w:pStyle w:val="Title"/>
        <w:ind w:firstLine="720"/>
        <w:jc w:val="both"/>
        <w:rPr>
          <w:bCs/>
          <w:color w:val="000000"/>
        </w:rPr>
      </w:pPr>
      <w:r w:rsidRPr="009B4C96">
        <w:rPr>
          <w:bCs/>
          <w:color w:val="000000"/>
          <w:szCs w:val="24"/>
        </w:rPr>
        <w:t>Attiecībā uz valsts iekšējā aizņēmuma otrreizējā tirgus vērtspapīru investoriem 2012.gadā</w:t>
      </w:r>
      <w:r>
        <w:rPr>
          <w:bCs/>
          <w:color w:val="000000"/>
          <w:szCs w:val="24"/>
        </w:rPr>
        <w:t>, saskaņā ar Latvijas Bankas datiem</w:t>
      </w:r>
      <w:r w:rsidR="007B2940">
        <w:rPr>
          <w:bCs/>
          <w:color w:val="000000"/>
          <w:szCs w:val="24"/>
        </w:rPr>
        <w:t>,</w:t>
      </w:r>
      <w:r w:rsidRPr="009B4C96">
        <w:rPr>
          <w:bCs/>
          <w:color w:val="000000"/>
          <w:szCs w:val="24"/>
        </w:rPr>
        <w:t xml:space="preserve"> kredītiestādes saglabāja savas līderpozīcijas valsts iekšējā aizņēmuma vērtspapīru investoru struktūrā. 2012.gada beigās kredītiestāžu investīcijas Latvijas iekšējā aizņēmuma vērtspapīros veidoja 364,5 </w:t>
      </w:r>
      <w:proofErr w:type="spellStart"/>
      <w:r w:rsidRPr="009B4C96">
        <w:rPr>
          <w:bCs/>
          <w:color w:val="000000"/>
          <w:szCs w:val="24"/>
        </w:rPr>
        <w:t>milj</w:t>
      </w:r>
      <w:proofErr w:type="spellEnd"/>
      <w:r w:rsidRPr="009B4C96">
        <w:rPr>
          <w:bCs/>
          <w:color w:val="000000"/>
          <w:szCs w:val="24"/>
        </w:rPr>
        <w:t xml:space="preserve">. </w:t>
      </w:r>
      <w:r w:rsidR="007B2940">
        <w:rPr>
          <w:bCs/>
          <w:color w:val="000000"/>
          <w:szCs w:val="24"/>
        </w:rPr>
        <w:t xml:space="preserve">latu </w:t>
      </w:r>
      <w:r w:rsidRPr="009B4C96">
        <w:rPr>
          <w:bCs/>
          <w:color w:val="000000"/>
          <w:szCs w:val="24"/>
        </w:rPr>
        <w:t>jeb 54% no kopējiem apgrozībā esošajiem valsts iekšējā aizņēmuma vērtspapīriem</w:t>
      </w:r>
      <w:r>
        <w:rPr>
          <w:bCs/>
          <w:color w:val="000000"/>
          <w:szCs w:val="24"/>
        </w:rPr>
        <w:t>. Situācija nav būtiski mainījusies, jeb uz 2013.gada septembri kredītiestāžu bija iegādājušās 49% no visiem izlaistajiem vērtspapīriem.</w:t>
      </w:r>
      <w:r>
        <w:rPr>
          <w:bCs/>
          <w:color w:val="000000"/>
        </w:rPr>
        <w:t xml:space="preserve"> Arī </w:t>
      </w:r>
      <w:r>
        <w:rPr>
          <w:bCs/>
          <w:color w:val="000000"/>
          <w:szCs w:val="24"/>
        </w:rPr>
        <w:t>institucionālo investoru</w:t>
      </w:r>
      <w:r w:rsidRPr="00CA53B2">
        <w:rPr>
          <w:bCs/>
          <w:color w:val="000000"/>
          <w:szCs w:val="24"/>
        </w:rPr>
        <w:t xml:space="preserve"> (pensiju un apdrošināšanas </w:t>
      </w:r>
      <w:r w:rsidRPr="00B326D5">
        <w:rPr>
          <w:bCs/>
          <w:color w:val="000000"/>
          <w:szCs w:val="24"/>
        </w:rPr>
        <w:t>fondu un ieguldījuma fondi</w:t>
      </w:r>
      <w:r w:rsidRPr="0004536B">
        <w:rPr>
          <w:bCs/>
          <w:color w:val="000000"/>
          <w:szCs w:val="24"/>
        </w:rPr>
        <w:t xml:space="preserve">) </w:t>
      </w:r>
      <w:r>
        <w:rPr>
          <w:bCs/>
          <w:color w:val="000000"/>
          <w:szCs w:val="24"/>
        </w:rPr>
        <w:t>aktivitātes valsts vērtspapīru tirgū ir vērtējamas kā pozitīvas, regulāri</w:t>
      </w:r>
      <w:r w:rsidRPr="0004536B">
        <w:rPr>
          <w:bCs/>
          <w:color w:val="000000"/>
          <w:szCs w:val="24"/>
        </w:rPr>
        <w:t xml:space="preserve"> vei</w:t>
      </w:r>
      <w:r>
        <w:rPr>
          <w:bCs/>
          <w:color w:val="000000"/>
          <w:szCs w:val="24"/>
        </w:rPr>
        <w:t>cot</w:t>
      </w:r>
      <w:r w:rsidRPr="0004536B">
        <w:rPr>
          <w:bCs/>
          <w:color w:val="000000"/>
          <w:szCs w:val="24"/>
        </w:rPr>
        <w:t xml:space="preserve"> ieguldījumus Latvijas valsts </w:t>
      </w:r>
      <w:r>
        <w:rPr>
          <w:bCs/>
          <w:color w:val="000000"/>
          <w:szCs w:val="24"/>
        </w:rPr>
        <w:t>vērtspapīros</w:t>
      </w:r>
      <w:r w:rsidRPr="0004536B">
        <w:rPr>
          <w:bCs/>
          <w:color w:val="000000"/>
          <w:szCs w:val="24"/>
        </w:rPr>
        <w:t>.</w:t>
      </w:r>
      <w:r>
        <w:rPr>
          <w:bCs/>
          <w:color w:val="000000"/>
          <w:szCs w:val="24"/>
        </w:rPr>
        <w:t xml:space="preserve"> </w:t>
      </w:r>
      <w:r>
        <w:rPr>
          <w:color w:val="000000"/>
          <w:szCs w:val="24"/>
        </w:rPr>
        <w:t xml:space="preserve">Institucionālo investoru īpašumā 2012.gada nogalē bija valsts vērtspapīri 289,9 </w:t>
      </w:r>
      <w:proofErr w:type="spellStart"/>
      <w:r>
        <w:rPr>
          <w:color w:val="000000"/>
          <w:szCs w:val="24"/>
        </w:rPr>
        <w:t>milj</w:t>
      </w:r>
      <w:proofErr w:type="spellEnd"/>
      <w:r>
        <w:rPr>
          <w:color w:val="000000"/>
          <w:szCs w:val="24"/>
        </w:rPr>
        <w:t xml:space="preserve">. </w:t>
      </w:r>
      <w:r w:rsidR="007B2940">
        <w:rPr>
          <w:color w:val="000000"/>
          <w:szCs w:val="24"/>
        </w:rPr>
        <w:t xml:space="preserve">latu </w:t>
      </w:r>
      <w:r>
        <w:rPr>
          <w:color w:val="000000"/>
          <w:szCs w:val="24"/>
        </w:rPr>
        <w:t>vērtībā, kas atbilst 43% no kopējā valsts vērtspapīru apjoma otrreizējā tirgū</w:t>
      </w:r>
      <w:r w:rsidR="007B2940">
        <w:rPr>
          <w:color w:val="000000"/>
          <w:szCs w:val="24"/>
        </w:rPr>
        <w:t>.</w:t>
      </w:r>
      <w:r>
        <w:rPr>
          <w:color w:val="000000"/>
          <w:szCs w:val="24"/>
        </w:rPr>
        <w:t xml:space="preserve"> Situācija uz 2013.gada septembri nebija būtiski atšķirīga no 2012.gada beigām dēļ stabilā pieprasījuma, un institucionālo investoru īpašumā esošais vērtspapīru apjoms bija 46% no visiem </w:t>
      </w:r>
      <w:r w:rsidR="007B2940">
        <w:rPr>
          <w:color w:val="000000"/>
          <w:szCs w:val="24"/>
        </w:rPr>
        <w:t xml:space="preserve">Valsts kases emitētajiem </w:t>
      </w:r>
      <w:r>
        <w:rPr>
          <w:color w:val="000000"/>
          <w:szCs w:val="24"/>
        </w:rPr>
        <w:t>vērtspapīriem.</w:t>
      </w:r>
    </w:p>
    <w:p w:rsidR="00065ABA" w:rsidRDefault="00065ABA" w:rsidP="005365D2">
      <w:pPr>
        <w:ind w:firstLine="709"/>
        <w:jc w:val="both"/>
      </w:pPr>
      <w:r>
        <w:t xml:space="preserve">Otrs būtisks uz iekšējā tirgus attīstību vērsts </w:t>
      </w:r>
      <w:r w:rsidR="007B2940">
        <w:t xml:space="preserve">Valsts kases veiktais </w:t>
      </w:r>
      <w:r>
        <w:t xml:space="preserve">pasākums bija jauna finanšu instrumenta izmantošana, kas ir orientēts uz privātpersonām – </w:t>
      </w:r>
      <w:proofErr w:type="spellStart"/>
      <w:r>
        <w:t>krājobligāciju</w:t>
      </w:r>
      <w:proofErr w:type="spellEnd"/>
      <w:r>
        <w:t xml:space="preserve"> </w:t>
      </w:r>
      <w:r w:rsidR="00D173A1">
        <w:t>e</w:t>
      </w:r>
      <w:r w:rsidR="005365D2">
        <w:t>m</w:t>
      </w:r>
      <w:r w:rsidR="00D173A1">
        <w:t>i</w:t>
      </w:r>
      <w:r w:rsidR="005365D2">
        <w:t>siju uzsākšana</w:t>
      </w:r>
      <w:r>
        <w:t xml:space="preserve">. Šādā veidā Valsts kase piesaista papildu resursus ne tikai atbilstoši </w:t>
      </w:r>
      <w:r w:rsidR="005365D2">
        <w:t xml:space="preserve">finanšu </w:t>
      </w:r>
      <w:r>
        <w:t>tirgus likmēm, bet galvenokārt nodrošina iedzīvotājiem iespēju paplašināt savu ieguldījumu iespējas klasiskos un drošos instrumentos. Turklāt</w:t>
      </w:r>
      <w:r w:rsidR="005365D2">
        <w:t>,</w:t>
      </w:r>
      <w:r>
        <w:t xml:space="preserve"> tas preventīvi samazina kapitāla aizplūdi no iekš</w:t>
      </w:r>
      <w:r w:rsidR="005365D2">
        <w:t>zemes finanšu</w:t>
      </w:r>
      <w:r>
        <w:t xml:space="preserve"> tirgus krīzes situācijās. </w:t>
      </w:r>
      <w:proofErr w:type="spellStart"/>
      <w:r>
        <w:t>Krājobligāciju</w:t>
      </w:r>
      <w:proofErr w:type="spellEnd"/>
      <w:r>
        <w:t xml:space="preserve"> emisijas tika uzsāktas 2013.gada 19.jūnijā un uz 2013.gada novembra beigām </w:t>
      </w:r>
      <w:r w:rsidRPr="00EA7D1B">
        <w:t xml:space="preserve">kopumā apgrozībā </w:t>
      </w:r>
      <w:proofErr w:type="spellStart"/>
      <w:r w:rsidRPr="00EA7D1B">
        <w:t>krājobligācijas</w:t>
      </w:r>
      <w:proofErr w:type="spellEnd"/>
      <w:r w:rsidRPr="00EA7D1B">
        <w:t xml:space="preserve"> ir jau pārsniegušas 1 </w:t>
      </w:r>
      <w:proofErr w:type="spellStart"/>
      <w:r w:rsidRPr="00EA7D1B">
        <w:t>mi</w:t>
      </w:r>
      <w:r w:rsidR="005365D2">
        <w:t>l</w:t>
      </w:r>
      <w:r w:rsidRPr="00EA7D1B">
        <w:t>j</w:t>
      </w:r>
      <w:proofErr w:type="spellEnd"/>
      <w:r w:rsidRPr="00EA7D1B">
        <w:t xml:space="preserve">. latu </w:t>
      </w:r>
      <w:r w:rsidR="005365D2">
        <w:t>apjomu</w:t>
      </w:r>
      <w:r>
        <w:t>.</w:t>
      </w:r>
    </w:p>
    <w:p w:rsidR="005365D2" w:rsidRDefault="005365D2" w:rsidP="005365D2">
      <w:pPr>
        <w:ind w:firstLine="709"/>
        <w:jc w:val="both"/>
      </w:pPr>
    </w:p>
    <w:p w:rsidR="005365D2" w:rsidRDefault="005365D2" w:rsidP="005365D2">
      <w:pPr>
        <w:ind w:firstLine="709"/>
        <w:jc w:val="both"/>
      </w:pPr>
    </w:p>
    <w:p w:rsidR="005365D2" w:rsidRDefault="005365D2" w:rsidP="005365D2">
      <w:pPr>
        <w:ind w:firstLine="709"/>
        <w:jc w:val="both"/>
      </w:pPr>
    </w:p>
    <w:p w:rsidR="004F3FAA" w:rsidRPr="00FB59D5" w:rsidRDefault="004F3FAA" w:rsidP="004F3FAA">
      <w:pPr>
        <w:pStyle w:val="ListParagraph"/>
        <w:numPr>
          <w:ilvl w:val="0"/>
          <w:numId w:val="21"/>
        </w:numPr>
        <w:spacing w:before="240" w:after="240"/>
        <w:jc w:val="both"/>
        <w:rPr>
          <w:rFonts w:ascii="Times New Roman" w:hAnsi="Times New Roman"/>
          <w:b/>
          <w:sz w:val="24"/>
        </w:rPr>
      </w:pPr>
      <w:r w:rsidRPr="00DE1823">
        <w:rPr>
          <w:rFonts w:ascii="Times New Roman" w:hAnsi="Times New Roman"/>
          <w:b/>
          <w:sz w:val="24"/>
        </w:rPr>
        <w:lastRenderedPageBreak/>
        <w:t>Valsts kases</w:t>
      </w:r>
      <w:r>
        <w:rPr>
          <w:rFonts w:ascii="Times New Roman" w:hAnsi="Times New Roman"/>
          <w:b/>
          <w:sz w:val="24"/>
        </w:rPr>
        <w:t xml:space="preserve"> darbības rezultātu novērtējums</w:t>
      </w:r>
    </w:p>
    <w:p w:rsidR="009420D5" w:rsidRDefault="009420D5" w:rsidP="009420D5">
      <w:pPr>
        <w:ind w:firstLine="709"/>
        <w:jc w:val="both"/>
      </w:pPr>
      <w:r>
        <w:t xml:space="preserve">Novērtējot Valsts kases veiktās darbības valsts parāda vadības jomā 2012.gada noslēgumā un 2013.gada laikā, nodrošinot valsts budžeta izdevumu samazinājumu 2013.gadā par 20,4 </w:t>
      </w:r>
      <w:proofErr w:type="spellStart"/>
      <w:r>
        <w:t>milj.latu</w:t>
      </w:r>
      <w:proofErr w:type="spellEnd"/>
      <w:r>
        <w:t xml:space="preserve"> salīdzinājumā ar likumā „Par valsts budžetu 2013.gadam” noteikto apakšprogrammas 31.02. „Valsts parāda vadība” izdevumu plānu, jāatzīmē veikto pasākumu būtiskākie rezultāti un valstiski svarīgi ieguvumi:</w:t>
      </w:r>
    </w:p>
    <w:p w:rsidR="009420D5" w:rsidRDefault="009420D5" w:rsidP="009420D5">
      <w:pPr>
        <w:ind w:firstLine="709"/>
        <w:jc w:val="both"/>
      </w:pPr>
      <w:r>
        <w:t>1)</w:t>
      </w:r>
      <w:r>
        <w:tab/>
      </w:r>
      <w:r w:rsidRPr="009420D5">
        <w:rPr>
          <w:i/>
        </w:rPr>
        <w:t>Aizņemšanās organizēšana starptautiskajos finanšu tirgos 2012.gada decembrī ar vēsturiski zemāko procentu likmi</w:t>
      </w:r>
      <w:r>
        <w:t xml:space="preserve">, izmantojot īpaši labvēlīgu situāciju finanšu tirgos un pozitīvas izmaiņas Latvijas kredītreitinga līmenī. Septiņu gadu eiroobligāciju emisiju 1,25 </w:t>
      </w:r>
      <w:proofErr w:type="spellStart"/>
      <w:r>
        <w:t>mljrd</w:t>
      </w:r>
      <w:proofErr w:type="spellEnd"/>
      <w:r>
        <w:t>. ASV dolāru apmērā var uzskatīt par īpaši veiksmīgu darījumu, jo tajā tika fiksēta kupona likme 2,75%, kas ir vēsturiski zemākā vērtspapīru procentu likme, kopš Latvija veic publiskus aizņēmumus starptautiskajos finanšu tirgos, un zemākā likme salīdzinājumā ar līdzīgu valstu aizņēmuma likmēm. Valsts kases izvēlētā un finanšu ministra apstiprinātā vidēja termiņa aizņemšanās stratēģija un elastīga pieeja aizņemšanās pasākumu veikšanā ir attaisnojusies, jo Valsts kases darbības rezultātā ir izdevies kapitalizēt finanšu tirgus izdevīguma brīdi valsts parāda apkalpošanas izdevumos un gūt vērā ņemamu valsts budžeta līdzekļu ietaupījumu ne tikai 2013.gadā, bet arī turpmākajos gados.</w:t>
      </w:r>
    </w:p>
    <w:p w:rsidR="009420D5" w:rsidRDefault="009420D5" w:rsidP="009420D5">
      <w:pPr>
        <w:ind w:firstLine="709"/>
        <w:jc w:val="both"/>
      </w:pPr>
      <w:r>
        <w:t>2)</w:t>
      </w:r>
      <w:r>
        <w:tab/>
      </w:r>
      <w:r w:rsidRPr="009420D5">
        <w:rPr>
          <w:i/>
        </w:rPr>
        <w:t xml:space="preserve">Starptautiskā Valūtas fonda aizdevuma pirmstermiņa atmaksas nodrošināšana pilnā apjomā </w:t>
      </w:r>
      <w:r>
        <w:t>2012.gadā, nodrošinot finansiāli izdevīgu Valsts kases kontos pieejamo resursu izmantošanu un pārfinansējot dārgu īstermiņa aizņēmumu no SVF ar lētiem ilgtermiņa aizņēmuma resursiem, kuri tika piesaistīti starptautiskajos finanšu tirgos 2012.gada decembrī. Atmaksājot šo aizdevumu pirms termiņa, tika nodrošināts valsts budžeta līdzekļu ietaupījums līdz 2015.gadam (jo procentu maksājumi par šo aizņēmumu vairs nav jāveic), kā arī tika būtiski samazināts īstermiņa valsts parāda pārfinansēšanas risks, jo SVF aizdevuma saistības veidoja lielāko atmaksājamā valsts parāda apjomu 2012.-2013.gadā. Turklāt, nodrošinot starptautiskā aizņēmuma programmas laikā Latvijai piešķirta finansējuma daļēju atmaksu pirms termiņa, Valsts kase ir veicinājusi Latvijas kā droša un atbildīga aizņēmēja tēla atgūšanu un nostiprināšanu, pārliecinoši demonstrējot finanšu tirgu dalībniekiem valsts spēju pārfinansēt krīzes laikā saņemtos subsidētos aizņēmumus ar ilgtermiņa aizņēmumu resursiem, kuri tika piesaistīti finanšu tirgos ar ļoti labvēlīgiem nosacījumiem.</w:t>
      </w:r>
    </w:p>
    <w:p w:rsidR="004F3FAA" w:rsidRDefault="009420D5" w:rsidP="005365D2">
      <w:pPr>
        <w:spacing w:after="120"/>
        <w:ind w:firstLine="709"/>
        <w:jc w:val="both"/>
      </w:pPr>
      <w:r>
        <w:t>3)</w:t>
      </w:r>
      <w:r>
        <w:tab/>
      </w:r>
      <w:r w:rsidRPr="009420D5">
        <w:rPr>
          <w:i/>
        </w:rPr>
        <w:t>Iekšzemes finanšu tirgus potenciāla pilnvērtīga izmantošana un attīstīšana</w:t>
      </w:r>
      <w:r>
        <w:t>, kā rezultātā valsts vērtspapīru tirgus kļuva aktīvāks, likvīdāks un investoriem pievilcīgāks, veicinot vēsturiski zemāko aizņemšanās likmju uzturēšanu valsts iekšējā aizņēmuma vērtspapīru izsolēs un investoru interesi par ieguldījumiem visu termiņu valsts vērtspapīros. Šie pasākumi veicināja valsts budžeta izdevumu samazinājumu 2013.gadā, kā arī turpmākajos gados sekmēs aizņemšanās procentu likmju (un līdz ar to arī procentu izdevumu) saglabāšanos mērenā, optimālā līmenī.</w:t>
      </w:r>
    </w:p>
    <w:p w:rsidR="005365D2" w:rsidRDefault="005365D2" w:rsidP="005365D2">
      <w:pPr>
        <w:ind w:firstLine="709"/>
        <w:jc w:val="both"/>
      </w:pPr>
      <w:r>
        <w:t>Valsts kases līdzšinējās darbības rezultātus apliecina arī vispārējās valdības parāda datu salīdzinājums ar citu Eiropas Savienības dalībvalstu vispārējās valdības parāda rādītājiem (</w:t>
      </w:r>
      <w:proofErr w:type="spellStart"/>
      <w:r>
        <w:t>skat</w:t>
      </w:r>
      <w:proofErr w:type="spellEnd"/>
      <w:r>
        <w:t>. 26.att. un 27.att.). Latvijas vispārējās valdības parāda līmenis attiecībā pret IKP joprojām ir viens no zemākajiem Eiropas Savienības dalībvalstu vidū un 2012.gada beigās tas veidoja 41% no IKP. Savukārt, p</w:t>
      </w:r>
      <w:r w:rsidRPr="00834CC8">
        <w:t>rocentu izdevumi par vispārējās valdības parādu</w:t>
      </w:r>
      <w:r>
        <w:t xml:space="preserve"> 2012.gadā veidoja 1,4% no IKP, kas ir zemāks rādītājs, nekā valstīm ar līdzīgu vispārējās valdības parāda līmeni. Piemēram, Lietuvas vispārējās valdības parāds 2012.gada beigās ir līdzīgs Latvijas vispārējās valdības parāda līmenim – 41% no IKP, bet procentu izdevumi par parāda apkalpošanu 2012.gadā veidoja 1,9 % no IKP. </w:t>
      </w:r>
    </w:p>
    <w:p w:rsidR="005365D2" w:rsidRDefault="005365D2" w:rsidP="009420D5">
      <w:pPr>
        <w:ind w:firstLine="709"/>
        <w:jc w:val="both"/>
      </w:pPr>
    </w:p>
    <w:p w:rsidR="004F3FAA" w:rsidRDefault="004F3FAA" w:rsidP="004F3FAA">
      <w:pPr>
        <w:jc w:val="center"/>
        <w:rPr>
          <w:sz w:val="22"/>
        </w:rPr>
      </w:pPr>
      <w:r>
        <w:rPr>
          <w:noProof/>
          <w:sz w:val="22"/>
        </w:rPr>
        <w:lastRenderedPageBreak/>
        <w:drawing>
          <wp:inline distT="0" distB="0" distL="0" distR="0">
            <wp:extent cx="4045585" cy="2268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45585" cy="2268855"/>
                    </a:xfrm>
                    <a:prstGeom prst="rect">
                      <a:avLst/>
                    </a:prstGeom>
                    <a:noFill/>
                    <a:ln>
                      <a:noFill/>
                    </a:ln>
                  </pic:spPr>
                </pic:pic>
              </a:graphicData>
            </a:graphic>
          </wp:inline>
        </w:drawing>
      </w:r>
    </w:p>
    <w:p w:rsidR="004F3FAA" w:rsidRDefault="00FE3554" w:rsidP="004F3FAA">
      <w:pPr>
        <w:jc w:val="center"/>
      </w:pPr>
      <w:r>
        <w:rPr>
          <w:sz w:val="22"/>
        </w:rPr>
        <w:t>26</w:t>
      </w:r>
      <w:r w:rsidR="004F3FAA">
        <w:rPr>
          <w:sz w:val="22"/>
        </w:rPr>
        <w:t xml:space="preserve">.attēls. </w:t>
      </w:r>
      <w:r w:rsidR="004F3FAA">
        <w:rPr>
          <w:b/>
        </w:rPr>
        <w:t>V</w:t>
      </w:r>
      <w:r w:rsidR="004F3FAA" w:rsidRPr="00E93BAB">
        <w:rPr>
          <w:b/>
        </w:rPr>
        <w:t>ispārējās valdības parād</w:t>
      </w:r>
      <w:r w:rsidR="004F3FAA">
        <w:rPr>
          <w:b/>
        </w:rPr>
        <w:t>s</w:t>
      </w:r>
      <w:r w:rsidR="004F3FAA" w:rsidRPr="00E93BAB">
        <w:rPr>
          <w:b/>
        </w:rPr>
        <w:t xml:space="preserve"> (% no IKP) 2012.gadā</w:t>
      </w:r>
    </w:p>
    <w:p w:rsidR="004F3FAA" w:rsidRPr="00E93BAB" w:rsidRDefault="004F3FAA" w:rsidP="004F3FAA">
      <w:pPr>
        <w:jc w:val="center"/>
      </w:pPr>
      <w:r w:rsidRPr="00E93BAB">
        <w:t>(pēc ESA’95 metodoloģijas)</w:t>
      </w:r>
    </w:p>
    <w:p w:rsidR="004F3FAA" w:rsidRDefault="004F3FAA" w:rsidP="004F3FAA">
      <w:pPr>
        <w:jc w:val="center"/>
        <w:rPr>
          <w:sz w:val="22"/>
        </w:rPr>
      </w:pPr>
      <w:r>
        <w:rPr>
          <w:noProof/>
          <w:sz w:val="22"/>
        </w:rPr>
        <w:drawing>
          <wp:inline distT="0" distB="0" distL="0" distR="0">
            <wp:extent cx="4011295" cy="2130425"/>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1295" cy="2130425"/>
                    </a:xfrm>
                    <a:prstGeom prst="rect">
                      <a:avLst/>
                    </a:prstGeom>
                    <a:noFill/>
                    <a:ln>
                      <a:noFill/>
                    </a:ln>
                  </pic:spPr>
                </pic:pic>
              </a:graphicData>
            </a:graphic>
          </wp:inline>
        </w:drawing>
      </w:r>
    </w:p>
    <w:p w:rsidR="004F3FAA" w:rsidRDefault="00FE3554" w:rsidP="004F3FAA">
      <w:pPr>
        <w:jc w:val="center"/>
      </w:pPr>
      <w:r>
        <w:rPr>
          <w:sz w:val="22"/>
        </w:rPr>
        <w:t>27</w:t>
      </w:r>
      <w:r w:rsidR="004F3FAA">
        <w:rPr>
          <w:sz w:val="22"/>
        </w:rPr>
        <w:t xml:space="preserve">.attēls. </w:t>
      </w:r>
      <w:r w:rsidR="004F3FAA" w:rsidRPr="00E93BAB">
        <w:rPr>
          <w:b/>
        </w:rPr>
        <w:t>Procentu izdevumi par vispārējās valdības parādu (% no IKP) 2012.gadā</w:t>
      </w:r>
    </w:p>
    <w:p w:rsidR="004F3FAA" w:rsidRPr="00E93BAB" w:rsidRDefault="004F3FAA" w:rsidP="004F3FAA">
      <w:pPr>
        <w:spacing w:after="120"/>
        <w:jc w:val="center"/>
      </w:pPr>
      <w:r w:rsidRPr="00E93BAB">
        <w:t>(pēc ESA’95 metodoloģijas)</w:t>
      </w:r>
    </w:p>
    <w:p w:rsidR="004F3FAA" w:rsidRPr="001B0BFA" w:rsidRDefault="004F3FAA" w:rsidP="004F3FAA">
      <w:pPr>
        <w:ind w:firstLine="709"/>
        <w:jc w:val="both"/>
      </w:pPr>
      <w:r>
        <w:t>Valsts kases darbības sekmīgais rezultāts apliecina Valsts kases darbinieku augsto profesionalitāti un atbildību, pieņemot lēmumus un veicot aktivitātes valsts parāda vadības jomā.</w:t>
      </w:r>
    </w:p>
    <w:p w:rsidR="004F3FAA" w:rsidRDefault="004F3FAA" w:rsidP="004F3FAA">
      <w:pPr>
        <w:tabs>
          <w:tab w:val="left" w:pos="1134"/>
        </w:tabs>
        <w:ind w:left="720"/>
        <w:jc w:val="both"/>
      </w:pPr>
    </w:p>
    <w:p w:rsidR="009B7DCC" w:rsidRDefault="009B7DCC" w:rsidP="004F3FAA">
      <w:pPr>
        <w:tabs>
          <w:tab w:val="left" w:pos="1134"/>
        </w:tabs>
        <w:ind w:left="720"/>
        <w:jc w:val="both"/>
      </w:pPr>
    </w:p>
    <w:p w:rsidR="009B7DCC" w:rsidRPr="00622E34" w:rsidRDefault="009B7DCC" w:rsidP="004F3FAA">
      <w:pPr>
        <w:tabs>
          <w:tab w:val="left" w:pos="1134"/>
        </w:tabs>
        <w:ind w:left="720"/>
        <w:jc w:val="both"/>
      </w:pPr>
    </w:p>
    <w:p w:rsidR="004F3FAA" w:rsidRDefault="004F3FAA" w:rsidP="004F3FAA">
      <w:pPr>
        <w:tabs>
          <w:tab w:val="left" w:pos="1134"/>
        </w:tabs>
        <w:ind w:left="720"/>
        <w:jc w:val="both"/>
        <w:rPr>
          <w:sz w:val="26"/>
          <w:szCs w:val="26"/>
        </w:rPr>
      </w:pPr>
    </w:p>
    <w:p w:rsidR="00A209E4" w:rsidRPr="00622E34" w:rsidRDefault="00684CE4" w:rsidP="00684CE4">
      <w:pPr>
        <w:tabs>
          <w:tab w:val="left" w:pos="1134"/>
        </w:tabs>
        <w:ind w:left="720"/>
        <w:jc w:val="both"/>
      </w:pPr>
      <w:r>
        <w:t>Finanšu ministr</w:t>
      </w:r>
      <w:r w:rsidR="005B72AB">
        <w:t>s</w:t>
      </w:r>
      <w:r>
        <w:t xml:space="preserve"> </w:t>
      </w:r>
      <w:r>
        <w:tab/>
      </w:r>
      <w:r>
        <w:tab/>
      </w:r>
      <w:r>
        <w:tab/>
      </w:r>
      <w:r>
        <w:tab/>
      </w:r>
      <w:r>
        <w:tab/>
      </w:r>
      <w:r>
        <w:tab/>
      </w:r>
      <w:r>
        <w:tab/>
        <w:t>A.</w:t>
      </w:r>
      <w:r w:rsidR="005B72AB">
        <w:t>Vilks</w:t>
      </w:r>
    </w:p>
    <w:p w:rsidR="00843DA4" w:rsidRDefault="00843DA4" w:rsidP="00A209E4">
      <w:pPr>
        <w:tabs>
          <w:tab w:val="left" w:pos="1134"/>
        </w:tabs>
        <w:ind w:left="720"/>
        <w:jc w:val="both"/>
        <w:rPr>
          <w:sz w:val="26"/>
          <w:szCs w:val="26"/>
        </w:rPr>
      </w:pPr>
    </w:p>
    <w:p w:rsidR="00843DA4" w:rsidRDefault="00843DA4" w:rsidP="00A209E4">
      <w:pPr>
        <w:tabs>
          <w:tab w:val="left" w:pos="1134"/>
        </w:tabs>
        <w:ind w:left="720"/>
        <w:jc w:val="both"/>
        <w:rPr>
          <w:sz w:val="26"/>
          <w:szCs w:val="26"/>
        </w:rPr>
      </w:pPr>
    </w:p>
    <w:p w:rsidR="009B7DCC" w:rsidRDefault="009B7DCC" w:rsidP="00A209E4">
      <w:pPr>
        <w:tabs>
          <w:tab w:val="left" w:pos="1134"/>
        </w:tabs>
        <w:ind w:left="720"/>
        <w:jc w:val="both"/>
        <w:rPr>
          <w:sz w:val="26"/>
          <w:szCs w:val="26"/>
        </w:rPr>
      </w:pPr>
    </w:p>
    <w:p w:rsidR="009B7DCC" w:rsidRDefault="009B7DCC" w:rsidP="00A209E4">
      <w:pPr>
        <w:tabs>
          <w:tab w:val="left" w:pos="1134"/>
        </w:tabs>
        <w:ind w:left="720"/>
        <w:jc w:val="both"/>
        <w:rPr>
          <w:sz w:val="26"/>
          <w:szCs w:val="26"/>
        </w:rPr>
      </w:pPr>
    </w:p>
    <w:p w:rsidR="009B7DCC" w:rsidRDefault="009B7DCC" w:rsidP="00A209E4">
      <w:pPr>
        <w:tabs>
          <w:tab w:val="left" w:pos="1134"/>
        </w:tabs>
        <w:ind w:left="720"/>
        <w:jc w:val="both"/>
        <w:rPr>
          <w:sz w:val="26"/>
          <w:szCs w:val="26"/>
        </w:rPr>
      </w:pPr>
    </w:p>
    <w:p w:rsidR="009B7DCC" w:rsidRDefault="009B7DCC" w:rsidP="00A209E4">
      <w:pPr>
        <w:tabs>
          <w:tab w:val="left" w:pos="1134"/>
        </w:tabs>
        <w:ind w:left="720"/>
        <w:jc w:val="both"/>
        <w:rPr>
          <w:sz w:val="26"/>
          <w:szCs w:val="26"/>
        </w:rPr>
      </w:pPr>
    </w:p>
    <w:p w:rsidR="009B7DCC" w:rsidRDefault="009B7DCC" w:rsidP="00A209E4">
      <w:pPr>
        <w:tabs>
          <w:tab w:val="left" w:pos="1134"/>
        </w:tabs>
        <w:ind w:left="720"/>
        <w:jc w:val="both"/>
        <w:rPr>
          <w:sz w:val="26"/>
          <w:szCs w:val="26"/>
        </w:rPr>
      </w:pPr>
    </w:p>
    <w:p w:rsidR="009B7DCC" w:rsidRPr="007C2B08" w:rsidRDefault="009B7DCC" w:rsidP="00A209E4">
      <w:pPr>
        <w:tabs>
          <w:tab w:val="left" w:pos="1134"/>
        </w:tabs>
        <w:ind w:left="720"/>
        <w:jc w:val="both"/>
        <w:rPr>
          <w:sz w:val="26"/>
          <w:szCs w:val="26"/>
        </w:rPr>
      </w:pPr>
    </w:p>
    <w:p w:rsidR="00FD79A6" w:rsidRPr="005D3C7D" w:rsidRDefault="00FD79A6" w:rsidP="00A209E4">
      <w:pPr>
        <w:pStyle w:val="BodyTextIndent"/>
        <w:spacing w:after="0"/>
        <w:ind w:left="0"/>
        <w:rPr>
          <w:noProof/>
          <w:sz w:val="18"/>
          <w:szCs w:val="18"/>
        </w:rPr>
      </w:pPr>
      <w:r w:rsidRPr="005D3C7D">
        <w:rPr>
          <w:noProof/>
          <w:sz w:val="18"/>
          <w:szCs w:val="18"/>
        </w:rPr>
        <w:fldChar w:fldCharType="begin"/>
      </w:r>
      <w:r w:rsidRPr="005D3C7D">
        <w:rPr>
          <w:noProof/>
          <w:sz w:val="18"/>
          <w:szCs w:val="18"/>
        </w:rPr>
        <w:instrText xml:space="preserve"> TIME \@ "dd.MM.yyyy HH:mm" </w:instrText>
      </w:r>
      <w:r w:rsidRPr="005D3C7D">
        <w:rPr>
          <w:noProof/>
          <w:sz w:val="18"/>
          <w:szCs w:val="18"/>
        </w:rPr>
        <w:fldChar w:fldCharType="separate"/>
      </w:r>
      <w:r w:rsidR="004716AC">
        <w:rPr>
          <w:noProof/>
          <w:sz w:val="18"/>
          <w:szCs w:val="18"/>
        </w:rPr>
        <w:t xml:space="preserve">13.12.2013 </w:t>
      </w:r>
      <w:r w:rsidRPr="005D3C7D">
        <w:rPr>
          <w:noProof/>
          <w:sz w:val="18"/>
          <w:szCs w:val="18"/>
        </w:rPr>
        <w:fldChar w:fldCharType="end"/>
      </w:r>
      <w:r w:rsidR="004716AC">
        <w:rPr>
          <w:noProof/>
          <w:sz w:val="18"/>
          <w:szCs w:val="18"/>
        </w:rPr>
        <w:t>09:00</w:t>
      </w:r>
      <w:bookmarkStart w:id="0" w:name="_GoBack"/>
      <w:bookmarkEnd w:id="0"/>
    </w:p>
    <w:p w:rsidR="00FD79A6" w:rsidRPr="005D3C7D" w:rsidRDefault="00FD79A6" w:rsidP="00FD79A6">
      <w:pPr>
        <w:rPr>
          <w:sz w:val="18"/>
          <w:szCs w:val="18"/>
        </w:rPr>
      </w:pPr>
      <w:r w:rsidRPr="005D3C7D">
        <w:rPr>
          <w:sz w:val="18"/>
          <w:szCs w:val="18"/>
        </w:rPr>
        <w:fldChar w:fldCharType="begin"/>
      </w:r>
      <w:r w:rsidRPr="005D3C7D">
        <w:rPr>
          <w:sz w:val="18"/>
          <w:szCs w:val="18"/>
        </w:rPr>
        <w:instrText xml:space="preserve"> NUMWORDS   \* MERGEFORMAT </w:instrText>
      </w:r>
      <w:r w:rsidRPr="005D3C7D">
        <w:rPr>
          <w:sz w:val="18"/>
          <w:szCs w:val="18"/>
        </w:rPr>
        <w:fldChar w:fldCharType="separate"/>
      </w:r>
      <w:r w:rsidR="00BE0E33">
        <w:rPr>
          <w:noProof/>
          <w:sz w:val="18"/>
          <w:szCs w:val="18"/>
        </w:rPr>
        <w:t>8618</w:t>
      </w:r>
      <w:r w:rsidRPr="005D3C7D">
        <w:rPr>
          <w:sz w:val="18"/>
          <w:szCs w:val="18"/>
        </w:rPr>
        <w:fldChar w:fldCharType="end"/>
      </w:r>
    </w:p>
    <w:p w:rsidR="00A209E4" w:rsidRPr="005D3C7D" w:rsidRDefault="003A4F6B" w:rsidP="00A209E4">
      <w:pPr>
        <w:pStyle w:val="BodyTextIndent"/>
        <w:spacing w:after="0"/>
        <w:ind w:left="0"/>
        <w:rPr>
          <w:noProof/>
          <w:sz w:val="18"/>
          <w:szCs w:val="18"/>
        </w:rPr>
      </w:pPr>
      <w:r>
        <w:rPr>
          <w:noProof/>
          <w:sz w:val="18"/>
          <w:szCs w:val="18"/>
        </w:rPr>
        <w:t>S.Maļina</w:t>
      </w:r>
    </w:p>
    <w:p w:rsidR="0017355C" w:rsidRPr="005D3C7D" w:rsidRDefault="00830CEF" w:rsidP="00237F8F">
      <w:pPr>
        <w:pStyle w:val="BodyTextIndent"/>
        <w:spacing w:after="0"/>
        <w:ind w:left="0"/>
        <w:rPr>
          <w:sz w:val="18"/>
          <w:szCs w:val="18"/>
        </w:rPr>
      </w:pPr>
      <w:r w:rsidRPr="005D3C7D">
        <w:rPr>
          <w:noProof/>
          <w:sz w:val="18"/>
          <w:szCs w:val="18"/>
        </w:rPr>
        <w:t>670</w:t>
      </w:r>
      <w:r w:rsidR="00FD79A6" w:rsidRPr="005D3C7D">
        <w:rPr>
          <w:noProof/>
          <w:sz w:val="18"/>
          <w:szCs w:val="18"/>
        </w:rPr>
        <w:t>9424</w:t>
      </w:r>
      <w:r w:rsidR="003A4F6B">
        <w:rPr>
          <w:noProof/>
          <w:sz w:val="18"/>
          <w:szCs w:val="18"/>
        </w:rPr>
        <w:t>3</w:t>
      </w:r>
      <w:r w:rsidR="00A209E4" w:rsidRPr="005D3C7D">
        <w:rPr>
          <w:noProof/>
          <w:sz w:val="18"/>
          <w:szCs w:val="18"/>
        </w:rPr>
        <w:t xml:space="preserve">, </w:t>
      </w:r>
      <w:r w:rsidR="003A4F6B">
        <w:rPr>
          <w:noProof/>
          <w:sz w:val="18"/>
          <w:szCs w:val="18"/>
        </w:rPr>
        <w:t>Sanita.Maļina</w:t>
      </w:r>
      <w:r w:rsidR="00FD79A6" w:rsidRPr="005D3C7D">
        <w:rPr>
          <w:noProof/>
          <w:sz w:val="18"/>
          <w:szCs w:val="18"/>
        </w:rPr>
        <w:t>@kase.gov.lv</w:t>
      </w:r>
    </w:p>
    <w:sectPr w:rsidR="0017355C" w:rsidRPr="005D3C7D" w:rsidSect="007C6E9F">
      <w:headerReference w:type="even" r:id="rId39"/>
      <w:headerReference w:type="default" r:id="rId40"/>
      <w:footerReference w:type="even" r:id="rId41"/>
      <w:footerReference w:type="default" r:id="rId42"/>
      <w:headerReference w:type="first" r:id="rId43"/>
      <w:footerReference w:type="first" r:id="rId44"/>
      <w:pgSz w:w="11906" w:h="16838"/>
      <w:pgMar w:top="1276" w:right="1134"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A1D" w:rsidRDefault="002D6A1D">
      <w:r>
        <w:separator/>
      </w:r>
    </w:p>
  </w:endnote>
  <w:endnote w:type="continuationSeparator" w:id="0">
    <w:p w:rsidR="002D6A1D" w:rsidRDefault="002D6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0A2" w:rsidRDefault="007350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210" w:rsidRPr="00661370" w:rsidRDefault="00E14210" w:rsidP="007C6E9F">
    <w:pPr>
      <w:pStyle w:val="Footer"/>
      <w:jc w:val="both"/>
      <w:rPr>
        <w:sz w:val="20"/>
        <w:szCs w:val="20"/>
      </w:rPr>
    </w:pPr>
    <w:r>
      <w:rPr>
        <w:sz w:val="20"/>
        <w:szCs w:val="20"/>
      </w:rPr>
      <w:t>FMZino_1</w:t>
    </w:r>
    <w:r w:rsidR="007350A2">
      <w:rPr>
        <w:sz w:val="20"/>
        <w:szCs w:val="20"/>
      </w:rPr>
      <w:t>3</w:t>
    </w:r>
    <w:r>
      <w:rPr>
        <w:sz w:val="20"/>
        <w:szCs w:val="20"/>
      </w:rPr>
      <w:t xml:space="preserve">122013; </w:t>
    </w:r>
    <w:r w:rsidRPr="000044F5">
      <w:rPr>
        <w:sz w:val="20"/>
        <w:szCs w:val="20"/>
      </w:rPr>
      <w:t>Informatīvais ziņojums</w:t>
    </w:r>
    <w:r>
      <w:rPr>
        <w:sz w:val="20"/>
        <w:szCs w:val="20"/>
      </w:rPr>
      <w:t xml:space="preserve"> </w:t>
    </w:r>
    <w:r w:rsidRPr="000044F5">
      <w:rPr>
        <w:sz w:val="20"/>
        <w:szCs w:val="20"/>
      </w:rPr>
      <w:t>par panākto valsts budžeta izdevumu samazinājumu apakšprogrammā 31.02.00 “Valsts parāda vadība” 2013.gadā</w:t>
    </w:r>
  </w:p>
  <w:p w:rsidR="00E14210" w:rsidRPr="007C6E9F" w:rsidRDefault="00E14210" w:rsidP="007C6E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210" w:rsidRPr="00661370" w:rsidRDefault="00E14210" w:rsidP="000044F5">
    <w:pPr>
      <w:pStyle w:val="Footer"/>
      <w:jc w:val="both"/>
      <w:rPr>
        <w:sz w:val="20"/>
        <w:szCs w:val="20"/>
      </w:rPr>
    </w:pPr>
    <w:r>
      <w:rPr>
        <w:sz w:val="20"/>
        <w:szCs w:val="20"/>
      </w:rPr>
      <w:t>F</w:t>
    </w:r>
    <w:r w:rsidR="007350A2">
      <w:rPr>
        <w:sz w:val="20"/>
        <w:szCs w:val="20"/>
      </w:rPr>
      <w:t>MZino_13</w:t>
    </w:r>
    <w:r>
      <w:rPr>
        <w:sz w:val="20"/>
        <w:szCs w:val="20"/>
      </w:rPr>
      <w:t xml:space="preserve">122013; </w:t>
    </w:r>
    <w:r w:rsidRPr="000044F5">
      <w:rPr>
        <w:sz w:val="20"/>
        <w:szCs w:val="20"/>
      </w:rPr>
      <w:t>Informatīvais ziņojums</w:t>
    </w:r>
    <w:r>
      <w:rPr>
        <w:sz w:val="20"/>
        <w:szCs w:val="20"/>
      </w:rPr>
      <w:t xml:space="preserve"> </w:t>
    </w:r>
    <w:r w:rsidRPr="000044F5">
      <w:rPr>
        <w:sz w:val="20"/>
        <w:szCs w:val="20"/>
      </w:rPr>
      <w:t>par panākto valsts budžeta izdevumu samazinājumu apakšprogrammā 31.02.00 “Valsts parāda vadība” 2013.gadā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A1D" w:rsidRDefault="002D6A1D">
      <w:r>
        <w:separator/>
      </w:r>
    </w:p>
  </w:footnote>
  <w:footnote w:type="continuationSeparator" w:id="0">
    <w:p w:rsidR="002D6A1D" w:rsidRDefault="002D6A1D">
      <w:r>
        <w:continuationSeparator/>
      </w:r>
    </w:p>
  </w:footnote>
  <w:footnote w:id="1">
    <w:p w:rsidR="00E14210" w:rsidRDefault="00E14210" w:rsidP="004F3FAA">
      <w:pPr>
        <w:pStyle w:val="FootnoteText"/>
      </w:pPr>
      <w:r>
        <w:rPr>
          <w:rStyle w:val="FootnoteReference"/>
        </w:rPr>
        <w:footnoteRef/>
      </w:r>
      <w:r>
        <w:t xml:space="preserve"> </w:t>
      </w:r>
      <w:proofErr w:type="spellStart"/>
      <w:r w:rsidRPr="00403C5A">
        <w:rPr>
          <w:i/>
        </w:rPr>
        <w:t>Credit</w:t>
      </w:r>
      <w:proofErr w:type="spellEnd"/>
      <w:r w:rsidRPr="00403C5A">
        <w:rPr>
          <w:i/>
        </w:rPr>
        <w:t xml:space="preserve"> </w:t>
      </w:r>
      <w:proofErr w:type="spellStart"/>
      <w:r w:rsidRPr="00403C5A">
        <w:rPr>
          <w:i/>
        </w:rPr>
        <w:t>Default</w:t>
      </w:r>
      <w:proofErr w:type="spellEnd"/>
      <w:r w:rsidRPr="00403C5A">
        <w:rPr>
          <w:i/>
        </w:rPr>
        <w:t xml:space="preserve"> </w:t>
      </w:r>
      <w:proofErr w:type="spellStart"/>
      <w:r w:rsidRPr="00403C5A">
        <w:rPr>
          <w:i/>
        </w:rPr>
        <w:t>Swap</w:t>
      </w:r>
      <w:proofErr w:type="spellEnd"/>
      <w:r>
        <w:t xml:space="preserve"> (CDS) ir finanšu instruments, kas nodrošina iespēju apdrošināties pret konkrētas institūcijas vai valsts maksātnespēju (kredītsaistību neizpildes mijmaiņas līgums).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0A2" w:rsidRDefault="007350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241182"/>
      <w:docPartObj>
        <w:docPartGallery w:val="Page Numbers (Top of Page)"/>
        <w:docPartUnique/>
      </w:docPartObj>
    </w:sdtPr>
    <w:sdtEndPr>
      <w:rPr>
        <w:noProof/>
        <w:sz w:val="20"/>
        <w:szCs w:val="20"/>
      </w:rPr>
    </w:sdtEndPr>
    <w:sdtContent>
      <w:p w:rsidR="00E14210" w:rsidRPr="00DD11FE" w:rsidRDefault="00E14210">
        <w:pPr>
          <w:pStyle w:val="Header"/>
          <w:jc w:val="center"/>
          <w:rPr>
            <w:sz w:val="20"/>
            <w:szCs w:val="20"/>
          </w:rPr>
        </w:pPr>
        <w:r w:rsidRPr="00DD11FE">
          <w:rPr>
            <w:sz w:val="20"/>
            <w:szCs w:val="20"/>
          </w:rPr>
          <w:fldChar w:fldCharType="begin"/>
        </w:r>
        <w:r w:rsidRPr="00DD11FE">
          <w:rPr>
            <w:sz w:val="20"/>
            <w:szCs w:val="20"/>
          </w:rPr>
          <w:instrText xml:space="preserve"> PAGE   \* MERGEFORMAT </w:instrText>
        </w:r>
        <w:r w:rsidRPr="00DD11FE">
          <w:rPr>
            <w:sz w:val="20"/>
            <w:szCs w:val="20"/>
          </w:rPr>
          <w:fldChar w:fldCharType="separate"/>
        </w:r>
        <w:r w:rsidR="004716AC">
          <w:rPr>
            <w:noProof/>
            <w:sz w:val="20"/>
            <w:szCs w:val="20"/>
          </w:rPr>
          <w:t>29</w:t>
        </w:r>
        <w:r w:rsidRPr="00DD11FE">
          <w:rPr>
            <w:noProof/>
            <w:sz w:val="20"/>
            <w:szCs w:val="20"/>
          </w:rPr>
          <w:fldChar w:fldCharType="end"/>
        </w:r>
      </w:p>
    </w:sdtContent>
  </w:sdt>
  <w:p w:rsidR="00E14210" w:rsidRDefault="00E1421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0A2" w:rsidRDefault="007350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E0E8A"/>
    <w:multiLevelType w:val="hybridMultilevel"/>
    <w:tmpl w:val="D94020B6"/>
    <w:lvl w:ilvl="0" w:tplc="0C86ACD0">
      <w:start w:val="1"/>
      <w:numFmt w:val="decimal"/>
      <w:lvlText w:val="%1)"/>
      <w:lvlJc w:val="left"/>
      <w:pPr>
        <w:ind w:left="360" w:hanging="360"/>
      </w:pPr>
      <w:rPr>
        <w:rFonts w:hint="default"/>
        <w:sz w:val="24"/>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nsid w:val="079A4F8D"/>
    <w:multiLevelType w:val="hybridMultilevel"/>
    <w:tmpl w:val="956023EE"/>
    <w:lvl w:ilvl="0" w:tplc="134CA890">
      <w:start w:val="1"/>
      <w:numFmt w:val="decimal"/>
      <w:lvlText w:val="%1)"/>
      <w:lvlJc w:val="left"/>
      <w:pPr>
        <w:ind w:left="360" w:hanging="360"/>
      </w:pPr>
      <w:rPr>
        <w:rFonts w:ascii="Times New Roman" w:hAnsi="Times New Roman" w:hint="default"/>
        <w:sz w:val="24"/>
      </w:rPr>
    </w:lvl>
    <w:lvl w:ilvl="1" w:tplc="D00C06F8">
      <w:start w:val="1"/>
      <w:numFmt w:val="decimal"/>
      <w:lvlText w:val="%2)"/>
      <w:lvlJc w:val="left"/>
      <w:pPr>
        <w:ind w:left="1590" w:hanging="87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08066BCE"/>
    <w:multiLevelType w:val="hybridMultilevel"/>
    <w:tmpl w:val="D94020B6"/>
    <w:lvl w:ilvl="0" w:tplc="0C86ACD0">
      <w:start w:val="1"/>
      <w:numFmt w:val="decimal"/>
      <w:lvlText w:val="%1)"/>
      <w:lvlJc w:val="left"/>
      <w:pPr>
        <w:ind w:left="360" w:hanging="360"/>
      </w:pPr>
      <w:rPr>
        <w:rFonts w:hint="default"/>
        <w:sz w:val="24"/>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nsid w:val="0F155B06"/>
    <w:multiLevelType w:val="hybridMultilevel"/>
    <w:tmpl w:val="74DEF438"/>
    <w:lvl w:ilvl="0" w:tplc="8C866E0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nsid w:val="12AD3596"/>
    <w:multiLevelType w:val="hybridMultilevel"/>
    <w:tmpl w:val="D8945B50"/>
    <w:lvl w:ilvl="0" w:tplc="EF10CF2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nsid w:val="16F741D9"/>
    <w:multiLevelType w:val="hybridMultilevel"/>
    <w:tmpl w:val="B95A43F2"/>
    <w:lvl w:ilvl="0" w:tplc="8C866E0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nsid w:val="239E13A9"/>
    <w:multiLevelType w:val="hybridMultilevel"/>
    <w:tmpl w:val="8FCC075A"/>
    <w:lvl w:ilvl="0" w:tplc="FBD829D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29002BCD"/>
    <w:multiLevelType w:val="hybridMultilevel"/>
    <w:tmpl w:val="C9E616F8"/>
    <w:lvl w:ilvl="0" w:tplc="B95EC0C0">
      <w:start w:val="1"/>
      <w:numFmt w:val="decimal"/>
      <w:lvlText w:val="%1."/>
      <w:lvlJc w:val="left"/>
      <w:pPr>
        <w:ind w:left="3763"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nsid w:val="2929414A"/>
    <w:multiLevelType w:val="hybridMultilevel"/>
    <w:tmpl w:val="C65094B0"/>
    <w:lvl w:ilvl="0" w:tplc="882CA47E">
      <w:start w:val="1"/>
      <w:numFmt w:val="bullet"/>
      <w:lvlText w:val=""/>
      <w:lvlJc w:val="left"/>
      <w:pPr>
        <w:ind w:left="644" w:hanging="360"/>
      </w:pPr>
      <w:rPr>
        <w:rFonts w:ascii="Symbol" w:hAnsi="Symbol" w:hint="default"/>
      </w:rPr>
    </w:lvl>
    <w:lvl w:ilvl="1" w:tplc="04260003">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9">
    <w:nsid w:val="2A5A7DD2"/>
    <w:multiLevelType w:val="hybridMultilevel"/>
    <w:tmpl w:val="956023EE"/>
    <w:lvl w:ilvl="0" w:tplc="134CA890">
      <w:start w:val="1"/>
      <w:numFmt w:val="decimal"/>
      <w:lvlText w:val="%1)"/>
      <w:lvlJc w:val="left"/>
      <w:pPr>
        <w:ind w:left="360" w:hanging="360"/>
      </w:pPr>
      <w:rPr>
        <w:rFonts w:ascii="Times New Roman" w:hAnsi="Times New Roman" w:hint="default"/>
        <w:sz w:val="24"/>
      </w:rPr>
    </w:lvl>
    <w:lvl w:ilvl="1" w:tplc="D00C06F8">
      <w:start w:val="1"/>
      <w:numFmt w:val="decimal"/>
      <w:lvlText w:val="%2)"/>
      <w:lvlJc w:val="left"/>
      <w:pPr>
        <w:ind w:left="1590" w:hanging="87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
    <w:nsid w:val="2C3532F5"/>
    <w:multiLevelType w:val="hybridMultilevel"/>
    <w:tmpl w:val="956023EE"/>
    <w:lvl w:ilvl="0" w:tplc="134CA890">
      <w:start w:val="1"/>
      <w:numFmt w:val="decimal"/>
      <w:lvlText w:val="%1)"/>
      <w:lvlJc w:val="left"/>
      <w:pPr>
        <w:ind w:left="360" w:hanging="360"/>
      </w:pPr>
      <w:rPr>
        <w:rFonts w:ascii="Times New Roman" w:hAnsi="Times New Roman" w:hint="default"/>
        <w:sz w:val="24"/>
      </w:rPr>
    </w:lvl>
    <w:lvl w:ilvl="1" w:tplc="D00C06F8">
      <w:start w:val="1"/>
      <w:numFmt w:val="decimal"/>
      <w:lvlText w:val="%2)"/>
      <w:lvlJc w:val="left"/>
      <w:pPr>
        <w:ind w:left="1590" w:hanging="87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
    <w:nsid w:val="2CD40F27"/>
    <w:multiLevelType w:val="hybridMultilevel"/>
    <w:tmpl w:val="E7567C7A"/>
    <w:lvl w:ilvl="0" w:tplc="8C866E0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nsid w:val="2FC14BE9"/>
    <w:multiLevelType w:val="hybridMultilevel"/>
    <w:tmpl w:val="DC74F302"/>
    <w:lvl w:ilvl="0" w:tplc="04260019">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nsid w:val="318F7D46"/>
    <w:multiLevelType w:val="hybridMultilevel"/>
    <w:tmpl w:val="684CA8C4"/>
    <w:lvl w:ilvl="0" w:tplc="8C866E0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nsid w:val="3EF152EC"/>
    <w:multiLevelType w:val="hybridMultilevel"/>
    <w:tmpl w:val="A412E7B0"/>
    <w:lvl w:ilvl="0" w:tplc="3A541E60">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nsid w:val="45D947EB"/>
    <w:multiLevelType w:val="hybridMultilevel"/>
    <w:tmpl w:val="A4F4B374"/>
    <w:lvl w:ilvl="0" w:tplc="0C86ACD0">
      <w:start w:val="1"/>
      <w:numFmt w:val="decimal"/>
      <w:lvlText w:val="%1)"/>
      <w:lvlJc w:val="left"/>
      <w:pPr>
        <w:ind w:left="360" w:hanging="360"/>
      </w:pPr>
      <w:rPr>
        <w:rFonts w:hint="default"/>
        <w:sz w:val="24"/>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6">
    <w:nsid w:val="46207FE6"/>
    <w:multiLevelType w:val="hybridMultilevel"/>
    <w:tmpl w:val="C04A54C6"/>
    <w:lvl w:ilvl="0" w:tplc="8C866E0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nsid w:val="498D5A8D"/>
    <w:multiLevelType w:val="hybridMultilevel"/>
    <w:tmpl w:val="2D3A6714"/>
    <w:lvl w:ilvl="0" w:tplc="0C86ACD0">
      <w:start w:val="1"/>
      <w:numFmt w:val="decimal"/>
      <w:lvlText w:val="%1)"/>
      <w:lvlJc w:val="left"/>
      <w:pPr>
        <w:ind w:left="360" w:hanging="360"/>
      </w:pPr>
      <w:rPr>
        <w:rFonts w:hint="default"/>
        <w:sz w:val="24"/>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nsid w:val="4A64113D"/>
    <w:multiLevelType w:val="hybridMultilevel"/>
    <w:tmpl w:val="02EC7FE2"/>
    <w:lvl w:ilvl="0" w:tplc="8C866E0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nsid w:val="51074978"/>
    <w:multiLevelType w:val="hybridMultilevel"/>
    <w:tmpl w:val="29FC197A"/>
    <w:lvl w:ilvl="0" w:tplc="AE5EC42A">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nsid w:val="52BD511E"/>
    <w:multiLevelType w:val="hybridMultilevel"/>
    <w:tmpl w:val="62D2AE56"/>
    <w:lvl w:ilvl="0" w:tplc="882CA47E">
      <w:start w:val="1"/>
      <w:numFmt w:val="bullet"/>
      <w:lvlText w:val=""/>
      <w:lvlJc w:val="left"/>
      <w:pPr>
        <w:ind w:left="360" w:hanging="360"/>
      </w:pPr>
      <w:rPr>
        <w:rFonts w:ascii="Symbol" w:hAnsi="Symbol" w:hint="default"/>
        <w:sz w:val="24"/>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1">
    <w:nsid w:val="54D07559"/>
    <w:multiLevelType w:val="hybridMultilevel"/>
    <w:tmpl w:val="B3FE9D2A"/>
    <w:lvl w:ilvl="0" w:tplc="8C866E0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2">
    <w:nsid w:val="57052FC2"/>
    <w:multiLevelType w:val="hybridMultilevel"/>
    <w:tmpl w:val="DC74F302"/>
    <w:lvl w:ilvl="0" w:tplc="04260019">
      <w:start w:val="1"/>
      <w:numFmt w:val="lowerLetter"/>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3">
    <w:nsid w:val="5935035D"/>
    <w:multiLevelType w:val="hybridMultilevel"/>
    <w:tmpl w:val="642A2632"/>
    <w:lvl w:ilvl="0" w:tplc="8C866E0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4">
    <w:nsid w:val="5D0439B3"/>
    <w:multiLevelType w:val="hybridMultilevel"/>
    <w:tmpl w:val="D94020B6"/>
    <w:lvl w:ilvl="0" w:tplc="0C86ACD0">
      <w:start w:val="1"/>
      <w:numFmt w:val="decimal"/>
      <w:lvlText w:val="%1)"/>
      <w:lvlJc w:val="left"/>
      <w:pPr>
        <w:ind w:left="360" w:hanging="360"/>
      </w:pPr>
      <w:rPr>
        <w:rFonts w:hint="default"/>
        <w:sz w:val="24"/>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nsid w:val="60351176"/>
    <w:multiLevelType w:val="hybridMultilevel"/>
    <w:tmpl w:val="D94020B6"/>
    <w:lvl w:ilvl="0" w:tplc="0C86ACD0">
      <w:start w:val="1"/>
      <w:numFmt w:val="decimal"/>
      <w:lvlText w:val="%1)"/>
      <w:lvlJc w:val="left"/>
      <w:pPr>
        <w:ind w:left="360" w:hanging="360"/>
      </w:pPr>
      <w:rPr>
        <w:rFonts w:hint="default"/>
        <w:sz w:val="24"/>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6">
    <w:nsid w:val="615C5758"/>
    <w:multiLevelType w:val="hybridMultilevel"/>
    <w:tmpl w:val="20A60B72"/>
    <w:lvl w:ilvl="0" w:tplc="8C866E0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7">
    <w:nsid w:val="633A67E5"/>
    <w:multiLevelType w:val="hybridMultilevel"/>
    <w:tmpl w:val="957E8922"/>
    <w:lvl w:ilvl="0" w:tplc="8C866E0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8">
    <w:nsid w:val="6A77337A"/>
    <w:multiLevelType w:val="hybridMultilevel"/>
    <w:tmpl w:val="D89C508E"/>
    <w:lvl w:ilvl="0" w:tplc="197860C4">
      <w:start w:val="250"/>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6F6D74ED"/>
    <w:multiLevelType w:val="hybridMultilevel"/>
    <w:tmpl w:val="57D029F0"/>
    <w:lvl w:ilvl="0" w:tplc="0C86ACD0">
      <w:start w:val="1"/>
      <w:numFmt w:val="decimal"/>
      <w:lvlText w:val="%1)"/>
      <w:lvlJc w:val="left"/>
      <w:pPr>
        <w:ind w:left="360" w:hanging="360"/>
      </w:pPr>
      <w:rPr>
        <w:rFonts w:hint="default"/>
        <w:sz w:val="24"/>
      </w:rPr>
    </w:lvl>
    <w:lvl w:ilvl="1" w:tplc="882CA47E">
      <w:start w:val="1"/>
      <w:numFmt w:val="bullet"/>
      <w:lvlText w:val=""/>
      <w:lvlJc w:val="left"/>
      <w:pPr>
        <w:ind w:left="1080" w:hanging="360"/>
      </w:pPr>
      <w:rPr>
        <w:rFonts w:ascii="Symbol" w:hAnsi="Symbol" w:hint="default"/>
        <w:sz w:val="24"/>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0">
    <w:nsid w:val="70E434B4"/>
    <w:multiLevelType w:val="hybridMultilevel"/>
    <w:tmpl w:val="29C6F67A"/>
    <w:lvl w:ilvl="0" w:tplc="45AC4756">
      <w:start w:val="1"/>
      <w:numFmt w:val="decimal"/>
      <w:pStyle w:val="Daaarnumuru"/>
      <w:lvlText w:val="(%1)"/>
      <w:lvlJc w:val="left"/>
      <w:pPr>
        <w:ind w:left="1070" w:hanging="36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60019" w:tentative="1">
      <w:start w:val="1"/>
      <w:numFmt w:val="lowerLetter"/>
      <w:lvlText w:val="%2."/>
      <w:lvlJc w:val="left"/>
      <w:pPr>
        <w:ind w:left="1430" w:hanging="360"/>
      </w:pPr>
    </w:lvl>
    <w:lvl w:ilvl="2" w:tplc="0426001B" w:tentative="1">
      <w:start w:val="1"/>
      <w:numFmt w:val="lowerRoman"/>
      <w:lvlText w:val="%3."/>
      <w:lvlJc w:val="right"/>
      <w:pPr>
        <w:ind w:left="2150" w:hanging="180"/>
      </w:pPr>
    </w:lvl>
    <w:lvl w:ilvl="3" w:tplc="0426000F" w:tentative="1">
      <w:start w:val="1"/>
      <w:numFmt w:val="decimal"/>
      <w:lvlText w:val="%4."/>
      <w:lvlJc w:val="left"/>
      <w:pPr>
        <w:ind w:left="2870" w:hanging="360"/>
      </w:pPr>
    </w:lvl>
    <w:lvl w:ilvl="4" w:tplc="04260019" w:tentative="1">
      <w:start w:val="1"/>
      <w:numFmt w:val="lowerLetter"/>
      <w:lvlText w:val="%5."/>
      <w:lvlJc w:val="left"/>
      <w:pPr>
        <w:ind w:left="3590" w:hanging="360"/>
      </w:pPr>
    </w:lvl>
    <w:lvl w:ilvl="5" w:tplc="0426001B" w:tentative="1">
      <w:start w:val="1"/>
      <w:numFmt w:val="lowerRoman"/>
      <w:lvlText w:val="%6."/>
      <w:lvlJc w:val="right"/>
      <w:pPr>
        <w:ind w:left="4310" w:hanging="180"/>
      </w:pPr>
    </w:lvl>
    <w:lvl w:ilvl="6" w:tplc="0426000F" w:tentative="1">
      <w:start w:val="1"/>
      <w:numFmt w:val="decimal"/>
      <w:lvlText w:val="%7."/>
      <w:lvlJc w:val="left"/>
      <w:pPr>
        <w:ind w:left="5030" w:hanging="360"/>
      </w:pPr>
    </w:lvl>
    <w:lvl w:ilvl="7" w:tplc="04260019" w:tentative="1">
      <w:start w:val="1"/>
      <w:numFmt w:val="lowerLetter"/>
      <w:lvlText w:val="%8."/>
      <w:lvlJc w:val="left"/>
      <w:pPr>
        <w:ind w:left="5750" w:hanging="360"/>
      </w:pPr>
    </w:lvl>
    <w:lvl w:ilvl="8" w:tplc="0426001B" w:tentative="1">
      <w:start w:val="1"/>
      <w:numFmt w:val="lowerRoman"/>
      <w:lvlText w:val="%9."/>
      <w:lvlJc w:val="right"/>
      <w:pPr>
        <w:ind w:left="6470" w:hanging="180"/>
      </w:pPr>
    </w:lvl>
  </w:abstractNum>
  <w:abstractNum w:abstractNumId="31">
    <w:nsid w:val="72D65563"/>
    <w:multiLevelType w:val="hybridMultilevel"/>
    <w:tmpl w:val="FE50EAF2"/>
    <w:lvl w:ilvl="0" w:tplc="8C866E0A">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2">
    <w:nsid w:val="74E001E4"/>
    <w:multiLevelType w:val="hybridMultilevel"/>
    <w:tmpl w:val="956023EE"/>
    <w:lvl w:ilvl="0" w:tplc="134CA890">
      <w:start w:val="1"/>
      <w:numFmt w:val="decimal"/>
      <w:lvlText w:val="%1)"/>
      <w:lvlJc w:val="left"/>
      <w:pPr>
        <w:ind w:left="360" w:hanging="360"/>
      </w:pPr>
      <w:rPr>
        <w:rFonts w:ascii="Times New Roman" w:hAnsi="Times New Roman" w:hint="default"/>
        <w:sz w:val="24"/>
      </w:rPr>
    </w:lvl>
    <w:lvl w:ilvl="1" w:tplc="D00C06F8">
      <w:start w:val="1"/>
      <w:numFmt w:val="decimal"/>
      <w:lvlText w:val="%2)"/>
      <w:lvlJc w:val="left"/>
      <w:pPr>
        <w:ind w:left="1590" w:hanging="87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3">
    <w:nsid w:val="759A660B"/>
    <w:multiLevelType w:val="hybridMultilevel"/>
    <w:tmpl w:val="F33A772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7F1818D7"/>
    <w:multiLevelType w:val="hybridMultilevel"/>
    <w:tmpl w:val="956023EE"/>
    <w:lvl w:ilvl="0" w:tplc="134CA890">
      <w:start w:val="1"/>
      <w:numFmt w:val="decimal"/>
      <w:lvlText w:val="%1)"/>
      <w:lvlJc w:val="left"/>
      <w:pPr>
        <w:ind w:left="360" w:hanging="360"/>
      </w:pPr>
      <w:rPr>
        <w:rFonts w:ascii="Times New Roman" w:hAnsi="Times New Roman" w:hint="default"/>
        <w:sz w:val="24"/>
      </w:rPr>
    </w:lvl>
    <w:lvl w:ilvl="1" w:tplc="D00C06F8">
      <w:start w:val="1"/>
      <w:numFmt w:val="decimal"/>
      <w:lvlText w:val="%2)"/>
      <w:lvlJc w:val="left"/>
      <w:pPr>
        <w:ind w:left="1590" w:hanging="870"/>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abstractNumId w:val="30"/>
  </w:num>
  <w:num w:numId="2">
    <w:abstractNumId w:val="5"/>
  </w:num>
  <w:num w:numId="3">
    <w:abstractNumId w:val="11"/>
  </w:num>
  <w:num w:numId="4">
    <w:abstractNumId w:val="26"/>
  </w:num>
  <w:num w:numId="5">
    <w:abstractNumId w:val="23"/>
  </w:num>
  <w:num w:numId="6">
    <w:abstractNumId w:val="31"/>
  </w:num>
  <w:num w:numId="7">
    <w:abstractNumId w:val="3"/>
  </w:num>
  <w:num w:numId="8">
    <w:abstractNumId w:val="27"/>
  </w:num>
  <w:num w:numId="9">
    <w:abstractNumId w:val="16"/>
  </w:num>
  <w:num w:numId="10">
    <w:abstractNumId w:val="18"/>
  </w:num>
  <w:num w:numId="11">
    <w:abstractNumId w:val="13"/>
  </w:num>
  <w:num w:numId="12">
    <w:abstractNumId w:val="7"/>
  </w:num>
  <w:num w:numId="13">
    <w:abstractNumId w:val="21"/>
  </w:num>
  <w:num w:numId="14">
    <w:abstractNumId w:val="4"/>
  </w:num>
  <w:num w:numId="15">
    <w:abstractNumId w:val="14"/>
  </w:num>
  <w:num w:numId="16">
    <w:abstractNumId w:val="7"/>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6"/>
  </w:num>
  <w:num w:numId="20">
    <w:abstractNumId w:val="19"/>
  </w:num>
  <w:num w:numId="21">
    <w:abstractNumId w:val="33"/>
  </w:num>
  <w:num w:numId="22">
    <w:abstractNumId w:val="15"/>
  </w:num>
  <w:num w:numId="23">
    <w:abstractNumId w:val="9"/>
  </w:num>
  <w:num w:numId="24">
    <w:abstractNumId w:val="12"/>
  </w:num>
  <w:num w:numId="25">
    <w:abstractNumId w:val="0"/>
  </w:num>
  <w:num w:numId="26">
    <w:abstractNumId w:val="20"/>
  </w:num>
  <w:num w:numId="27">
    <w:abstractNumId w:val="8"/>
  </w:num>
  <w:num w:numId="28">
    <w:abstractNumId w:val="1"/>
  </w:num>
  <w:num w:numId="29">
    <w:abstractNumId w:val="17"/>
  </w:num>
  <w:num w:numId="30">
    <w:abstractNumId w:val="25"/>
  </w:num>
  <w:num w:numId="31">
    <w:abstractNumId w:val="2"/>
  </w:num>
  <w:num w:numId="32">
    <w:abstractNumId w:val="29"/>
  </w:num>
  <w:num w:numId="33">
    <w:abstractNumId w:val="24"/>
  </w:num>
  <w:num w:numId="34">
    <w:abstractNumId w:val="10"/>
  </w:num>
  <w:num w:numId="35">
    <w:abstractNumId w:val="32"/>
  </w:num>
  <w:num w:numId="36">
    <w:abstractNumId w:val="22"/>
  </w:num>
  <w:num w:numId="37">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370"/>
    <w:rsid w:val="00001B7D"/>
    <w:rsid w:val="000026A9"/>
    <w:rsid w:val="000044F5"/>
    <w:rsid w:val="00007B97"/>
    <w:rsid w:val="0001463F"/>
    <w:rsid w:val="000228B2"/>
    <w:rsid w:val="00022EC7"/>
    <w:rsid w:val="000257D4"/>
    <w:rsid w:val="00026ABD"/>
    <w:rsid w:val="00030F6F"/>
    <w:rsid w:val="00031E95"/>
    <w:rsid w:val="00032D2C"/>
    <w:rsid w:val="00035D08"/>
    <w:rsid w:val="0004044C"/>
    <w:rsid w:val="00040F92"/>
    <w:rsid w:val="00042A1F"/>
    <w:rsid w:val="00042DCC"/>
    <w:rsid w:val="00044613"/>
    <w:rsid w:val="00046AF5"/>
    <w:rsid w:val="0005062F"/>
    <w:rsid w:val="0005411E"/>
    <w:rsid w:val="00055125"/>
    <w:rsid w:val="000618C3"/>
    <w:rsid w:val="000630C4"/>
    <w:rsid w:val="00063954"/>
    <w:rsid w:val="000652C9"/>
    <w:rsid w:val="00065ABA"/>
    <w:rsid w:val="00067DF5"/>
    <w:rsid w:val="00071F3E"/>
    <w:rsid w:val="000732B2"/>
    <w:rsid w:val="00074E98"/>
    <w:rsid w:val="00085D3C"/>
    <w:rsid w:val="00087260"/>
    <w:rsid w:val="000902D7"/>
    <w:rsid w:val="00090FCA"/>
    <w:rsid w:val="000932B1"/>
    <w:rsid w:val="00093BA9"/>
    <w:rsid w:val="000950C1"/>
    <w:rsid w:val="000A3A8B"/>
    <w:rsid w:val="000A50E9"/>
    <w:rsid w:val="000A691B"/>
    <w:rsid w:val="000A6A68"/>
    <w:rsid w:val="000A6C92"/>
    <w:rsid w:val="000A6F69"/>
    <w:rsid w:val="000B00C1"/>
    <w:rsid w:val="000B3A2C"/>
    <w:rsid w:val="000B3DF5"/>
    <w:rsid w:val="000B6714"/>
    <w:rsid w:val="000C046C"/>
    <w:rsid w:val="000C134C"/>
    <w:rsid w:val="000C1464"/>
    <w:rsid w:val="000C1E3A"/>
    <w:rsid w:val="000C3A33"/>
    <w:rsid w:val="000C5F89"/>
    <w:rsid w:val="000D1F6A"/>
    <w:rsid w:val="000D42F4"/>
    <w:rsid w:val="000D4351"/>
    <w:rsid w:val="000D576A"/>
    <w:rsid w:val="000D7236"/>
    <w:rsid w:val="000E083B"/>
    <w:rsid w:val="000E2934"/>
    <w:rsid w:val="000E34EC"/>
    <w:rsid w:val="000F3957"/>
    <w:rsid w:val="000F5D45"/>
    <w:rsid w:val="00100F4F"/>
    <w:rsid w:val="00104FB0"/>
    <w:rsid w:val="001050BA"/>
    <w:rsid w:val="00107642"/>
    <w:rsid w:val="001102FC"/>
    <w:rsid w:val="00111757"/>
    <w:rsid w:val="0011241E"/>
    <w:rsid w:val="00113892"/>
    <w:rsid w:val="0011609B"/>
    <w:rsid w:val="0011731C"/>
    <w:rsid w:val="0012026F"/>
    <w:rsid w:val="001204F1"/>
    <w:rsid w:val="0012159A"/>
    <w:rsid w:val="00121BEC"/>
    <w:rsid w:val="00124153"/>
    <w:rsid w:val="0012500C"/>
    <w:rsid w:val="00125FC1"/>
    <w:rsid w:val="0012682A"/>
    <w:rsid w:val="00127DD0"/>
    <w:rsid w:val="001320EB"/>
    <w:rsid w:val="00132378"/>
    <w:rsid w:val="0013249C"/>
    <w:rsid w:val="00133D44"/>
    <w:rsid w:val="00133E7D"/>
    <w:rsid w:val="0013599B"/>
    <w:rsid w:val="00135B47"/>
    <w:rsid w:val="00135EC6"/>
    <w:rsid w:val="00136093"/>
    <w:rsid w:val="00142562"/>
    <w:rsid w:val="001439EA"/>
    <w:rsid w:val="00151C08"/>
    <w:rsid w:val="00152012"/>
    <w:rsid w:val="00154D98"/>
    <w:rsid w:val="0016002B"/>
    <w:rsid w:val="001643E6"/>
    <w:rsid w:val="001727C2"/>
    <w:rsid w:val="0017355C"/>
    <w:rsid w:val="0017412F"/>
    <w:rsid w:val="00175538"/>
    <w:rsid w:val="00176AE6"/>
    <w:rsid w:val="00185761"/>
    <w:rsid w:val="00186EB3"/>
    <w:rsid w:val="00191708"/>
    <w:rsid w:val="0019303D"/>
    <w:rsid w:val="001940C5"/>
    <w:rsid w:val="00197355"/>
    <w:rsid w:val="001A04D0"/>
    <w:rsid w:val="001A151B"/>
    <w:rsid w:val="001A5077"/>
    <w:rsid w:val="001A664B"/>
    <w:rsid w:val="001A756F"/>
    <w:rsid w:val="001A7FF4"/>
    <w:rsid w:val="001B0B64"/>
    <w:rsid w:val="001B388C"/>
    <w:rsid w:val="001B38C3"/>
    <w:rsid w:val="001B3C2C"/>
    <w:rsid w:val="001B5EAA"/>
    <w:rsid w:val="001B681D"/>
    <w:rsid w:val="001B7868"/>
    <w:rsid w:val="001C018E"/>
    <w:rsid w:val="001C77C7"/>
    <w:rsid w:val="001D29B6"/>
    <w:rsid w:val="001D36C6"/>
    <w:rsid w:val="001D4E13"/>
    <w:rsid w:val="001D7C99"/>
    <w:rsid w:val="001E01ED"/>
    <w:rsid w:val="001E0D32"/>
    <w:rsid w:val="001E5904"/>
    <w:rsid w:val="001E6D93"/>
    <w:rsid w:val="001F3235"/>
    <w:rsid w:val="001F742E"/>
    <w:rsid w:val="00200123"/>
    <w:rsid w:val="00201D6A"/>
    <w:rsid w:val="00205636"/>
    <w:rsid w:val="0020665D"/>
    <w:rsid w:val="002068D6"/>
    <w:rsid w:val="00207CFF"/>
    <w:rsid w:val="00211243"/>
    <w:rsid w:val="00211C92"/>
    <w:rsid w:val="002120CB"/>
    <w:rsid w:val="0021248F"/>
    <w:rsid w:val="00213A24"/>
    <w:rsid w:val="002208A8"/>
    <w:rsid w:val="00220FEF"/>
    <w:rsid w:val="0022243E"/>
    <w:rsid w:val="00223AE6"/>
    <w:rsid w:val="00226CAD"/>
    <w:rsid w:val="00231053"/>
    <w:rsid w:val="002354FF"/>
    <w:rsid w:val="002357F9"/>
    <w:rsid w:val="00236139"/>
    <w:rsid w:val="002365BF"/>
    <w:rsid w:val="00237793"/>
    <w:rsid w:val="00237F8F"/>
    <w:rsid w:val="0024086E"/>
    <w:rsid w:val="002420B0"/>
    <w:rsid w:val="00243F90"/>
    <w:rsid w:val="00244436"/>
    <w:rsid w:val="0024572F"/>
    <w:rsid w:val="002541FE"/>
    <w:rsid w:val="00254CA1"/>
    <w:rsid w:val="002556BB"/>
    <w:rsid w:val="002572AA"/>
    <w:rsid w:val="0026119B"/>
    <w:rsid w:val="00264630"/>
    <w:rsid w:val="0026624C"/>
    <w:rsid w:val="00266963"/>
    <w:rsid w:val="00266994"/>
    <w:rsid w:val="0027006F"/>
    <w:rsid w:val="00272258"/>
    <w:rsid w:val="00273E0D"/>
    <w:rsid w:val="00274490"/>
    <w:rsid w:val="002754A2"/>
    <w:rsid w:val="002815F5"/>
    <w:rsid w:val="00282ADF"/>
    <w:rsid w:val="00285EE4"/>
    <w:rsid w:val="00292170"/>
    <w:rsid w:val="002928FC"/>
    <w:rsid w:val="00292E1F"/>
    <w:rsid w:val="00294BCD"/>
    <w:rsid w:val="00295098"/>
    <w:rsid w:val="00297F7A"/>
    <w:rsid w:val="002A1BB8"/>
    <w:rsid w:val="002A2073"/>
    <w:rsid w:val="002A2A87"/>
    <w:rsid w:val="002A39C0"/>
    <w:rsid w:val="002A40A6"/>
    <w:rsid w:val="002A4E5D"/>
    <w:rsid w:val="002A7ECF"/>
    <w:rsid w:val="002B053B"/>
    <w:rsid w:val="002B07DE"/>
    <w:rsid w:val="002B10A5"/>
    <w:rsid w:val="002B14EE"/>
    <w:rsid w:val="002B5DC8"/>
    <w:rsid w:val="002B7354"/>
    <w:rsid w:val="002C0807"/>
    <w:rsid w:val="002C423C"/>
    <w:rsid w:val="002C7107"/>
    <w:rsid w:val="002D2CE0"/>
    <w:rsid w:val="002D3004"/>
    <w:rsid w:val="002D3307"/>
    <w:rsid w:val="002D4E96"/>
    <w:rsid w:val="002D5AA3"/>
    <w:rsid w:val="002D6A1D"/>
    <w:rsid w:val="002E0E12"/>
    <w:rsid w:val="002E1B0E"/>
    <w:rsid w:val="002E7A87"/>
    <w:rsid w:val="002F1C68"/>
    <w:rsid w:val="002F1D82"/>
    <w:rsid w:val="002F3B04"/>
    <w:rsid w:val="002F545A"/>
    <w:rsid w:val="002F69E3"/>
    <w:rsid w:val="002F6D4C"/>
    <w:rsid w:val="00303E90"/>
    <w:rsid w:val="00305491"/>
    <w:rsid w:val="0031078A"/>
    <w:rsid w:val="00310BEE"/>
    <w:rsid w:val="00311FC2"/>
    <w:rsid w:val="003131A2"/>
    <w:rsid w:val="00315072"/>
    <w:rsid w:val="00315698"/>
    <w:rsid w:val="00315BCF"/>
    <w:rsid w:val="0031776C"/>
    <w:rsid w:val="003222AF"/>
    <w:rsid w:val="003224D7"/>
    <w:rsid w:val="003233A4"/>
    <w:rsid w:val="003308A6"/>
    <w:rsid w:val="003311B0"/>
    <w:rsid w:val="00337E4A"/>
    <w:rsid w:val="003409AD"/>
    <w:rsid w:val="00340DF1"/>
    <w:rsid w:val="003433D6"/>
    <w:rsid w:val="00351051"/>
    <w:rsid w:val="00352885"/>
    <w:rsid w:val="00356D0F"/>
    <w:rsid w:val="00356F67"/>
    <w:rsid w:val="003613EE"/>
    <w:rsid w:val="00361A2A"/>
    <w:rsid w:val="0036371D"/>
    <w:rsid w:val="0037104E"/>
    <w:rsid w:val="00373D14"/>
    <w:rsid w:val="00374275"/>
    <w:rsid w:val="00385BB6"/>
    <w:rsid w:val="00387141"/>
    <w:rsid w:val="00390826"/>
    <w:rsid w:val="0039415B"/>
    <w:rsid w:val="00394DEE"/>
    <w:rsid w:val="00396081"/>
    <w:rsid w:val="003A0B39"/>
    <w:rsid w:val="003A2B6E"/>
    <w:rsid w:val="003A4F6B"/>
    <w:rsid w:val="003A7404"/>
    <w:rsid w:val="003B4BFB"/>
    <w:rsid w:val="003B595E"/>
    <w:rsid w:val="003C2E21"/>
    <w:rsid w:val="003C3B0B"/>
    <w:rsid w:val="003C4C54"/>
    <w:rsid w:val="003C6F35"/>
    <w:rsid w:val="003D13C9"/>
    <w:rsid w:val="003D37DC"/>
    <w:rsid w:val="003D5293"/>
    <w:rsid w:val="003D75CE"/>
    <w:rsid w:val="003D7CC4"/>
    <w:rsid w:val="003E3850"/>
    <w:rsid w:val="003E3ECA"/>
    <w:rsid w:val="003E5A5D"/>
    <w:rsid w:val="003E6885"/>
    <w:rsid w:val="003F18C2"/>
    <w:rsid w:val="003F41C5"/>
    <w:rsid w:val="003F47F0"/>
    <w:rsid w:val="003F51DE"/>
    <w:rsid w:val="003F7180"/>
    <w:rsid w:val="00400D85"/>
    <w:rsid w:val="00401A3C"/>
    <w:rsid w:val="00402931"/>
    <w:rsid w:val="0040421D"/>
    <w:rsid w:val="004100A3"/>
    <w:rsid w:val="00411199"/>
    <w:rsid w:val="00412FEA"/>
    <w:rsid w:val="0041352D"/>
    <w:rsid w:val="00416ACD"/>
    <w:rsid w:val="00417398"/>
    <w:rsid w:val="004255F4"/>
    <w:rsid w:val="00425882"/>
    <w:rsid w:val="00426080"/>
    <w:rsid w:val="004265AA"/>
    <w:rsid w:val="00427A44"/>
    <w:rsid w:val="00430509"/>
    <w:rsid w:val="00430B7E"/>
    <w:rsid w:val="00431D20"/>
    <w:rsid w:val="0044066A"/>
    <w:rsid w:val="00443711"/>
    <w:rsid w:val="004444E8"/>
    <w:rsid w:val="00444BF2"/>
    <w:rsid w:val="004502C9"/>
    <w:rsid w:val="00450A97"/>
    <w:rsid w:val="004523D7"/>
    <w:rsid w:val="00453696"/>
    <w:rsid w:val="00453C4E"/>
    <w:rsid w:val="00454B6C"/>
    <w:rsid w:val="00461098"/>
    <w:rsid w:val="004716AC"/>
    <w:rsid w:val="00472E1E"/>
    <w:rsid w:val="00476089"/>
    <w:rsid w:val="00477033"/>
    <w:rsid w:val="00481EA7"/>
    <w:rsid w:val="00482EC3"/>
    <w:rsid w:val="0048374B"/>
    <w:rsid w:val="004868AE"/>
    <w:rsid w:val="00490731"/>
    <w:rsid w:val="0049238D"/>
    <w:rsid w:val="00494F15"/>
    <w:rsid w:val="0049542E"/>
    <w:rsid w:val="00496411"/>
    <w:rsid w:val="00496B01"/>
    <w:rsid w:val="00497A57"/>
    <w:rsid w:val="004A2421"/>
    <w:rsid w:val="004A5292"/>
    <w:rsid w:val="004B3555"/>
    <w:rsid w:val="004B3EA8"/>
    <w:rsid w:val="004B4964"/>
    <w:rsid w:val="004B631D"/>
    <w:rsid w:val="004C23DC"/>
    <w:rsid w:val="004C4007"/>
    <w:rsid w:val="004C490C"/>
    <w:rsid w:val="004C5F7B"/>
    <w:rsid w:val="004D0A50"/>
    <w:rsid w:val="004D1A9E"/>
    <w:rsid w:val="004D500D"/>
    <w:rsid w:val="004D741F"/>
    <w:rsid w:val="004E05B1"/>
    <w:rsid w:val="004F04A6"/>
    <w:rsid w:val="004F3ACD"/>
    <w:rsid w:val="004F3E15"/>
    <w:rsid w:val="004F3FAA"/>
    <w:rsid w:val="004F5F51"/>
    <w:rsid w:val="00505764"/>
    <w:rsid w:val="00506BED"/>
    <w:rsid w:val="00507E1D"/>
    <w:rsid w:val="005118CF"/>
    <w:rsid w:val="005127F6"/>
    <w:rsid w:val="00514A00"/>
    <w:rsid w:val="005156B4"/>
    <w:rsid w:val="0051656D"/>
    <w:rsid w:val="0051660B"/>
    <w:rsid w:val="00520DF5"/>
    <w:rsid w:val="00521C86"/>
    <w:rsid w:val="00524D45"/>
    <w:rsid w:val="005257FF"/>
    <w:rsid w:val="00526876"/>
    <w:rsid w:val="00526DE3"/>
    <w:rsid w:val="005271B9"/>
    <w:rsid w:val="005306FB"/>
    <w:rsid w:val="005365D2"/>
    <w:rsid w:val="00536DA3"/>
    <w:rsid w:val="00541D76"/>
    <w:rsid w:val="0054315B"/>
    <w:rsid w:val="005432EF"/>
    <w:rsid w:val="005457B9"/>
    <w:rsid w:val="00550110"/>
    <w:rsid w:val="005507D2"/>
    <w:rsid w:val="005523BE"/>
    <w:rsid w:val="005532AB"/>
    <w:rsid w:val="0055732F"/>
    <w:rsid w:val="005605E5"/>
    <w:rsid w:val="0056146A"/>
    <w:rsid w:val="005642C3"/>
    <w:rsid w:val="00564A05"/>
    <w:rsid w:val="00564F6A"/>
    <w:rsid w:val="00566C5E"/>
    <w:rsid w:val="00567189"/>
    <w:rsid w:val="0057336A"/>
    <w:rsid w:val="0057574E"/>
    <w:rsid w:val="00581B46"/>
    <w:rsid w:val="00587355"/>
    <w:rsid w:val="0058771C"/>
    <w:rsid w:val="0059395D"/>
    <w:rsid w:val="00593BCA"/>
    <w:rsid w:val="00597CD2"/>
    <w:rsid w:val="005A0028"/>
    <w:rsid w:val="005A072D"/>
    <w:rsid w:val="005A3007"/>
    <w:rsid w:val="005A32F2"/>
    <w:rsid w:val="005A4BFC"/>
    <w:rsid w:val="005A6105"/>
    <w:rsid w:val="005A6A62"/>
    <w:rsid w:val="005B11C6"/>
    <w:rsid w:val="005B3197"/>
    <w:rsid w:val="005B3B82"/>
    <w:rsid w:val="005B72AB"/>
    <w:rsid w:val="005B7E09"/>
    <w:rsid w:val="005B7FD9"/>
    <w:rsid w:val="005C0774"/>
    <w:rsid w:val="005C238D"/>
    <w:rsid w:val="005C3FB9"/>
    <w:rsid w:val="005C5B34"/>
    <w:rsid w:val="005C6E29"/>
    <w:rsid w:val="005D02FC"/>
    <w:rsid w:val="005D0B49"/>
    <w:rsid w:val="005D3C7D"/>
    <w:rsid w:val="005D66EF"/>
    <w:rsid w:val="005D6AFC"/>
    <w:rsid w:val="005E3C6E"/>
    <w:rsid w:val="005E7A81"/>
    <w:rsid w:val="005E7FF8"/>
    <w:rsid w:val="005F0641"/>
    <w:rsid w:val="005F2D94"/>
    <w:rsid w:val="005F4597"/>
    <w:rsid w:val="005F6652"/>
    <w:rsid w:val="005F6E89"/>
    <w:rsid w:val="005F6EE3"/>
    <w:rsid w:val="005F7D36"/>
    <w:rsid w:val="006015FB"/>
    <w:rsid w:val="006016B4"/>
    <w:rsid w:val="00602326"/>
    <w:rsid w:val="006026B5"/>
    <w:rsid w:val="00613337"/>
    <w:rsid w:val="006157D3"/>
    <w:rsid w:val="00616C08"/>
    <w:rsid w:val="00620AB9"/>
    <w:rsid w:val="00622E34"/>
    <w:rsid w:val="006245AC"/>
    <w:rsid w:val="00626F47"/>
    <w:rsid w:val="00630392"/>
    <w:rsid w:val="006315F3"/>
    <w:rsid w:val="00634C68"/>
    <w:rsid w:val="006350FD"/>
    <w:rsid w:val="00635EE5"/>
    <w:rsid w:val="00640F3F"/>
    <w:rsid w:val="00641990"/>
    <w:rsid w:val="006450C7"/>
    <w:rsid w:val="00652579"/>
    <w:rsid w:val="006529E6"/>
    <w:rsid w:val="0065492A"/>
    <w:rsid w:val="00655334"/>
    <w:rsid w:val="0065676A"/>
    <w:rsid w:val="006571AD"/>
    <w:rsid w:val="00661370"/>
    <w:rsid w:val="0066474F"/>
    <w:rsid w:val="00671B71"/>
    <w:rsid w:val="0067307C"/>
    <w:rsid w:val="00675558"/>
    <w:rsid w:val="00675EC3"/>
    <w:rsid w:val="006761EA"/>
    <w:rsid w:val="00684437"/>
    <w:rsid w:val="00684CE4"/>
    <w:rsid w:val="00684FD5"/>
    <w:rsid w:val="00695C91"/>
    <w:rsid w:val="006A0979"/>
    <w:rsid w:val="006A09C0"/>
    <w:rsid w:val="006A30A7"/>
    <w:rsid w:val="006A325C"/>
    <w:rsid w:val="006A3AE2"/>
    <w:rsid w:val="006A4D4F"/>
    <w:rsid w:val="006B0A9E"/>
    <w:rsid w:val="006B13E7"/>
    <w:rsid w:val="006B48D3"/>
    <w:rsid w:val="006B53C1"/>
    <w:rsid w:val="006B6552"/>
    <w:rsid w:val="006B75DD"/>
    <w:rsid w:val="006B7BD3"/>
    <w:rsid w:val="006B7DFB"/>
    <w:rsid w:val="006C2596"/>
    <w:rsid w:val="006C371F"/>
    <w:rsid w:val="006C6D7B"/>
    <w:rsid w:val="006D0C79"/>
    <w:rsid w:val="006D20EE"/>
    <w:rsid w:val="006D2CC9"/>
    <w:rsid w:val="006D5AB3"/>
    <w:rsid w:val="006D77B6"/>
    <w:rsid w:val="006E68B5"/>
    <w:rsid w:val="006F26F0"/>
    <w:rsid w:val="006F4153"/>
    <w:rsid w:val="006F7C8A"/>
    <w:rsid w:val="00701F76"/>
    <w:rsid w:val="00710F03"/>
    <w:rsid w:val="00711002"/>
    <w:rsid w:val="00715125"/>
    <w:rsid w:val="00715BA3"/>
    <w:rsid w:val="007168BB"/>
    <w:rsid w:val="00716F3A"/>
    <w:rsid w:val="007200D6"/>
    <w:rsid w:val="007235F0"/>
    <w:rsid w:val="007262BE"/>
    <w:rsid w:val="00731AFA"/>
    <w:rsid w:val="0073276D"/>
    <w:rsid w:val="007336AF"/>
    <w:rsid w:val="00734472"/>
    <w:rsid w:val="00734476"/>
    <w:rsid w:val="007350A2"/>
    <w:rsid w:val="00743181"/>
    <w:rsid w:val="00743352"/>
    <w:rsid w:val="00743F18"/>
    <w:rsid w:val="007502AE"/>
    <w:rsid w:val="007508EA"/>
    <w:rsid w:val="0075137F"/>
    <w:rsid w:val="00751ED7"/>
    <w:rsid w:val="00753129"/>
    <w:rsid w:val="00756ED8"/>
    <w:rsid w:val="00757301"/>
    <w:rsid w:val="00757BF2"/>
    <w:rsid w:val="00765127"/>
    <w:rsid w:val="00767938"/>
    <w:rsid w:val="0077368B"/>
    <w:rsid w:val="007742FA"/>
    <w:rsid w:val="0077564F"/>
    <w:rsid w:val="007874C9"/>
    <w:rsid w:val="007903D7"/>
    <w:rsid w:val="0079185D"/>
    <w:rsid w:val="007929B5"/>
    <w:rsid w:val="00792F03"/>
    <w:rsid w:val="00795471"/>
    <w:rsid w:val="007A04C8"/>
    <w:rsid w:val="007A123F"/>
    <w:rsid w:val="007A1DCE"/>
    <w:rsid w:val="007A26B9"/>
    <w:rsid w:val="007A3A1A"/>
    <w:rsid w:val="007B05AA"/>
    <w:rsid w:val="007B0973"/>
    <w:rsid w:val="007B2940"/>
    <w:rsid w:val="007B2CAA"/>
    <w:rsid w:val="007B7FE3"/>
    <w:rsid w:val="007C02DC"/>
    <w:rsid w:val="007C0556"/>
    <w:rsid w:val="007C05FF"/>
    <w:rsid w:val="007C1864"/>
    <w:rsid w:val="007C2782"/>
    <w:rsid w:val="007C2B08"/>
    <w:rsid w:val="007C6E9F"/>
    <w:rsid w:val="007D01F0"/>
    <w:rsid w:val="007D1CE5"/>
    <w:rsid w:val="007D1E7D"/>
    <w:rsid w:val="007D2206"/>
    <w:rsid w:val="007D25C9"/>
    <w:rsid w:val="007D34F7"/>
    <w:rsid w:val="007D6C6F"/>
    <w:rsid w:val="007D70A2"/>
    <w:rsid w:val="007E0FD9"/>
    <w:rsid w:val="007E1BD5"/>
    <w:rsid w:val="007E4876"/>
    <w:rsid w:val="007F0D11"/>
    <w:rsid w:val="007F3A91"/>
    <w:rsid w:val="00800A09"/>
    <w:rsid w:val="00802062"/>
    <w:rsid w:val="008114DE"/>
    <w:rsid w:val="008219B3"/>
    <w:rsid w:val="00830045"/>
    <w:rsid w:val="00830CEF"/>
    <w:rsid w:val="0083479F"/>
    <w:rsid w:val="00835317"/>
    <w:rsid w:val="0083686A"/>
    <w:rsid w:val="00840A45"/>
    <w:rsid w:val="00843DA4"/>
    <w:rsid w:val="00851B2C"/>
    <w:rsid w:val="00853E69"/>
    <w:rsid w:val="00853F2A"/>
    <w:rsid w:val="008544C7"/>
    <w:rsid w:val="00855085"/>
    <w:rsid w:val="008634B6"/>
    <w:rsid w:val="0086441D"/>
    <w:rsid w:val="00864A3D"/>
    <w:rsid w:val="00866BCF"/>
    <w:rsid w:val="00866D2C"/>
    <w:rsid w:val="00870CE6"/>
    <w:rsid w:val="00871AEB"/>
    <w:rsid w:val="00873924"/>
    <w:rsid w:val="008765E1"/>
    <w:rsid w:val="00877210"/>
    <w:rsid w:val="00881223"/>
    <w:rsid w:val="00883861"/>
    <w:rsid w:val="00883DEE"/>
    <w:rsid w:val="0089241E"/>
    <w:rsid w:val="0089357E"/>
    <w:rsid w:val="00894E57"/>
    <w:rsid w:val="008A0488"/>
    <w:rsid w:val="008A35B7"/>
    <w:rsid w:val="008A37EA"/>
    <w:rsid w:val="008A3878"/>
    <w:rsid w:val="008A6019"/>
    <w:rsid w:val="008A6080"/>
    <w:rsid w:val="008A6285"/>
    <w:rsid w:val="008A6B20"/>
    <w:rsid w:val="008A728F"/>
    <w:rsid w:val="008B7B33"/>
    <w:rsid w:val="008C0D4C"/>
    <w:rsid w:val="008C0D6A"/>
    <w:rsid w:val="008C1EAE"/>
    <w:rsid w:val="008C498E"/>
    <w:rsid w:val="008D09A5"/>
    <w:rsid w:val="008D1D6C"/>
    <w:rsid w:val="008D4113"/>
    <w:rsid w:val="008D487F"/>
    <w:rsid w:val="008D54ED"/>
    <w:rsid w:val="008D7171"/>
    <w:rsid w:val="008E4902"/>
    <w:rsid w:val="008E7F74"/>
    <w:rsid w:val="008F1230"/>
    <w:rsid w:val="008F1267"/>
    <w:rsid w:val="008F1586"/>
    <w:rsid w:val="008F4AB1"/>
    <w:rsid w:val="008F5992"/>
    <w:rsid w:val="008F7315"/>
    <w:rsid w:val="00901E92"/>
    <w:rsid w:val="0090369F"/>
    <w:rsid w:val="009108D8"/>
    <w:rsid w:val="00914E95"/>
    <w:rsid w:val="0092110C"/>
    <w:rsid w:val="00923982"/>
    <w:rsid w:val="00924A0B"/>
    <w:rsid w:val="00924A9B"/>
    <w:rsid w:val="00924E46"/>
    <w:rsid w:val="009329C2"/>
    <w:rsid w:val="00932A5F"/>
    <w:rsid w:val="00934F9B"/>
    <w:rsid w:val="009354B7"/>
    <w:rsid w:val="0093571A"/>
    <w:rsid w:val="0093575E"/>
    <w:rsid w:val="00935FAE"/>
    <w:rsid w:val="009367FB"/>
    <w:rsid w:val="00937D80"/>
    <w:rsid w:val="009420D5"/>
    <w:rsid w:val="0095016C"/>
    <w:rsid w:val="00951083"/>
    <w:rsid w:val="00960077"/>
    <w:rsid w:val="00974C60"/>
    <w:rsid w:val="00975A4C"/>
    <w:rsid w:val="009808CF"/>
    <w:rsid w:val="00982E3D"/>
    <w:rsid w:val="009874BB"/>
    <w:rsid w:val="009877C3"/>
    <w:rsid w:val="00991F93"/>
    <w:rsid w:val="009942D1"/>
    <w:rsid w:val="00994B88"/>
    <w:rsid w:val="009959A1"/>
    <w:rsid w:val="00996A93"/>
    <w:rsid w:val="00996D48"/>
    <w:rsid w:val="00997DB6"/>
    <w:rsid w:val="009A122F"/>
    <w:rsid w:val="009A18FF"/>
    <w:rsid w:val="009A2C13"/>
    <w:rsid w:val="009A3B63"/>
    <w:rsid w:val="009A3E39"/>
    <w:rsid w:val="009A44C2"/>
    <w:rsid w:val="009A59E2"/>
    <w:rsid w:val="009B5909"/>
    <w:rsid w:val="009B7DCC"/>
    <w:rsid w:val="009C2753"/>
    <w:rsid w:val="009C47D1"/>
    <w:rsid w:val="009C7E14"/>
    <w:rsid w:val="009D03FD"/>
    <w:rsid w:val="009D1A14"/>
    <w:rsid w:val="009D3870"/>
    <w:rsid w:val="009D4E38"/>
    <w:rsid w:val="009D6361"/>
    <w:rsid w:val="009D6380"/>
    <w:rsid w:val="009D7E48"/>
    <w:rsid w:val="009E0B6F"/>
    <w:rsid w:val="009E0FF7"/>
    <w:rsid w:val="009E2898"/>
    <w:rsid w:val="009E28D7"/>
    <w:rsid w:val="009E3570"/>
    <w:rsid w:val="009E5AE8"/>
    <w:rsid w:val="009F0862"/>
    <w:rsid w:val="009F0C16"/>
    <w:rsid w:val="009F1EAC"/>
    <w:rsid w:val="009F38FB"/>
    <w:rsid w:val="009F40E2"/>
    <w:rsid w:val="009F4518"/>
    <w:rsid w:val="009F4AE5"/>
    <w:rsid w:val="009F5284"/>
    <w:rsid w:val="00A03D93"/>
    <w:rsid w:val="00A04AE0"/>
    <w:rsid w:val="00A06636"/>
    <w:rsid w:val="00A111D4"/>
    <w:rsid w:val="00A118BF"/>
    <w:rsid w:val="00A11CDF"/>
    <w:rsid w:val="00A1224D"/>
    <w:rsid w:val="00A1316B"/>
    <w:rsid w:val="00A14444"/>
    <w:rsid w:val="00A17A81"/>
    <w:rsid w:val="00A17D46"/>
    <w:rsid w:val="00A209E4"/>
    <w:rsid w:val="00A22183"/>
    <w:rsid w:val="00A25421"/>
    <w:rsid w:val="00A25B32"/>
    <w:rsid w:val="00A27B10"/>
    <w:rsid w:val="00A3073B"/>
    <w:rsid w:val="00A34D0A"/>
    <w:rsid w:val="00A37209"/>
    <w:rsid w:val="00A40A4A"/>
    <w:rsid w:val="00A411D4"/>
    <w:rsid w:val="00A41272"/>
    <w:rsid w:val="00A4241F"/>
    <w:rsid w:val="00A44A8E"/>
    <w:rsid w:val="00A50CC9"/>
    <w:rsid w:val="00A516EE"/>
    <w:rsid w:val="00A54566"/>
    <w:rsid w:val="00A57BB4"/>
    <w:rsid w:val="00A57F15"/>
    <w:rsid w:val="00A60060"/>
    <w:rsid w:val="00A60DA9"/>
    <w:rsid w:val="00A61201"/>
    <w:rsid w:val="00A61A49"/>
    <w:rsid w:val="00A65AB9"/>
    <w:rsid w:val="00A67F20"/>
    <w:rsid w:val="00A70890"/>
    <w:rsid w:val="00A72093"/>
    <w:rsid w:val="00A723D3"/>
    <w:rsid w:val="00A726B4"/>
    <w:rsid w:val="00A73495"/>
    <w:rsid w:val="00A76D7F"/>
    <w:rsid w:val="00A84CB2"/>
    <w:rsid w:val="00A86FE6"/>
    <w:rsid w:val="00AB3825"/>
    <w:rsid w:val="00AB55A5"/>
    <w:rsid w:val="00AB5E4B"/>
    <w:rsid w:val="00AB7A92"/>
    <w:rsid w:val="00AC32F2"/>
    <w:rsid w:val="00AC331F"/>
    <w:rsid w:val="00AC4BED"/>
    <w:rsid w:val="00AC4DD6"/>
    <w:rsid w:val="00AC5138"/>
    <w:rsid w:val="00AC57C1"/>
    <w:rsid w:val="00AC7A23"/>
    <w:rsid w:val="00AD2E42"/>
    <w:rsid w:val="00AD5D84"/>
    <w:rsid w:val="00AD68B3"/>
    <w:rsid w:val="00AE1CE8"/>
    <w:rsid w:val="00AE2664"/>
    <w:rsid w:val="00AE3D18"/>
    <w:rsid w:val="00AE7B54"/>
    <w:rsid w:val="00AF20BD"/>
    <w:rsid w:val="00AF2C46"/>
    <w:rsid w:val="00AF3399"/>
    <w:rsid w:val="00AF368F"/>
    <w:rsid w:val="00B0236D"/>
    <w:rsid w:val="00B02CD6"/>
    <w:rsid w:val="00B05ABB"/>
    <w:rsid w:val="00B06AF7"/>
    <w:rsid w:val="00B144A2"/>
    <w:rsid w:val="00B24409"/>
    <w:rsid w:val="00B26D1E"/>
    <w:rsid w:val="00B27D5D"/>
    <w:rsid w:val="00B34071"/>
    <w:rsid w:val="00B463B2"/>
    <w:rsid w:val="00B46B56"/>
    <w:rsid w:val="00B47FDF"/>
    <w:rsid w:val="00B53848"/>
    <w:rsid w:val="00B5777C"/>
    <w:rsid w:val="00B60745"/>
    <w:rsid w:val="00B62060"/>
    <w:rsid w:val="00B67641"/>
    <w:rsid w:val="00B71AB7"/>
    <w:rsid w:val="00B722E2"/>
    <w:rsid w:val="00B72412"/>
    <w:rsid w:val="00B72FCD"/>
    <w:rsid w:val="00B730BB"/>
    <w:rsid w:val="00B75227"/>
    <w:rsid w:val="00B75E2F"/>
    <w:rsid w:val="00B7637E"/>
    <w:rsid w:val="00B77C62"/>
    <w:rsid w:val="00B82189"/>
    <w:rsid w:val="00B82A06"/>
    <w:rsid w:val="00B87D79"/>
    <w:rsid w:val="00B92A1C"/>
    <w:rsid w:val="00B94D03"/>
    <w:rsid w:val="00B94EE6"/>
    <w:rsid w:val="00B958E7"/>
    <w:rsid w:val="00BA22A0"/>
    <w:rsid w:val="00BA5332"/>
    <w:rsid w:val="00BC1B06"/>
    <w:rsid w:val="00BC2446"/>
    <w:rsid w:val="00BC3988"/>
    <w:rsid w:val="00BC44F0"/>
    <w:rsid w:val="00BD1DEC"/>
    <w:rsid w:val="00BD625F"/>
    <w:rsid w:val="00BE0CB5"/>
    <w:rsid w:val="00BE0E33"/>
    <w:rsid w:val="00BE1829"/>
    <w:rsid w:val="00BE2A22"/>
    <w:rsid w:val="00BE5C08"/>
    <w:rsid w:val="00BF2744"/>
    <w:rsid w:val="00BF3D3F"/>
    <w:rsid w:val="00BF53C3"/>
    <w:rsid w:val="00C014D2"/>
    <w:rsid w:val="00C01AA9"/>
    <w:rsid w:val="00C03A14"/>
    <w:rsid w:val="00C03C25"/>
    <w:rsid w:val="00C0455D"/>
    <w:rsid w:val="00C05525"/>
    <w:rsid w:val="00C0687D"/>
    <w:rsid w:val="00C129DE"/>
    <w:rsid w:val="00C1316A"/>
    <w:rsid w:val="00C15297"/>
    <w:rsid w:val="00C15F75"/>
    <w:rsid w:val="00C17C0D"/>
    <w:rsid w:val="00C21FC7"/>
    <w:rsid w:val="00C22E5C"/>
    <w:rsid w:val="00C23865"/>
    <w:rsid w:val="00C248CE"/>
    <w:rsid w:val="00C24AF8"/>
    <w:rsid w:val="00C27D17"/>
    <w:rsid w:val="00C30096"/>
    <w:rsid w:val="00C352DD"/>
    <w:rsid w:val="00C3568B"/>
    <w:rsid w:val="00C361A5"/>
    <w:rsid w:val="00C40933"/>
    <w:rsid w:val="00C40B20"/>
    <w:rsid w:val="00C412C6"/>
    <w:rsid w:val="00C41663"/>
    <w:rsid w:val="00C42262"/>
    <w:rsid w:val="00C44982"/>
    <w:rsid w:val="00C5098D"/>
    <w:rsid w:val="00C5161C"/>
    <w:rsid w:val="00C55EF9"/>
    <w:rsid w:val="00C60C44"/>
    <w:rsid w:val="00C60E7C"/>
    <w:rsid w:val="00C6246B"/>
    <w:rsid w:val="00C6256F"/>
    <w:rsid w:val="00C64C96"/>
    <w:rsid w:val="00C7092F"/>
    <w:rsid w:val="00C72190"/>
    <w:rsid w:val="00C749B3"/>
    <w:rsid w:val="00C75172"/>
    <w:rsid w:val="00C7705F"/>
    <w:rsid w:val="00C77B7F"/>
    <w:rsid w:val="00C83247"/>
    <w:rsid w:val="00C83754"/>
    <w:rsid w:val="00C83D30"/>
    <w:rsid w:val="00C949A6"/>
    <w:rsid w:val="00C94DF1"/>
    <w:rsid w:val="00CA1B00"/>
    <w:rsid w:val="00CA24A3"/>
    <w:rsid w:val="00CA7D93"/>
    <w:rsid w:val="00CB2FD4"/>
    <w:rsid w:val="00CB7D46"/>
    <w:rsid w:val="00CB7F62"/>
    <w:rsid w:val="00CC1144"/>
    <w:rsid w:val="00CC64F5"/>
    <w:rsid w:val="00CD229C"/>
    <w:rsid w:val="00CD4979"/>
    <w:rsid w:val="00CD5B39"/>
    <w:rsid w:val="00CE6487"/>
    <w:rsid w:val="00CE6F42"/>
    <w:rsid w:val="00CE76CC"/>
    <w:rsid w:val="00CE7B1C"/>
    <w:rsid w:val="00CF0965"/>
    <w:rsid w:val="00CF675C"/>
    <w:rsid w:val="00D03DA9"/>
    <w:rsid w:val="00D0790A"/>
    <w:rsid w:val="00D159C7"/>
    <w:rsid w:val="00D16A2D"/>
    <w:rsid w:val="00D16DBB"/>
    <w:rsid w:val="00D173A1"/>
    <w:rsid w:val="00D225FE"/>
    <w:rsid w:val="00D22B86"/>
    <w:rsid w:val="00D24C6E"/>
    <w:rsid w:val="00D25ADB"/>
    <w:rsid w:val="00D27816"/>
    <w:rsid w:val="00D3312D"/>
    <w:rsid w:val="00D34471"/>
    <w:rsid w:val="00D36DF7"/>
    <w:rsid w:val="00D42699"/>
    <w:rsid w:val="00D47892"/>
    <w:rsid w:val="00D506D2"/>
    <w:rsid w:val="00D50F8F"/>
    <w:rsid w:val="00D55657"/>
    <w:rsid w:val="00D56128"/>
    <w:rsid w:val="00D631BC"/>
    <w:rsid w:val="00D631BD"/>
    <w:rsid w:val="00D70611"/>
    <w:rsid w:val="00D75289"/>
    <w:rsid w:val="00D7656C"/>
    <w:rsid w:val="00D76AE0"/>
    <w:rsid w:val="00D76BBF"/>
    <w:rsid w:val="00D815EE"/>
    <w:rsid w:val="00D84E4F"/>
    <w:rsid w:val="00D8644B"/>
    <w:rsid w:val="00D937B1"/>
    <w:rsid w:val="00D93CCD"/>
    <w:rsid w:val="00D94D15"/>
    <w:rsid w:val="00DA0B93"/>
    <w:rsid w:val="00DA16A9"/>
    <w:rsid w:val="00DA2900"/>
    <w:rsid w:val="00DA388E"/>
    <w:rsid w:val="00DA6D45"/>
    <w:rsid w:val="00DA7292"/>
    <w:rsid w:val="00DB02A3"/>
    <w:rsid w:val="00DB126E"/>
    <w:rsid w:val="00DB4D4E"/>
    <w:rsid w:val="00DB6095"/>
    <w:rsid w:val="00DB68C7"/>
    <w:rsid w:val="00DC78F1"/>
    <w:rsid w:val="00DD02EC"/>
    <w:rsid w:val="00DD0F51"/>
    <w:rsid w:val="00DD113D"/>
    <w:rsid w:val="00DD11FE"/>
    <w:rsid w:val="00DD48F3"/>
    <w:rsid w:val="00DD6F5C"/>
    <w:rsid w:val="00DD7DF4"/>
    <w:rsid w:val="00DE298D"/>
    <w:rsid w:val="00DE3DB0"/>
    <w:rsid w:val="00DE6A74"/>
    <w:rsid w:val="00DF1710"/>
    <w:rsid w:val="00DF2845"/>
    <w:rsid w:val="00DF2D71"/>
    <w:rsid w:val="00DF3847"/>
    <w:rsid w:val="00DF75BB"/>
    <w:rsid w:val="00E037CC"/>
    <w:rsid w:val="00E14210"/>
    <w:rsid w:val="00E171E0"/>
    <w:rsid w:val="00E20D28"/>
    <w:rsid w:val="00E22087"/>
    <w:rsid w:val="00E25287"/>
    <w:rsid w:val="00E27AAB"/>
    <w:rsid w:val="00E27C3C"/>
    <w:rsid w:val="00E3217F"/>
    <w:rsid w:val="00E32FB7"/>
    <w:rsid w:val="00E3525A"/>
    <w:rsid w:val="00E35ED6"/>
    <w:rsid w:val="00E379EC"/>
    <w:rsid w:val="00E37BE8"/>
    <w:rsid w:val="00E4041C"/>
    <w:rsid w:val="00E47085"/>
    <w:rsid w:val="00E477E1"/>
    <w:rsid w:val="00E47CD6"/>
    <w:rsid w:val="00E5009A"/>
    <w:rsid w:val="00E512AC"/>
    <w:rsid w:val="00E524AE"/>
    <w:rsid w:val="00E5309F"/>
    <w:rsid w:val="00E53AA2"/>
    <w:rsid w:val="00E53F4E"/>
    <w:rsid w:val="00E544AF"/>
    <w:rsid w:val="00E55C53"/>
    <w:rsid w:val="00E56410"/>
    <w:rsid w:val="00E573E9"/>
    <w:rsid w:val="00E60D7C"/>
    <w:rsid w:val="00E66F40"/>
    <w:rsid w:val="00E67400"/>
    <w:rsid w:val="00E7328E"/>
    <w:rsid w:val="00E73DAC"/>
    <w:rsid w:val="00E7542C"/>
    <w:rsid w:val="00E75453"/>
    <w:rsid w:val="00E76BC2"/>
    <w:rsid w:val="00E76F89"/>
    <w:rsid w:val="00E82532"/>
    <w:rsid w:val="00E901B9"/>
    <w:rsid w:val="00E90287"/>
    <w:rsid w:val="00E93242"/>
    <w:rsid w:val="00E969E7"/>
    <w:rsid w:val="00E976A3"/>
    <w:rsid w:val="00EA095C"/>
    <w:rsid w:val="00EA5B96"/>
    <w:rsid w:val="00EA6855"/>
    <w:rsid w:val="00EA740A"/>
    <w:rsid w:val="00EA7C46"/>
    <w:rsid w:val="00EB0F86"/>
    <w:rsid w:val="00EB6BD0"/>
    <w:rsid w:val="00EB702A"/>
    <w:rsid w:val="00EB7078"/>
    <w:rsid w:val="00EC1364"/>
    <w:rsid w:val="00EC1E52"/>
    <w:rsid w:val="00EC39E6"/>
    <w:rsid w:val="00EC412B"/>
    <w:rsid w:val="00EC42DB"/>
    <w:rsid w:val="00EC4744"/>
    <w:rsid w:val="00EC5BE4"/>
    <w:rsid w:val="00EC7523"/>
    <w:rsid w:val="00EC7BDE"/>
    <w:rsid w:val="00ED0256"/>
    <w:rsid w:val="00ED115F"/>
    <w:rsid w:val="00ED2B4C"/>
    <w:rsid w:val="00ED4F8A"/>
    <w:rsid w:val="00ED53D3"/>
    <w:rsid w:val="00ED5BCB"/>
    <w:rsid w:val="00EE2CFE"/>
    <w:rsid w:val="00EE3150"/>
    <w:rsid w:val="00EE3DB8"/>
    <w:rsid w:val="00EE4EBF"/>
    <w:rsid w:val="00EE5681"/>
    <w:rsid w:val="00EF092F"/>
    <w:rsid w:val="00EF1F80"/>
    <w:rsid w:val="00EF274C"/>
    <w:rsid w:val="00EF6FEF"/>
    <w:rsid w:val="00F000E1"/>
    <w:rsid w:val="00F00D14"/>
    <w:rsid w:val="00F0476F"/>
    <w:rsid w:val="00F126BE"/>
    <w:rsid w:val="00F21D38"/>
    <w:rsid w:val="00F25872"/>
    <w:rsid w:val="00F264C8"/>
    <w:rsid w:val="00F267C9"/>
    <w:rsid w:val="00F30F93"/>
    <w:rsid w:val="00F317F1"/>
    <w:rsid w:val="00F31D67"/>
    <w:rsid w:val="00F3214B"/>
    <w:rsid w:val="00F3232F"/>
    <w:rsid w:val="00F32BBE"/>
    <w:rsid w:val="00F33E14"/>
    <w:rsid w:val="00F356BA"/>
    <w:rsid w:val="00F36B7F"/>
    <w:rsid w:val="00F40189"/>
    <w:rsid w:val="00F46B5B"/>
    <w:rsid w:val="00F4762B"/>
    <w:rsid w:val="00F47860"/>
    <w:rsid w:val="00F47C93"/>
    <w:rsid w:val="00F50C8E"/>
    <w:rsid w:val="00F53535"/>
    <w:rsid w:val="00F5464F"/>
    <w:rsid w:val="00F55147"/>
    <w:rsid w:val="00F57576"/>
    <w:rsid w:val="00F57632"/>
    <w:rsid w:val="00F60496"/>
    <w:rsid w:val="00F61AD6"/>
    <w:rsid w:val="00F6266D"/>
    <w:rsid w:val="00F65889"/>
    <w:rsid w:val="00F66A30"/>
    <w:rsid w:val="00F67FC3"/>
    <w:rsid w:val="00F702A1"/>
    <w:rsid w:val="00F8368D"/>
    <w:rsid w:val="00F86891"/>
    <w:rsid w:val="00F91941"/>
    <w:rsid w:val="00F930AF"/>
    <w:rsid w:val="00F959C8"/>
    <w:rsid w:val="00FA4DDB"/>
    <w:rsid w:val="00FA504C"/>
    <w:rsid w:val="00FA5E69"/>
    <w:rsid w:val="00FB0309"/>
    <w:rsid w:val="00FC0DC5"/>
    <w:rsid w:val="00FC39E3"/>
    <w:rsid w:val="00FC5B25"/>
    <w:rsid w:val="00FC65C1"/>
    <w:rsid w:val="00FC719D"/>
    <w:rsid w:val="00FD2DE8"/>
    <w:rsid w:val="00FD2FB9"/>
    <w:rsid w:val="00FD3928"/>
    <w:rsid w:val="00FD3F2C"/>
    <w:rsid w:val="00FD49A1"/>
    <w:rsid w:val="00FD614D"/>
    <w:rsid w:val="00FD63E0"/>
    <w:rsid w:val="00FD79A6"/>
    <w:rsid w:val="00FE0206"/>
    <w:rsid w:val="00FE027E"/>
    <w:rsid w:val="00FE3113"/>
    <w:rsid w:val="00FE3554"/>
    <w:rsid w:val="00FE3831"/>
    <w:rsid w:val="00FE4199"/>
    <w:rsid w:val="00FE7EEB"/>
    <w:rsid w:val="00FF0B0D"/>
    <w:rsid w:val="00FF11F6"/>
    <w:rsid w:val="00FF26D5"/>
    <w:rsid w:val="00FF4CDA"/>
    <w:rsid w:val="00FF5767"/>
    <w:rsid w:val="00FF730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370"/>
    <w:rPr>
      <w:sz w:val="24"/>
      <w:szCs w:val="24"/>
    </w:rPr>
  </w:style>
  <w:style w:type="paragraph" w:styleId="Heading9">
    <w:name w:val="heading 9"/>
    <w:basedOn w:val="Normal"/>
    <w:next w:val="Normal"/>
    <w:qFormat/>
    <w:rsid w:val="00B92A1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61370"/>
    <w:pPr>
      <w:tabs>
        <w:tab w:val="center" w:pos="4153"/>
        <w:tab w:val="right" w:pos="8306"/>
      </w:tabs>
    </w:pPr>
  </w:style>
  <w:style w:type="paragraph" w:styleId="Footer">
    <w:name w:val="footer"/>
    <w:basedOn w:val="Normal"/>
    <w:link w:val="FooterChar"/>
    <w:rsid w:val="00661370"/>
    <w:pPr>
      <w:tabs>
        <w:tab w:val="center" w:pos="4153"/>
        <w:tab w:val="right" w:pos="8306"/>
      </w:tabs>
    </w:pPr>
  </w:style>
  <w:style w:type="paragraph" w:styleId="BodyText">
    <w:name w:val="Body Text"/>
    <w:basedOn w:val="Normal"/>
    <w:rsid w:val="00661370"/>
    <w:pPr>
      <w:tabs>
        <w:tab w:val="left" w:pos="567"/>
        <w:tab w:val="left" w:pos="1985"/>
        <w:tab w:val="left" w:pos="5103"/>
      </w:tabs>
      <w:jc w:val="both"/>
    </w:pPr>
    <w:rPr>
      <w:sz w:val="28"/>
      <w:szCs w:val="20"/>
    </w:rPr>
  </w:style>
  <w:style w:type="paragraph" w:styleId="BodyText2">
    <w:name w:val="Body Text 2"/>
    <w:basedOn w:val="Normal"/>
    <w:rsid w:val="00FD63E0"/>
    <w:pPr>
      <w:spacing w:after="120" w:line="480" w:lineRule="auto"/>
    </w:pPr>
  </w:style>
  <w:style w:type="character" w:styleId="Hyperlink">
    <w:name w:val="Hyperlink"/>
    <w:basedOn w:val="DefaultParagraphFont"/>
    <w:rsid w:val="0017355C"/>
    <w:rPr>
      <w:color w:val="0000FF"/>
      <w:u w:val="single"/>
    </w:rPr>
  </w:style>
  <w:style w:type="paragraph" w:customStyle="1" w:styleId="naisf">
    <w:name w:val="naisf"/>
    <w:basedOn w:val="Normal"/>
    <w:rsid w:val="00F8368D"/>
    <w:pPr>
      <w:spacing w:before="75" w:after="75"/>
      <w:ind w:firstLine="375"/>
      <w:jc w:val="both"/>
    </w:pPr>
  </w:style>
  <w:style w:type="character" w:styleId="PageNumber">
    <w:name w:val="page number"/>
    <w:basedOn w:val="DefaultParagraphFont"/>
    <w:rsid w:val="001B388C"/>
  </w:style>
  <w:style w:type="paragraph" w:styleId="BalloonText">
    <w:name w:val="Balloon Text"/>
    <w:basedOn w:val="Normal"/>
    <w:semiHidden/>
    <w:rsid w:val="00426080"/>
    <w:rPr>
      <w:rFonts w:ascii="Tahoma" w:hAnsi="Tahoma" w:cs="Tahoma"/>
      <w:sz w:val="16"/>
      <w:szCs w:val="16"/>
    </w:rPr>
  </w:style>
  <w:style w:type="character" w:styleId="CommentReference">
    <w:name w:val="annotation reference"/>
    <w:basedOn w:val="DefaultParagraphFont"/>
    <w:semiHidden/>
    <w:rsid w:val="00A25421"/>
    <w:rPr>
      <w:sz w:val="16"/>
      <w:szCs w:val="16"/>
    </w:rPr>
  </w:style>
  <w:style w:type="paragraph" w:styleId="CommentText">
    <w:name w:val="annotation text"/>
    <w:basedOn w:val="Normal"/>
    <w:semiHidden/>
    <w:rsid w:val="00A25421"/>
    <w:rPr>
      <w:sz w:val="20"/>
      <w:szCs w:val="20"/>
    </w:rPr>
  </w:style>
  <w:style w:type="paragraph" w:styleId="CommentSubject">
    <w:name w:val="annotation subject"/>
    <w:basedOn w:val="CommentText"/>
    <w:next w:val="CommentText"/>
    <w:semiHidden/>
    <w:rsid w:val="00A25421"/>
    <w:rPr>
      <w:b/>
      <w:bCs/>
    </w:rPr>
  </w:style>
  <w:style w:type="paragraph" w:styleId="BodyTextIndent">
    <w:name w:val="Body Text Indent"/>
    <w:basedOn w:val="Normal"/>
    <w:rsid w:val="005127F6"/>
    <w:pPr>
      <w:spacing w:after="120"/>
      <w:ind w:left="283"/>
    </w:pPr>
  </w:style>
  <w:style w:type="character" w:customStyle="1" w:styleId="HeaderChar">
    <w:name w:val="Header Char"/>
    <w:basedOn w:val="DefaultParagraphFont"/>
    <w:link w:val="Header"/>
    <w:uiPriority w:val="99"/>
    <w:rsid w:val="007C2782"/>
    <w:rPr>
      <w:sz w:val="24"/>
      <w:szCs w:val="24"/>
      <w:lang w:val="lv-LV" w:eastAsia="lv-LV" w:bidi="ar-SA"/>
    </w:rPr>
  </w:style>
  <w:style w:type="character" w:customStyle="1" w:styleId="spelle">
    <w:name w:val="spelle"/>
    <w:basedOn w:val="DefaultParagraphFont"/>
    <w:rsid w:val="00B92A1C"/>
  </w:style>
  <w:style w:type="paragraph" w:customStyle="1" w:styleId="Daaarnumuru">
    <w:name w:val="Daļa ar numuru"/>
    <w:basedOn w:val="Normal"/>
    <w:qFormat/>
    <w:rsid w:val="008F7315"/>
    <w:pPr>
      <w:widowControl w:val="0"/>
      <w:numPr>
        <w:numId w:val="1"/>
      </w:numPr>
      <w:tabs>
        <w:tab w:val="left" w:pos="1072"/>
        <w:tab w:val="left" w:pos="1418"/>
      </w:tabs>
      <w:adjustRightInd w:val="0"/>
      <w:spacing w:before="120" w:after="120"/>
      <w:jc w:val="both"/>
      <w:textAlignment w:val="baseline"/>
    </w:pPr>
    <w:rPr>
      <w:sz w:val="28"/>
      <w:szCs w:val="28"/>
    </w:rPr>
  </w:style>
  <w:style w:type="table" w:styleId="TableGrid">
    <w:name w:val="Table Grid"/>
    <w:basedOn w:val="TableNormal"/>
    <w:uiPriority w:val="59"/>
    <w:rsid w:val="00EB0F8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B0F86"/>
    <w:rPr>
      <w:rFonts w:eastAsia="Calibri"/>
      <w:sz w:val="20"/>
      <w:szCs w:val="20"/>
      <w:lang w:eastAsia="en-US"/>
    </w:rPr>
  </w:style>
  <w:style w:type="character" w:customStyle="1" w:styleId="FootnoteTextChar">
    <w:name w:val="Footnote Text Char"/>
    <w:basedOn w:val="DefaultParagraphFont"/>
    <w:link w:val="FootnoteText"/>
    <w:uiPriority w:val="99"/>
    <w:rsid w:val="00EB0F86"/>
    <w:rPr>
      <w:rFonts w:eastAsia="Calibri" w:cs="Times New Roman"/>
      <w:lang w:eastAsia="en-US"/>
    </w:rPr>
  </w:style>
  <w:style w:type="character" w:styleId="FootnoteReference">
    <w:name w:val="footnote reference"/>
    <w:basedOn w:val="DefaultParagraphFont"/>
    <w:unhideWhenUsed/>
    <w:rsid w:val="00EB0F86"/>
    <w:rPr>
      <w:vertAlign w:val="superscript"/>
    </w:rPr>
  </w:style>
  <w:style w:type="paragraph" w:styleId="ListParagraph">
    <w:name w:val="List Paragraph"/>
    <w:basedOn w:val="Normal"/>
    <w:link w:val="ListParagraphChar"/>
    <w:uiPriority w:val="34"/>
    <w:qFormat/>
    <w:rsid w:val="009A18FF"/>
    <w:pPr>
      <w:ind w:left="720"/>
    </w:pPr>
    <w:rPr>
      <w:rFonts w:ascii="Calibri" w:eastAsia="Calibri" w:hAnsi="Calibri"/>
      <w:sz w:val="22"/>
      <w:szCs w:val="22"/>
    </w:rPr>
  </w:style>
  <w:style w:type="paragraph" w:customStyle="1" w:styleId="RakstzRakstzRakstzCharCharRakstzRakstzCharCharRakstzRakstz">
    <w:name w:val="Rakstz. Rakstz. Rakstz. Char Char Rakstz. Rakstz. Char Char Rakstz. Rakstz."/>
    <w:basedOn w:val="Normal"/>
    <w:rsid w:val="006A0979"/>
    <w:pPr>
      <w:spacing w:before="40"/>
    </w:pPr>
    <w:rPr>
      <w:lang w:val="pl-PL" w:eastAsia="pl-PL"/>
    </w:rPr>
  </w:style>
  <w:style w:type="paragraph" w:styleId="NoSpacing">
    <w:name w:val="No Spacing"/>
    <w:qFormat/>
    <w:rsid w:val="00871AEB"/>
    <w:rPr>
      <w:rFonts w:ascii="Calibri" w:eastAsia="Calibri" w:hAnsi="Calibri"/>
      <w:sz w:val="22"/>
      <w:szCs w:val="22"/>
      <w:lang w:eastAsia="en-US"/>
    </w:rPr>
  </w:style>
  <w:style w:type="paragraph" w:styleId="NormalWeb">
    <w:name w:val="Normal (Web)"/>
    <w:basedOn w:val="Normal"/>
    <w:uiPriority w:val="99"/>
    <w:semiHidden/>
    <w:unhideWhenUsed/>
    <w:rsid w:val="004F3FAA"/>
    <w:pPr>
      <w:spacing w:before="100" w:beforeAutospacing="1" w:after="100" w:afterAutospacing="1"/>
    </w:pPr>
  </w:style>
  <w:style w:type="character" w:customStyle="1" w:styleId="st1">
    <w:name w:val="st1"/>
    <w:rsid w:val="004F3FAA"/>
  </w:style>
  <w:style w:type="character" w:customStyle="1" w:styleId="ListParagraphChar">
    <w:name w:val="List Paragraph Char"/>
    <w:link w:val="ListParagraph"/>
    <w:uiPriority w:val="34"/>
    <w:rsid w:val="004F3FAA"/>
    <w:rPr>
      <w:rFonts w:ascii="Calibri" w:eastAsia="Calibri" w:hAnsi="Calibri"/>
      <w:sz w:val="22"/>
      <w:szCs w:val="22"/>
    </w:rPr>
  </w:style>
  <w:style w:type="paragraph" w:customStyle="1" w:styleId="StyleJustifiedFirstline127cm">
    <w:name w:val="Style Justified First line:  127 cm"/>
    <w:basedOn w:val="Normal"/>
    <w:rsid w:val="004F3FAA"/>
    <w:pPr>
      <w:spacing w:before="100" w:beforeAutospacing="1" w:after="100" w:afterAutospacing="1"/>
      <w:ind w:firstLine="720"/>
      <w:jc w:val="both"/>
    </w:pPr>
    <w:rPr>
      <w:szCs w:val="20"/>
    </w:rPr>
  </w:style>
  <w:style w:type="paragraph" w:styleId="Title">
    <w:name w:val="Title"/>
    <w:basedOn w:val="Normal"/>
    <w:link w:val="TitleChar"/>
    <w:uiPriority w:val="10"/>
    <w:qFormat/>
    <w:rsid w:val="004F3FAA"/>
    <w:pPr>
      <w:jc w:val="center"/>
    </w:pPr>
    <w:rPr>
      <w:szCs w:val="20"/>
      <w:lang w:eastAsia="en-US"/>
    </w:rPr>
  </w:style>
  <w:style w:type="character" w:customStyle="1" w:styleId="TitleChar">
    <w:name w:val="Title Char"/>
    <w:basedOn w:val="DefaultParagraphFont"/>
    <w:link w:val="Title"/>
    <w:uiPriority w:val="10"/>
    <w:rsid w:val="004F3FAA"/>
    <w:rPr>
      <w:sz w:val="24"/>
      <w:lang w:eastAsia="en-US"/>
    </w:rPr>
  </w:style>
  <w:style w:type="paragraph" w:styleId="BlockText">
    <w:name w:val="Block Text"/>
    <w:basedOn w:val="Normal"/>
    <w:rsid w:val="004F3FAA"/>
    <w:pPr>
      <w:ind w:left="-180" w:right="-694" w:firstLine="540"/>
      <w:jc w:val="both"/>
    </w:pPr>
    <w:rPr>
      <w:lang w:eastAsia="en-US"/>
    </w:rPr>
  </w:style>
  <w:style w:type="character" w:customStyle="1" w:styleId="FooterChar">
    <w:name w:val="Footer Char"/>
    <w:basedOn w:val="DefaultParagraphFont"/>
    <w:link w:val="Footer"/>
    <w:rsid w:val="007C6E9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370"/>
    <w:rPr>
      <w:sz w:val="24"/>
      <w:szCs w:val="24"/>
    </w:rPr>
  </w:style>
  <w:style w:type="paragraph" w:styleId="Heading9">
    <w:name w:val="heading 9"/>
    <w:basedOn w:val="Normal"/>
    <w:next w:val="Normal"/>
    <w:qFormat/>
    <w:rsid w:val="00B92A1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61370"/>
    <w:pPr>
      <w:tabs>
        <w:tab w:val="center" w:pos="4153"/>
        <w:tab w:val="right" w:pos="8306"/>
      </w:tabs>
    </w:pPr>
  </w:style>
  <w:style w:type="paragraph" w:styleId="Footer">
    <w:name w:val="footer"/>
    <w:basedOn w:val="Normal"/>
    <w:link w:val="FooterChar"/>
    <w:rsid w:val="00661370"/>
    <w:pPr>
      <w:tabs>
        <w:tab w:val="center" w:pos="4153"/>
        <w:tab w:val="right" w:pos="8306"/>
      </w:tabs>
    </w:pPr>
  </w:style>
  <w:style w:type="paragraph" w:styleId="BodyText">
    <w:name w:val="Body Text"/>
    <w:basedOn w:val="Normal"/>
    <w:rsid w:val="00661370"/>
    <w:pPr>
      <w:tabs>
        <w:tab w:val="left" w:pos="567"/>
        <w:tab w:val="left" w:pos="1985"/>
        <w:tab w:val="left" w:pos="5103"/>
      </w:tabs>
      <w:jc w:val="both"/>
    </w:pPr>
    <w:rPr>
      <w:sz w:val="28"/>
      <w:szCs w:val="20"/>
    </w:rPr>
  </w:style>
  <w:style w:type="paragraph" w:styleId="BodyText2">
    <w:name w:val="Body Text 2"/>
    <w:basedOn w:val="Normal"/>
    <w:rsid w:val="00FD63E0"/>
    <w:pPr>
      <w:spacing w:after="120" w:line="480" w:lineRule="auto"/>
    </w:pPr>
  </w:style>
  <w:style w:type="character" w:styleId="Hyperlink">
    <w:name w:val="Hyperlink"/>
    <w:basedOn w:val="DefaultParagraphFont"/>
    <w:rsid w:val="0017355C"/>
    <w:rPr>
      <w:color w:val="0000FF"/>
      <w:u w:val="single"/>
    </w:rPr>
  </w:style>
  <w:style w:type="paragraph" w:customStyle="1" w:styleId="naisf">
    <w:name w:val="naisf"/>
    <w:basedOn w:val="Normal"/>
    <w:rsid w:val="00F8368D"/>
    <w:pPr>
      <w:spacing w:before="75" w:after="75"/>
      <w:ind w:firstLine="375"/>
      <w:jc w:val="both"/>
    </w:pPr>
  </w:style>
  <w:style w:type="character" w:styleId="PageNumber">
    <w:name w:val="page number"/>
    <w:basedOn w:val="DefaultParagraphFont"/>
    <w:rsid w:val="001B388C"/>
  </w:style>
  <w:style w:type="paragraph" w:styleId="BalloonText">
    <w:name w:val="Balloon Text"/>
    <w:basedOn w:val="Normal"/>
    <w:semiHidden/>
    <w:rsid w:val="00426080"/>
    <w:rPr>
      <w:rFonts w:ascii="Tahoma" w:hAnsi="Tahoma" w:cs="Tahoma"/>
      <w:sz w:val="16"/>
      <w:szCs w:val="16"/>
    </w:rPr>
  </w:style>
  <w:style w:type="character" w:styleId="CommentReference">
    <w:name w:val="annotation reference"/>
    <w:basedOn w:val="DefaultParagraphFont"/>
    <w:semiHidden/>
    <w:rsid w:val="00A25421"/>
    <w:rPr>
      <w:sz w:val="16"/>
      <w:szCs w:val="16"/>
    </w:rPr>
  </w:style>
  <w:style w:type="paragraph" w:styleId="CommentText">
    <w:name w:val="annotation text"/>
    <w:basedOn w:val="Normal"/>
    <w:semiHidden/>
    <w:rsid w:val="00A25421"/>
    <w:rPr>
      <w:sz w:val="20"/>
      <w:szCs w:val="20"/>
    </w:rPr>
  </w:style>
  <w:style w:type="paragraph" w:styleId="CommentSubject">
    <w:name w:val="annotation subject"/>
    <w:basedOn w:val="CommentText"/>
    <w:next w:val="CommentText"/>
    <w:semiHidden/>
    <w:rsid w:val="00A25421"/>
    <w:rPr>
      <w:b/>
      <w:bCs/>
    </w:rPr>
  </w:style>
  <w:style w:type="paragraph" w:styleId="BodyTextIndent">
    <w:name w:val="Body Text Indent"/>
    <w:basedOn w:val="Normal"/>
    <w:rsid w:val="005127F6"/>
    <w:pPr>
      <w:spacing w:after="120"/>
      <w:ind w:left="283"/>
    </w:pPr>
  </w:style>
  <w:style w:type="character" w:customStyle="1" w:styleId="HeaderChar">
    <w:name w:val="Header Char"/>
    <w:basedOn w:val="DefaultParagraphFont"/>
    <w:link w:val="Header"/>
    <w:uiPriority w:val="99"/>
    <w:rsid w:val="007C2782"/>
    <w:rPr>
      <w:sz w:val="24"/>
      <w:szCs w:val="24"/>
      <w:lang w:val="lv-LV" w:eastAsia="lv-LV" w:bidi="ar-SA"/>
    </w:rPr>
  </w:style>
  <w:style w:type="character" w:customStyle="1" w:styleId="spelle">
    <w:name w:val="spelle"/>
    <w:basedOn w:val="DefaultParagraphFont"/>
    <w:rsid w:val="00B92A1C"/>
  </w:style>
  <w:style w:type="paragraph" w:customStyle="1" w:styleId="Daaarnumuru">
    <w:name w:val="Daļa ar numuru"/>
    <w:basedOn w:val="Normal"/>
    <w:qFormat/>
    <w:rsid w:val="008F7315"/>
    <w:pPr>
      <w:widowControl w:val="0"/>
      <w:numPr>
        <w:numId w:val="1"/>
      </w:numPr>
      <w:tabs>
        <w:tab w:val="left" w:pos="1072"/>
        <w:tab w:val="left" w:pos="1418"/>
      </w:tabs>
      <w:adjustRightInd w:val="0"/>
      <w:spacing w:before="120" w:after="120"/>
      <w:jc w:val="both"/>
      <w:textAlignment w:val="baseline"/>
    </w:pPr>
    <w:rPr>
      <w:sz w:val="28"/>
      <w:szCs w:val="28"/>
    </w:rPr>
  </w:style>
  <w:style w:type="table" w:styleId="TableGrid">
    <w:name w:val="Table Grid"/>
    <w:basedOn w:val="TableNormal"/>
    <w:uiPriority w:val="59"/>
    <w:rsid w:val="00EB0F86"/>
    <w:rPr>
      <w:rFonts w:eastAsia="Calibr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EB0F86"/>
    <w:rPr>
      <w:rFonts w:eastAsia="Calibri"/>
      <w:sz w:val="20"/>
      <w:szCs w:val="20"/>
      <w:lang w:eastAsia="en-US"/>
    </w:rPr>
  </w:style>
  <w:style w:type="character" w:customStyle="1" w:styleId="FootnoteTextChar">
    <w:name w:val="Footnote Text Char"/>
    <w:basedOn w:val="DefaultParagraphFont"/>
    <w:link w:val="FootnoteText"/>
    <w:uiPriority w:val="99"/>
    <w:rsid w:val="00EB0F86"/>
    <w:rPr>
      <w:rFonts w:eastAsia="Calibri" w:cs="Times New Roman"/>
      <w:lang w:eastAsia="en-US"/>
    </w:rPr>
  </w:style>
  <w:style w:type="character" w:styleId="FootnoteReference">
    <w:name w:val="footnote reference"/>
    <w:basedOn w:val="DefaultParagraphFont"/>
    <w:unhideWhenUsed/>
    <w:rsid w:val="00EB0F86"/>
    <w:rPr>
      <w:vertAlign w:val="superscript"/>
    </w:rPr>
  </w:style>
  <w:style w:type="paragraph" w:styleId="ListParagraph">
    <w:name w:val="List Paragraph"/>
    <w:basedOn w:val="Normal"/>
    <w:link w:val="ListParagraphChar"/>
    <w:uiPriority w:val="34"/>
    <w:qFormat/>
    <w:rsid w:val="009A18FF"/>
    <w:pPr>
      <w:ind w:left="720"/>
    </w:pPr>
    <w:rPr>
      <w:rFonts w:ascii="Calibri" w:eastAsia="Calibri" w:hAnsi="Calibri"/>
      <w:sz w:val="22"/>
      <w:szCs w:val="22"/>
    </w:rPr>
  </w:style>
  <w:style w:type="paragraph" w:customStyle="1" w:styleId="RakstzRakstzRakstzCharCharRakstzRakstzCharCharRakstzRakstz">
    <w:name w:val="Rakstz. Rakstz. Rakstz. Char Char Rakstz. Rakstz. Char Char Rakstz. Rakstz."/>
    <w:basedOn w:val="Normal"/>
    <w:rsid w:val="006A0979"/>
    <w:pPr>
      <w:spacing w:before="40"/>
    </w:pPr>
    <w:rPr>
      <w:lang w:val="pl-PL" w:eastAsia="pl-PL"/>
    </w:rPr>
  </w:style>
  <w:style w:type="paragraph" w:styleId="NoSpacing">
    <w:name w:val="No Spacing"/>
    <w:qFormat/>
    <w:rsid w:val="00871AEB"/>
    <w:rPr>
      <w:rFonts w:ascii="Calibri" w:eastAsia="Calibri" w:hAnsi="Calibri"/>
      <w:sz w:val="22"/>
      <w:szCs w:val="22"/>
      <w:lang w:eastAsia="en-US"/>
    </w:rPr>
  </w:style>
  <w:style w:type="paragraph" w:styleId="NormalWeb">
    <w:name w:val="Normal (Web)"/>
    <w:basedOn w:val="Normal"/>
    <w:uiPriority w:val="99"/>
    <w:semiHidden/>
    <w:unhideWhenUsed/>
    <w:rsid w:val="004F3FAA"/>
    <w:pPr>
      <w:spacing w:before="100" w:beforeAutospacing="1" w:after="100" w:afterAutospacing="1"/>
    </w:pPr>
  </w:style>
  <w:style w:type="character" w:customStyle="1" w:styleId="st1">
    <w:name w:val="st1"/>
    <w:rsid w:val="004F3FAA"/>
  </w:style>
  <w:style w:type="character" w:customStyle="1" w:styleId="ListParagraphChar">
    <w:name w:val="List Paragraph Char"/>
    <w:link w:val="ListParagraph"/>
    <w:uiPriority w:val="34"/>
    <w:rsid w:val="004F3FAA"/>
    <w:rPr>
      <w:rFonts w:ascii="Calibri" w:eastAsia="Calibri" w:hAnsi="Calibri"/>
      <w:sz w:val="22"/>
      <w:szCs w:val="22"/>
    </w:rPr>
  </w:style>
  <w:style w:type="paragraph" w:customStyle="1" w:styleId="StyleJustifiedFirstline127cm">
    <w:name w:val="Style Justified First line:  127 cm"/>
    <w:basedOn w:val="Normal"/>
    <w:rsid w:val="004F3FAA"/>
    <w:pPr>
      <w:spacing w:before="100" w:beforeAutospacing="1" w:after="100" w:afterAutospacing="1"/>
      <w:ind w:firstLine="720"/>
      <w:jc w:val="both"/>
    </w:pPr>
    <w:rPr>
      <w:szCs w:val="20"/>
    </w:rPr>
  </w:style>
  <w:style w:type="paragraph" w:styleId="Title">
    <w:name w:val="Title"/>
    <w:basedOn w:val="Normal"/>
    <w:link w:val="TitleChar"/>
    <w:uiPriority w:val="10"/>
    <w:qFormat/>
    <w:rsid w:val="004F3FAA"/>
    <w:pPr>
      <w:jc w:val="center"/>
    </w:pPr>
    <w:rPr>
      <w:szCs w:val="20"/>
      <w:lang w:eastAsia="en-US"/>
    </w:rPr>
  </w:style>
  <w:style w:type="character" w:customStyle="1" w:styleId="TitleChar">
    <w:name w:val="Title Char"/>
    <w:basedOn w:val="DefaultParagraphFont"/>
    <w:link w:val="Title"/>
    <w:uiPriority w:val="10"/>
    <w:rsid w:val="004F3FAA"/>
    <w:rPr>
      <w:sz w:val="24"/>
      <w:lang w:eastAsia="en-US"/>
    </w:rPr>
  </w:style>
  <w:style w:type="paragraph" w:styleId="BlockText">
    <w:name w:val="Block Text"/>
    <w:basedOn w:val="Normal"/>
    <w:rsid w:val="004F3FAA"/>
    <w:pPr>
      <w:ind w:left="-180" w:right="-694" w:firstLine="540"/>
      <w:jc w:val="both"/>
    </w:pPr>
    <w:rPr>
      <w:lang w:eastAsia="en-US"/>
    </w:rPr>
  </w:style>
  <w:style w:type="character" w:customStyle="1" w:styleId="FooterChar">
    <w:name w:val="Footer Char"/>
    <w:basedOn w:val="DefaultParagraphFont"/>
    <w:link w:val="Footer"/>
    <w:rsid w:val="007C6E9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630">
      <w:bodyDiv w:val="1"/>
      <w:marLeft w:val="0"/>
      <w:marRight w:val="0"/>
      <w:marTop w:val="0"/>
      <w:marBottom w:val="0"/>
      <w:divBdr>
        <w:top w:val="none" w:sz="0" w:space="0" w:color="auto"/>
        <w:left w:val="none" w:sz="0" w:space="0" w:color="auto"/>
        <w:bottom w:val="none" w:sz="0" w:space="0" w:color="auto"/>
        <w:right w:val="none" w:sz="0" w:space="0" w:color="auto"/>
      </w:divBdr>
    </w:div>
    <w:div w:id="142740042">
      <w:bodyDiv w:val="1"/>
      <w:marLeft w:val="0"/>
      <w:marRight w:val="0"/>
      <w:marTop w:val="0"/>
      <w:marBottom w:val="0"/>
      <w:divBdr>
        <w:top w:val="none" w:sz="0" w:space="0" w:color="auto"/>
        <w:left w:val="none" w:sz="0" w:space="0" w:color="auto"/>
        <w:bottom w:val="none" w:sz="0" w:space="0" w:color="auto"/>
        <w:right w:val="none" w:sz="0" w:space="0" w:color="auto"/>
      </w:divBdr>
    </w:div>
    <w:div w:id="281614981">
      <w:bodyDiv w:val="1"/>
      <w:marLeft w:val="0"/>
      <w:marRight w:val="0"/>
      <w:marTop w:val="0"/>
      <w:marBottom w:val="0"/>
      <w:divBdr>
        <w:top w:val="none" w:sz="0" w:space="0" w:color="auto"/>
        <w:left w:val="none" w:sz="0" w:space="0" w:color="auto"/>
        <w:bottom w:val="none" w:sz="0" w:space="0" w:color="auto"/>
        <w:right w:val="none" w:sz="0" w:space="0" w:color="auto"/>
      </w:divBdr>
    </w:div>
    <w:div w:id="283007013">
      <w:bodyDiv w:val="1"/>
      <w:marLeft w:val="0"/>
      <w:marRight w:val="0"/>
      <w:marTop w:val="0"/>
      <w:marBottom w:val="0"/>
      <w:divBdr>
        <w:top w:val="none" w:sz="0" w:space="0" w:color="auto"/>
        <w:left w:val="none" w:sz="0" w:space="0" w:color="auto"/>
        <w:bottom w:val="none" w:sz="0" w:space="0" w:color="auto"/>
        <w:right w:val="none" w:sz="0" w:space="0" w:color="auto"/>
      </w:divBdr>
    </w:div>
    <w:div w:id="572008296">
      <w:bodyDiv w:val="1"/>
      <w:marLeft w:val="0"/>
      <w:marRight w:val="0"/>
      <w:marTop w:val="0"/>
      <w:marBottom w:val="0"/>
      <w:divBdr>
        <w:top w:val="none" w:sz="0" w:space="0" w:color="auto"/>
        <w:left w:val="none" w:sz="0" w:space="0" w:color="auto"/>
        <w:bottom w:val="none" w:sz="0" w:space="0" w:color="auto"/>
        <w:right w:val="none" w:sz="0" w:space="0" w:color="auto"/>
      </w:divBdr>
    </w:div>
    <w:div w:id="709036359">
      <w:bodyDiv w:val="1"/>
      <w:marLeft w:val="0"/>
      <w:marRight w:val="0"/>
      <w:marTop w:val="0"/>
      <w:marBottom w:val="0"/>
      <w:divBdr>
        <w:top w:val="none" w:sz="0" w:space="0" w:color="auto"/>
        <w:left w:val="none" w:sz="0" w:space="0" w:color="auto"/>
        <w:bottom w:val="none" w:sz="0" w:space="0" w:color="auto"/>
        <w:right w:val="none" w:sz="0" w:space="0" w:color="auto"/>
      </w:divBdr>
    </w:div>
    <w:div w:id="735471452">
      <w:bodyDiv w:val="1"/>
      <w:marLeft w:val="0"/>
      <w:marRight w:val="0"/>
      <w:marTop w:val="0"/>
      <w:marBottom w:val="0"/>
      <w:divBdr>
        <w:top w:val="none" w:sz="0" w:space="0" w:color="auto"/>
        <w:left w:val="none" w:sz="0" w:space="0" w:color="auto"/>
        <w:bottom w:val="none" w:sz="0" w:space="0" w:color="auto"/>
        <w:right w:val="none" w:sz="0" w:space="0" w:color="auto"/>
      </w:divBdr>
    </w:div>
    <w:div w:id="759520518">
      <w:bodyDiv w:val="1"/>
      <w:marLeft w:val="0"/>
      <w:marRight w:val="0"/>
      <w:marTop w:val="0"/>
      <w:marBottom w:val="0"/>
      <w:divBdr>
        <w:top w:val="none" w:sz="0" w:space="0" w:color="auto"/>
        <w:left w:val="none" w:sz="0" w:space="0" w:color="auto"/>
        <w:bottom w:val="none" w:sz="0" w:space="0" w:color="auto"/>
        <w:right w:val="none" w:sz="0" w:space="0" w:color="auto"/>
      </w:divBdr>
    </w:div>
    <w:div w:id="779643048">
      <w:bodyDiv w:val="1"/>
      <w:marLeft w:val="0"/>
      <w:marRight w:val="0"/>
      <w:marTop w:val="0"/>
      <w:marBottom w:val="0"/>
      <w:divBdr>
        <w:top w:val="none" w:sz="0" w:space="0" w:color="auto"/>
        <w:left w:val="none" w:sz="0" w:space="0" w:color="auto"/>
        <w:bottom w:val="none" w:sz="0" w:space="0" w:color="auto"/>
        <w:right w:val="none" w:sz="0" w:space="0" w:color="auto"/>
      </w:divBdr>
    </w:div>
    <w:div w:id="881478186">
      <w:bodyDiv w:val="1"/>
      <w:marLeft w:val="0"/>
      <w:marRight w:val="0"/>
      <w:marTop w:val="0"/>
      <w:marBottom w:val="0"/>
      <w:divBdr>
        <w:top w:val="none" w:sz="0" w:space="0" w:color="auto"/>
        <w:left w:val="none" w:sz="0" w:space="0" w:color="auto"/>
        <w:bottom w:val="none" w:sz="0" w:space="0" w:color="auto"/>
        <w:right w:val="none" w:sz="0" w:space="0" w:color="auto"/>
      </w:divBdr>
    </w:div>
    <w:div w:id="896823272">
      <w:bodyDiv w:val="1"/>
      <w:marLeft w:val="0"/>
      <w:marRight w:val="0"/>
      <w:marTop w:val="0"/>
      <w:marBottom w:val="0"/>
      <w:divBdr>
        <w:top w:val="none" w:sz="0" w:space="0" w:color="auto"/>
        <w:left w:val="none" w:sz="0" w:space="0" w:color="auto"/>
        <w:bottom w:val="none" w:sz="0" w:space="0" w:color="auto"/>
        <w:right w:val="none" w:sz="0" w:space="0" w:color="auto"/>
      </w:divBdr>
    </w:div>
    <w:div w:id="962730791">
      <w:bodyDiv w:val="1"/>
      <w:marLeft w:val="0"/>
      <w:marRight w:val="0"/>
      <w:marTop w:val="0"/>
      <w:marBottom w:val="0"/>
      <w:divBdr>
        <w:top w:val="none" w:sz="0" w:space="0" w:color="auto"/>
        <w:left w:val="none" w:sz="0" w:space="0" w:color="auto"/>
        <w:bottom w:val="none" w:sz="0" w:space="0" w:color="auto"/>
        <w:right w:val="none" w:sz="0" w:space="0" w:color="auto"/>
      </w:divBdr>
    </w:div>
    <w:div w:id="1041320177">
      <w:bodyDiv w:val="1"/>
      <w:marLeft w:val="0"/>
      <w:marRight w:val="0"/>
      <w:marTop w:val="0"/>
      <w:marBottom w:val="0"/>
      <w:divBdr>
        <w:top w:val="none" w:sz="0" w:space="0" w:color="auto"/>
        <w:left w:val="none" w:sz="0" w:space="0" w:color="auto"/>
        <w:bottom w:val="none" w:sz="0" w:space="0" w:color="auto"/>
        <w:right w:val="none" w:sz="0" w:space="0" w:color="auto"/>
      </w:divBdr>
      <w:divsChild>
        <w:div w:id="1009790440">
          <w:marLeft w:val="0"/>
          <w:marRight w:val="0"/>
          <w:marTop w:val="0"/>
          <w:marBottom w:val="0"/>
          <w:divBdr>
            <w:top w:val="none" w:sz="0" w:space="0" w:color="auto"/>
            <w:left w:val="none" w:sz="0" w:space="0" w:color="auto"/>
            <w:bottom w:val="none" w:sz="0" w:space="0" w:color="auto"/>
            <w:right w:val="none" w:sz="0" w:space="0" w:color="auto"/>
          </w:divBdr>
        </w:div>
        <w:div w:id="1855223968">
          <w:marLeft w:val="0"/>
          <w:marRight w:val="0"/>
          <w:marTop w:val="0"/>
          <w:marBottom w:val="0"/>
          <w:divBdr>
            <w:top w:val="none" w:sz="0" w:space="0" w:color="auto"/>
            <w:left w:val="none" w:sz="0" w:space="0" w:color="auto"/>
            <w:bottom w:val="none" w:sz="0" w:space="0" w:color="auto"/>
            <w:right w:val="none" w:sz="0" w:space="0" w:color="auto"/>
          </w:divBdr>
        </w:div>
      </w:divsChild>
    </w:div>
    <w:div w:id="1442191184">
      <w:bodyDiv w:val="1"/>
      <w:marLeft w:val="0"/>
      <w:marRight w:val="0"/>
      <w:marTop w:val="0"/>
      <w:marBottom w:val="0"/>
      <w:divBdr>
        <w:top w:val="none" w:sz="0" w:space="0" w:color="auto"/>
        <w:left w:val="none" w:sz="0" w:space="0" w:color="auto"/>
        <w:bottom w:val="none" w:sz="0" w:space="0" w:color="auto"/>
        <w:right w:val="none" w:sz="0" w:space="0" w:color="auto"/>
      </w:divBdr>
    </w:div>
    <w:div w:id="1534265912">
      <w:bodyDiv w:val="1"/>
      <w:marLeft w:val="0"/>
      <w:marRight w:val="0"/>
      <w:marTop w:val="0"/>
      <w:marBottom w:val="0"/>
      <w:divBdr>
        <w:top w:val="none" w:sz="0" w:space="0" w:color="auto"/>
        <w:left w:val="none" w:sz="0" w:space="0" w:color="auto"/>
        <w:bottom w:val="none" w:sz="0" w:space="0" w:color="auto"/>
        <w:right w:val="none" w:sz="0" w:space="0" w:color="auto"/>
      </w:divBdr>
    </w:div>
    <w:div w:id="1676686533">
      <w:bodyDiv w:val="1"/>
      <w:marLeft w:val="0"/>
      <w:marRight w:val="0"/>
      <w:marTop w:val="0"/>
      <w:marBottom w:val="0"/>
      <w:divBdr>
        <w:top w:val="none" w:sz="0" w:space="0" w:color="auto"/>
        <w:left w:val="none" w:sz="0" w:space="0" w:color="auto"/>
        <w:bottom w:val="none" w:sz="0" w:space="0" w:color="auto"/>
        <w:right w:val="none" w:sz="0" w:space="0" w:color="auto"/>
      </w:divBdr>
    </w:div>
    <w:div w:id="1929656716">
      <w:bodyDiv w:val="1"/>
      <w:marLeft w:val="0"/>
      <w:marRight w:val="0"/>
      <w:marTop w:val="0"/>
      <w:marBottom w:val="0"/>
      <w:divBdr>
        <w:top w:val="none" w:sz="0" w:space="0" w:color="auto"/>
        <w:left w:val="none" w:sz="0" w:space="0" w:color="auto"/>
        <w:bottom w:val="none" w:sz="0" w:space="0" w:color="auto"/>
        <w:right w:val="none" w:sz="0" w:space="0" w:color="auto"/>
      </w:divBdr>
    </w:div>
    <w:div w:id="207273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06778-D8CA-4A73-9BEB-F9120BE81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44531</Words>
  <Characters>25383</Characters>
  <Application>Microsoft Office Word</Application>
  <DocSecurity>0</DocSecurity>
  <Lines>211</Lines>
  <Paragraphs>139</Paragraphs>
  <ScaleCrop>false</ScaleCrop>
  <HeadingPairs>
    <vt:vector size="2" baseType="variant">
      <vt:variant>
        <vt:lpstr>Title</vt:lpstr>
      </vt:variant>
      <vt:variant>
        <vt:i4>1</vt:i4>
      </vt:variant>
    </vt:vector>
  </HeadingPairs>
  <TitlesOfParts>
    <vt:vector size="1" baseType="lpstr">
      <vt:lpstr>Informatīvais ziņojums par panākto valsts budžeta izdevumu samazinājumu apakšprogrammā 31.02.00 “Valsts parāda vadība” 2013.gadā</vt:lpstr>
    </vt:vector>
  </TitlesOfParts>
  <Company>Valsts kase</Company>
  <LinksUpToDate>false</LinksUpToDate>
  <CharactersWithSpaces>69775</CharactersWithSpaces>
  <SharedDoc>false</SharedDoc>
  <HLinks>
    <vt:vector size="6" baseType="variant">
      <vt:variant>
        <vt:i4>8061016</vt:i4>
      </vt:variant>
      <vt:variant>
        <vt:i4>3</vt:i4>
      </vt:variant>
      <vt:variant>
        <vt:i4>0</vt:i4>
      </vt:variant>
      <vt:variant>
        <vt:i4>5</vt:i4>
      </vt:variant>
      <vt:variant>
        <vt:lpwstr>mailto:Agnese.rudzite@vid.gov.lv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panākto valsts budžeta izdevumu samazinājumu apakšprogrammā 31.02.00 “Valsts parāda vadība” 2013.gadā</dc:title>
  <dc:subject>Informatīvais ziņojums</dc:subject>
  <dc:creator>Jevgenija.Jalovecka@kase.gov.lv</dc:creator>
  <dc:description>J.Jalovecka
67094241, Jevgēnija.Jalovecka@kase.gov.lv</dc:description>
  <cp:lastModifiedBy>Marija Radeiko</cp:lastModifiedBy>
  <cp:revision>3</cp:revision>
  <cp:lastPrinted>2013-12-12T08:36:00Z</cp:lastPrinted>
  <dcterms:created xsi:type="dcterms:W3CDTF">2013-12-13T09:20:00Z</dcterms:created>
  <dcterms:modified xsi:type="dcterms:W3CDTF">2013-12-13T12:42:00Z</dcterms:modified>
  <cp:category>Informatīvais ziņojums</cp:category>
</cp:coreProperties>
</file>